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val="0"/>
        <w:overflowPunct w:val="0"/>
        <w:topLinePunct/>
        <w:autoSpaceDE/>
        <w:autoSpaceDN/>
        <w:bidi w:val="0"/>
        <w:adjustRightInd w:val="0"/>
        <w:snapToGrid w:val="0"/>
        <w:spacing w:beforeAutospacing="0" w:afterAutospacing="0" w:line="570" w:lineRule="exact"/>
        <w:ind w:left="0" w:leftChars="0" w:firstLine="0" w:firstLineChars="0"/>
        <w:textAlignment w:val="baseline"/>
        <w:rPr>
          <w:rFonts w:hint="eastAsia" w:ascii="黑体" w:hAnsi="黑体" w:eastAsia="黑体" w:cs="黑体"/>
        </w:rPr>
      </w:pPr>
      <w:r>
        <w:rPr>
          <w:rFonts w:hint="eastAsia" w:ascii="黑体" w:hAnsi="黑体" w:eastAsia="黑体" w:cs="黑体"/>
        </w:rPr>
        <w:t>附件2</w:t>
      </w:r>
    </w:p>
    <w:p>
      <w:pPr>
        <w:pStyle w:val="2"/>
        <w:keepNext w:val="0"/>
        <w:keepLines w:val="0"/>
        <w:pageBreakBefore w:val="0"/>
        <w:widowControl w:val="0"/>
        <w:kinsoku/>
        <w:wordWrap w:val="0"/>
        <w:overflowPunct w:val="0"/>
        <w:topLinePunct/>
        <w:autoSpaceDE/>
        <w:autoSpaceDN/>
        <w:bidi w:val="0"/>
        <w:adjustRightInd w:val="0"/>
        <w:snapToGrid w:val="0"/>
        <w:spacing w:before="0" w:beforeAutospacing="0" w:after="0" w:afterAutospacing="0" w:line="570" w:lineRule="exact"/>
        <w:ind w:left="0" w:leftChars="0"/>
        <w:textAlignment w:val="baseline"/>
      </w:pPr>
    </w:p>
    <w:p>
      <w:pPr>
        <w:keepNext w:val="0"/>
        <w:keepLines w:val="0"/>
        <w:pageBreakBefore w:val="0"/>
        <w:widowControl w:val="0"/>
        <w:kinsoku/>
        <w:wordWrap w:val="0"/>
        <w:overflowPunct w:val="0"/>
        <w:topLinePunct/>
        <w:autoSpaceDE/>
        <w:autoSpaceDN/>
        <w:bidi w:val="0"/>
        <w:adjustRightInd w:val="0"/>
        <w:snapToGrid w:val="0"/>
        <w:spacing w:beforeAutospacing="0" w:afterAutospacing="0" w:line="570" w:lineRule="exact"/>
        <w:ind w:left="0" w:leftChars="0" w:firstLine="0" w:firstLineChars="0"/>
        <w:jc w:val="center"/>
        <w:textAlignment w:val="baseline"/>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节水型社会评价标准</w:t>
      </w:r>
    </w:p>
    <w:p>
      <w:pPr>
        <w:keepNext w:val="0"/>
        <w:keepLines w:val="0"/>
        <w:pageBreakBefore w:val="0"/>
        <w:widowControl w:val="0"/>
        <w:kinsoku/>
        <w:wordWrap w:val="0"/>
        <w:overflowPunct w:val="0"/>
        <w:topLinePunct/>
        <w:autoSpaceDE/>
        <w:autoSpaceDN/>
        <w:bidi w:val="0"/>
        <w:adjustRightInd w:val="0"/>
        <w:snapToGrid w:val="0"/>
        <w:spacing w:beforeAutospacing="0" w:afterAutospacing="0" w:line="570" w:lineRule="exact"/>
        <w:ind w:left="0" w:leftChars="0"/>
        <w:textAlignment w:val="baseline"/>
      </w:pPr>
    </w:p>
    <w:p>
      <w:pPr>
        <w:keepNext w:val="0"/>
        <w:keepLines w:val="0"/>
        <w:pageBreakBefore w:val="0"/>
        <w:widowControl w:val="0"/>
        <w:kinsoku/>
        <w:wordWrap w:val="0"/>
        <w:overflowPunct w:val="0"/>
        <w:topLinePunct/>
        <w:autoSpaceDE/>
        <w:autoSpaceDN/>
        <w:bidi w:val="0"/>
        <w:adjustRightInd w:val="0"/>
        <w:snapToGrid w:val="0"/>
        <w:spacing w:beforeAutospacing="0" w:afterAutospacing="0" w:line="570" w:lineRule="exact"/>
        <w:ind w:left="0" w:leftChars="0"/>
        <w:textAlignment w:val="baseline"/>
        <w:rPr>
          <w:rFonts w:hint="eastAsia" w:ascii="黑体" w:hAnsi="黑体" w:eastAsia="黑体" w:cs="黑体"/>
          <w:b w:val="0"/>
          <w:bCs w:val="0"/>
        </w:rPr>
      </w:pPr>
      <w:r>
        <w:rPr>
          <w:rFonts w:hint="eastAsia" w:ascii="黑体" w:hAnsi="黑体" w:eastAsia="黑体" w:cs="黑体"/>
          <w:b w:val="0"/>
          <w:bCs w:val="0"/>
        </w:rPr>
        <w:t>一、适用范围</w:t>
      </w:r>
    </w:p>
    <w:p>
      <w:pPr>
        <w:keepNext w:val="0"/>
        <w:keepLines w:val="0"/>
        <w:pageBreakBefore w:val="0"/>
        <w:widowControl w:val="0"/>
        <w:kinsoku/>
        <w:wordWrap w:val="0"/>
        <w:overflowPunct w:val="0"/>
        <w:topLinePunct/>
        <w:autoSpaceDE/>
        <w:autoSpaceDN/>
        <w:bidi w:val="0"/>
        <w:adjustRightInd w:val="0"/>
        <w:snapToGrid w:val="0"/>
        <w:spacing w:beforeAutospacing="0" w:afterAutospacing="0" w:line="570" w:lineRule="exact"/>
        <w:ind w:left="0" w:leftChars="0"/>
        <w:textAlignment w:val="baseline"/>
      </w:pPr>
      <w:r>
        <w:rPr>
          <w:rFonts w:hint="eastAsia"/>
        </w:rPr>
        <w:t>本标准适用于直辖市所辖区，设区市所辖区，</w:t>
      </w:r>
      <w:r>
        <w:t>县</w:t>
      </w:r>
      <w:r>
        <w:rPr>
          <w:rFonts w:hint="eastAsia"/>
        </w:rPr>
        <w:t>（县级市、自治县、旗）等节水型社会评价工作。</w:t>
      </w:r>
    </w:p>
    <w:p>
      <w:pPr>
        <w:keepNext w:val="0"/>
        <w:keepLines w:val="0"/>
        <w:pageBreakBefore w:val="0"/>
        <w:widowControl w:val="0"/>
        <w:kinsoku/>
        <w:wordWrap w:val="0"/>
        <w:overflowPunct w:val="0"/>
        <w:topLinePunct/>
        <w:autoSpaceDE/>
        <w:autoSpaceDN/>
        <w:bidi w:val="0"/>
        <w:adjustRightInd w:val="0"/>
        <w:snapToGrid w:val="0"/>
        <w:spacing w:beforeAutospacing="0" w:afterAutospacing="0" w:line="570" w:lineRule="exact"/>
        <w:ind w:left="0" w:leftChars="0"/>
        <w:textAlignment w:val="baseline"/>
      </w:pPr>
      <w:r>
        <w:rPr>
          <w:rFonts w:hint="eastAsia"/>
        </w:rPr>
        <w:t>经济开发区等区域的节水型社会达标建设可参照本标准进行评价。</w:t>
      </w:r>
    </w:p>
    <w:p>
      <w:pPr>
        <w:keepNext w:val="0"/>
        <w:keepLines w:val="0"/>
        <w:pageBreakBefore w:val="0"/>
        <w:widowControl w:val="0"/>
        <w:kinsoku/>
        <w:wordWrap w:val="0"/>
        <w:overflowPunct w:val="0"/>
        <w:topLinePunct/>
        <w:autoSpaceDE/>
        <w:autoSpaceDN/>
        <w:bidi w:val="0"/>
        <w:adjustRightInd w:val="0"/>
        <w:snapToGrid w:val="0"/>
        <w:spacing w:beforeAutospacing="0" w:afterAutospacing="0" w:line="570" w:lineRule="exact"/>
        <w:ind w:left="0" w:leftChars="0"/>
        <w:textAlignment w:val="baseline"/>
        <w:rPr>
          <w:rFonts w:hint="eastAsia" w:ascii="黑体" w:hAnsi="黑体" w:eastAsia="黑体" w:cs="黑体"/>
          <w:b w:val="0"/>
          <w:bCs w:val="0"/>
        </w:rPr>
      </w:pPr>
      <w:r>
        <w:rPr>
          <w:rFonts w:hint="eastAsia" w:ascii="黑体" w:hAnsi="黑体" w:eastAsia="黑体" w:cs="黑体"/>
          <w:b w:val="0"/>
          <w:bCs w:val="0"/>
        </w:rPr>
        <w:t>二、必备条件</w:t>
      </w:r>
    </w:p>
    <w:p>
      <w:pPr>
        <w:keepNext w:val="0"/>
        <w:keepLines w:val="0"/>
        <w:pageBreakBefore w:val="0"/>
        <w:widowControl w:val="0"/>
        <w:kinsoku/>
        <w:wordWrap w:val="0"/>
        <w:overflowPunct w:val="0"/>
        <w:topLinePunct/>
        <w:autoSpaceDE/>
        <w:autoSpaceDN/>
        <w:bidi w:val="0"/>
        <w:adjustRightInd w:val="0"/>
        <w:snapToGrid w:val="0"/>
        <w:spacing w:beforeAutospacing="0" w:afterAutospacing="0" w:line="570" w:lineRule="exact"/>
        <w:ind w:left="0" w:leftChars="0"/>
        <w:textAlignment w:val="baseline"/>
        <w:rPr>
          <w:b/>
          <w:bCs/>
          <w:lang w:val="en"/>
        </w:rPr>
      </w:pPr>
      <w:r>
        <w:rPr>
          <w:rFonts w:hint="eastAsia"/>
        </w:rPr>
        <w:t>（一）制定县域节水型社会达标建设实施方案，明确达标建设目标任务、责任分工和完成时限。</w:t>
      </w:r>
    </w:p>
    <w:p>
      <w:pPr>
        <w:keepNext w:val="0"/>
        <w:keepLines w:val="0"/>
        <w:pageBreakBefore w:val="0"/>
        <w:widowControl w:val="0"/>
        <w:kinsoku/>
        <w:wordWrap w:val="0"/>
        <w:overflowPunct w:val="0"/>
        <w:topLinePunct/>
        <w:autoSpaceDE/>
        <w:autoSpaceDN/>
        <w:bidi w:val="0"/>
        <w:adjustRightInd w:val="0"/>
        <w:snapToGrid w:val="0"/>
        <w:spacing w:beforeAutospacing="0" w:afterAutospacing="0" w:line="570" w:lineRule="exact"/>
        <w:ind w:left="0" w:leftChars="0"/>
        <w:textAlignment w:val="baseline"/>
      </w:pPr>
      <w:r>
        <w:rPr>
          <w:rFonts w:hint="eastAsia"/>
        </w:rPr>
        <w:t>（二）评价年县域用水总量和强度符合控制指标要求。</w:t>
      </w:r>
    </w:p>
    <w:p>
      <w:pPr>
        <w:keepNext w:val="0"/>
        <w:keepLines w:val="0"/>
        <w:pageBreakBefore w:val="0"/>
        <w:widowControl w:val="0"/>
        <w:kinsoku/>
        <w:wordWrap w:val="0"/>
        <w:overflowPunct w:val="0"/>
        <w:topLinePunct/>
        <w:autoSpaceDE/>
        <w:autoSpaceDN/>
        <w:bidi w:val="0"/>
        <w:adjustRightInd w:val="0"/>
        <w:snapToGrid w:val="0"/>
        <w:spacing w:beforeAutospacing="0" w:afterAutospacing="0" w:line="570" w:lineRule="exact"/>
        <w:ind w:left="0" w:leftChars="0"/>
        <w:textAlignment w:val="baseline"/>
      </w:pPr>
      <w:r>
        <w:rPr>
          <w:rFonts w:hint="eastAsia"/>
        </w:rPr>
        <w:t>（三）评价年县域江河取水量和地下水取水量符合控制指标要求。</w:t>
      </w:r>
    </w:p>
    <w:p>
      <w:pPr>
        <w:keepNext w:val="0"/>
        <w:keepLines w:val="0"/>
        <w:pageBreakBefore w:val="0"/>
        <w:widowControl w:val="0"/>
        <w:kinsoku/>
        <w:wordWrap w:val="0"/>
        <w:overflowPunct w:val="0"/>
        <w:topLinePunct/>
        <w:autoSpaceDE/>
        <w:autoSpaceDN/>
        <w:bidi w:val="0"/>
        <w:adjustRightInd w:val="0"/>
        <w:snapToGrid w:val="0"/>
        <w:spacing w:beforeAutospacing="0" w:afterAutospacing="0" w:line="570" w:lineRule="exact"/>
        <w:ind w:left="0" w:leftChars="0"/>
        <w:textAlignment w:val="baseline"/>
      </w:pPr>
      <w:r>
        <w:rPr>
          <w:rFonts w:hint="eastAsia"/>
        </w:rPr>
        <w:t>（四）评价年中央环保督察、长江经济带和黄河流域生态环境警示片、中央巡视、国家审计、媒体报道等未发现节水重大问题。</w:t>
      </w:r>
    </w:p>
    <w:p>
      <w:pPr>
        <w:keepNext w:val="0"/>
        <w:keepLines w:val="0"/>
        <w:pageBreakBefore w:val="0"/>
        <w:widowControl w:val="0"/>
        <w:kinsoku/>
        <w:wordWrap w:val="0"/>
        <w:overflowPunct w:val="0"/>
        <w:topLinePunct/>
        <w:autoSpaceDE/>
        <w:autoSpaceDN/>
        <w:bidi w:val="0"/>
        <w:adjustRightInd w:val="0"/>
        <w:snapToGrid w:val="0"/>
        <w:spacing w:beforeAutospacing="0" w:afterAutospacing="0" w:line="570" w:lineRule="exact"/>
        <w:ind w:left="0" w:leftChars="0"/>
        <w:textAlignment w:val="baseline"/>
        <w:rPr>
          <w:rFonts w:hint="eastAsia" w:ascii="黑体" w:hAnsi="黑体" w:eastAsia="黑体" w:cs="黑体"/>
          <w:b w:val="0"/>
          <w:bCs w:val="0"/>
        </w:rPr>
      </w:pPr>
      <w:r>
        <w:rPr>
          <w:rFonts w:hint="eastAsia" w:ascii="黑体" w:hAnsi="黑体" w:eastAsia="黑体" w:cs="黑体"/>
          <w:b w:val="0"/>
          <w:bCs w:val="0"/>
        </w:rPr>
        <w:t>三、评价内容</w:t>
      </w:r>
    </w:p>
    <w:p>
      <w:pPr>
        <w:keepNext w:val="0"/>
        <w:keepLines w:val="0"/>
        <w:pageBreakBefore w:val="0"/>
        <w:widowControl w:val="0"/>
        <w:kinsoku/>
        <w:wordWrap w:val="0"/>
        <w:overflowPunct w:val="0"/>
        <w:topLinePunct/>
        <w:autoSpaceDE/>
        <w:autoSpaceDN/>
        <w:bidi w:val="0"/>
        <w:adjustRightInd w:val="0"/>
        <w:snapToGrid w:val="0"/>
        <w:spacing w:beforeAutospacing="0" w:afterAutospacing="0" w:line="570" w:lineRule="exact"/>
        <w:ind w:left="0" w:leftChars="0"/>
        <w:textAlignment w:val="baseline"/>
      </w:pPr>
      <w:r>
        <w:rPr>
          <w:rFonts w:hint="eastAsia" w:ascii="仿宋_GB2312" w:hAnsi="仿宋_GB2312" w:eastAsia="仿宋_GB2312" w:cs="仿宋_GB2312"/>
        </w:rPr>
        <w:t>本标准评价指标共分12项，具体包括：用水定额管理、计划用水管理、用水计量、水价机制、节水评价、节水“三同时”管理、节水载体建设、供水管网漏损控制、生活节水器具推广、非常规水源利用、节水宣传和加分项。12项评价指标细化为24项评价内容，详见《节水型社会评价赋分表》。</w:t>
      </w:r>
    </w:p>
    <w:p>
      <w:pPr>
        <w:keepNext w:val="0"/>
        <w:keepLines w:val="0"/>
        <w:pageBreakBefore w:val="0"/>
        <w:widowControl w:val="0"/>
        <w:kinsoku/>
        <w:wordWrap w:val="0"/>
        <w:overflowPunct w:val="0"/>
        <w:topLinePunct/>
        <w:autoSpaceDE/>
        <w:autoSpaceDN/>
        <w:bidi w:val="0"/>
        <w:adjustRightInd w:val="0"/>
        <w:snapToGrid w:val="0"/>
        <w:spacing w:beforeAutospacing="0" w:afterAutospacing="0" w:line="570" w:lineRule="exact"/>
        <w:ind w:left="0" w:leftChars="0"/>
        <w:textAlignment w:val="baseline"/>
        <w:rPr>
          <w:rFonts w:hint="eastAsia" w:ascii="黑体" w:hAnsi="黑体" w:eastAsia="黑体" w:cs="黑体"/>
          <w:b w:val="0"/>
          <w:bCs w:val="0"/>
        </w:rPr>
      </w:pPr>
      <w:r>
        <w:rPr>
          <w:rFonts w:hint="eastAsia" w:ascii="黑体" w:hAnsi="黑体" w:eastAsia="黑体" w:cs="黑体"/>
          <w:b w:val="0"/>
          <w:bCs w:val="0"/>
        </w:rPr>
        <w:t>四、评价方法</w:t>
      </w:r>
    </w:p>
    <w:p>
      <w:pPr>
        <w:keepNext w:val="0"/>
        <w:keepLines w:val="0"/>
        <w:pageBreakBefore w:val="0"/>
        <w:widowControl w:val="0"/>
        <w:kinsoku/>
        <w:wordWrap w:val="0"/>
        <w:overflowPunct w:val="0"/>
        <w:topLinePunct/>
        <w:autoSpaceDE/>
        <w:autoSpaceDN/>
        <w:bidi w:val="0"/>
        <w:adjustRightInd w:val="0"/>
        <w:snapToGrid w:val="0"/>
        <w:spacing w:beforeAutospacing="0" w:afterAutospacing="0" w:line="570" w:lineRule="exact"/>
        <w:ind w:left="0" w:leftChars="0"/>
        <w:textAlignment w:val="baseline"/>
        <w:rPr>
          <w:rFonts w:hint="eastAsia" w:ascii="仿宋_GB2312" w:hAnsi="仿宋_GB2312" w:eastAsia="仿宋_GB2312" w:cs="仿宋_GB2312"/>
        </w:rPr>
      </w:pPr>
      <w:r>
        <w:rPr>
          <w:rFonts w:hint="eastAsia" w:ascii="仿宋_GB2312" w:hAnsi="仿宋_GB2312" w:eastAsia="仿宋_GB2312" w:cs="仿宋_GB2312"/>
        </w:rPr>
        <w:t>（一）除标准特别指出之外，计算得分</w:t>
      </w:r>
      <w:r>
        <w:rPr>
          <w:rFonts w:hint="eastAsia" w:ascii="仿宋_GB2312" w:hAnsi="仿宋_GB2312" w:eastAsia="仿宋_GB2312" w:cs="仿宋_GB2312"/>
          <w:sz w:val="28"/>
          <w:szCs w:val="28"/>
          <w:vertAlign w:val="superscript"/>
        </w:rPr>
        <w:t>[1]</w:t>
      </w:r>
      <w:r>
        <w:rPr>
          <w:rFonts w:hint="eastAsia" w:ascii="仿宋_GB2312" w:hAnsi="仿宋_GB2312" w:eastAsia="仿宋_GB2312" w:cs="仿宋_GB2312"/>
        </w:rPr>
        <w:t>采用上一年的资料和数据进行评价。</w:t>
      </w:r>
    </w:p>
    <w:p>
      <w:pPr>
        <w:keepNext w:val="0"/>
        <w:keepLines w:val="0"/>
        <w:pageBreakBefore w:val="0"/>
        <w:widowControl w:val="0"/>
        <w:kinsoku/>
        <w:wordWrap w:val="0"/>
        <w:overflowPunct w:val="0"/>
        <w:topLinePunct/>
        <w:autoSpaceDE/>
        <w:autoSpaceDN/>
        <w:bidi w:val="0"/>
        <w:adjustRightInd w:val="0"/>
        <w:snapToGrid w:val="0"/>
        <w:spacing w:beforeAutospacing="0" w:afterAutospacing="0" w:line="570" w:lineRule="exact"/>
        <w:ind w:left="0" w:leftChars="0"/>
        <w:textAlignment w:val="baseline"/>
        <w:rPr>
          <w:rFonts w:hint="eastAsia" w:ascii="仿宋_GB2312" w:hAnsi="仿宋_GB2312" w:eastAsia="仿宋_GB2312" w:cs="仿宋_GB2312"/>
        </w:rPr>
      </w:pPr>
      <w:r>
        <w:rPr>
          <w:rFonts w:hint="eastAsia" w:ascii="仿宋_GB2312" w:hAnsi="仿宋_GB2312" w:eastAsia="仿宋_GB2312" w:cs="仿宋_GB2312"/>
        </w:rPr>
        <w:t>（二）发现同一问题，涉及多个评价指标扣分项的，不重复扣分。</w:t>
      </w:r>
    </w:p>
    <w:p>
      <w:pPr>
        <w:keepNext w:val="0"/>
        <w:keepLines w:val="0"/>
        <w:pageBreakBefore w:val="0"/>
        <w:widowControl w:val="0"/>
        <w:kinsoku/>
        <w:wordWrap w:val="0"/>
        <w:overflowPunct w:val="0"/>
        <w:topLinePunct/>
        <w:autoSpaceDE/>
        <w:autoSpaceDN/>
        <w:bidi w:val="0"/>
        <w:adjustRightInd w:val="0"/>
        <w:snapToGrid w:val="0"/>
        <w:spacing w:beforeAutospacing="0" w:afterAutospacing="0" w:line="570" w:lineRule="exact"/>
        <w:ind w:left="0" w:leftChars="0"/>
        <w:textAlignment w:val="baseline"/>
        <w:rPr>
          <w:rFonts w:hint="eastAsia" w:ascii="仿宋_GB2312" w:hAnsi="仿宋_GB2312" w:eastAsia="仿宋_GB2312" w:cs="仿宋_GB2312"/>
        </w:rPr>
      </w:pPr>
      <w:r>
        <w:rPr>
          <w:rFonts w:hint="eastAsia" w:ascii="仿宋_GB2312" w:hAnsi="仿宋_GB2312" w:eastAsia="仿宋_GB2312" w:cs="仿宋_GB2312"/>
        </w:rPr>
        <w:t>（三）总分85分及以上者认定为达到节水型社会标准要求。</w:t>
      </w:r>
    </w:p>
    <w:p>
      <w:pPr>
        <w:keepNext w:val="0"/>
        <w:keepLines w:val="0"/>
        <w:pageBreakBefore w:val="0"/>
        <w:widowControl w:val="0"/>
        <w:kinsoku/>
        <w:wordWrap w:val="0"/>
        <w:overflowPunct w:val="0"/>
        <w:topLinePunct/>
        <w:autoSpaceDE/>
        <w:autoSpaceDN/>
        <w:bidi w:val="0"/>
        <w:adjustRightInd w:val="0"/>
        <w:snapToGrid w:val="0"/>
        <w:spacing w:beforeAutospacing="0" w:afterAutospacing="0" w:line="570" w:lineRule="exact"/>
        <w:ind w:left="0" w:leftChars="0"/>
        <w:textAlignment w:val="baseline"/>
        <w:rPr>
          <w:rFonts w:hint="eastAsia" w:ascii="仿宋_GB2312" w:hAnsi="仿宋_GB2312" w:eastAsia="仿宋_GB2312" w:cs="仿宋_GB2312"/>
        </w:rPr>
        <w:sectPr>
          <w:headerReference r:id="rId5" w:type="default"/>
          <w:footerReference r:id="rId6" w:type="default"/>
          <w:pgSz w:w="11906" w:h="16838"/>
          <w:pgMar w:top="2098" w:right="1474" w:bottom="1984" w:left="1587" w:header="851" w:footer="1417" w:gutter="0"/>
          <w:pgNumType w:fmt="decimal"/>
          <w:cols w:space="720" w:num="1"/>
          <w:docGrid w:type="lines" w:linePitch="312" w:charSpace="0"/>
        </w:sectPr>
      </w:pPr>
    </w:p>
    <w:p>
      <w:pPr>
        <w:ind w:firstLine="0" w:firstLineChars="0"/>
        <w:jc w:val="center"/>
      </w:pPr>
      <w:r>
        <w:rPr>
          <w:rFonts w:hint="eastAsia" w:ascii="方正小标宋简体" w:hAnsi="方正小标宋简体" w:eastAsia="方正小标宋简体" w:cs="方正小标宋简体"/>
        </w:rPr>
        <w:t>节水型社会评价赋分表</w:t>
      </w:r>
    </w:p>
    <w:tbl>
      <w:tblPr>
        <w:tblStyle w:val="15"/>
        <w:tblW w:w="13556" w:type="dxa"/>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28" w:type="dxa"/>
          <w:bottom w:w="0" w:type="dxa"/>
          <w:right w:w="28" w:type="dxa"/>
        </w:tblCellMar>
      </w:tblPr>
      <w:tblGrid>
        <w:gridCol w:w="616"/>
        <w:gridCol w:w="1039"/>
        <w:gridCol w:w="3834"/>
        <w:gridCol w:w="7292"/>
        <w:gridCol w:w="7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 w:hRule="atLeast"/>
          <w:jc w:val="right"/>
        </w:trPr>
        <w:tc>
          <w:tcPr>
            <w:tcW w:w="616" w:type="dxa"/>
            <w:vAlign w:val="center"/>
          </w:tcPr>
          <w:p>
            <w:pPr>
              <w:pStyle w:val="13"/>
              <w:rPr>
                <w:rFonts w:hint="eastAsia" w:ascii="黑体" w:hAnsi="黑体" w:eastAsia="黑体" w:cs="黑体"/>
                <w:b w:val="0"/>
                <w:bCs w:val="0"/>
              </w:rPr>
            </w:pPr>
            <w:r>
              <w:rPr>
                <w:rFonts w:hint="eastAsia" w:ascii="黑体" w:hAnsi="黑体" w:eastAsia="黑体" w:cs="黑体"/>
                <w:b w:val="0"/>
                <w:bCs w:val="0"/>
              </w:rPr>
              <w:t>序号</w:t>
            </w:r>
          </w:p>
        </w:tc>
        <w:tc>
          <w:tcPr>
            <w:tcW w:w="1039" w:type="dxa"/>
            <w:vAlign w:val="center"/>
          </w:tcPr>
          <w:p>
            <w:pPr>
              <w:pStyle w:val="13"/>
              <w:rPr>
                <w:rFonts w:hint="eastAsia" w:ascii="黑体" w:hAnsi="黑体" w:eastAsia="黑体" w:cs="黑体"/>
                <w:b w:val="0"/>
                <w:bCs w:val="0"/>
              </w:rPr>
            </w:pPr>
            <w:r>
              <w:rPr>
                <w:rFonts w:hint="eastAsia" w:ascii="黑体" w:hAnsi="黑体" w:eastAsia="黑体" w:cs="黑体"/>
                <w:b w:val="0"/>
                <w:bCs w:val="0"/>
              </w:rPr>
              <w:t>评价指标</w:t>
            </w:r>
          </w:p>
        </w:tc>
        <w:tc>
          <w:tcPr>
            <w:tcW w:w="3834" w:type="dxa"/>
            <w:vAlign w:val="center"/>
          </w:tcPr>
          <w:p>
            <w:pPr>
              <w:pStyle w:val="13"/>
              <w:rPr>
                <w:rFonts w:hint="eastAsia" w:ascii="黑体" w:hAnsi="黑体" w:eastAsia="黑体" w:cs="黑体"/>
                <w:b w:val="0"/>
                <w:bCs w:val="0"/>
              </w:rPr>
            </w:pPr>
            <w:r>
              <w:rPr>
                <w:rFonts w:hint="eastAsia" w:ascii="黑体" w:hAnsi="黑体" w:eastAsia="黑体" w:cs="黑体"/>
                <w:b w:val="0"/>
                <w:bCs w:val="0"/>
              </w:rPr>
              <w:t>评价内容</w:t>
            </w:r>
          </w:p>
        </w:tc>
        <w:tc>
          <w:tcPr>
            <w:tcW w:w="7292" w:type="dxa"/>
            <w:vAlign w:val="center"/>
          </w:tcPr>
          <w:p>
            <w:pPr>
              <w:pStyle w:val="13"/>
              <w:rPr>
                <w:rFonts w:hint="eastAsia" w:ascii="黑体" w:hAnsi="黑体" w:eastAsia="黑体" w:cs="黑体"/>
                <w:b w:val="0"/>
                <w:bCs w:val="0"/>
              </w:rPr>
            </w:pPr>
            <w:r>
              <w:rPr>
                <w:rFonts w:hint="eastAsia" w:ascii="黑体" w:hAnsi="黑体" w:eastAsia="黑体" w:cs="黑体"/>
                <w:b w:val="0"/>
                <w:bCs w:val="0"/>
              </w:rPr>
              <w:t>赋分标准</w:t>
            </w:r>
          </w:p>
        </w:tc>
        <w:tc>
          <w:tcPr>
            <w:tcW w:w="775" w:type="dxa"/>
            <w:vAlign w:val="center"/>
          </w:tcPr>
          <w:p>
            <w:pPr>
              <w:pStyle w:val="13"/>
              <w:rPr>
                <w:rFonts w:hint="eastAsia" w:ascii="黑体" w:hAnsi="黑体" w:eastAsia="黑体" w:cs="黑体"/>
                <w:b w:val="0"/>
                <w:bCs w:val="0"/>
              </w:rPr>
            </w:pPr>
            <w:r>
              <w:rPr>
                <w:rFonts w:hint="eastAsia" w:ascii="黑体" w:hAnsi="黑体" w:eastAsia="黑体" w:cs="黑体"/>
                <w:b w:val="0"/>
                <w:bCs w:val="0"/>
              </w:rPr>
              <w:t>标准分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 w:hRule="atLeast"/>
          <w:jc w:val="right"/>
        </w:trPr>
        <w:tc>
          <w:tcPr>
            <w:tcW w:w="616"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1</w:t>
            </w:r>
          </w:p>
        </w:tc>
        <w:tc>
          <w:tcPr>
            <w:tcW w:w="1039" w:type="dxa"/>
            <w:vAlign w:val="center"/>
          </w:tcPr>
          <w:p>
            <w:pPr>
              <w:pStyle w:val="13"/>
              <w:rPr>
                <w:rFonts w:hint="eastAsia" w:ascii="仿宋_GB2312" w:hAnsi="仿宋_GB2312" w:eastAsia="仿宋_GB2312" w:cs="仿宋_GB2312"/>
              </w:rPr>
            </w:pPr>
            <w:bookmarkStart w:id="0" w:name="_Hlk86326214"/>
            <w:r>
              <w:rPr>
                <w:rFonts w:hint="eastAsia" w:ascii="仿宋_GB2312" w:hAnsi="仿宋_GB2312" w:eastAsia="仿宋_GB2312" w:cs="仿宋_GB2312"/>
              </w:rPr>
              <w:t>用水定额</w:t>
            </w:r>
            <w:bookmarkEnd w:id="0"/>
            <w:r>
              <w:rPr>
                <w:rFonts w:hint="eastAsia" w:ascii="仿宋_GB2312" w:hAnsi="仿宋_GB2312" w:eastAsia="仿宋_GB2312" w:cs="仿宋_GB2312"/>
              </w:rPr>
              <w:t>管理</w:t>
            </w:r>
          </w:p>
        </w:tc>
        <w:tc>
          <w:tcPr>
            <w:tcW w:w="3834"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严格各行业用水定额管理，强化定额使用</w:t>
            </w:r>
          </w:p>
        </w:tc>
        <w:tc>
          <w:tcPr>
            <w:tcW w:w="72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在水资源论证、节水评价、取水许可、计划用水、节水载体认定等工作中符合用水定额管理规定的，得8分；</w:t>
            </w:r>
          </w:p>
          <w:p>
            <w:pPr>
              <w:pStyle w:val="13"/>
              <w:rPr>
                <w:rFonts w:hint="eastAsia" w:ascii="仿宋_GB2312" w:hAnsi="仿宋_GB2312" w:eastAsia="仿宋_GB2312" w:cs="仿宋_GB2312"/>
              </w:rPr>
            </w:pPr>
            <w:r>
              <w:rPr>
                <w:rFonts w:hint="eastAsia" w:ascii="仿宋_GB2312" w:hAnsi="仿宋_GB2312" w:eastAsia="仿宋_GB2312" w:cs="仿宋_GB2312"/>
              </w:rPr>
              <w:t>发现（指在复核评估、评价年监督检查中发现，下同）一例不符合用水定额管理规定的，扣1分，扣完为止</w:t>
            </w:r>
          </w:p>
        </w:tc>
        <w:tc>
          <w:tcPr>
            <w:tcW w:w="775"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 w:hRule="atLeast"/>
          <w:jc w:val="right"/>
        </w:trPr>
        <w:tc>
          <w:tcPr>
            <w:tcW w:w="616"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2</w:t>
            </w:r>
          </w:p>
        </w:tc>
        <w:tc>
          <w:tcPr>
            <w:tcW w:w="1039"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计划用水管理</w:t>
            </w:r>
          </w:p>
        </w:tc>
        <w:tc>
          <w:tcPr>
            <w:tcW w:w="3834"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严格计划用水管理，推动计划用水管理全覆盖</w:t>
            </w:r>
          </w:p>
        </w:tc>
        <w:tc>
          <w:tcPr>
            <w:tcW w:w="72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纳入计划用水管理的用水单位数量占应纳入计划用水管理的用水单位数量比例达到100%，得8分；每低2%，扣1分，扣完为止；</w:t>
            </w:r>
          </w:p>
          <w:p>
            <w:pPr>
              <w:pStyle w:val="13"/>
              <w:rPr>
                <w:rFonts w:hint="eastAsia" w:ascii="仿宋_GB2312" w:hAnsi="仿宋_GB2312" w:eastAsia="仿宋_GB2312" w:cs="仿宋_GB2312"/>
              </w:rPr>
            </w:pPr>
            <w:r>
              <w:rPr>
                <w:rFonts w:hint="eastAsia" w:ascii="仿宋_GB2312" w:hAnsi="仿宋_GB2312" w:eastAsia="仿宋_GB2312" w:cs="仿宋_GB2312"/>
              </w:rPr>
              <w:t>发现一例计划用水管理不规范的，扣1分，扣完为止</w:t>
            </w:r>
          </w:p>
        </w:tc>
        <w:tc>
          <w:tcPr>
            <w:tcW w:w="775"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 w:hRule="atLeast"/>
          <w:jc w:val="right"/>
        </w:trPr>
        <w:tc>
          <w:tcPr>
            <w:tcW w:w="616" w:type="dxa"/>
            <w:tcBorders>
              <w:bottom w:val="single" w:color="auto" w:sz="4" w:space="0"/>
            </w:tcBorders>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3</w:t>
            </w:r>
          </w:p>
        </w:tc>
        <w:tc>
          <w:tcPr>
            <w:tcW w:w="1039" w:type="dxa"/>
            <w:tcBorders>
              <w:bottom w:val="single" w:color="auto" w:sz="4" w:space="0"/>
            </w:tcBorders>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用水计量</w:t>
            </w:r>
          </w:p>
        </w:tc>
        <w:tc>
          <w:tcPr>
            <w:tcW w:w="3834"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完善农业灌溉用水监测计量体系</w:t>
            </w:r>
          </w:p>
        </w:tc>
        <w:tc>
          <w:tcPr>
            <w:tcW w:w="72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北方地区[3]：农业灌溉用水计量率[4]≥80%，得4分；每低3%，扣1分，扣完为止；</w:t>
            </w:r>
          </w:p>
          <w:p>
            <w:pPr>
              <w:pStyle w:val="13"/>
              <w:rPr>
                <w:rFonts w:hint="eastAsia" w:ascii="仿宋_GB2312" w:hAnsi="仿宋_GB2312" w:eastAsia="仿宋_GB2312" w:cs="仿宋_GB2312"/>
              </w:rPr>
            </w:pPr>
            <w:r>
              <w:rPr>
                <w:rFonts w:hint="eastAsia" w:ascii="仿宋_GB2312" w:hAnsi="仿宋_GB2312" w:eastAsia="仿宋_GB2312" w:cs="仿宋_GB2312"/>
              </w:rPr>
              <w:t>南方地区[3]：农业灌溉用水计量率≥60%，得4分；每低3%，扣1分，扣完为止；</w:t>
            </w:r>
          </w:p>
          <w:p>
            <w:pPr>
              <w:pStyle w:val="13"/>
              <w:rPr>
                <w:rFonts w:hint="eastAsia" w:ascii="仿宋_GB2312" w:hAnsi="仿宋_GB2312" w:eastAsia="仿宋_GB2312" w:cs="仿宋_GB2312"/>
              </w:rPr>
            </w:pPr>
            <w:r>
              <w:rPr>
                <w:rFonts w:hint="eastAsia" w:ascii="仿宋_GB2312" w:hAnsi="仿宋_GB2312" w:eastAsia="仿宋_GB2312" w:cs="仿宋_GB2312"/>
              </w:rPr>
              <w:t>发现大中型灌区渠首和干支渠口门没有实现取水计量的，每处灌区扣1分，扣完为止；</w:t>
            </w:r>
          </w:p>
          <w:p>
            <w:pPr>
              <w:pStyle w:val="13"/>
              <w:rPr>
                <w:rFonts w:hint="eastAsia" w:ascii="仿宋_GB2312" w:hAnsi="仿宋_GB2312" w:eastAsia="仿宋_GB2312" w:cs="仿宋_GB2312"/>
              </w:rPr>
            </w:pPr>
            <w:r>
              <w:rPr>
                <w:rFonts w:hint="eastAsia" w:ascii="仿宋_GB2312" w:hAnsi="仿宋_GB2312" w:eastAsia="仿宋_GB2312" w:cs="仿宋_GB2312"/>
              </w:rPr>
              <w:t>发现有5万亩以上的大中型灌区渠首取水口未实现在线计量的，每处灌区扣1分，扣完为止</w:t>
            </w:r>
          </w:p>
        </w:tc>
        <w:tc>
          <w:tcPr>
            <w:tcW w:w="775"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 w:hRule="atLeast"/>
          <w:jc w:val="right"/>
        </w:trPr>
        <w:tc>
          <w:tcPr>
            <w:tcW w:w="616" w:type="dxa"/>
            <w:tcBorders>
              <w:top w:val="single" w:color="auto" w:sz="4" w:space="0"/>
              <w:bottom w:val="nil"/>
            </w:tcBorders>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3</w:t>
            </w:r>
          </w:p>
        </w:tc>
        <w:tc>
          <w:tcPr>
            <w:tcW w:w="1039" w:type="dxa"/>
            <w:tcBorders>
              <w:top w:val="single" w:color="auto" w:sz="4" w:space="0"/>
              <w:bottom w:val="nil"/>
            </w:tcBorders>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用水计量</w:t>
            </w:r>
          </w:p>
        </w:tc>
        <w:tc>
          <w:tcPr>
            <w:tcW w:w="3834" w:type="dxa"/>
            <w:tcBorders>
              <w:bottom w:val="nil"/>
            </w:tcBorders>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完善工业用水监测计量体系</w:t>
            </w:r>
          </w:p>
        </w:tc>
        <w:tc>
          <w:tcPr>
            <w:tcW w:w="7292" w:type="dxa"/>
            <w:tcBorders>
              <w:bottom w:val="nil"/>
            </w:tcBorders>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工业用水计量率[5]为100%，得4分；每低2%，扣1分，扣完为止；</w:t>
            </w:r>
          </w:p>
          <w:p>
            <w:pPr>
              <w:pStyle w:val="13"/>
              <w:rPr>
                <w:rFonts w:hint="eastAsia" w:ascii="仿宋_GB2312" w:hAnsi="仿宋_GB2312" w:eastAsia="仿宋_GB2312" w:cs="仿宋_GB2312"/>
              </w:rPr>
            </w:pPr>
            <w:r>
              <w:rPr>
                <w:rFonts w:hint="eastAsia" w:ascii="仿宋_GB2312" w:hAnsi="仿宋_GB2312" w:eastAsia="仿宋_GB2312" w:cs="仿宋_GB2312"/>
              </w:rPr>
              <w:t>发现一例工业用水计量不符合要求的，扣1分，扣完为止；</w:t>
            </w:r>
          </w:p>
          <w:p>
            <w:pPr>
              <w:pStyle w:val="13"/>
              <w:rPr>
                <w:rFonts w:hint="eastAsia" w:ascii="仿宋_GB2312" w:hAnsi="仿宋_GB2312" w:eastAsia="仿宋_GB2312" w:cs="仿宋_GB2312"/>
              </w:rPr>
            </w:pPr>
            <w:r>
              <w:rPr>
                <w:rFonts w:hint="eastAsia" w:ascii="仿宋_GB2312" w:hAnsi="仿宋_GB2312" w:eastAsia="仿宋_GB2312" w:cs="仿宋_GB2312"/>
              </w:rPr>
              <w:t>发现有国家、省、市三级重点监控工业企业用水户用水计量率未达到100%的，本项不得分</w:t>
            </w:r>
          </w:p>
        </w:tc>
        <w:tc>
          <w:tcPr>
            <w:tcW w:w="775" w:type="dxa"/>
            <w:tcBorders>
              <w:bottom w:val="nil"/>
            </w:tcBorders>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 w:hRule="atLeast"/>
          <w:jc w:val="right"/>
        </w:trPr>
        <w:tc>
          <w:tcPr>
            <w:tcW w:w="616"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4</w:t>
            </w:r>
          </w:p>
        </w:tc>
        <w:tc>
          <w:tcPr>
            <w:tcW w:w="1039"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水价机制</w:t>
            </w:r>
          </w:p>
          <w:p>
            <w:pPr>
              <w:pStyle w:val="13"/>
              <w:rPr>
                <w:rFonts w:hint="eastAsia" w:ascii="仿宋_GB2312" w:hAnsi="仿宋_GB2312" w:eastAsia="仿宋_GB2312" w:cs="仿宋_GB2312"/>
              </w:rPr>
            </w:pPr>
          </w:p>
        </w:tc>
        <w:tc>
          <w:tcPr>
            <w:tcW w:w="3834"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推进农业水价综合改革，建立健全农业水价形成机制和农业用水精准补贴机制</w:t>
            </w:r>
          </w:p>
        </w:tc>
        <w:tc>
          <w:tcPr>
            <w:tcW w:w="72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农业水价综合改革实际实施面积[6]占全县灌溉面积比例达到80%的，得2分；每低1%，扣0.1分，扣完为止；</w:t>
            </w:r>
          </w:p>
          <w:p>
            <w:pPr>
              <w:pStyle w:val="13"/>
              <w:rPr>
                <w:rFonts w:hint="eastAsia" w:ascii="仿宋_GB2312" w:hAnsi="仿宋_GB2312" w:eastAsia="仿宋_GB2312" w:cs="仿宋_GB2312"/>
              </w:rPr>
            </w:pPr>
            <w:r>
              <w:rPr>
                <w:rFonts w:hint="eastAsia" w:ascii="仿宋_GB2312" w:hAnsi="仿宋_GB2312" w:eastAsia="仿宋_GB2312" w:cs="仿宋_GB2312"/>
              </w:rPr>
              <w:t>印发农业水价综合改革精准补贴办法的，得1分；</w:t>
            </w:r>
          </w:p>
          <w:p>
            <w:pPr>
              <w:pStyle w:val="13"/>
              <w:rPr>
                <w:rFonts w:hint="eastAsia" w:ascii="仿宋_GB2312" w:hAnsi="仿宋_GB2312" w:eastAsia="仿宋_GB2312" w:cs="仿宋_GB2312"/>
              </w:rPr>
            </w:pPr>
            <w:r>
              <w:rPr>
                <w:rFonts w:hint="eastAsia" w:ascii="仿宋_GB2312" w:hAnsi="仿宋_GB2312" w:eastAsia="仿宋_GB2312" w:cs="仿宋_GB2312"/>
              </w:rPr>
              <w:t>财政落实农业水价综合改革精准补贴资金的，得1分</w:t>
            </w:r>
          </w:p>
        </w:tc>
        <w:tc>
          <w:tcPr>
            <w:tcW w:w="775"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4</w:t>
            </w:r>
          </w:p>
        </w:tc>
      </w:tr>
    </w:tbl>
    <w:p>
      <w:pPr>
        <w:pStyle w:val="13"/>
        <w:ind w:firstLine="0" w:firstLineChars="0"/>
        <w:rPr>
          <w:rFonts w:hint="eastAsia" w:ascii="黑体" w:hAnsi="黑体" w:eastAsia="黑体" w:cs="黑体"/>
          <w:b w:val="0"/>
          <w:bCs w:val="0"/>
        </w:rPr>
        <w:sectPr>
          <w:headerReference r:id="rId7" w:type="default"/>
          <w:footerReference r:id="rId8" w:type="default"/>
          <w:pgSz w:w="16838" w:h="11906" w:orient="landscape"/>
          <w:pgMar w:top="1797" w:right="1440" w:bottom="1797" w:left="1440" w:header="851" w:footer="992" w:gutter="0"/>
          <w:pgNumType w:fmt="decimal"/>
          <w:cols w:space="720" w:num="1"/>
          <w:docGrid w:type="lines" w:linePitch="312" w:charSpace="0"/>
        </w:sectPr>
      </w:pPr>
    </w:p>
    <w:tbl>
      <w:tblPr>
        <w:tblStyle w:val="15"/>
        <w:tblW w:w="13523" w:type="dxa"/>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28" w:type="dxa"/>
          <w:bottom w:w="0" w:type="dxa"/>
          <w:right w:w="28" w:type="dxa"/>
        </w:tblCellMar>
      </w:tblPr>
      <w:tblGrid>
        <w:gridCol w:w="666"/>
        <w:gridCol w:w="1022"/>
        <w:gridCol w:w="3834"/>
        <w:gridCol w:w="7292"/>
        <w:gridCol w:w="7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 w:hRule="atLeast"/>
          <w:jc w:val="right"/>
        </w:trPr>
        <w:tc>
          <w:tcPr>
            <w:tcW w:w="666" w:type="dxa"/>
            <w:vAlign w:val="center"/>
          </w:tcPr>
          <w:p>
            <w:pPr>
              <w:pStyle w:val="13"/>
              <w:ind w:firstLine="0" w:firstLineChars="0"/>
              <w:rPr>
                <w:rFonts w:hint="eastAsia" w:ascii="黑体" w:hAnsi="黑体" w:eastAsia="黑体" w:cs="黑体"/>
                <w:b w:val="0"/>
                <w:bCs w:val="0"/>
                <w:snapToGrid/>
                <w:spacing w:val="0"/>
                <w:kern w:val="2"/>
                <w:sz w:val="21"/>
                <w:szCs w:val="21"/>
                <w:lang w:val="en-US" w:eastAsia="zh-CN" w:bidi="ar-SA"/>
              </w:rPr>
            </w:pPr>
            <w:r>
              <w:rPr>
                <w:rFonts w:hint="eastAsia" w:ascii="黑体" w:hAnsi="黑体" w:eastAsia="黑体" w:cs="黑体"/>
                <w:b w:val="0"/>
                <w:bCs w:val="0"/>
              </w:rPr>
              <w:t>序号</w:t>
            </w:r>
          </w:p>
        </w:tc>
        <w:tc>
          <w:tcPr>
            <w:tcW w:w="1022" w:type="dxa"/>
            <w:vAlign w:val="center"/>
          </w:tcPr>
          <w:p>
            <w:pPr>
              <w:pStyle w:val="13"/>
              <w:ind w:firstLine="0" w:firstLineChars="0"/>
              <w:rPr>
                <w:rFonts w:hint="eastAsia" w:ascii="黑体" w:hAnsi="黑体" w:eastAsia="黑体" w:cs="黑体"/>
                <w:b w:val="0"/>
                <w:bCs w:val="0"/>
                <w:snapToGrid/>
                <w:spacing w:val="0"/>
                <w:kern w:val="2"/>
                <w:sz w:val="21"/>
                <w:szCs w:val="21"/>
                <w:lang w:val="en-US" w:eastAsia="zh-CN" w:bidi="ar-SA"/>
              </w:rPr>
            </w:pPr>
            <w:r>
              <w:rPr>
                <w:rFonts w:hint="eastAsia" w:ascii="黑体" w:hAnsi="黑体" w:eastAsia="黑体" w:cs="黑体"/>
                <w:b w:val="0"/>
                <w:bCs w:val="0"/>
              </w:rPr>
              <w:t>评价指标</w:t>
            </w:r>
          </w:p>
        </w:tc>
        <w:tc>
          <w:tcPr>
            <w:tcW w:w="3834" w:type="dxa"/>
            <w:vAlign w:val="center"/>
          </w:tcPr>
          <w:p>
            <w:pPr>
              <w:pStyle w:val="13"/>
              <w:ind w:firstLine="0" w:firstLineChars="0"/>
              <w:rPr>
                <w:rFonts w:hint="eastAsia" w:ascii="黑体" w:hAnsi="黑体" w:eastAsia="黑体" w:cs="黑体"/>
                <w:b w:val="0"/>
                <w:bCs w:val="0"/>
                <w:snapToGrid/>
                <w:spacing w:val="0"/>
                <w:kern w:val="2"/>
                <w:sz w:val="21"/>
                <w:szCs w:val="21"/>
                <w:lang w:val="en-US" w:eastAsia="zh-CN" w:bidi="ar-SA"/>
              </w:rPr>
            </w:pPr>
            <w:r>
              <w:rPr>
                <w:rFonts w:hint="eastAsia" w:ascii="黑体" w:hAnsi="黑体" w:eastAsia="黑体" w:cs="黑体"/>
                <w:b w:val="0"/>
                <w:bCs w:val="0"/>
              </w:rPr>
              <w:t>评价内容</w:t>
            </w:r>
          </w:p>
        </w:tc>
        <w:tc>
          <w:tcPr>
            <w:tcW w:w="7292" w:type="dxa"/>
            <w:vAlign w:val="center"/>
          </w:tcPr>
          <w:p>
            <w:pPr>
              <w:pStyle w:val="13"/>
              <w:ind w:firstLine="0" w:firstLineChars="0"/>
              <w:rPr>
                <w:rFonts w:hint="eastAsia" w:ascii="黑体" w:hAnsi="黑体" w:eastAsia="黑体" w:cs="黑体"/>
                <w:b w:val="0"/>
                <w:bCs w:val="0"/>
                <w:snapToGrid/>
                <w:spacing w:val="0"/>
                <w:kern w:val="2"/>
                <w:sz w:val="21"/>
                <w:szCs w:val="21"/>
                <w:lang w:val="en-US" w:eastAsia="zh-CN" w:bidi="ar-SA"/>
              </w:rPr>
            </w:pPr>
            <w:r>
              <w:rPr>
                <w:rFonts w:hint="eastAsia" w:ascii="黑体" w:hAnsi="黑体" w:eastAsia="黑体" w:cs="黑体"/>
                <w:b w:val="0"/>
                <w:bCs w:val="0"/>
              </w:rPr>
              <w:t>赋分标准</w:t>
            </w:r>
          </w:p>
        </w:tc>
        <w:tc>
          <w:tcPr>
            <w:tcW w:w="709" w:type="dxa"/>
            <w:vAlign w:val="center"/>
          </w:tcPr>
          <w:p>
            <w:pPr>
              <w:pStyle w:val="13"/>
              <w:ind w:firstLine="0" w:firstLineChars="0"/>
              <w:rPr>
                <w:rFonts w:hint="eastAsia" w:ascii="黑体" w:hAnsi="黑体" w:eastAsia="黑体" w:cs="黑体"/>
                <w:b w:val="0"/>
                <w:bCs w:val="0"/>
                <w:snapToGrid/>
                <w:spacing w:val="0"/>
                <w:kern w:val="2"/>
                <w:sz w:val="21"/>
                <w:szCs w:val="21"/>
                <w:lang w:val="en-US" w:eastAsia="zh-CN" w:bidi="ar-SA"/>
              </w:rPr>
            </w:pPr>
            <w:r>
              <w:rPr>
                <w:rFonts w:hint="eastAsia" w:ascii="黑体" w:hAnsi="黑体" w:eastAsia="黑体" w:cs="黑体"/>
                <w:b w:val="0"/>
                <w:bCs w:val="0"/>
              </w:rPr>
              <w:t>标准分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 w:hRule="atLeast"/>
          <w:jc w:val="right"/>
        </w:trPr>
        <w:tc>
          <w:tcPr>
            <w:tcW w:w="666" w:type="dxa"/>
            <w:vMerge w:val="restart"/>
            <w:vAlign w:val="center"/>
          </w:tcPr>
          <w:p>
            <w:pPr>
              <w:pStyle w:val="13"/>
              <w:rPr>
                <w:rFonts w:hint="eastAsia" w:ascii="仿宋_GB2312" w:hAnsi="仿宋_GB2312" w:eastAsia="仿宋_GB2312" w:cs="仿宋_GB2312"/>
              </w:rPr>
            </w:pPr>
          </w:p>
        </w:tc>
        <w:tc>
          <w:tcPr>
            <w:tcW w:w="1022" w:type="dxa"/>
            <w:vMerge w:val="restart"/>
            <w:vAlign w:val="center"/>
          </w:tcPr>
          <w:p>
            <w:pPr>
              <w:pStyle w:val="13"/>
              <w:rPr>
                <w:rFonts w:hint="eastAsia" w:ascii="仿宋_GB2312" w:hAnsi="仿宋_GB2312" w:eastAsia="仿宋_GB2312" w:cs="仿宋_GB2312"/>
              </w:rPr>
            </w:pPr>
          </w:p>
        </w:tc>
        <w:tc>
          <w:tcPr>
            <w:tcW w:w="3834"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实行城镇居民用水阶梯水价制度</w:t>
            </w:r>
          </w:p>
        </w:tc>
        <w:tc>
          <w:tcPr>
            <w:tcW w:w="72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实行城镇居民生活用水阶梯水价制度，得4分；</w:t>
            </w:r>
          </w:p>
          <w:p>
            <w:pPr>
              <w:pStyle w:val="13"/>
              <w:rPr>
                <w:rFonts w:hint="eastAsia" w:ascii="仿宋_GB2312" w:hAnsi="仿宋_GB2312" w:eastAsia="仿宋_GB2312" w:cs="仿宋_GB2312"/>
              </w:rPr>
            </w:pPr>
            <w:r>
              <w:rPr>
                <w:rFonts w:hint="eastAsia" w:ascii="仿宋_GB2312" w:hAnsi="仿宋_GB2312" w:eastAsia="仿宋_GB2312" w:cs="仿宋_GB2312"/>
              </w:rPr>
              <w:t>发现一例制度未有效落实的，扣1分，扣完为止</w:t>
            </w:r>
          </w:p>
        </w:tc>
        <w:tc>
          <w:tcPr>
            <w:tcW w:w="709"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 w:hRule="atLeast"/>
          <w:jc w:val="right"/>
        </w:trPr>
        <w:tc>
          <w:tcPr>
            <w:tcW w:w="666" w:type="dxa"/>
            <w:vMerge w:val="continue"/>
            <w:vAlign w:val="center"/>
          </w:tcPr>
          <w:p>
            <w:pPr>
              <w:pStyle w:val="13"/>
              <w:rPr>
                <w:rFonts w:hint="eastAsia" w:ascii="仿宋_GB2312" w:hAnsi="仿宋_GB2312" w:eastAsia="仿宋_GB2312" w:cs="仿宋_GB2312"/>
              </w:rPr>
            </w:pPr>
          </w:p>
        </w:tc>
        <w:tc>
          <w:tcPr>
            <w:tcW w:w="1022" w:type="dxa"/>
            <w:vMerge w:val="continue"/>
            <w:vAlign w:val="center"/>
          </w:tcPr>
          <w:p>
            <w:pPr>
              <w:pStyle w:val="13"/>
              <w:rPr>
                <w:rFonts w:hint="eastAsia" w:ascii="仿宋_GB2312" w:hAnsi="仿宋_GB2312" w:eastAsia="仿宋_GB2312" w:cs="仿宋_GB2312"/>
              </w:rPr>
            </w:pPr>
          </w:p>
        </w:tc>
        <w:tc>
          <w:tcPr>
            <w:tcW w:w="3834"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推进农村供水工程水费收缴</w:t>
            </w:r>
          </w:p>
        </w:tc>
        <w:tc>
          <w:tcPr>
            <w:tcW w:w="72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农村集中供水工程水费收缴率≥90%，得4分；每低1%，扣0.2分，扣完为止</w:t>
            </w:r>
          </w:p>
        </w:tc>
        <w:tc>
          <w:tcPr>
            <w:tcW w:w="709"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 w:hRule="atLeast"/>
          <w:jc w:val="right"/>
        </w:trPr>
        <w:tc>
          <w:tcPr>
            <w:tcW w:w="666" w:type="dxa"/>
            <w:vMerge w:val="continue"/>
            <w:vAlign w:val="center"/>
          </w:tcPr>
          <w:p>
            <w:pPr>
              <w:pStyle w:val="13"/>
              <w:rPr>
                <w:rFonts w:hint="eastAsia" w:ascii="仿宋_GB2312" w:hAnsi="仿宋_GB2312" w:eastAsia="仿宋_GB2312" w:cs="仿宋_GB2312"/>
              </w:rPr>
            </w:pPr>
          </w:p>
        </w:tc>
        <w:tc>
          <w:tcPr>
            <w:tcW w:w="1022" w:type="dxa"/>
            <w:vMerge w:val="continue"/>
            <w:vAlign w:val="center"/>
          </w:tcPr>
          <w:p>
            <w:pPr>
              <w:pStyle w:val="13"/>
              <w:rPr>
                <w:rFonts w:hint="eastAsia" w:ascii="仿宋_GB2312" w:hAnsi="仿宋_GB2312" w:eastAsia="仿宋_GB2312" w:cs="仿宋_GB2312"/>
              </w:rPr>
            </w:pPr>
          </w:p>
        </w:tc>
        <w:tc>
          <w:tcPr>
            <w:tcW w:w="3834"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实行非居民用水超计划超定额累进加价制度</w:t>
            </w:r>
          </w:p>
        </w:tc>
        <w:tc>
          <w:tcPr>
            <w:tcW w:w="72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实行非居民用水超计划超定额累进加价制度，得4分；</w:t>
            </w:r>
          </w:p>
          <w:p>
            <w:pPr>
              <w:pStyle w:val="13"/>
              <w:rPr>
                <w:rFonts w:hint="eastAsia" w:ascii="仿宋_GB2312" w:hAnsi="仿宋_GB2312" w:eastAsia="仿宋_GB2312" w:cs="仿宋_GB2312"/>
              </w:rPr>
            </w:pPr>
            <w:r>
              <w:rPr>
                <w:rFonts w:hint="eastAsia" w:ascii="仿宋_GB2312" w:hAnsi="仿宋_GB2312" w:eastAsia="仿宋_GB2312" w:cs="仿宋_GB2312"/>
              </w:rPr>
              <w:t>发现一例制度未有效落实的，扣1分，扣完为止</w:t>
            </w:r>
          </w:p>
        </w:tc>
        <w:tc>
          <w:tcPr>
            <w:tcW w:w="709"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 w:hRule="atLeast"/>
          <w:jc w:val="right"/>
        </w:trPr>
        <w:tc>
          <w:tcPr>
            <w:tcW w:w="666" w:type="dxa"/>
            <w:vMerge w:val="continue"/>
            <w:vAlign w:val="center"/>
          </w:tcPr>
          <w:p>
            <w:pPr>
              <w:pStyle w:val="13"/>
              <w:rPr>
                <w:rFonts w:hint="eastAsia" w:ascii="仿宋_GB2312" w:hAnsi="仿宋_GB2312" w:eastAsia="仿宋_GB2312" w:cs="仿宋_GB2312"/>
              </w:rPr>
            </w:pPr>
          </w:p>
        </w:tc>
        <w:tc>
          <w:tcPr>
            <w:tcW w:w="1022" w:type="dxa"/>
            <w:vMerge w:val="continue"/>
            <w:vAlign w:val="center"/>
          </w:tcPr>
          <w:p>
            <w:pPr>
              <w:pStyle w:val="13"/>
              <w:rPr>
                <w:rFonts w:hint="eastAsia" w:ascii="仿宋_GB2312" w:hAnsi="仿宋_GB2312" w:eastAsia="仿宋_GB2312" w:cs="仿宋_GB2312"/>
              </w:rPr>
            </w:pPr>
          </w:p>
        </w:tc>
        <w:tc>
          <w:tcPr>
            <w:tcW w:w="3834"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水资源税（费）征缴</w:t>
            </w:r>
          </w:p>
        </w:tc>
        <w:tc>
          <w:tcPr>
            <w:tcW w:w="72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按标准足额征缴水资源税（费）[7]，得4分；</w:t>
            </w:r>
          </w:p>
          <w:p>
            <w:pPr>
              <w:pStyle w:val="13"/>
              <w:rPr>
                <w:rFonts w:hint="eastAsia" w:ascii="仿宋_GB2312" w:hAnsi="仿宋_GB2312" w:eastAsia="仿宋_GB2312" w:cs="仿宋_GB2312"/>
              </w:rPr>
            </w:pPr>
            <w:r>
              <w:rPr>
                <w:rFonts w:hint="eastAsia" w:ascii="仿宋_GB2312" w:hAnsi="仿宋_GB2312" w:eastAsia="仿宋_GB2312" w:cs="仿宋_GB2312"/>
              </w:rPr>
              <w:t>发现一例未足额征缴，且未采取催缴措施的，扣1分，扣完为止</w:t>
            </w:r>
          </w:p>
        </w:tc>
        <w:tc>
          <w:tcPr>
            <w:tcW w:w="709"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 w:hRule="atLeast"/>
          <w:jc w:val="right"/>
        </w:trPr>
        <w:tc>
          <w:tcPr>
            <w:tcW w:w="666"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5</w:t>
            </w:r>
          </w:p>
        </w:tc>
        <w:tc>
          <w:tcPr>
            <w:tcW w:w="102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节水评价</w:t>
            </w:r>
          </w:p>
        </w:tc>
        <w:tc>
          <w:tcPr>
            <w:tcW w:w="3834"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节水评价制度落实情况</w:t>
            </w:r>
          </w:p>
        </w:tc>
        <w:tc>
          <w:tcPr>
            <w:tcW w:w="72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严格落实节水评价制度，得6分；</w:t>
            </w:r>
          </w:p>
          <w:p>
            <w:pPr>
              <w:pStyle w:val="13"/>
              <w:rPr>
                <w:rFonts w:hint="eastAsia" w:ascii="仿宋_GB2312" w:hAnsi="仿宋_GB2312" w:eastAsia="仿宋_GB2312" w:cs="仿宋_GB2312"/>
              </w:rPr>
            </w:pPr>
            <w:r>
              <w:rPr>
                <w:rFonts w:hint="eastAsia" w:ascii="仿宋_GB2312" w:hAnsi="仿宋_GB2312" w:eastAsia="仿宋_GB2312" w:cs="仿宋_GB2312"/>
              </w:rPr>
              <w:t>发现一例在水资源论证、相关规划编制等工作中节水评价应开展未开展或不符合技术、管理要求的，扣1分，扣完为止</w:t>
            </w:r>
          </w:p>
        </w:tc>
        <w:tc>
          <w:tcPr>
            <w:tcW w:w="709"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 w:hRule="atLeast"/>
          <w:jc w:val="right"/>
        </w:trPr>
        <w:tc>
          <w:tcPr>
            <w:tcW w:w="666"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6</w:t>
            </w:r>
          </w:p>
        </w:tc>
        <w:tc>
          <w:tcPr>
            <w:tcW w:w="102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节水“三同时”管理</w:t>
            </w:r>
          </w:p>
        </w:tc>
        <w:tc>
          <w:tcPr>
            <w:tcW w:w="3834"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新建、扩建、改建建设项目[8]执行节水设施与主体工程同时设计、同时施工、同时投产制度</w:t>
            </w:r>
          </w:p>
        </w:tc>
        <w:tc>
          <w:tcPr>
            <w:tcW w:w="72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新建、扩建、改建建设项目全部执行节水“三同时”管理制度，得6分；</w:t>
            </w:r>
          </w:p>
          <w:p>
            <w:pPr>
              <w:pStyle w:val="13"/>
              <w:rPr>
                <w:rFonts w:hint="eastAsia" w:ascii="仿宋_GB2312" w:hAnsi="仿宋_GB2312" w:eastAsia="仿宋_GB2312" w:cs="仿宋_GB2312"/>
              </w:rPr>
            </w:pPr>
            <w:r>
              <w:rPr>
                <w:rFonts w:hint="eastAsia" w:ascii="仿宋_GB2312" w:hAnsi="仿宋_GB2312" w:eastAsia="仿宋_GB2312" w:cs="仿宋_GB2312"/>
              </w:rPr>
              <w:t>发现一例未落实节水“三同时”管理制度的，扣1分，扣完为止</w:t>
            </w:r>
          </w:p>
        </w:tc>
        <w:tc>
          <w:tcPr>
            <w:tcW w:w="709"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 w:hRule="atLeast"/>
          <w:jc w:val="right"/>
        </w:trPr>
        <w:tc>
          <w:tcPr>
            <w:tcW w:w="666" w:type="dxa"/>
            <w:vMerge w:val="restart"/>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7</w:t>
            </w:r>
          </w:p>
        </w:tc>
        <w:tc>
          <w:tcPr>
            <w:tcW w:w="1022" w:type="dxa"/>
            <w:vMerge w:val="restart"/>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节水载体建设</w:t>
            </w:r>
          </w:p>
        </w:tc>
        <w:tc>
          <w:tcPr>
            <w:tcW w:w="3834"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推进节水型灌区建设</w:t>
            </w:r>
          </w:p>
        </w:tc>
        <w:tc>
          <w:tcPr>
            <w:tcW w:w="72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通过省级复核确认的大中型节水型灌区[9]面积占全县灌溉面积70%以上，得3分；占60%—70%（含）得2分；占50%—60%（含）得1分。其中，一个以上大中型节水型灌区通过水利部复核确认的，加1分</w:t>
            </w:r>
          </w:p>
        </w:tc>
        <w:tc>
          <w:tcPr>
            <w:tcW w:w="709"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 w:hRule="atLeast"/>
          <w:jc w:val="right"/>
        </w:trPr>
        <w:tc>
          <w:tcPr>
            <w:tcW w:w="666" w:type="dxa"/>
            <w:vMerge w:val="continue"/>
            <w:vAlign w:val="center"/>
          </w:tcPr>
          <w:p>
            <w:pPr>
              <w:pStyle w:val="13"/>
              <w:rPr>
                <w:rFonts w:hint="eastAsia" w:ascii="仿宋_GB2312" w:hAnsi="仿宋_GB2312" w:eastAsia="仿宋_GB2312" w:cs="仿宋_GB2312"/>
              </w:rPr>
            </w:pPr>
          </w:p>
        </w:tc>
        <w:tc>
          <w:tcPr>
            <w:tcW w:w="1022" w:type="dxa"/>
            <w:vMerge w:val="continue"/>
            <w:vAlign w:val="center"/>
          </w:tcPr>
          <w:p>
            <w:pPr>
              <w:pStyle w:val="13"/>
              <w:rPr>
                <w:rFonts w:hint="eastAsia" w:ascii="仿宋_GB2312" w:hAnsi="仿宋_GB2312" w:eastAsia="仿宋_GB2312" w:cs="仿宋_GB2312"/>
              </w:rPr>
            </w:pPr>
          </w:p>
        </w:tc>
        <w:tc>
          <w:tcPr>
            <w:tcW w:w="3834"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推进节水型企业建设</w:t>
            </w:r>
          </w:p>
        </w:tc>
        <w:tc>
          <w:tcPr>
            <w:tcW w:w="72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北方地区：重点用水行业节水型企业建成率[10]≥50%，得4分；每低2%，扣1分，扣完为止；</w:t>
            </w:r>
          </w:p>
          <w:p>
            <w:pPr>
              <w:pStyle w:val="13"/>
              <w:rPr>
                <w:rFonts w:hint="eastAsia" w:ascii="仿宋_GB2312" w:hAnsi="仿宋_GB2312" w:eastAsia="仿宋_GB2312" w:cs="仿宋_GB2312"/>
              </w:rPr>
            </w:pPr>
            <w:r>
              <w:rPr>
                <w:rFonts w:hint="eastAsia" w:ascii="仿宋_GB2312" w:hAnsi="仿宋_GB2312" w:eastAsia="仿宋_GB2312" w:cs="仿宋_GB2312"/>
              </w:rPr>
              <w:t>南方地区：重点用水行业节水型企业建成率≥40%，得4分；每低2%，扣1分，扣完为止；</w:t>
            </w:r>
          </w:p>
          <w:p>
            <w:pPr>
              <w:pStyle w:val="13"/>
              <w:rPr>
                <w:rFonts w:hint="eastAsia" w:ascii="仿宋_GB2312" w:hAnsi="仿宋_GB2312" w:eastAsia="仿宋_GB2312" w:cs="仿宋_GB2312"/>
              </w:rPr>
            </w:pPr>
            <w:r>
              <w:rPr>
                <w:rFonts w:hint="eastAsia" w:ascii="仿宋_GB2312" w:hAnsi="仿宋_GB2312" w:eastAsia="仿宋_GB2312" w:cs="仿宋_GB2312"/>
              </w:rPr>
              <w:t>发现一例节水型企业建设不规范，未达到节水型企业相关标准的，扣1分，扣完为止</w:t>
            </w:r>
          </w:p>
        </w:tc>
        <w:tc>
          <w:tcPr>
            <w:tcW w:w="709"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 w:hRule="atLeast"/>
          <w:jc w:val="right"/>
        </w:trPr>
        <w:tc>
          <w:tcPr>
            <w:tcW w:w="666" w:type="dxa"/>
            <w:vMerge w:val="continue"/>
            <w:vAlign w:val="center"/>
          </w:tcPr>
          <w:p>
            <w:pPr>
              <w:pStyle w:val="13"/>
              <w:rPr>
                <w:rFonts w:hint="eastAsia" w:ascii="仿宋_GB2312" w:hAnsi="仿宋_GB2312" w:eastAsia="仿宋_GB2312" w:cs="仿宋_GB2312"/>
              </w:rPr>
            </w:pPr>
          </w:p>
        </w:tc>
        <w:tc>
          <w:tcPr>
            <w:tcW w:w="1022" w:type="dxa"/>
            <w:vMerge w:val="continue"/>
            <w:vAlign w:val="center"/>
          </w:tcPr>
          <w:p>
            <w:pPr>
              <w:pStyle w:val="13"/>
              <w:rPr>
                <w:rFonts w:hint="eastAsia" w:ascii="仿宋_GB2312" w:hAnsi="仿宋_GB2312" w:eastAsia="仿宋_GB2312" w:cs="仿宋_GB2312"/>
              </w:rPr>
            </w:pPr>
          </w:p>
        </w:tc>
        <w:tc>
          <w:tcPr>
            <w:tcW w:w="3834"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推进公共机构节水型单位建设</w:t>
            </w:r>
          </w:p>
        </w:tc>
        <w:tc>
          <w:tcPr>
            <w:tcW w:w="72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公共机构节水型单位建成率[11]≥50%，得4分；每低2%，扣1分，扣完为止；</w:t>
            </w:r>
          </w:p>
          <w:p>
            <w:pPr>
              <w:pStyle w:val="13"/>
              <w:rPr>
                <w:rFonts w:hint="eastAsia" w:ascii="仿宋_GB2312" w:hAnsi="仿宋_GB2312" w:eastAsia="仿宋_GB2312" w:cs="仿宋_GB2312"/>
              </w:rPr>
            </w:pPr>
            <w:r>
              <w:rPr>
                <w:rFonts w:hint="eastAsia" w:ascii="仿宋_GB2312" w:hAnsi="仿宋_GB2312" w:eastAsia="仿宋_GB2312" w:cs="仿宋_GB2312"/>
              </w:rPr>
              <w:t>发现一例公共机构节水型单位建设不规范，未达到公共机构节水型单位相关标准的，扣1分，扣完为止</w:t>
            </w:r>
          </w:p>
        </w:tc>
        <w:tc>
          <w:tcPr>
            <w:tcW w:w="709"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4</w:t>
            </w:r>
          </w:p>
        </w:tc>
      </w:tr>
    </w:tbl>
    <w:p>
      <w:pPr>
        <w:pStyle w:val="13"/>
        <w:ind w:firstLine="0" w:firstLineChars="0"/>
        <w:rPr>
          <w:rFonts w:hint="eastAsia" w:ascii="黑体" w:hAnsi="黑体" w:eastAsia="黑体" w:cs="黑体"/>
          <w:b w:val="0"/>
          <w:bCs w:val="0"/>
        </w:rPr>
        <w:sectPr>
          <w:headerReference r:id="rId9" w:type="default"/>
          <w:footerReference r:id="rId10" w:type="default"/>
          <w:pgSz w:w="16838" w:h="11906" w:orient="landscape"/>
          <w:pgMar w:top="1797" w:right="1440" w:bottom="1797" w:left="1440" w:header="851" w:footer="992" w:gutter="0"/>
          <w:pgNumType w:fmt="decimal"/>
          <w:cols w:space="720" w:num="1"/>
          <w:docGrid w:type="lines" w:linePitch="312" w:charSpace="0"/>
        </w:sectPr>
      </w:pPr>
    </w:p>
    <w:tbl>
      <w:tblPr>
        <w:tblStyle w:val="15"/>
        <w:tblW w:w="13548" w:type="dxa"/>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28" w:type="dxa"/>
          <w:bottom w:w="0" w:type="dxa"/>
          <w:right w:w="28" w:type="dxa"/>
        </w:tblCellMar>
      </w:tblPr>
      <w:tblGrid>
        <w:gridCol w:w="584"/>
        <w:gridCol w:w="1046"/>
        <w:gridCol w:w="3834"/>
        <w:gridCol w:w="7292"/>
        <w:gridCol w:w="7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 w:hRule="atLeast"/>
          <w:jc w:val="right"/>
        </w:trPr>
        <w:tc>
          <w:tcPr>
            <w:tcW w:w="584" w:type="dxa"/>
            <w:vAlign w:val="center"/>
          </w:tcPr>
          <w:p>
            <w:pPr>
              <w:pStyle w:val="13"/>
              <w:ind w:firstLine="0" w:firstLineChars="0"/>
              <w:rPr>
                <w:rFonts w:hint="eastAsia" w:ascii="黑体" w:hAnsi="黑体" w:eastAsia="黑体" w:cs="黑体"/>
                <w:b w:val="0"/>
                <w:bCs w:val="0"/>
                <w:snapToGrid/>
                <w:spacing w:val="0"/>
                <w:kern w:val="2"/>
                <w:sz w:val="21"/>
                <w:szCs w:val="21"/>
                <w:lang w:val="en-US" w:eastAsia="zh-CN" w:bidi="ar-SA"/>
              </w:rPr>
            </w:pPr>
            <w:r>
              <w:rPr>
                <w:rFonts w:hint="eastAsia" w:ascii="黑体" w:hAnsi="黑体" w:eastAsia="黑体" w:cs="黑体"/>
                <w:b w:val="0"/>
                <w:bCs w:val="0"/>
              </w:rPr>
              <w:t>序号</w:t>
            </w:r>
          </w:p>
        </w:tc>
        <w:tc>
          <w:tcPr>
            <w:tcW w:w="1046" w:type="dxa"/>
            <w:vAlign w:val="center"/>
          </w:tcPr>
          <w:p>
            <w:pPr>
              <w:pStyle w:val="13"/>
              <w:ind w:firstLine="0" w:firstLineChars="0"/>
              <w:rPr>
                <w:rFonts w:hint="eastAsia" w:ascii="黑体" w:hAnsi="黑体" w:eastAsia="黑体" w:cs="黑体"/>
                <w:b w:val="0"/>
                <w:bCs w:val="0"/>
                <w:snapToGrid/>
                <w:spacing w:val="0"/>
                <w:kern w:val="2"/>
                <w:sz w:val="21"/>
                <w:szCs w:val="21"/>
                <w:lang w:val="en-US" w:eastAsia="zh-CN" w:bidi="ar-SA"/>
              </w:rPr>
            </w:pPr>
            <w:r>
              <w:rPr>
                <w:rFonts w:hint="eastAsia" w:ascii="黑体" w:hAnsi="黑体" w:eastAsia="黑体" w:cs="黑体"/>
                <w:b w:val="0"/>
                <w:bCs w:val="0"/>
              </w:rPr>
              <w:t>评价指标</w:t>
            </w:r>
          </w:p>
        </w:tc>
        <w:tc>
          <w:tcPr>
            <w:tcW w:w="3834" w:type="dxa"/>
            <w:vAlign w:val="center"/>
          </w:tcPr>
          <w:p>
            <w:pPr>
              <w:pStyle w:val="13"/>
              <w:ind w:firstLine="0" w:firstLineChars="0"/>
              <w:rPr>
                <w:rFonts w:hint="eastAsia" w:ascii="黑体" w:hAnsi="黑体" w:eastAsia="黑体" w:cs="黑体"/>
                <w:b w:val="0"/>
                <w:bCs w:val="0"/>
                <w:snapToGrid/>
                <w:spacing w:val="0"/>
                <w:kern w:val="2"/>
                <w:sz w:val="21"/>
                <w:szCs w:val="21"/>
                <w:lang w:val="en-US" w:eastAsia="zh-CN" w:bidi="ar-SA"/>
              </w:rPr>
            </w:pPr>
            <w:r>
              <w:rPr>
                <w:rFonts w:hint="eastAsia" w:ascii="黑体" w:hAnsi="黑体" w:eastAsia="黑体" w:cs="黑体"/>
                <w:b w:val="0"/>
                <w:bCs w:val="0"/>
              </w:rPr>
              <w:t>评价内容</w:t>
            </w:r>
          </w:p>
        </w:tc>
        <w:tc>
          <w:tcPr>
            <w:tcW w:w="7292" w:type="dxa"/>
            <w:vAlign w:val="center"/>
          </w:tcPr>
          <w:p>
            <w:pPr>
              <w:pStyle w:val="13"/>
              <w:ind w:firstLine="0" w:firstLineChars="0"/>
              <w:rPr>
                <w:rFonts w:hint="eastAsia" w:ascii="黑体" w:hAnsi="黑体" w:eastAsia="黑体" w:cs="黑体"/>
                <w:b w:val="0"/>
                <w:bCs w:val="0"/>
                <w:snapToGrid/>
                <w:spacing w:val="0"/>
                <w:kern w:val="2"/>
                <w:sz w:val="21"/>
                <w:szCs w:val="21"/>
                <w:lang w:val="en-US" w:eastAsia="zh-CN" w:bidi="ar-SA"/>
              </w:rPr>
            </w:pPr>
            <w:r>
              <w:rPr>
                <w:rFonts w:hint="eastAsia" w:ascii="黑体" w:hAnsi="黑体" w:eastAsia="黑体" w:cs="黑体"/>
                <w:b w:val="0"/>
                <w:bCs w:val="0"/>
              </w:rPr>
              <w:t>赋分标准</w:t>
            </w:r>
          </w:p>
        </w:tc>
        <w:tc>
          <w:tcPr>
            <w:tcW w:w="792" w:type="dxa"/>
            <w:vAlign w:val="center"/>
          </w:tcPr>
          <w:p>
            <w:pPr>
              <w:pStyle w:val="13"/>
              <w:ind w:firstLine="0" w:firstLineChars="0"/>
              <w:rPr>
                <w:rFonts w:hint="eastAsia" w:ascii="黑体" w:hAnsi="黑体" w:eastAsia="黑体" w:cs="黑体"/>
                <w:b w:val="0"/>
                <w:bCs w:val="0"/>
                <w:snapToGrid/>
                <w:spacing w:val="0"/>
                <w:kern w:val="2"/>
                <w:sz w:val="21"/>
                <w:szCs w:val="21"/>
                <w:lang w:val="en-US" w:eastAsia="zh-CN" w:bidi="ar-SA"/>
              </w:rPr>
            </w:pPr>
            <w:r>
              <w:rPr>
                <w:rFonts w:hint="eastAsia" w:ascii="黑体" w:hAnsi="黑体" w:eastAsia="黑体" w:cs="黑体"/>
                <w:b w:val="0"/>
                <w:bCs w:val="0"/>
              </w:rPr>
              <w:t>标准分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 w:hRule="atLeast"/>
          <w:jc w:val="right"/>
        </w:trPr>
        <w:tc>
          <w:tcPr>
            <w:tcW w:w="584" w:type="dxa"/>
            <w:vAlign w:val="center"/>
          </w:tcPr>
          <w:p>
            <w:pPr>
              <w:pStyle w:val="13"/>
              <w:rPr>
                <w:rFonts w:hint="eastAsia" w:ascii="仿宋_GB2312" w:hAnsi="仿宋_GB2312" w:eastAsia="仿宋_GB2312" w:cs="仿宋_GB2312"/>
              </w:rPr>
            </w:pPr>
          </w:p>
        </w:tc>
        <w:tc>
          <w:tcPr>
            <w:tcW w:w="1046" w:type="dxa"/>
            <w:vAlign w:val="center"/>
          </w:tcPr>
          <w:p>
            <w:pPr>
              <w:pStyle w:val="13"/>
              <w:rPr>
                <w:rFonts w:hint="eastAsia" w:ascii="仿宋_GB2312" w:hAnsi="仿宋_GB2312" w:eastAsia="仿宋_GB2312" w:cs="仿宋_GB2312"/>
              </w:rPr>
            </w:pPr>
          </w:p>
        </w:tc>
        <w:tc>
          <w:tcPr>
            <w:tcW w:w="3834"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推进节水型居民小区建设</w:t>
            </w:r>
          </w:p>
        </w:tc>
        <w:tc>
          <w:tcPr>
            <w:tcW w:w="72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北方地区：节水型居民小区建成率[12]≥20%，得4分；每低1%，扣2分，扣完为止；</w:t>
            </w:r>
          </w:p>
          <w:p>
            <w:pPr>
              <w:pStyle w:val="13"/>
              <w:rPr>
                <w:rFonts w:hint="eastAsia" w:ascii="仿宋_GB2312" w:hAnsi="仿宋_GB2312" w:eastAsia="仿宋_GB2312" w:cs="仿宋_GB2312"/>
              </w:rPr>
            </w:pPr>
            <w:r>
              <w:rPr>
                <w:rFonts w:hint="eastAsia" w:ascii="仿宋_GB2312" w:hAnsi="仿宋_GB2312" w:eastAsia="仿宋_GB2312" w:cs="仿宋_GB2312"/>
              </w:rPr>
              <w:t>南方地区：节水型居民小区建成率≥15%，得4分；每低1%，扣2分，扣完为止；</w:t>
            </w:r>
          </w:p>
          <w:p>
            <w:pPr>
              <w:pStyle w:val="13"/>
              <w:rPr>
                <w:rFonts w:hint="eastAsia" w:ascii="仿宋_GB2312" w:hAnsi="仿宋_GB2312" w:eastAsia="仿宋_GB2312" w:cs="仿宋_GB2312"/>
              </w:rPr>
            </w:pPr>
            <w:r>
              <w:rPr>
                <w:rFonts w:hint="eastAsia" w:ascii="仿宋_GB2312" w:hAnsi="仿宋_GB2312" w:eastAsia="仿宋_GB2312" w:cs="仿宋_GB2312"/>
              </w:rPr>
              <w:t>发现一例节水型居民小区建设不规范，未达到节水型居民小区相关标准的，扣1分，扣完为止</w:t>
            </w:r>
          </w:p>
        </w:tc>
        <w:tc>
          <w:tcPr>
            <w:tcW w:w="7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 w:hRule="atLeast"/>
          <w:jc w:val="right"/>
        </w:trPr>
        <w:tc>
          <w:tcPr>
            <w:tcW w:w="584"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8</w:t>
            </w:r>
          </w:p>
        </w:tc>
        <w:tc>
          <w:tcPr>
            <w:tcW w:w="1046"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供水管网漏损控制</w:t>
            </w:r>
          </w:p>
        </w:tc>
        <w:tc>
          <w:tcPr>
            <w:tcW w:w="3834"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公共供水管网漏损率[13]</w:t>
            </w:r>
          </w:p>
        </w:tc>
        <w:tc>
          <w:tcPr>
            <w:tcW w:w="72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按《城镇供水管网漏损控制及评定标准》CJJ92规定核算后的漏损率≤9%，得8分；每高1%，扣1分，扣完为止</w:t>
            </w:r>
          </w:p>
        </w:tc>
        <w:tc>
          <w:tcPr>
            <w:tcW w:w="7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 w:hRule="atLeast"/>
          <w:jc w:val="right"/>
        </w:trPr>
        <w:tc>
          <w:tcPr>
            <w:tcW w:w="584"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9</w:t>
            </w:r>
          </w:p>
        </w:tc>
        <w:tc>
          <w:tcPr>
            <w:tcW w:w="1046"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生活节水器具推广</w:t>
            </w:r>
          </w:p>
        </w:tc>
        <w:tc>
          <w:tcPr>
            <w:tcW w:w="3834"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全面推动公共场所[14]、居民家庭使用生活节水器具，强化水效标识[15]管理</w:t>
            </w:r>
          </w:p>
        </w:tc>
        <w:tc>
          <w:tcPr>
            <w:tcW w:w="72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公共场所和新建小区居民家庭全部采用节水器具，得6分；</w:t>
            </w:r>
          </w:p>
          <w:p>
            <w:pPr>
              <w:pStyle w:val="13"/>
              <w:rPr>
                <w:rFonts w:hint="eastAsia" w:ascii="仿宋_GB2312" w:hAnsi="仿宋_GB2312" w:eastAsia="仿宋_GB2312" w:cs="仿宋_GB2312"/>
              </w:rPr>
            </w:pPr>
            <w:r>
              <w:rPr>
                <w:rFonts w:hint="eastAsia" w:ascii="仿宋_GB2312" w:hAnsi="仿宋_GB2312" w:eastAsia="仿宋_GB2312" w:cs="仿宋_GB2312"/>
              </w:rPr>
              <w:t>发现一例不符合节水标准或不符合水效标识管理规定的，扣1分，扣完为止</w:t>
            </w:r>
          </w:p>
        </w:tc>
        <w:tc>
          <w:tcPr>
            <w:tcW w:w="7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 w:hRule="atLeast"/>
          <w:jc w:val="right"/>
        </w:trPr>
        <w:tc>
          <w:tcPr>
            <w:tcW w:w="584"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10</w:t>
            </w:r>
          </w:p>
        </w:tc>
        <w:tc>
          <w:tcPr>
            <w:tcW w:w="1046"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非常规水源利用</w:t>
            </w:r>
          </w:p>
        </w:tc>
        <w:tc>
          <w:tcPr>
            <w:tcW w:w="3834"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加强非常规水源配置利用</w:t>
            </w:r>
          </w:p>
        </w:tc>
        <w:tc>
          <w:tcPr>
            <w:tcW w:w="7292" w:type="dxa"/>
            <w:vAlign w:val="center"/>
          </w:tcPr>
          <w:p>
            <w:pPr>
              <w:pStyle w:val="13"/>
              <w:rPr>
                <w:rFonts w:hint="eastAsia" w:ascii="仿宋_GB2312" w:hAnsi="仿宋_GB2312" w:eastAsia="仿宋_GB2312" w:cs="仿宋_GB2312"/>
              </w:rPr>
            </w:pPr>
            <w:bookmarkStart w:id="1" w:name="_Hlk132379779"/>
            <w:r>
              <w:rPr>
                <w:rFonts w:hint="eastAsia" w:ascii="仿宋_GB2312" w:hAnsi="仿宋_GB2312" w:eastAsia="仿宋_GB2312" w:cs="仿宋_GB2312"/>
              </w:rPr>
              <w:t>对具备非常规水源利用</w:t>
            </w:r>
            <w:bookmarkEnd w:id="1"/>
            <w:r>
              <w:rPr>
                <w:rFonts w:hint="eastAsia" w:ascii="仿宋_GB2312" w:hAnsi="仿宋_GB2312" w:eastAsia="仿宋_GB2312" w:cs="仿宋_GB2312"/>
              </w:rPr>
              <w:t>条件的用水户，在下达用水计划时配置非常规水源的，得2分；</w:t>
            </w:r>
          </w:p>
          <w:p>
            <w:pPr>
              <w:pStyle w:val="13"/>
              <w:rPr>
                <w:rFonts w:hint="eastAsia" w:ascii="仿宋_GB2312" w:hAnsi="仿宋_GB2312" w:eastAsia="仿宋_GB2312" w:cs="仿宋_GB2312"/>
              </w:rPr>
            </w:pPr>
            <w:r>
              <w:rPr>
                <w:rFonts w:hint="eastAsia" w:ascii="仿宋_GB2312" w:hAnsi="仿宋_GB2312" w:eastAsia="仿宋_GB2312" w:cs="仿宋_GB2312"/>
              </w:rPr>
              <w:t>发现一例应配置而未配置的，扣1分，扣完为止</w:t>
            </w:r>
          </w:p>
        </w:tc>
        <w:tc>
          <w:tcPr>
            <w:tcW w:w="7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 w:hRule="atLeast"/>
          <w:jc w:val="right"/>
        </w:trPr>
        <w:tc>
          <w:tcPr>
            <w:tcW w:w="584"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10</w:t>
            </w:r>
          </w:p>
        </w:tc>
        <w:tc>
          <w:tcPr>
            <w:tcW w:w="1046"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非常规水源利用</w:t>
            </w:r>
          </w:p>
        </w:tc>
        <w:tc>
          <w:tcPr>
            <w:tcW w:w="3834"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再生水利用率[16]</w:t>
            </w:r>
          </w:p>
        </w:tc>
        <w:tc>
          <w:tcPr>
            <w:tcW w:w="72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北方地区：再生水利用率≥20%，得6分，每低1%，扣1分，扣完为止；</w:t>
            </w:r>
          </w:p>
          <w:p>
            <w:pPr>
              <w:pStyle w:val="13"/>
              <w:rPr>
                <w:rFonts w:hint="eastAsia" w:ascii="仿宋_GB2312" w:hAnsi="仿宋_GB2312" w:eastAsia="仿宋_GB2312" w:cs="仿宋_GB2312"/>
              </w:rPr>
            </w:pPr>
            <w:r>
              <w:rPr>
                <w:rFonts w:hint="eastAsia" w:ascii="仿宋_GB2312" w:hAnsi="仿宋_GB2312" w:eastAsia="仿宋_GB2312" w:cs="仿宋_GB2312"/>
              </w:rPr>
              <w:t>南方地区：再生水利用率≥15%，得6分，每低1%，扣1分，扣完为止</w:t>
            </w:r>
          </w:p>
        </w:tc>
        <w:tc>
          <w:tcPr>
            <w:tcW w:w="7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 w:hRule="atLeast"/>
          <w:jc w:val="right"/>
        </w:trPr>
        <w:tc>
          <w:tcPr>
            <w:tcW w:w="584"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11</w:t>
            </w:r>
          </w:p>
        </w:tc>
        <w:tc>
          <w:tcPr>
            <w:tcW w:w="1046"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节水宣传</w:t>
            </w:r>
          </w:p>
        </w:tc>
        <w:tc>
          <w:tcPr>
            <w:tcW w:w="3834" w:type="dxa"/>
            <w:tcBorders>
              <w:bottom w:val="nil"/>
            </w:tcBorders>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开展节水宣传教育活动</w:t>
            </w:r>
          </w:p>
        </w:tc>
        <w:tc>
          <w:tcPr>
            <w:tcW w:w="7292" w:type="dxa"/>
            <w:tcBorders>
              <w:bottom w:val="nil"/>
            </w:tcBorders>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在世界水日、中国水周、城市节水宣传周开展节水宣传活动，得3分；</w:t>
            </w:r>
          </w:p>
          <w:p>
            <w:pPr>
              <w:pStyle w:val="13"/>
              <w:rPr>
                <w:rFonts w:hint="eastAsia" w:ascii="仿宋_GB2312" w:hAnsi="仿宋_GB2312" w:eastAsia="仿宋_GB2312" w:cs="仿宋_GB2312"/>
              </w:rPr>
            </w:pPr>
            <w:r>
              <w:rPr>
                <w:rFonts w:hint="eastAsia" w:ascii="仿宋_GB2312" w:hAnsi="仿宋_GB2312" w:eastAsia="仿宋_GB2312" w:cs="仿宋_GB2312"/>
              </w:rPr>
              <w:t>开展节水宣传进机关、进校园、进企业、进社区、进农村等活动，每做一项得1分，最多得3分</w:t>
            </w:r>
          </w:p>
        </w:tc>
        <w:tc>
          <w:tcPr>
            <w:tcW w:w="7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 w:hRule="atLeast"/>
          <w:jc w:val="right"/>
        </w:trPr>
        <w:tc>
          <w:tcPr>
            <w:tcW w:w="584" w:type="dxa"/>
            <w:vMerge w:val="restart"/>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12</w:t>
            </w:r>
          </w:p>
        </w:tc>
        <w:tc>
          <w:tcPr>
            <w:tcW w:w="1046" w:type="dxa"/>
            <w:vMerge w:val="restart"/>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加分项</w:t>
            </w:r>
          </w:p>
        </w:tc>
        <w:tc>
          <w:tcPr>
            <w:tcW w:w="3834"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节水激励机制</w:t>
            </w:r>
          </w:p>
        </w:tc>
        <w:tc>
          <w:tcPr>
            <w:tcW w:w="72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本级人民政府对节水项目建设、节水科技创新、节水技术推广应用、节水产业发展等出台补贴或其他激励政策，加2分</w:t>
            </w:r>
          </w:p>
        </w:tc>
        <w:tc>
          <w:tcPr>
            <w:tcW w:w="7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 w:hRule="atLeast"/>
          <w:jc w:val="right"/>
        </w:trPr>
        <w:tc>
          <w:tcPr>
            <w:tcW w:w="584" w:type="dxa"/>
            <w:vMerge w:val="continue"/>
            <w:vAlign w:val="center"/>
          </w:tcPr>
          <w:p>
            <w:pPr>
              <w:pStyle w:val="13"/>
              <w:rPr>
                <w:rFonts w:hint="eastAsia" w:ascii="仿宋_GB2312" w:hAnsi="仿宋_GB2312" w:eastAsia="仿宋_GB2312" w:cs="仿宋_GB2312"/>
              </w:rPr>
            </w:pPr>
          </w:p>
        </w:tc>
        <w:tc>
          <w:tcPr>
            <w:tcW w:w="1046" w:type="dxa"/>
            <w:vMerge w:val="continue"/>
            <w:vAlign w:val="center"/>
          </w:tcPr>
          <w:p>
            <w:pPr>
              <w:pStyle w:val="13"/>
              <w:rPr>
                <w:rFonts w:hint="eastAsia" w:ascii="仿宋_GB2312" w:hAnsi="仿宋_GB2312" w:eastAsia="仿宋_GB2312" w:cs="仿宋_GB2312"/>
              </w:rPr>
            </w:pPr>
          </w:p>
        </w:tc>
        <w:tc>
          <w:tcPr>
            <w:tcW w:w="3834"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节水示范引领</w:t>
            </w:r>
          </w:p>
        </w:tc>
        <w:tc>
          <w:tcPr>
            <w:tcW w:w="72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县域内有企业、公共机构、产品、灌区被评为国家级水效领跑者的，加2分；被评为省级水效领跑者或省级节水标杆的，每个加1分；本项最多加2分</w:t>
            </w:r>
          </w:p>
        </w:tc>
        <w:tc>
          <w:tcPr>
            <w:tcW w:w="7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 w:hRule="atLeast"/>
          <w:jc w:val="right"/>
        </w:trPr>
        <w:tc>
          <w:tcPr>
            <w:tcW w:w="584" w:type="dxa"/>
            <w:vMerge w:val="continue"/>
            <w:vAlign w:val="center"/>
          </w:tcPr>
          <w:p>
            <w:pPr>
              <w:pStyle w:val="13"/>
              <w:rPr>
                <w:rFonts w:hint="eastAsia" w:ascii="仿宋_GB2312" w:hAnsi="仿宋_GB2312" w:eastAsia="仿宋_GB2312" w:cs="仿宋_GB2312"/>
              </w:rPr>
            </w:pPr>
          </w:p>
        </w:tc>
        <w:tc>
          <w:tcPr>
            <w:tcW w:w="1046" w:type="dxa"/>
            <w:vMerge w:val="continue"/>
            <w:vAlign w:val="center"/>
          </w:tcPr>
          <w:p>
            <w:pPr>
              <w:pStyle w:val="13"/>
              <w:rPr>
                <w:rFonts w:hint="eastAsia" w:ascii="仿宋_GB2312" w:hAnsi="仿宋_GB2312" w:eastAsia="仿宋_GB2312" w:cs="仿宋_GB2312"/>
              </w:rPr>
            </w:pPr>
          </w:p>
        </w:tc>
        <w:tc>
          <w:tcPr>
            <w:tcW w:w="3834"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合同节水管理</w:t>
            </w:r>
          </w:p>
        </w:tc>
        <w:tc>
          <w:tcPr>
            <w:tcW w:w="72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每实施一个合同节水管理项目加1分，本项最多加3分</w:t>
            </w:r>
          </w:p>
        </w:tc>
        <w:tc>
          <w:tcPr>
            <w:tcW w:w="7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 w:hRule="atLeast"/>
          <w:jc w:val="right"/>
        </w:trPr>
        <w:tc>
          <w:tcPr>
            <w:tcW w:w="584" w:type="dxa"/>
            <w:vMerge w:val="continue"/>
            <w:vAlign w:val="center"/>
          </w:tcPr>
          <w:p>
            <w:pPr>
              <w:pStyle w:val="13"/>
              <w:rPr>
                <w:rFonts w:hint="eastAsia" w:ascii="仿宋_GB2312" w:hAnsi="仿宋_GB2312" w:eastAsia="仿宋_GB2312" w:cs="仿宋_GB2312"/>
              </w:rPr>
            </w:pPr>
          </w:p>
        </w:tc>
        <w:tc>
          <w:tcPr>
            <w:tcW w:w="1046" w:type="dxa"/>
            <w:vMerge w:val="continue"/>
            <w:vAlign w:val="center"/>
          </w:tcPr>
          <w:p>
            <w:pPr>
              <w:pStyle w:val="13"/>
              <w:rPr>
                <w:rFonts w:hint="eastAsia" w:ascii="仿宋_GB2312" w:hAnsi="仿宋_GB2312" w:eastAsia="仿宋_GB2312" w:cs="仿宋_GB2312"/>
              </w:rPr>
            </w:pPr>
          </w:p>
        </w:tc>
        <w:tc>
          <w:tcPr>
            <w:tcW w:w="3834"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水权市场化交易</w:t>
            </w:r>
          </w:p>
        </w:tc>
        <w:tc>
          <w:tcPr>
            <w:tcW w:w="72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每实施一笔水权市场化交易加1分，本项最多加3分</w:t>
            </w:r>
          </w:p>
        </w:tc>
        <w:tc>
          <w:tcPr>
            <w:tcW w:w="792" w:type="dxa"/>
            <w:vAlign w:val="center"/>
          </w:tcPr>
          <w:p>
            <w:pPr>
              <w:pStyle w:val="13"/>
              <w:rPr>
                <w:rFonts w:hint="eastAsia" w:ascii="仿宋_GB2312" w:hAnsi="仿宋_GB2312" w:eastAsia="仿宋_GB2312" w:cs="仿宋_GB2312"/>
              </w:rPr>
            </w:pPr>
            <w:r>
              <w:rPr>
                <w:rFonts w:hint="eastAsia" w:ascii="仿宋_GB2312" w:hAnsi="仿宋_GB2312" w:eastAsia="仿宋_GB2312" w:cs="仿宋_GB2312"/>
              </w:rPr>
              <w:t>3</w:t>
            </w:r>
          </w:p>
        </w:tc>
      </w:tr>
    </w:tbl>
    <w:p>
      <w:pPr>
        <w:sectPr>
          <w:headerReference r:id="rId11" w:type="default"/>
          <w:footerReference r:id="rId12" w:type="default"/>
          <w:pgSz w:w="16838" w:h="11906" w:orient="landscape"/>
          <w:pgMar w:top="1797" w:right="1440" w:bottom="1797" w:left="1440" w:header="851" w:footer="992" w:gutter="0"/>
          <w:pgNumType w:fmt="decimal"/>
          <w:cols w:space="720" w:num="1"/>
          <w:docGrid w:type="lines" w:linePitch="312" w:charSpace="0"/>
        </w:sectPr>
      </w:pPr>
    </w:p>
    <w:p>
      <w:pPr>
        <w:keepNext w:val="0"/>
        <w:keepLines w:val="0"/>
        <w:pageBreakBefore w:val="0"/>
        <w:widowControl w:val="0"/>
        <w:kinsoku/>
        <w:wordWrap w:val="0"/>
        <w:overflowPunct w:val="0"/>
        <w:topLinePunct/>
        <w:autoSpaceDE/>
        <w:autoSpaceDN/>
        <w:bidi w:val="0"/>
        <w:adjustRightInd w:val="0"/>
        <w:snapToGrid w:val="0"/>
        <w:spacing w:line="570" w:lineRule="exact"/>
        <w:ind w:firstLine="0" w:firstLineChars="0"/>
        <w:jc w:val="center"/>
        <w:textAlignment w:val="baseline"/>
        <w:rPr>
          <w:rFonts w:hint="eastAsia" w:ascii="黑体" w:hAnsi="黑体" w:eastAsia="黑体" w:cs="黑体"/>
          <w:sz w:val="44"/>
          <w:szCs w:val="44"/>
        </w:rPr>
      </w:pPr>
      <w:r>
        <w:rPr>
          <w:rFonts w:hint="eastAsia" w:ascii="方正小标宋简体" w:hAnsi="方正小标宋简体" w:eastAsia="方正小标宋简体" w:cs="方正小标宋简体"/>
          <w:sz w:val="44"/>
          <w:szCs w:val="44"/>
        </w:rPr>
        <w:t>说  明</w:t>
      </w:r>
    </w:p>
    <w:p>
      <w:pPr>
        <w:keepNext w:val="0"/>
        <w:keepLines w:val="0"/>
        <w:pageBreakBefore w:val="0"/>
        <w:widowControl w:val="0"/>
        <w:kinsoku/>
        <w:wordWrap w:val="0"/>
        <w:overflowPunct w:val="0"/>
        <w:topLinePunct/>
        <w:autoSpaceDE/>
        <w:autoSpaceDN/>
        <w:bidi w:val="0"/>
        <w:adjustRightInd w:val="0"/>
        <w:snapToGrid w:val="0"/>
        <w:spacing w:line="570" w:lineRule="exact"/>
        <w:textAlignment w:val="baseline"/>
        <w:rPr>
          <w:rFonts w:hint="eastAsia" w:ascii="仿宋_GB2312" w:hAnsi="仿宋_GB2312" w:eastAsia="仿宋_GB2312" w:cs="仿宋_GB2312"/>
          <w:sz w:val="32"/>
          <w:szCs w:val="32"/>
        </w:rPr>
      </w:pPr>
    </w:p>
    <w:p>
      <w:pPr>
        <w:keepNext w:val="0"/>
        <w:keepLines w:val="0"/>
        <w:pageBreakBefore w:val="0"/>
        <w:widowControl w:val="0"/>
        <w:kinsoku/>
        <w:wordWrap w:val="0"/>
        <w:overflowPunct w:val="0"/>
        <w:topLinePunct/>
        <w:autoSpaceDE/>
        <w:autoSpaceDN/>
        <w:bidi w:val="0"/>
        <w:adjustRightInd w:val="0"/>
        <w:snapToGrid w:val="0"/>
        <w:spacing w:line="570" w:lineRule="exact"/>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[1]标准中涉及相关评价指标要求，应按创建当时国家最新规定执行。</w:t>
      </w:r>
    </w:p>
    <w:p>
      <w:pPr>
        <w:keepNext w:val="0"/>
        <w:keepLines w:val="0"/>
        <w:pageBreakBefore w:val="0"/>
        <w:widowControl w:val="0"/>
        <w:kinsoku/>
        <w:wordWrap w:val="0"/>
        <w:overflowPunct w:val="0"/>
        <w:topLinePunct/>
        <w:autoSpaceDE/>
        <w:autoSpaceDN/>
        <w:bidi w:val="0"/>
        <w:adjustRightInd w:val="0"/>
        <w:snapToGrid w:val="0"/>
        <w:spacing w:line="570" w:lineRule="exact"/>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[2]如遇缺项，则该项不得分，评价总分按照公式进行折算，折算公式为：评价总分=（实际总得分-加分项得分）×100/（100-缺项对应分值）+加分项得分。加分项不计入缺项。</w:t>
      </w:r>
    </w:p>
    <w:p>
      <w:pPr>
        <w:keepNext w:val="0"/>
        <w:keepLines w:val="0"/>
        <w:pageBreakBefore w:val="0"/>
        <w:widowControl w:val="0"/>
        <w:kinsoku/>
        <w:wordWrap w:val="0"/>
        <w:overflowPunct w:val="0"/>
        <w:topLinePunct/>
        <w:autoSpaceDE/>
        <w:autoSpaceDN/>
        <w:bidi w:val="0"/>
        <w:adjustRightInd w:val="0"/>
        <w:snapToGrid w:val="0"/>
        <w:spacing w:line="570" w:lineRule="exact"/>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[3]北方地区包括北京、天津、河北、山西、内蒙古、辽宁、吉林、黑龙江、山东、河南、陕西、甘肃、宁夏、新疆等14个省（自治区、直辖市）。其他省（自治区、直辖市）为南方地区。</w:t>
      </w:r>
    </w:p>
    <w:p>
      <w:pPr>
        <w:keepNext w:val="0"/>
        <w:keepLines w:val="0"/>
        <w:pageBreakBefore w:val="0"/>
        <w:widowControl w:val="0"/>
        <w:kinsoku/>
        <w:wordWrap w:val="0"/>
        <w:overflowPunct w:val="0"/>
        <w:topLinePunct/>
        <w:autoSpaceDE/>
        <w:autoSpaceDN/>
        <w:bidi w:val="0"/>
        <w:adjustRightInd w:val="0"/>
        <w:snapToGrid w:val="0"/>
        <w:spacing w:line="570" w:lineRule="exact"/>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[4]农业灌溉用水计量率是指有计量设施或者以电折水等间接计量方式的农业取水口灌溉取水量占灌溉总取水量的比例。</w:t>
      </w:r>
    </w:p>
    <w:p>
      <w:pPr>
        <w:keepNext w:val="0"/>
        <w:keepLines w:val="0"/>
        <w:pageBreakBefore w:val="0"/>
        <w:widowControl w:val="0"/>
        <w:kinsoku/>
        <w:wordWrap w:val="0"/>
        <w:overflowPunct w:val="0"/>
        <w:topLinePunct/>
        <w:autoSpaceDE/>
        <w:autoSpaceDN/>
        <w:bidi w:val="0"/>
        <w:adjustRightInd w:val="0"/>
        <w:snapToGrid w:val="0"/>
        <w:spacing w:line="570" w:lineRule="exact"/>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[5]工业用水计量率指工业用水计量水量与工业用水总量的比值。</w:t>
      </w:r>
    </w:p>
    <w:p>
      <w:pPr>
        <w:keepNext w:val="0"/>
        <w:keepLines w:val="0"/>
        <w:pageBreakBefore w:val="0"/>
        <w:widowControl w:val="0"/>
        <w:kinsoku/>
        <w:wordWrap w:val="0"/>
        <w:overflowPunct w:val="0"/>
        <w:topLinePunct/>
        <w:autoSpaceDE/>
        <w:autoSpaceDN/>
        <w:bidi w:val="0"/>
        <w:adjustRightInd w:val="0"/>
        <w:snapToGrid w:val="0"/>
        <w:spacing w:line="570" w:lineRule="exact"/>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[6]农业水价综合改革实际实施面积是指县级行政区自部署实施农业水价综合改革以来已实施的总面积。</w:t>
      </w:r>
    </w:p>
    <w:p>
      <w:pPr>
        <w:keepNext w:val="0"/>
        <w:keepLines w:val="0"/>
        <w:pageBreakBefore w:val="0"/>
        <w:widowControl w:val="0"/>
        <w:kinsoku/>
        <w:wordWrap w:val="0"/>
        <w:overflowPunct w:val="0"/>
        <w:topLinePunct/>
        <w:autoSpaceDE/>
        <w:autoSpaceDN/>
        <w:bidi w:val="0"/>
        <w:adjustRightInd w:val="0"/>
        <w:snapToGrid w:val="0"/>
        <w:spacing w:line="570" w:lineRule="exact"/>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[7]未实施水资源费改税的县域，对水资源费征缴情况进行评价赋分。</w:t>
      </w:r>
    </w:p>
    <w:p>
      <w:pPr>
        <w:keepNext w:val="0"/>
        <w:keepLines w:val="0"/>
        <w:pageBreakBefore w:val="0"/>
        <w:widowControl w:val="0"/>
        <w:kinsoku/>
        <w:wordWrap w:val="0"/>
        <w:overflowPunct w:val="0"/>
        <w:topLinePunct/>
        <w:autoSpaceDE/>
        <w:autoSpaceDN/>
        <w:bidi w:val="0"/>
        <w:adjustRightInd w:val="0"/>
        <w:snapToGrid w:val="0"/>
        <w:spacing w:line="570" w:lineRule="exact"/>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[8]新建、扩建、改建建设项目实施主体包括纳入取水许可管理的用水户和从公共供水管网取水的用水户。</w:t>
      </w:r>
    </w:p>
    <w:p>
      <w:pPr>
        <w:keepNext w:val="0"/>
        <w:keepLines w:val="0"/>
        <w:pageBreakBefore w:val="0"/>
        <w:widowControl w:val="0"/>
        <w:kinsoku/>
        <w:wordWrap w:val="0"/>
        <w:overflowPunct w:val="0"/>
        <w:topLinePunct/>
        <w:autoSpaceDE/>
        <w:autoSpaceDN/>
        <w:bidi w:val="0"/>
        <w:adjustRightInd w:val="0"/>
        <w:snapToGrid w:val="0"/>
        <w:spacing w:line="570" w:lineRule="exact"/>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[9]县域管辖范围内无大中型灌区，按缺项折</w:t>
      </w:r>
      <w:bookmarkStart w:id="2" w:name="_GoBack"/>
      <w:bookmarkEnd w:id="2"/>
      <w:r>
        <w:rPr>
          <w:rFonts w:hint="eastAsia" w:ascii="仿宋_GB2312" w:hAnsi="仿宋_GB2312" w:eastAsia="仿宋_GB2312" w:cs="仿宋_GB2312"/>
          <w:sz w:val="32"/>
          <w:szCs w:val="32"/>
        </w:rPr>
        <w:t>算处理。</w:t>
      </w:r>
    </w:p>
    <w:p>
      <w:pPr>
        <w:keepNext w:val="0"/>
        <w:keepLines w:val="0"/>
        <w:pageBreakBefore w:val="0"/>
        <w:widowControl w:val="0"/>
        <w:kinsoku/>
        <w:wordWrap w:val="0"/>
        <w:overflowPunct w:val="0"/>
        <w:topLinePunct/>
        <w:autoSpaceDE/>
        <w:autoSpaceDN/>
        <w:bidi w:val="0"/>
        <w:adjustRightInd w:val="0"/>
        <w:snapToGrid w:val="0"/>
        <w:spacing w:line="570" w:lineRule="exact"/>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[10]重点用水行业节水型企业建成率指重点用水行业节水型企业数量与重点用水行业企业总数的比值。重点用水行业包括火力发电、钢铁、纺织、造纸、石化和化工、食品和发酵等。原则上统计年用水量1万立方米以上的企业；没有年用水量1万立方米以上的重点用水行业企业，按缺项折算处理。</w:t>
      </w:r>
    </w:p>
    <w:p>
      <w:pPr>
        <w:keepNext w:val="0"/>
        <w:keepLines w:val="0"/>
        <w:pageBreakBefore w:val="0"/>
        <w:widowControl w:val="0"/>
        <w:kinsoku/>
        <w:wordWrap w:val="0"/>
        <w:overflowPunct w:val="0"/>
        <w:topLinePunct/>
        <w:autoSpaceDE/>
        <w:autoSpaceDN/>
        <w:bidi w:val="0"/>
        <w:adjustRightInd w:val="0"/>
        <w:snapToGrid w:val="0"/>
        <w:spacing w:line="570" w:lineRule="exact"/>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[11]公共机构节水型单位建成率指公共机构节水型单位数量与公共机构总数的比值。公共机构包括县（区）级机关和县（区）直事业单位。</w:t>
      </w:r>
    </w:p>
    <w:p>
      <w:pPr>
        <w:keepNext w:val="0"/>
        <w:keepLines w:val="0"/>
        <w:pageBreakBefore w:val="0"/>
        <w:widowControl w:val="0"/>
        <w:kinsoku/>
        <w:wordWrap w:val="0"/>
        <w:overflowPunct w:val="0"/>
        <w:topLinePunct/>
        <w:autoSpaceDE/>
        <w:autoSpaceDN/>
        <w:bidi w:val="0"/>
        <w:adjustRightInd w:val="0"/>
        <w:snapToGrid w:val="0"/>
        <w:spacing w:line="570" w:lineRule="exact"/>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[12]节水型居民小区建成率指节水型居民小区数量与居民小区总数的比值。居民小区是指由物业公司统一管理、实行集中供水的城镇居民小区。</w:t>
      </w:r>
    </w:p>
    <w:p>
      <w:pPr>
        <w:keepNext w:val="0"/>
        <w:keepLines w:val="0"/>
        <w:pageBreakBefore w:val="0"/>
        <w:widowControl w:val="0"/>
        <w:kinsoku/>
        <w:wordWrap w:val="0"/>
        <w:overflowPunct w:val="0"/>
        <w:topLinePunct/>
        <w:autoSpaceDE/>
        <w:autoSpaceDN/>
        <w:bidi w:val="0"/>
        <w:adjustRightInd w:val="0"/>
        <w:snapToGrid w:val="0"/>
        <w:spacing w:line="570" w:lineRule="exact"/>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[13]公共供水管网漏损率计算：[（公共供水总量 - 城镇公共供水注册用户用水量）÷公共供水总量] ×100%-修正值。公共供水注册用户用水量是指水厂将水供出厂外后，各类注册用户实际使用到的水量，包括计费用水量和免费用水量。计费用水量指收费供应的水量，免费用水量指无偿使用的水量。</w:t>
      </w:r>
    </w:p>
    <w:p>
      <w:pPr>
        <w:keepNext w:val="0"/>
        <w:keepLines w:val="0"/>
        <w:pageBreakBefore w:val="0"/>
        <w:widowControl w:val="0"/>
        <w:kinsoku/>
        <w:wordWrap w:val="0"/>
        <w:overflowPunct w:val="0"/>
        <w:topLinePunct/>
        <w:autoSpaceDE/>
        <w:autoSpaceDN/>
        <w:bidi w:val="0"/>
        <w:adjustRightInd w:val="0"/>
        <w:snapToGrid w:val="0"/>
        <w:spacing w:line="570" w:lineRule="exact"/>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[14]公共场所是指公用建筑物、活动场所等。</w:t>
      </w:r>
    </w:p>
    <w:p>
      <w:pPr>
        <w:keepNext w:val="0"/>
        <w:keepLines w:val="0"/>
        <w:pageBreakBefore w:val="0"/>
        <w:widowControl w:val="0"/>
        <w:kinsoku/>
        <w:wordWrap w:val="0"/>
        <w:overflowPunct w:val="0"/>
        <w:topLinePunct/>
        <w:autoSpaceDE/>
        <w:autoSpaceDN/>
        <w:bidi w:val="0"/>
        <w:adjustRightInd w:val="0"/>
        <w:snapToGrid w:val="0"/>
        <w:spacing w:line="570" w:lineRule="exact"/>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[15]《中华人民共和国实行水效标识的产品目录》规定加施水效标识的产品。</w:t>
      </w:r>
    </w:p>
    <w:p>
      <w:pPr>
        <w:keepNext w:val="0"/>
        <w:keepLines w:val="0"/>
        <w:pageBreakBefore w:val="0"/>
        <w:widowControl w:val="0"/>
        <w:kinsoku/>
        <w:wordWrap w:val="0"/>
        <w:overflowPunct w:val="0"/>
        <w:topLinePunct/>
        <w:autoSpaceDE/>
        <w:autoSpaceDN/>
        <w:bidi w:val="0"/>
        <w:adjustRightInd w:val="0"/>
        <w:snapToGrid w:val="0"/>
        <w:spacing w:line="570" w:lineRule="exact"/>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[16]再生水利用率指再生水利用量与污水处理厂处理后水量的比值（指市政处理部分，不含企业内部循环利用部分）。再生水指污水经过适当处理后，达到一定的水质指标，满足某种使用要求，可以再次利用的水。</w:t>
      </w:r>
    </w:p>
    <w:p>
      <w:pPr>
        <w:ind w:firstLine="0" w:firstLineChars="0"/>
      </w:pPr>
      <w:r>
        <w:br w:type="page"/>
      </w:r>
    </w:p>
    <w:sectPr>
      <w:headerReference r:id="rId13" w:type="default"/>
      <w:footerReference r:id="rId14" w:type="default"/>
      <w:pgSz w:w="11905" w:h="16838"/>
      <w:pgMar w:top="2098" w:right="1474" w:bottom="1984" w:left="1587" w:header="850" w:footer="1417" w:gutter="0"/>
      <w:pgNumType w:fmt="decimal"/>
      <w:cols w:space="0" w:num="1"/>
      <w:docGrid w:type="lines" w:linePitch="333"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16"/>
      </w:pPr>
      <w:r>
        <w:separator/>
      </w:r>
    </w:p>
  </w:endnote>
  <w:endnote w:type="continuationSeparator" w:id="1">
    <w:p>
      <w:pPr>
        <w:spacing w:line="240" w:lineRule="auto"/>
        <w:ind w:firstLine="616"/>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6"/>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方正宋体S-超大字符集(SIP)"/>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00000001" w:usb1="080E0000" w:usb2="00000000" w:usb3="00000000" w:csb0="00040000"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方正宋体S-超大字符集(SIP)"/>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Times New Roman (正文 CS 字体)">
    <w:altName w:val="Nimbus Roman No9 L"/>
    <w:panose1 w:val="00000000000000000000"/>
    <w:charset w:val="86"/>
    <w:family w:val="roman"/>
    <w:pitch w:val="default"/>
    <w:sig w:usb0="00000000" w:usb1="00000000" w:usb2="00000000" w:usb3="00000000" w:csb0="00000000" w:csb1="00000000"/>
  </w:font>
  <w:font w:name="Tahoma">
    <w:altName w:val="DejaVu Sans"/>
    <w:panose1 w:val="020B0604030504040204"/>
    <w:charset w:val="00"/>
    <w:family w:val="swiss"/>
    <w:pitch w:val="default"/>
    <w:sig w:usb0="00000000" w:usb1="00000000" w:usb2="00000029" w:usb3="00000000" w:csb0="200101FF" w:csb1="20280000"/>
  </w:font>
  <w:font w:name="Arial Unicode MS">
    <w:altName w:val="Nimbus Roman No9 L"/>
    <w:panose1 w:val="020B0604020202020204"/>
    <w:charset w:val="86"/>
    <w:family w:val="roman"/>
    <w:pitch w:val="default"/>
    <w:sig w:usb0="00000000" w:usb1="00000000" w:usb2="0000003F" w:usb3="00000000" w:csb0="603F01FF" w:csb1="FFFF0000"/>
  </w:font>
  <w:font w:name="方正小标宋简体">
    <w:panose1 w:val="02010601030101010101"/>
    <w:charset w:val="86"/>
    <w:family w:val="script"/>
    <w:pitch w:val="default"/>
    <w:sig w:usb0="00000001" w:usb1="080E0000" w:usb2="00000000" w:usb3="00000000" w:csb0="00040000" w:csb1="00000000"/>
  </w:font>
  <w:font w:name="方正大标宋简体">
    <w:altName w:val="方正书宋_GBK"/>
    <w:panose1 w:val="02010601030101010101"/>
    <w:charset w:val="86"/>
    <w:family w:val="auto"/>
    <w:pitch w:val="default"/>
    <w:sig w:usb0="00000000" w:usb1="0000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书宋_GBK">
    <w:panose1 w:val="02000000000000000000"/>
    <w:charset w:val="86"/>
    <w:family w:val="auto"/>
    <w:pitch w:val="default"/>
    <w:sig w:usb0="A00002BF" w:usb1="38CF7CFA" w:usb2="00082016" w:usb3="00000000" w:csb0="00040001" w:csb1="00000000"/>
  </w:font>
  <w:font w:name="DejaVu Sans">
    <w:panose1 w:val="020B0606030804020204"/>
    <w:charset w:val="00"/>
    <w:family w:val="auto"/>
    <w:pitch w:val="default"/>
    <w:sig w:usb0="E7006EFF" w:usb1="D200FDFF" w:usb2="0A246029" w:usb3="0400200C" w:csb0="600001FF" w:csb1="DFFF0000"/>
  </w:font>
  <w:font w:name="Nimbus Roman No9 L">
    <w:panose1 w:val="00000000000000000000"/>
    <w:charset w:val="00"/>
    <w:family w:val="auto"/>
    <w:pitch w:val="default"/>
    <w:sig w:usb0="00000000" w:usb1="00000000" w:usb2="00000000" w:usb3="00000000" w:csb0="00000000" w:csb1="00000000"/>
  </w:font>
  <w:font w:name="方正仿宋_GBK">
    <w:panose1 w:val="02000000000000000000"/>
    <w:charset w:val="86"/>
    <w:family w:val="auto"/>
    <w:pitch w:val="default"/>
    <w:sig w:usb0="A00002BF" w:usb1="38CF7CFA" w:usb2="00082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keepNext w:val="0"/>
                            <w:keepLines w:val="0"/>
                            <w:pageBreakBefore w:val="0"/>
                            <w:widowControl w:val="0"/>
                            <w:kinsoku/>
                            <w:wordWrap/>
                            <w:overflowPunct w:val="0"/>
                            <w:topLinePunct w:val="0"/>
                            <w:autoSpaceDE w:val="0"/>
                            <w:autoSpaceDN w:val="0"/>
                            <w:bidi w:val="0"/>
                            <w:adjustRightInd w:val="0"/>
                            <w:snapToGrid w:val="0"/>
                            <w:ind w:left="308" w:leftChars="100" w:right="308" w:rightChars="100" w:firstLine="0" w:firstLineChars="0"/>
                            <w:textAlignment w:val="baseline"/>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16</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FgAAAGRycy9QSwECFAAUAAAACACHTuJAs0lY7tAAAAAFAQAADwAAAAAAAAABACAAAAA4AAAA&#10;ZHJzL2Rvd25yZXYueG1sUEsBAhQAFAAAAAgAh07iQOGA044yAgAAYQQAAA4AAAAAAAAAAQAgAAAA&#10;NQEAAGRycy9lMm9Eb2MueG1sUEsFBgAAAAAGAAYAWQEAANkFAAAAAA==&#10;">
              <v:fill on="f" focussize="0,0"/>
              <v:stroke on="f" weight="0.5pt"/>
              <v:imagedata o:title=""/>
              <o:lock v:ext="edit" aspectratio="f"/>
              <v:textbox inset="0mm,0mm,0mm,0mm" style="mso-fit-shape-to-text:t;">
                <w:txbxContent>
                  <w:p>
                    <w:pPr>
                      <w:pStyle w:val="11"/>
                      <w:keepNext w:val="0"/>
                      <w:keepLines w:val="0"/>
                      <w:pageBreakBefore w:val="0"/>
                      <w:widowControl w:val="0"/>
                      <w:kinsoku/>
                      <w:wordWrap/>
                      <w:overflowPunct w:val="0"/>
                      <w:topLinePunct w:val="0"/>
                      <w:autoSpaceDE w:val="0"/>
                      <w:autoSpaceDN w:val="0"/>
                      <w:bidi w:val="0"/>
                      <w:adjustRightInd w:val="0"/>
                      <w:snapToGrid w:val="0"/>
                      <w:ind w:left="308" w:leftChars="100" w:right="308" w:rightChars="100" w:firstLine="0" w:firstLineChars="0"/>
                      <w:textAlignment w:val="baseline"/>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16</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r>
      <w:rPr>
        <w:sz w:val="18"/>
      </w:rPr>
      <mc:AlternateContent>
        <mc:Choice Requires="wps">
          <w:drawing>
            <wp:anchor distT="0" distB="0" distL="114300" distR="114300" simplePos="0" relativeHeight="251660288" behindDoc="0" locked="0" layoutInCell="1" allowOverlap="1">
              <wp:simplePos x="0" y="0"/>
              <wp:positionH relativeFrom="margin">
                <wp:posOffset>544830</wp:posOffset>
              </wp:positionH>
              <wp:positionV relativeFrom="paragraph">
                <wp:posOffset>-1394460</wp:posOffset>
              </wp:positionV>
              <wp:extent cx="690245" cy="1828800"/>
              <wp:effectExtent l="0" t="569595" r="0" b="0"/>
              <wp:wrapNone/>
              <wp:docPr id="7" name="文本框 7"/>
              <wp:cNvGraphicFramePr/>
              <a:graphic xmlns:a="http://schemas.openxmlformats.org/drawingml/2006/main">
                <a:graphicData uri="http://schemas.microsoft.com/office/word/2010/wordprocessingShape">
                  <wps:wsp>
                    <wps:cNvSpPr txBox="1"/>
                    <wps:spPr>
                      <a:xfrm rot="5400000">
                        <a:off x="0" y="0"/>
                        <a:ext cx="690245"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keepNext w:val="0"/>
                            <w:keepLines w:val="0"/>
                            <w:pageBreakBefore w:val="0"/>
                            <w:widowControl w:val="0"/>
                            <w:kinsoku/>
                            <w:wordWrap/>
                            <w:overflowPunct w:val="0"/>
                            <w:topLinePunct w:val="0"/>
                            <w:autoSpaceDE w:val="0"/>
                            <w:autoSpaceDN w:val="0"/>
                            <w:bidi w:val="0"/>
                            <w:adjustRightInd w:val="0"/>
                            <w:snapToGrid w:val="0"/>
                            <w:spacing w:line="240" w:lineRule="auto"/>
                            <w:ind w:left="0" w:leftChars="0" w:firstLine="0" w:firstLineChars="0"/>
                            <w:textAlignment w:val="baseline"/>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17</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squar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42.9pt;margin-top:-109.8pt;height:144pt;width:54.35pt;mso-position-horizontal-relative:margin;rotation:5898240f;z-index:251660288;mso-width-relative:page;mso-height-relative:page;" filled="f" stroked="f" coordsize="21600,21600" o:gfxdata="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">
              <v:fill on="f" focussize="0,0"/>
              <v:stroke on="f" weight="0.5pt"/>
              <v:imagedata o:title=""/>
              <o:lock v:ext="edit" aspectratio="f"/>
              <v:textbox inset="0mm,0mm,0mm,0mm" style="mso-fit-shape-to-text:t;">
                <w:txbxContent>
                  <w:p>
                    <w:pPr>
                      <w:pStyle w:val="11"/>
                      <w:keepNext w:val="0"/>
                      <w:keepLines w:val="0"/>
                      <w:pageBreakBefore w:val="0"/>
                      <w:widowControl w:val="0"/>
                      <w:kinsoku/>
                      <w:wordWrap/>
                      <w:overflowPunct w:val="0"/>
                      <w:topLinePunct w:val="0"/>
                      <w:autoSpaceDE w:val="0"/>
                      <w:autoSpaceDN w:val="0"/>
                      <w:bidi w:val="0"/>
                      <w:adjustRightInd w:val="0"/>
                      <w:snapToGrid w:val="0"/>
                      <w:spacing w:line="240" w:lineRule="auto"/>
                      <w:ind w:left="0" w:leftChars="0" w:firstLine="0" w:firstLineChars="0"/>
                      <w:textAlignment w:val="baseline"/>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17</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r>
      <w:rPr>
        <w:sz w:val="18"/>
      </w:rPr>
      <mc:AlternateContent>
        <mc:Choice Requires="wps">
          <w:drawing>
            <wp:anchor distT="0" distB="0" distL="114300" distR="114300" simplePos="0" relativeHeight="251662336" behindDoc="0" locked="0" layoutInCell="1" allowOverlap="1">
              <wp:simplePos x="0" y="0"/>
              <wp:positionH relativeFrom="margin">
                <wp:posOffset>554990</wp:posOffset>
              </wp:positionH>
              <wp:positionV relativeFrom="paragraph">
                <wp:posOffset>-1384300</wp:posOffset>
              </wp:positionV>
              <wp:extent cx="690245" cy="1828800"/>
              <wp:effectExtent l="0" t="569595" r="0" b="0"/>
              <wp:wrapNone/>
              <wp:docPr id="18" name="文本框 18"/>
              <wp:cNvGraphicFramePr/>
              <a:graphic xmlns:a="http://schemas.openxmlformats.org/drawingml/2006/main">
                <a:graphicData uri="http://schemas.microsoft.com/office/word/2010/wordprocessingShape">
                  <wps:wsp>
                    <wps:cNvSpPr txBox="1"/>
                    <wps:spPr>
                      <a:xfrm rot="5400000">
                        <a:off x="0" y="0"/>
                        <a:ext cx="690245"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keepNext w:val="0"/>
                            <w:keepLines w:val="0"/>
                            <w:pageBreakBefore w:val="0"/>
                            <w:widowControl w:val="0"/>
                            <w:kinsoku/>
                            <w:wordWrap/>
                            <w:overflowPunct w:val="0"/>
                            <w:topLinePunct w:val="0"/>
                            <w:autoSpaceDE w:val="0"/>
                            <w:autoSpaceDN w:val="0"/>
                            <w:bidi w:val="0"/>
                            <w:adjustRightInd w:val="0"/>
                            <w:snapToGrid w:val="0"/>
                            <w:spacing w:line="240" w:lineRule="auto"/>
                            <w:ind w:left="0" w:leftChars="0" w:firstLine="0" w:firstLineChars="0"/>
                            <w:textAlignment w:val="baseline"/>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17</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squar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43.7pt;margin-top:-109pt;height:144pt;width:54.35pt;mso-position-horizontal-relative:margin;rotation:5898240f;z-index:251662336;mso-width-relative:page;mso-height-relative:page;" filled="f" stroked="f" coordsize="21600,21600" o:gfxdata="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">
              <v:fill on="f" focussize="0,0"/>
              <v:stroke on="f" weight="0.5pt"/>
              <v:imagedata o:title=""/>
              <o:lock v:ext="edit" aspectratio="f"/>
              <v:textbox inset="0mm,0mm,0mm,0mm" style="mso-fit-shape-to-text:t;">
                <w:txbxContent>
                  <w:p>
                    <w:pPr>
                      <w:pStyle w:val="11"/>
                      <w:keepNext w:val="0"/>
                      <w:keepLines w:val="0"/>
                      <w:pageBreakBefore w:val="0"/>
                      <w:widowControl w:val="0"/>
                      <w:kinsoku/>
                      <w:wordWrap/>
                      <w:overflowPunct w:val="0"/>
                      <w:topLinePunct w:val="0"/>
                      <w:autoSpaceDE w:val="0"/>
                      <w:autoSpaceDN w:val="0"/>
                      <w:bidi w:val="0"/>
                      <w:adjustRightInd w:val="0"/>
                      <w:snapToGrid w:val="0"/>
                      <w:spacing w:line="240" w:lineRule="auto"/>
                      <w:ind w:left="0" w:leftChars="0" w:firstLine="0" w:firstLineChars="0"/>
                      <w:textAlignment w:val="baseline"/>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17</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16"/>
      </w:pPr>
      <w:r>
        <w:separator/>
      </w:r>
    </w:p>
  </w:footnote>
  <w:footnote w:type="continuationSeparator" w:id="1">
    <w:p>
      <w:pPr>
        <w:spacing w:line="240" w:lineRule="auto"/>
        <w:ind w:firstLine="616"/>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firstLine="33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firstLine="33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firstLine="336"/>
    </w:pPr>
    <w:r>
      <w:rPr>
        <w:sz w:val="18"/>
      </w:rPr>
      <mc:AlternateContent>
        <mc:Choice Requires="wps">
          <w:drawing>
            <wp:anchor distT="0" distB="0" distL="114300" distR="114300" simplePos="0" relativeHeight="251661312" behindDoc="0" locked="0" layoutInCell="1" allowOverlap="1">
              <wp:simplePos x="0" y="0"/>
              <wp:positionH relativeFrom="margin">
                <wp:posOffset>-24765</wp:posOffset>
              </wp:positionH>
              <wp:positionV relativeFrom="paragraph">
                <wp:posOffset>697865</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rot="5400000">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keepNext w:val="0"/>
                            <w:keepLines w:val="0"/>
                            <w:pageBreakBefore w:val="0"/>
                            <w:widowControl w:val="0"/>
                            <w:kinsoku/>
                            <w:wordWrap/>
                            <w:overflowPunct w:val="0"/>
                            <w:topLinePunct w:val="0"/>
                            <w:autoSpaceDE w:val="0"/>
                            <w:autoSpaceDN w:val="0"/>
                            <w:bidi w:val="0"/>
                            <w:adjustRightInd w:val="0"/>
                            <w:snapToGrid w:val="0"/>
                            <w:spacing w:line="240" w:lineRule="auto"/>
                            <w:ind w:left="0" w:leftChars="0" w:firstLine="0" w:firstLineChars="0"/>
                            <w:textAlignment w:val="baseline"/>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17</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1.95pt;margin-top:54.95pt;height:144pt;width:144pt;mso-position-horizontal-relative:margin;mso-wrap-style:none;rotation:5898240f;z-index:251661312;mso-width-relative:page;mso-height-relative:page;" filled="f" stroked="f" coordsize="21600,21600" o:gfxdata="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">
              <v:fill on="f" focussize="0,0"/>
              <v:stroke on="f" weight="0.5pt"/>
              <v:imagedata o:title=""/>
              <o:lock v:ext="edit" aspectratio="f"/>
              <v:textbox inset="0mm,0mm,0mm,0mm" style="mso-fit-shape-to-text:t;">
                <w:txbxContent>
                  <w:p>
                    <w:pPr>
                      <w:pStyle w:val="12"/>
                      <w:keepNext w:val="0"/>
                      <w:keepLines w:val="0"/>
                      <w:pageBreakBefore w:val="0"/>
                      <w:widowControl w:val="0"/>
                      <w:kinsoku/>
                      <w:wordWrap/>
                      <w:overflowPunct w:val="0"/>
                      <w:topLinePunct w:val="0"/>
                      <w:autoSpaceDE w:val="0"/>
                      <w:autoSpaceDN w:val="0"/>
                      <w:bidi w:val="0"/>
                      <w:adjustRightInd w:val="0"/>
                      <w:snapToGrid w:val="0"/>
                      <w:spacing w:line="240" w:lineRule="auto"/>
                      <w:ind w:left="0" w:leftChars="0" w:firstLine="0" w:firstLineChars="0"/>
                      <w:textAlignment w:val="baseline"/>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17</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firstLine="336"/>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firstLine="33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HorizontalSpacing w:val="105"/>
  <w:drawingGridVerticalSpacing w:val="173"/>
  <w:displayHorizontalDrawingGridEvery w:val="2"/>
  <w:displayVerticalDrawingGridEvery w:val="2"/>
  <w:noPunctuationKerning w:val="1"/>
  <w:characterSpacingControl w:val="compressPunctuation"/>
  <w:footnotePr>
    <w:footnote w:id="0"/>
    <w:footnote w:id="1"/>
  </w:footnotePr>
  <w:endnotePr>
    <w:endnote w:id="0"/>
    <w:endnote w:id="1"/>
  </w:endnotePr>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I1ZGJkZDhjMjE3YWU0ZjZhMjA2MzY3MjRiNzNjMDkifQ=="/>
  </w:docVars>
  <w:rsids>
    <w:rsidRoot w:val="30751E38"/>
    <w:rsid w:val="00012081"/>
    <w:rsid w:val="000545D8"/>
    <w:rsid w:val="00063B32"/>
    <w:rsid w:val="00067F1D"/>
    <w:rsid w:val="000E773C"/>
    <w:rsid w:val="00153356"/>
    <w:rsid w:val="001929C1"/>
    <w:rsid w:val="001B3FC3"/>
    <w:rsid w:val="001C57FB"/>
    <w:rsid w:val="00215E29"/>
    <w:rsid w:val="00220DFF"/>
    <w:rsid w:val="00232DF8"/>
    <w:rsid w:val="002433DB"/>
    <w:rsid w:val="00264F9B"/>
    <w:rsid w:val="00284318"/>
    <w:rsid w:val="002A128E"/>
    <w:rsid w:val="002D0414"/>
    <w:rsid w:val="002D4234"/>
    <w:rsid w:val="00311248"/>
    <w:rsid w:val="0032353B"/>
    <w:rsid w:val="0034316F"/>
    <w:rsid w:val="003604FC"/>
    <w:rsid w:val="003A4CCC"/>
    <w:rsid w:val="00415344"/>
    <w:rsid w:val="00416C2C"/>
    <w:rsid w:val="00443A02"/>
    <w:rsid w:val="00446B91"/>
    <w:rsid w:val="00477651"/>
    <w:rsid w:val="004817C7"/>
    <w:rsid w:val="0048225E"/>
    <w:rsid w:val="005106C3"/>
    <w:rsid w:val="005170CB"/>
    <w:rsid w:val="00561147"/>
    <w:rsid w:val="005679C6"/>
    <w:rsid w:val="00590CD0"/>
    <w:rsid w:val="005A4720"/>
    <w:rsid w:val="005E0E77"/>
    <w:rsid w:val="005F64C9"/>
    <w:rsid w:val="00665B88"/>
    <w:rsid w:val="00665C44"/>
    <w:rsid w:val="00677F13"/>
    <w:rsid w:val="0069724D"/>
    <w:rsid w:val="006A4CF9"/>
    <w:rsid w:val="006C7275"/>
    <w:rsid w:val="006D2B40"/>
    <w:rsid w:val="00717604"/>
    <w:rsid w:val="007205AE"/>
    <w:rsid w:val="00730906"/>
    <w:rsid w:val="0074798A"/>
    <w:rsid w:val="00792994"/>
    <w:rsid w:val="007D6196"/>
    <w:rsid w:val="007E117A"/>
    <w:rsid w:val="007E30B8"/>
    <w:rsid w:val="00822493"/>
    <w:rsid w:val="00850DB7"/>
    <w:rsid w:val="008646C7"/>
    <w:rsid w:val="00867E66"/>
    <w:rsid w:val="00876891"/>
    <w:rsid w:val="00882E06"/>
    <w:rsid w:val="00892888"/>
    <w:rsid w:val="00897F6C"/>
    <w:rsid w:val="00937BBC"/>
    <w:rsid w:val="00960CDB"/>
    <w:rsid w:val="00970979"/>
    <w:rsid w:val="009C5F82"/>
    <w:rsid w:val="009F5458"/>
    <w:rsid w:val="00A06D38"/>
    <w:rsid w:val="00AB5003"/>
    <w:rsid w:val="00AF64DB"/>
    <w:rsid w:val="00B12A0C"/>
    <w:rsid w:val="00B22E5E"/>
    <w:rsid w:val="00B6704F"/>
    <w:rsid w:val="00B80264"/>
    <w:rsid w:val="00B90CE9"/>
    <w:rsid w:val="00B92DD2"/>
    <w:rsid w:val="00BA2394"/>
    <w:rsid w:val="00BA49F1"/>
    <w:rsid w:val="00BA7A5F"/>
    <w:rsid w:val="00BB29B1"/>
    <w:rsid w:val="00BB468B"/>
    <w:rsid w:val="00BD1FBB"/>
    <w:rsid w:val="00C5778E"/>
    <w:rsid w:val="00C91758"/>
    <w:rsid w:val="00CA7A67"/>
    <w:rsid w:val="00CD019F"/>
    <w:rsid w:val="00D24D1F"/>
    <w:rsid w:val="00DA4CB5"/>
    <w:rsid w:val="00E22A16"/>
    <w:rsid w:val="00E325EB"/>
    <w:rsid w:val="00EA6A68"/>
    <w:rsid w:val="00EF3413"/>
    <w:rsid w:val="00F001A2"/>
    <w:rsid w:val="00F32087"/>
    <w:rsid w:val="00F557B9"/>
    <w:rsid w:val="00F624A0"/>
    <w:rsid w:val="00F835D6"/>
    <w:rsid w:val="00FE7F4E"/>
    <w:rsid w:val="011A4278"/>
    <w:rsid w:val="012F0D35"/>
    <w:rsid w:val="014A2DD9"/>
    <w:rsid w:val="01C91933"/>
    <w:rsid w:val="025E6671"/>
    <w:rsid w:val="02A66735"/>
    <w:rsid w:val="03435DF1"/>
    <w:rsid w:val="03FB4A9A"/>
    <w:rsid w:val="04A942BA"/>
    <w:rsid w:val="051A35ED"/>
    <w:rsid w:val="08074921"/>
    <w:rsid w:val="081E50EC"/>
    <w:rsid w:val="08250453"/>
    <w:rsid w:val="08B84DDC"/>
    <w:rsid w:val="09A72ED5"/>
    <w:rsid w:val="0A432ABB"/>
    <w:rsid w:val="0D2A4B97"/>
    <w:rsid w:val="0D577D11"/>
    <w:rsid w:val="0DAB10A3"/>
    <w:rsid w:val="0DB07FC6"/>
    <w:rsid w:val="0F3A448D"/>
    <w:rsid w:val="10573290"/>
    <w:rsid w:val="106C29D3"/>
    <w:rsid w:val="11107058"/>
    <w:rsid w:val="112058C2"/>
    <w:rsid w:val="116B6830"/>
    <w:rsid w:val="12814449"/>
    <w:rsid w:val="15B900D5"/>
    <w:rsid w:val="15F31839"/>
    <w:rsid w:val="15F67121"/>
    <w:rsid w:val="16C613E3"/>
    <w:rsid w:val="17A0154D"/>
    <w:rsid w:val="19207507"/>
    <w:rsid w:val="19A01797"/>
    <w:rsid w:val="1A29402B"/>
    <w:rsid w:val="1AA55F61"/>
    <w:rsid w:val="1B99253B"/>
    <w:rsid w:val="1DC05C3F"/>
    <w:rsid w:val="1DEE617C"/>
    <w:rsid w:val="205E5DB9"/>
    <w:rsid w:val="206B1DF9"/>
    <w:rsid w:val="210C5ED7"/>
    <w:rsid w:val="21717AB6"/>
    <w:rsid w:val="21746033"/>
    <w:rsid w:val="21FE7B7B"/>
    <w:rsid w:val="2221328A"/>
    <w:rsid w:val="23097670"/>
    <w:rsid w:val="23D825C1"/>
    <w:rsid w:val="24F621A4"/>
    <w:rsid w:val="25BC1C48"/>
    <w:rsid w:val="28194019"/>
    <w:rsid w:val="2B2667CE"/>
    <w:rsid w:val="2C8464BB"/>
    <w:rsid w:val="2D5704A8"/>
    <w:rsid w:val="30071D11"/>
    <w:rsid w:val="30604835"/>
    <w:rsid w:val="30751E38"/>
    <w:rsid w:val="30782C0F"/>
    <w:rsid w:val="30E718F9"/>
    <w:rsid w:val="31331859"/>
    <w:rsid w:val="31FB329D"/>
    <w:rsid w:val="320B7418"/>
    <w:rsid w:val="3314617B"/>
    <w:rsid w:val="33C1667B"/>
    <w:rsid w:val="34C3033B"/>
    <w:rsid w:val="35A32434"/>
    <w:rsid w:val="36162CAE"/>
    <w:rsid w:val="37391B99"/>
    <w:rsid w:val="390221BD"/>
    <w:rsid w:val="3923351A"/>
    <w:rsid w:val="3A137505"/>
    <w:rsid w:val="3B1E5BF2"/>
    <w:rsid w:val="3B734BFB"/>
    <w:rsid w:val="3BA0020F"/>
    <w:rsid w:val="3D5810A5"/>
    <w:rsid w:val="3E9B4BC0"/>
    <w:rsid w:val="3EF51FB7"/>
    <w:rsid w:val="3FA0186E"/>
    <w:rsid w:val="3FA255B3"/>
    <w:rsid w:val="40551D01"/>
    <w:rsid w:val="4073441E"/>
    <w:rsid w:val="40BA692C"/>
    <w:rsid w:val="40F75FF9"/>
    <w:rsid w:val="413463FC"/>
    <w:rsid w:val="42313D7C"/>
    <w:rsid w:val="426E500B"/>
    <w:rsid w:val="42D239E4"/>
    <w:rsid w:val="4334662A"/>
    <w:rsid w:val="43AD2778"/>
    <w:rsid w:val="441E4527"/>
    <w:rsid w:val="442A5B77"/>
    <w:rsid w:val="442C18EF"/>
    <w:rsid w:val="4752031A"/>
    <w:rsid w:val="47A47373"/>
    <w:rsid w:val="49D528F3"/>
    <w:rsid w:val="4B864582"/>
    <w:rsid w:val="4D166C4F"/>
    <w:rsid w:val="4E8338A9"/>
    <w:rsid w:val="4EA24E5E"/>
    <w:rsid w:val="4F10078B"/>
    <w:rsid w:val="500F3120"/>
    <w:rsid w:val="5040387F"/>
    <w:rsid w:val="5247070E"/>
    <w:rsid w:val="527C0F80"/>
    <w:rsid w:val="53191485"/>
    <w:rsid w:val="53617752"/>
    <w:rsid w:val="541D1254"/>
    <w:rsid w:val="54B54E31"/>
    <w:rsid w:val="54FE6F6C"/>
    <w:rsid w:val="553566F7"/>
    <w:rsid w:val="5562425C"/>
    <w:rsid w:val="55A874BE"/>
    <w:rsid w:val="56A30465"/>
    <w:rsid w:val="56E27AF0"/>
    <w:rsid w:val="573E7E5F"/>
    <w:rsid w:val="584414A5"/>
    <w:rsid w:val="5B595EFC"/>
    <w:rsid w:val="5BED3C02"/>
    <w:rsid w:val="5BF46C5F"/>
    <w:rsid w:val="5C07081F"/>
    <w:rsid w:val="5C657C3C"/>
    <w:rsid w:val="5C7B32FA"/>
    <w:rsid w:val="5C963108"/>
    <w:rsid w:val="5CD03307"/>
    <w:rsid w:val="5D52592E"/>
    <w:rsid w:val="60C00587"/>
    <w:rsid w:val="60F90A84"/>
    <w:rsid w:val="61A3418E"/>
    <w:rsid w:val="629B6B15"/>
    <w:rsid w:val="62EC3974"/>
    <w:rsid w:val="63AB1BF0"/>
    <w:rsid w:val="649D4417"/>
    <w:rsid w:val="65280F49"/>
    <w:rsid w:val="65A04D81"/>
    <w:rsid w:val="681B1C86"/>
    <w:rsid w:val="692B02A6"/>
    <w:rsid w:val="6AEB0A33"/>
    <w:rsid w:val="6BE24C30"/>
    <w:rsid w:val="6C895449"/>
    <w:rsid w:val="6DA92C5D"/>
    <w:rsid w:val="6F125A01"/>
    <w:rsid w:val="6F2B6AC3"/>
    <w:rsid w:val="6F527528"/>
    <w:rsid w:val="6FA55C9D"/>
    <w:rsid w:val="70427A3C"/>
    <w:rsid w:val="71432A6F"/>
    <w:rsid w:val="728F3B7D"/>
    <w:rsid w:val="72C80C54"/>
    <w:rsid w:val="733D5657"/>
    <w:rsid w:val="73724CC1"/>
    <w:rsid w:val="76965E02"/>
    <w:rsid w:val="76971714"/>
    <w:rsid w:val="779B0052"/>
    <w:rsid w:val="779C67B0"/>
    <w:rsid w:val="77B17ACF"/>
    <w:rsid w:val="785F7103"/>
    <w:rsid w:val="78B600FD"/>
    <w:rsid w:val="78F34472"/>
    <w:rsid w:val="796955CC"/>
    <w:rsid w:val="7AF221EC"/>
    <w:rsid w:val="7C6F6920"/>
    <w:rsid w:val="7D1669ED"/>
    <w:rsid w:val="7D943A85"/>
    <w:rsid w:val="7EDE9D86"/>
    <w:rsid w:val="7FE3058E"/>
    <w:rsid w:val="7FF38D0B"/>
    <w:rsid w:val="BFF63524"/>
    <w:rsid w:val="DFEBE634"/>
    <w:rsid w:val="DFF3CA48"/>
    <w:rsid w:val="FAFF67AF"/>
    <w:rsid w:val="FBFFCE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overflowPunct w:val="0"/>
      <w:autoSpaceDE w:val="0"/>
      <w:autoSpaceDN w:val="0"/>
      <w:adjustRightInd w:val="0"/>
      <w:snapToGrid w:val="0"/>
      <w:spacing w:line="600" w:lineRule="exact"/>
      <w:ind w:firstLine="616" w:firstLineChars="200"/>
      <w:jc w:val="both"/>
      <w:textAlignment w:val="baseline"/>
    </w:pPr>
    <w:rPr>
      <w:rFonts w:ascii="Times New Roman" w:hAnsi="Times New Roman" w:eastAsia="仿宋_GB2312" w:cs="Times New Roman"/>
      <w:snapToGrid w:val="0"/>
      <w:spacing w:val="-6"/>
      <w:sz w:val="32"/>
      <w:szCs w:val="32"/>
      <w:lang w:val="en-US" w:eastAsia="zh-CN" w:bidi="ar-SA"/>
    </w:rPr>
  </w:style>
  <w:style w:type="paragraph" w:styleId="4">
    <w:name w:val="heading 1"/>
    <w:basedOn w:val="1"/>
    <w:next w:val="1"/>
    <w:qFormat/>
    <w:uiPriority w:val="0"/>
    <w:pPr>
      <w:keepNext/>
      <w:keepLines/>
      <w:spacing w:before="340" w:after="330" w:line="576" w:lineRule="auto"/>
      <w:outlineLvl w:val="0"/>
    </w:pPr>
    <w:rPr>
      <w:b/>
      <w:kern w:val="44"/>
      <w:sz w:val="44"/>
    </w:rPr>
  </w:style>
  <w:style w:type="paragraph" w:styleId="5">
    <w:name w:val="heading 2"/>
    <w:basedOn w:val="1"/>
    <w:next w:val="1"/>
    <w:unhideWhenUsed/>
    <w:qFormat/>
    <w:uiPriority w:val="0"/>
    <w:pPr>
      <w:keepNext/>
      <w:keepLines/>
      <w:spacing w:before="260" w:after="260" w:line="413" w:lineRule="auto"/>
      <w:outlineLvl w:val="1"/>
    </w:pPr>
    <w:rPr>
      <w:rFonts w:eastAsia="黑体"/>
      <w:b/>
    </w:rPr>
  </w:style>
  <w:style w:type="paragraph" w:styleId="6">
    <w:name w:val="heading 5"/>
    <w:basedOn w:val="1"/>
    <w:next w:val="1"/>
    <w:unhideWhenUsed/>
    <w:qFormat/>
    <w:uiPriority w:val="0"/>
    <w:pPr>
      <w:keepNext/>
      <w:keepLines/>
      <w:spacing w:before="280" w:after="290" w:line="376" w:lineRule="auto"/>
      <w:outlineLvl w:val="4"/>
    </w:pPr>
    <w:rPr>
      <w:b/>
      <w:bCs/>
      <w:sz w:val="28"/>
      <w:szCs w:val="28"/>
    </w:rPr>
  </w:style>
  <w:style w:type="character" w:default="1" w:styleId="16">
    <w:name w:val="Default Paragraph Font"/>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customStyle="1" w:styleId="2">
    <w:name w:val="Body Text First Indent 21"/>
    <w:basedOn w:val="3"/>
    <w:qFormat/>
    <w:uiPriority w:val="99"/>
    <w:pPr>
      <w:widowControl w:val="0"/>
      <w:spacing w:before="100" w:beforeAutospacing="1" w:after="100" w:afterAutospacing="1"/>
      <w:ind w:left="200" w:firstLine="420" w:firstLineChars="200"/>
    </w:pPr>
  </w:style>
  <w:style w:type="paragraph" w:customStyle="1" w:styleId="3">
    <w:name w:val="Body Text Indent1"/>
    <w:basedOn w:val="1"/>
    <w:qFormat/>
    <w:uiPriority w:val="99"/>
    <w:pPr>
      <w:ind w:left="420" w:leftChars="200"/>
    </w:pPr>
  </w:style>
  <w:style w:type="paragraph" w:styleId="7">
    <w:name w:val="table of authorities"/>
    <w:basedOn w:val="1"/>
    <w:next w:val="1"/>
    <w:qFormat/>
    <w:uiPriority w:val="0"/>
    <w:pPr>
      <w:ind w:left="420" w:leftChars="200"/>
    </w:pPr>
  </w:style>
  <w:style w:type="paragraph" w:styleId="8">
    <w:name w:val="annotation text"/>
    <w:basedOn w:val="1"/>
    <w:link w:val="23"/>
    <w:qFormat/>
    <w:uiPriority w:val="0"/>
  </w:style>
  <w:style w:type="paragraph" w:styleId="9">
    <w:name w:val="Body Text"/>
    <w:basedOn w:val="1"/>
    <w:semiHidden/>
    <w:qFormat/>
    <w:uiPriority w:val="0"/>
    <w:rPr>
      <w:rFonts w:ascii="Arial" w:hAnsi="Arial" w:eastAsia="Arial" w:cs="Arial"/>
      <w:sz w:val="21"/>
      <w:szCs w:val="21"/>
      <w:lang w:val="en-US" w:eastAsia="en-US" w:bidi="ar-SA"/>
    </w:rPr>
  </w:style>
  <w:style w:type="paragraph" w:styleId="10">
    <w:name w:val="Balloon Text"/>
    <w:basedOn w:val="1"/>
    <w:link w:val="26"/>
    <w:qFormat/>
    <w:uiPriority w:val="0"/>
    <w:rPr>
      <w:sz w:val="18"/>
      <w:szCs w:val="18"/>
    </w:rPr>
  </w:style>
  <w:style w:type="paragraph" w:styleId="11">
    <w:name w:val="footer"/>
    <w:basedOn w:val="1"/>
    <w:link w:val="25"/>
    <w:qFormat/>
    <w:uiPriority w:val="99"/>
    <w:pPr>
      <w:tabs>
        <w:tab w:val="center" w:pos="4153"/>
        <w:tab w:val="right" w:pos="8306"/>
      </w:tabs>
    </w:pPr>
    <w:rPr>
      <w:sz w:val="18"/>
    </w:rPr>
  </w:style>
  <w:style w:type="paragraph" w:styleId="1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pPr>
    <w:rPr>
      <w:sz w:val="18"/>
    </w:rPr>
  </w:style>
  <w:style w:type="paragraph" w:styleId="13">
    <w:name w:val="Subtitle"/>
    <w:basedOn w:val="1"/>
    <w:next w:val="1"/>
    <w:link w:val="28"/>
    <w:qFormat/>
    <w:uiPriority w:val="11"/>
    <w:pPr>
      <w:overflowPunct/>
      <w:autoSpaceDE/>
      <w:autoSpaceDN/>
      <w:adjustRightInd/>
      <w:snapToGrid/>
      <w:spacing w:line="240" w:lineRule="auto"/>
      <w:ind w:firstLine="0" w:firstLineChars="0"/>
      <w:jc w:val="center"/>
      <w:textAlignment w:val="auto"/>
    </w:pPr>
    <w:rPr>
      <w:rFonts w:eastAsia="宋体" w:cs="Times New Roman (正文 CS 字体)"/>
      <w:snapToGrid/>
      <w:spacing w:val="0"/>
      <w:kern w:val="2"/>
      <w:sz w:val="21"/>
      <w:szCs w:val="21"/>
    </w:rPr>
  </w:style>
  <w:style w:type="paragraph" w:styleId="14">
    <w:name w:val="annotation subject"/>
    <w:basedOn w:val="8"/>
    <w:next w:val="8"/>
    <w:link w:val="24"/>
    <w:qFormat/>
    <w:uiPriority w:val="0"/>
    <w:rPr>
      <w:b/>
      <w:bCs/>
    </w:rPr>
  </w:style>
  <w:style w:type="character" w:styleId="17">
    <w:name w:val="annotation reference"/>
    <w:basedOn w:val="16"/>
    <w:qFormat/>
    <w:uiPriority w:val="0"/>
    <w:rPr>
      <w:sz w:val="21"/>
      <w:szCs w:val="21"/>
    </w:rPr>
  </w:style>
  <w:style w:type="paragraph" w:customStyle="1" w:styleId="18">
    <w:name w:val="Default43"/>
    <w:qFormat/>
    <w:uiPriority w:val="99"/>
    <w:pPr>
      <w:widowControl w:val="0"/>
      <w:autoSpaceDE w:val="0"/>
      <w:autoSpaceDN w:val="0"/>
      <w:adjustRightInd w:val="0"/>
    </w:pPr>
    <w:rPr>
      <w:rFonts w:ascii="Tahoma" w:hAnsi="Tahoma" w:eastAsia="宋体" w:cs="Tahoma"/>
      <w:color w:val="000000"/>
      <w:sz w:val="24"/>
      <w:szCs w:val="24"/>
      <w:lang w:val="en-US" w:eastAsia="zh-CN" w:bidi="ar-SA"/>
    </w:rPr>
  </w:style>
  <w:style w:type="table" w:customStyle="1" w:styleId="19">
    <w:name w:val="Table Normal"/>
    <w:unhideWhenUsed/>
    <w:qFormat/>
    <w:uiPriority w:val="0"/>
    <w:tblPr>
      <w:tblCellMar>
        <w:top w:w="0" w:type="dxa"/>
        <w:left w:w="0" w:type="dxa"/>
        <w:bottom w:w="0" w:type="dxa"/>
        <w:right w:w="0" w:type="dxa"/>
      </w:tblCellMar>
    </w:tblPr>
  </w:style>
  <w:style w:type="paragraph" w:customStyle="1" w:styleId="20">
    <w:name w:val="表"/>
    <w:basedOn w:val="21"/>
    <w:qFormat/>
    <w:uiPriority w:val="0"/>
    <w:rPr>
      <w:rFonts w:cs="Times New Roman" w:eastAsiaTheme="minorEastAsia"/>
      <w:b w:val="0"/>
      <w:color w:val="000000"/>
      <w:sz w:val="21"/>
      <w:szCs w:val="21"/>
    </w:rPr>
  </w:style>
  <w:style w:type="paragraph" w:customStyle="1" w:styleId="21">
    <w:name w:val="表名"/>
    <w:qFormat/>
    <w:uiPriority w:val="0"/>
    <w:pPr>
      <w:jc w:val="center"/>
    </w:pPr>
    <w:rPr>
      <w:rFonts w:ascii="Times New Roman" w:hAnsi="Times New Roman" w:eastAsia="宋体" w:cs="Arial Unicode MS"/>
      <w:b/>
      <w:sz w:val="24"/>
      <w:szCs w:val="32"/>
      <w:lang w:val="en-US" w:eastAsia="zh-CN" w:bidi="ar-SA"/>
    </w:rPr>
  </w:style>
  <w:style w:type="table" w:customStyle="1" w:styleId="22">
    <w:name w:val="网格型5"/>
    <w:basedOn w:val="15"/>
    <w:qFormat/>
    <w:uiPriority w:val="99"/>
    <w:pPr>
      <w:widowControl w:val="0"/>
      <w:jc w:val="both"/>
    </w:pPr>
    <w:rPr>
      <w:rFonts w:eastAsia="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23">
    <w:name w:val="批注文字 字符"/>
    <w:basedOn w:val="16"/>
    <w:link w:val="8"/>
    <w:qFormat/>
    <w:uiPriority w:val="0"/>
    <w:rPr>
      <w:rFonts w:ascii="Arial" w:hAnsi="Arial" w:eastAsia="Arial" w:cs="Arial"/>
      <w:snapToGrid w:val="0"/>
      <w:color w:val="000000"/>
      <w:sz w:val="21"/>
      <w:szCs w:val="21"/>
    </w:rPr>
  </w:style>
  <w:style w:type="character" w:customStyle="1" w:styleId="24">
    <w:name w:val="批注主题 字符"/>
    <w:basedOn w:val="23"/>
    <w:link w:val="14"/>
    <w:qFormat/>
    <w:uiPriority w:val="0"/>
    <w:rPr>
      <w:rFonts w:ascii="Arial" w:hAnsi="Arial" w:eastAsia="Arial" w:cs="Arial"/>
      <w:b/>
      <w:bCs/>
      <w:snapToGrid w:val="0"/>
      <w:color w:val="000000"/>
      <w:sz w:val="21"/>
      <w:szCs w:val="21"/>
    </w:rPr>
  </w:style>
  <w:style w:type="character" w:customStyle="1" w:styleId="25">
    <w:name w:val="页脚 字符"/>
    <w:link w:val="11"/>
    <w:qFormat/>
    <w:uiPriority w:val="99"/>
    <w:rPr>
      <w:rFonts w:ascii="Arial" w:hAnsi="Arial" w:eastAsia="Arial" w:cs="Arial"/>
      <w:snapToGrid w:val="0"/>
      <w:color w:val="000000"/>
      <w:sz w:val="18"/>
      <w:szCs w:val="21"/>
    </w:rPr>
  </w:style>
  <w:style w:type="character" w:customStyle="1" w:styleId="26">
    <w:name w:val="批注框文本 字符"/>
    <w:basedOn w:val="16"/>
    <w:link w:val="10"/>
    <w:qFormat/>
    <w:uiPriority w:val="0"/>
    <w:rPr>
      <w:rFonts w:ascii="Arial" w:hAnsi="Arial" w:eastAsia="Arial" w:cs="Arial"/>
      <w:snapToGrid w:val="0"/>
      <w:color w:val="000000"/>
      <w:sz w:val="18"/>
      <w:szCs w:val="18"/>
    </w:rPr>
  </w:style>
  <w:style w:type="paragraph" w:styleId="27">
    <w:name w:val="List Paragraph"/>
    <w:basedOn w:val="1"/>
    <w:unhideWhenUsed/>
    <w:qFormat/>
    <w:uiPriority w:val="99"/>
    <w:pPr>
      <w:ind w:firstLine="420"/>
    </w:pPr>
  </w:style>
  <w:style w:type="character" w:customStyle="1" w:styleId="28">
    <w:name w:val="副标题 字符"/>
    <w:basedOn w:val="16"/>
    <w:link w:val="13"/>
    <w:qFormat/>
    <w:uiPriority w:val="11"/>
    <w:rPr>
      <w:rFonts w:cs="Times New Roman (正文 CS 字体)"/>
      <w:kern w:val="2"/>
      <w:sz w:val="21"/>
      <w:szCs w:val="21"/>
    </w:rPr>
  </w:style>
  <w:style w:type="paragraph" w:customStyle="1" w:styleId="29">
    <w:name w:val="Body Text First Indent1"/>
    <w:basedOn w:val="9"/>
    <w:qFormat/>
    <w:uiPriority w:val="0"/>
    <w:pPr>
      <w:spacing w:after="0" w:afterLines="0"/>
      <w:ind w:firstLine="420"/>
    </w:p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5.xml"/><Relationship Id="rId13" Type="http://schemas.openxmlformats.org/officeDocument/2006/relationships/header" Target="head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25</Pages>
  <Words>6567</Words>
  <Characters>6667</Characters>
  <Lines>78</Lines>
  <Paragraphs>22</Paragraphs>
  <TotalTime>4</TotalTime>
  <ScaleCrop>false</ScaleCrop>
  <LinksUpToDate>false</LinksUpToDate>
  <CharactersWithSpaces>6955</CharactersWithSpaces>
  <Application>WPS Office_11.1.0.10702_F1E327BC-269C-435d-A152-05C5408002CA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2024-03-19T08:51:00Z</dcterms:created>
  <dc:creator>佟</dc:creator>
  <cp:lastModifiedBy>greatwall</cp:lastModifiedBy>
  <cp:lastPrinted>2024-11-27T18:38:00Z</cp:lastPrinted>
  <dcterms:modified xsi:type="dcterms:W3CDTF">2024-12-03T10:12:50Z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2052-11.1.0.10702</vt:lpwstr>
  </property>
  <property fmtid="{D5CDD505-2E9C-101B-9397-08002B2CF9AE}" pid="3" name="ICV">
    <vt:lpwstr>2BD2ED026635455A8555CA79A7FA3F04_13</vt:lpwstr>
  </property>
</Properties>
</file>