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62"/>
        <w:ind w:right="0"/>
        <w:jc w:val="left"/>
        <w:rPr>
          <w:rFonts w:hint="eastAsia" w:ascii="黑体" w:hAnsi="黑体" w:eastAsia="黑体" w:cs="黑体"/>
          <w:color w:val="auto"/>
          <w:w w:val="105"/>
          <w:sz w:val="32"/>
          <w:szCs w:val="32"/>
        </w:rPr>
      </w:pPr>
      <w:r>
        <w:rPr>
          <w:rFonts w:hint="eastAsia" w:ascii="黑体" w:hAnsi="黑体" w:eastAsia="黑体" w:cs="黑体"/>
          <w:color w:val="auto"/>
          <w:w w:val="105"/>
          <w:sz w:val="32"/>
          <w:szCs w:val="32"/>
        </w:rPr>
        <w:t>附件1</w:t>
      </w:r>
    </w:p>
    <w:p>
      <w:pPr>
        <w:pStyle w:val="2"/>
        <w:rPr>
          <w:rFonts w:hint="eastAsia"/>
          <w:color w:val="auto"/>
          <w:lang w:eastAsia="zh-CN"/>
        </w:rPr>
      </w:pPr>
    </w:p>
    <w:p>
      <w:pPr>
        <w:pStyle w:val="3"/>
        <w:spacing w:before="0" w:line="240" w:lineRule="auto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  <w:t>征地补偿标准</w:t>
      </w:r>
    </w:p>
    <w:p>
      <w:pPr>
        <w:spacing w:before="0"/>
        <w:ind w:right="0"/>
        <w:jc w:val="left"/>
        <w:rPr>
          <w:rFonts w:hint="eastAsia" w:ascii="黑体" w:hAnsi="黑体" w:eastAsia="黑体" w:cs="黑体"/>
          <w:b w:val="0"/>
          <w:bCs w:val="0"/>
          <w:color w:val="auto"/>
          <w:w w:val="105"/>
          <w:sz w:val="31"/>
          <w:lang w:val="en-US" w:eastAsia="zh-CN"/>
        </w:rPr>
      </w:pPr>
    </w:p>
    <w:p>
      <w:pPr>
        <w:spacing w:before="0"/>
        <w:ind w:right="0"/>
        <w:jc w:val="left"/>
        <w:rPr>
          <w:rFonts w:hint="eastAsia" w:ascii="黑体" w:hAnsi="黑体" w:eastAsia="黑体" w:cs="黑体"/>
          <w:b w:val="0"/>
          <w:bCs w:val="0"/>
          <w:color w:val="auto"/>
          <w:w w:val="105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w w:val="105"/>
          <w:sz w:val="32"/>
          <w:szCs w:val="32"/>
          <w:lang w:val="en-US" w:eastAsia="zh-CN"/>
        </w:rPr>
        <w:t>一</w:t>
      </w:r>
      <w:r>
        <w:rPr>
          <w:rFonts w:hint="eastAsia" w:ascii="黑体" w:hAnsi="黑体" w:eastAsia="黑体" w:cs="黑体"/>
          <w:b w:val="0"/>
          <w:bCs w:val="0"/>
          <w:color w:val="auto"/>
          <w:w w:val="105"/>
          <w:sz w:val="32"/>
          <w:szCs w:val="32"/>
        </w:rPr>
        <w:t>、永久性征收（用）土地补偿标准</w:t>
      </w:r>
    </w:p>
    <w:p>
      <w:pPr>
        <w:spacing w:before="0"/>
        <w:ind w:right="0"/>
        <w:jc w:val="left"/>
        <w:rPr>
          <w:rFonts w:hint="default" w:ascii="仿宋_GB2312" w:hAnsi="仿宋_GB2312" w:eastAsia="仿宋_GB2312" w:cs="仿宋_GB2312"/>
          <w:b w:val="0"/>
          <w:bCs w:val="0"/>
          <w:color w:val="auto"/>
          <w:w w:val="105"/>
          <w:sz w:val="31"/>
          <w:lang w:eastAsia="zh-CN"/>
        </w:rPr>
      </w:pPr>
    </w:p>
    <w:p>
      <w:pPr>
        <w:spacing w:before="0" w:after="0"/>
        <w:ind w:left="0" w:right="0" w:firstLine="0"/>
        <w:jc w:val="center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w w:val="85"/>
          <w:sz w:val="32"/>
          <w:szCs w:val="32"/>
        </w:rPr>
        <w:t>单位：元／亩</w:t>
      </w:r>
    </w:p>
    <w:tbl>
      <w:tblPr>
        <w:tblStyle w:val="6"/>
        <w:tblpPr w:leftFromText="180" w:rightFromText="180" w:vertAnchor="text" w:horzAnchor="page" w:tblpX="1866" w:tblpY="112"/>
        <w:tblOverlap w:val="never"/>
        <w:tblW w:w="8276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88"/>
        <w:gridCol w:w="1402"/>
        <w:gridCol w:w="2288"/>
        <w:gridCol w:w="1410"/>
        <w:gridCol w:w="168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2" w:hRule="atLeast"/>
        </w:trPr>
        <w:tc>
          <w:tcPr>
            <w:tcW w:w="1488" w:type="dxa"/>
            <w:vAlign w:val="center"/>
          </w:tcPr>
          <w:p>
            <w:pPr>
              <w:pStyle w:val="9"/>
              <w:spacing w:before="141"/>
              <w:ind w:left="94" w:right="72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地类</w:t>
            </w:r>
          </w:p>
        </w:tc>
        <w:tc>
          <w:tcPr>
            <w:tcW w:w="1402" w:type="dxa"/>
            <w:vAlign w:val="center"/>
          </w:tcPr>
          <w:p>
            <w:pPr>
              <w:pStyle w:val="9"/>
              <w:spacing w:before="136"/>
              <w:ind w:left="136" w:right="126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水地</w:t>
            </w:r>
          </w:p>
        </w:tc>
        <w:tc>
          <w:tcPr>
            <w:tcW w:w="2288" w:type="dxa"/>
            <w:vAlign w:val="center"/>
          </w:tcPr>
          <w:p>
            <w:pPr>
              <w:pStyle w:val="9"/>
              <w:spacing w:before="141"/>
              <w:ind w:left="70" w:right="59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  <w:t>坝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坪地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  <w:t>、梯田</w:t>
            </w:r>
          </w:p>
        </w:tc>
        <w:tc>
          <w:tcPr>
            <w:tcW w:w="1410" w:type="dxa"/>
            <w:vAlign w:val="center"/>
          </w:tcPr>
          <w:p>
            <w:pPr>
              <w:pStyle w:val="9"/>
              <w:spacing w:before="141"/>
              <w:ind w:left="106" w:right="101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坡地</w:t>
            </w:r>
          </w:p>
        </w:tc>
        <w:tc>
          <w:tcPr>
            <w:tcW w:w="1688" w:type="dxa"/>
            <w:vAlign w:val="center"/>
          </w:tcPr>
          <w:p>
            <w:pPr>
              <w:pStyle w:val="9"/>
              <w:spacing w:before="127"/>
              <w:jc w:val="center"/>
              <w:rPr>
                <w:rFonts w:hint="eastAsia" w:ascii="仿宋_GB2312" w:hAnsi="仿宋_GB2312" w:eastAsia="仿宋_GB2312" w:cs="仿宋_GB2312"/>
                <w:color w:val="auto"/>
                <w:w w:val="95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95"/>
                <w:sz w:val="32"/>
                <w:szCs w:val="32"/>
              </w:rPr>
              <w:t>未利用地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1488" w:type="dxa"/>
            <w:tcBorders>
              <w:top w:val="single" w:color="000000" w:sz="2" w:space="0"/>
            </w:tcBorders>
            <w:vAlign w:val="center"/>
          </w:tcPr>
          <w:p>
            <w:pPr>
              <w:pStyle w:val="9"/>
              <w:spacing w:before="35"/>
              <w:ind w:left="104" w:right="68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补偿标准</w:t>
            </w:r>
          </w:p>
        </w:tc>
        <w:tc>
          <w:tcPr>
            <w:tcW w:w="1402" w:type="dxa"/>
            <w:tcBorders>
              <w:top w:val="single" w:color="000000" w:sz="2" w:space="0"/>
            </w:tcBorders>
            <w:vAlign w:val="center"/>
          </w:tcPr>
          <w:p>
            <w:pPr>
              <w:pStyle w:val="9"/>
              <w:spacing w:before="52"/>
              <w:ind w:left="167" w:right="126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69800</w:t>
            </w:r>
          </w:p>
        </w:tc>
        <w:tc>
          <w:tcPr>
            <w:tcW w:w="2288" w:type="dxa"/>
            <w:tcBorders>
              <w:top w:val="single" w:color="000000" w:sz="2" w:space="0"/>
            </w:tcBorders>
            <w:vAlign w:val="center"/>
          </w:tcPr>
          <w:p>
            <w:pPr>
              <w:pStyle w:val="9"/>
              <w:spacing w:before="52"/>
              <w:ind w:left="207" w:firstLine="640" w:firstLineChars="200"/>
              <w:jc w:val="both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52822</w:t>
            </w:r>
          </w:p>
        </w:tc>
        <w:tc>
          <w:tcPr>
            <w:tcW w:w="1410" w:type="dxa"/>
            <w:tcBorders>
              <w:top w:val="single" w:color="000000" w:sz="2" w:space="0"/>
            </w:tcBorders>
            <w:vAlign w:val="center"/>
          </w:tcPr>
          <w:p>
            <w:pPr>
              <w:pStyle w:val="9"/>
              <w:spacing w:before="52"/>
              <w:ind w:left="137" w:right="101"/>
              <w:jc w:val="center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48020</w:t>
            </w:r>
          </w:p>
        </w:tc>
        <w:tc>
          <w:tcPr>
            <w:tcW w:w="1688" w:type="dxa"/>
            <w:tcBorders>
              <w:top w:val="single" w:color="000000" w:sz="2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38416</w:t>
            </w:r>
          </w:p>
        </w:tc>
      </w:tr>
    </w:tbl>
    <w:p>
      <w:pPr>
        <w:spacing w:before="0"/>
        <w:ind w:left="0" w:right="0" w:firstLine="0"/>
        <w:jc w:val="left"/>
        <w:rPr>
          <w:rFonts w:hint="eastAsia" w:ascii="仿宋_GB2312" w:hAnsi="仿宋_GB2312" w:eastAsia="仿宋_GB2312" w:cs="仿宋_GB2312"/>
          <w:b w:val="0"/>
          <w:bCs w:val="0"/>
          <w:color w:val="auto"/>
          <w:w w:val="105"/>
          <w:sz w:val="32"/>
          <w:szCs w:val="32"/>
          <w:lang w:val="en-US" w:eastAsia="zh-CN"/>
        </w:rPr>
      </w:pPr>
    </w:p>
    <w:p>
      <w:pPr>
        <w:spacing w:before="0"/>
        <w:ind w:right="0"/>
        <w:jc w:val="left"/>
        <w:rPr>
          <w:rFonts w:hint="eastAsia" w:ascii="黑体" w:hAnsi="黑体" w:eastAsia="黑体" w:cs="黑体"/>
          <w:b w:val="0"/>
          <w:bCs w:val="0"/>
          <w:color w:val="auto"/>
          <w:w w:val="105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w w:val="105"/>
          <w:sz w:val="32"/>
          <w:szCs w:val="32"/>
          <w:lang w:val="en-US" w:eastAsia="zh-CN"/>
        </w:rPr>
        <w:t>二、临时占地(青苗)补偿标准每年</w:t>
      </w:r>
    </w:p>
    <w:tbl>
      <w:tblPr>
        <w:tblStyle w:val="7"/>
        <w:tblpPr w:leftFromText="180" w:rightFromText="180" w:vertAnchor="text" w:horzAnchor="page" w:tblpX="1944" w:tblpY="116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29"/>
        <w:gridCol w:w="42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4229" w:type="dxa"/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地类</w:t>
            </w:r>
          </w:p>
        </w:tc>
        <w:tc>
          <w:tcPr>
            <w:tcW w:w="4230" w:type="dxa"/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补偿标准（元/亩）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4229" w:type="dxa"/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水地</w:t>
            </w:r>
          </w:p>
        </w:tc>
        <w:tc>
          <w:tcPr>
            <w:tcW w:w="4230" w:type="dxa"/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2406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4229" w:type="dxa"/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坝坪地、梯田</w:t>
            </w:r>
          </w:p>
        </w:tc>
        <w:tc>
          <w:tcPr>
            <w:tcW w:w="4230" w:type="dxa"/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1956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4229" w:type="dxa"/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坡地</w:t>
            </w:r>
          </w:p>
        </w:tc>
        <w:tc>
          <w:tcPr>
            <w:tcW w:w="4230" w:type="dxa"/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1778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4229" w:type="dxa"/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未利用地</w:t>
            </w:r>
          </w:p>
        </w:tc>
        <w:tc>
          <w:tcPr>
            <w:tcW w:w="4230" w:type="dxa"/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1422</w:t>
            </w:r>
          </w:p>
        </w:tc>
      </w:tr>
    </w:tbl>
    <w:p>
      <w:pPr>
        <w:spacing w:before="0"/>
        <w:ind w:left="0" w:right="0" w:firstLine="0"/>
        <w:jc w:val="left"/>
        <w:rPr>
          <w:rFonts w:hint="eastAsia" w:ascii="黑体" w:hAnsi="黑体" w:eastAsia="黑体" w:cs="黑体"/>
          <w:b w:val="0"/>
          <w:bCs w:val="0"/>
          <w:color w:val="auto"/>
          <w:w w:val="105"/>
          <w:sz w:val="31"/>
          <w:lang w:val="en-US" w:eastAsia="zh-CN"/>
        </w:rPr>
      </w:pPr>
    </w:p>
    <w:tbl>
      <w:tblPr>
        <w:tblStyle w:val="6"/>
        <w:tblpPr w:leftFromText="180" w:rightFromText="180" w:vertAnchor="text" w:horzAnchor="page" w:tblpXSpec="center" w:tblpY="542"/>
        <w:tblOverlap w:val="never"/>
        <w:tblW w:w="8117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42"/>
        <w:gridCol w:w="337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4742" w:type="dxa"/>
          </w:tcPr>
          <w:p>
            <w:pPr>
              <w:pStyle w:val="9"/>
              <w:tabs>
                <w:tab w:val="left" w:pos="511"/>
              </w:tabs>
              <w:spacing w:before="186"/>
              <w:ind w:left="29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110"/>
                <w:sz w:val="32"/>
                <w:szCs w:val="32"/>
              </w:rPr>
              <w:t>项</w:t>
            </w:r>
            <w:r>
              <w:rPr>
                <w:rFonts w:hint="eastAsia" w:ascii="仿宋_GB2312" w:hAnsi="仿宋_GB2312" w:eastAsia="仿宋_GB2312" w:cs="仿宋_GB2312"/>
                <w:color w:val="auto"/>
                <w:w w:val="110"/>
                <w:sz w:val="32"/>
                <w:szCs w:val="32"/>
              </w:rPr>
              <w:tab/>
            </w:r>
            <w:r>
              <w:rPr>
                <w:rFonts w:hint="eastAsia" w:ascii="仿宋_GB2312" w:hAnsi="仿宋_GB2312" w:eastAsia="仿宋_GB2312" w:cs="仿宋_GB2312"/>
                <w:color w:val="auto"/>
                <w:w w:val="110"/>
                <w:sz w:val="32"/>
                <w:szCs w:val="32"/>
              </w:rPr>
              <w:t>目</w:t>
            </w:r>
          </w:p>
        </w:tc>
        <w:tc>
          <w:tcPr>
            <w:tcW w:w="3375" w:type="dxa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46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95"/>
                <w:sz w:val="32"/>
                <w:szCs w:val="32"/>
              </w:rPr>
              <w:t>补偿标准（元／亩）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4742" w:type="dxa"/>
          </w:tcPr>
          <w:p>
            <w:pPr>
              <w:pStyle w:val="9"/>
              <w:spacing w:before="146"/>
              <w:ind w:right="437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易复垦、未铺垫砂石、未硬化</w:t>
            </w:r>
          </w:p>
        </w:tc>
        <w:tc>
          <w:tcPr>
            <w:tcW w:w="3375" w:type="dxa"/>
          </w:tcPr>
          <w:p>
            <w:pPr>
              <w:pStyle w:val="9"/>
              <w:spacing w:before="167"/>
              <w:ind w:left="906" w:right="90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6800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4742" w:type="dxa"/>
          </w:tcPr>
          <w:p>
            <w:pPr>
              <w:pStyle w:val="9"/>
              <w:spacing w:before="141"/>
              <w:ind w:left="11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较难复垦、未硬化</w:t>
            </w:r>
          </w:p>
        </w:tc>
        <w:tc>
          <w:tcPr>
            <w:tcW w:w="3375" w:type="dxa"/>
          </w:tcPr>
          <w:p>
            <w:pPr>
              <w:pStyle w:val="9"/>
              <w:spacing w:before="157"/>
              <w:ind w:left="906" w:right="894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8000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4742" w:type="dxa"/>
          </w:tcPr>
          <w:p>
            <w:pPr>
              <w:pStyle w:val="9"/>
              <w:spacing w:before="141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难复垦、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  <w:t>已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硬化</w:t>
            </w:r>
          </w:p>
        </w:tc>
        <w:tc>
          <w:tcPr>
            <w:tcW w:w="3375" w:type="dxa"/>
            <w:tcBorders>
              <w:right w:val="single" w:color="000000" w:sz="2" w:space="0"/>
            </w:tcBorders>
          </w:tcPr>
          <w:p>
            <w:pPr>
              <w:pStyle w:val="9"/>
              <w:keepNext w:val="0"/>
              <w:keepLines w:val="0"/>
              <w:pageBreakBefore w:val="0"/>
              <w:widowControl w:val="0"/>
              <w:tabs>
                <w:tab w:val="left" w:pos="1760"/>
                <w:tab w:val="left" w:pos="3300"/>
                <w:tab w:val="left" w:pos="4180"/>
                <w:tab w:val="left" w:pos="440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6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12000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587254"/>
    <w:rsid w:val="18587254"/>
    <w:rsid w:val="32BD6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en-US" w:eastAsia="en-US" w:bidi="ar-SA"/>
    </w:rPr>
  </w:style>
  <w:style w:type="paragraph" w:styleId="3">
    <w:name w:val="heading 2"/>
    <w:basedOn w:val="1"/>
    <w:next w:val="1"/>
    <w:qFormat/>
    <w:uiPriority w:val="1"/>
    <w:pPr>
      <w:ind w:left="119"/>
      <w:outlineLvl w:val="2"/>
    </w:pPr>
    <w:rPr>
      <w:rFonts w:ascii="宋体" w:hAnsi="宋体" w:eastAsia="宋体" w:cs="宋体"/>
      <w:sz w:val="42"/>
      <w:szCs w:val="42"/>
    </w:rPr>
  </w:style>
  <w:style w:type="character" w:default="1" w:styleId="8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 Spacing_ad81b47b-6779-4c76-b471-79375858c8cb"/>
    <w:basedOn w:val="1"/>
    <w:qFormat/>
    <w:uiPriority w:val="99"/>
    <w:pPr>
      <w:ind w:firstLine="200" w:firstLineChars="200"/>
    </w:pPr>
    <w:rPr>
      <w:rFonts w:ascii="Cambria" w:hAnsi="Cambria"/>
      <w:sz w:val="24"/>
    </w:rPr>
  </w:style>
  <w:style w:type="paragraph" w:styleId="4">
    <w:name w:val="Body Text"/>
    <w:basedOn w:val="1"/>
    <w:qFormat/>
    <w:uiPriority w:val="1"/>
    <w:rPr>
      <w:rFonts w:ascii="宋体" w:hAnsi="宋体" w:eastAsia="宋体" w:cs="宋体"/>
      <w:sz w:val="32"/>
      <w:szCs w:val="32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9">
    <w:name w:val="Table Paragraph"/>
    <w:basedOn w:val="1"/>
    <w:qFormat/>
    <w:uiPriority w:val="1"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Office_11.8.2.11978_F1E327BC-269C-435d-A152-05C5408002CA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2023-12-14T09:29:00Z</dcterms:created>
  <dc:creator>Administrator</dc:creator>
  <cp:lastModifiedBy>Administrator</cp:lastModifiedBy>
  <dcterms:modified xsi:type="dcterms:W3CDTF">2023-12-14T09:34:24Z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2052-11.8.2.11978</vt:lpwstr>
  </property>
  <property fmtid="{D5CDD505-2E9C-101B-9397-08002B2CF9AE}" pid="3" name="ICV">
    <vt:lpwstr>FE365083B372460BBD8B9C21471EEBB1</vt:lpwstr>
  </property>
</Properties>
</file>