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871"/>
        <w:gridCol w:w="1489"/>
        <w:gridCol w:w="1250"/>
        <w:gridCol w:w="2661"/>
        <w:gridCol w:w="2084"/>
        <w:gridCol w:w="1871"/>
        <w:gridCol w:w="2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6"/>
                <w:sz w:val="44"/>
                <w:szCs w:val="44"/>
                <w:lang w:val="en-US" w:eastAsia="zh-CN" w:bidi="ar"/>
              </w:rPr>
              <w:t>临县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          </w:t>
            </w:r>
            <w:r>
              <w:rPr>
                <w:rStyle w:val="6"/>
                <w:sz w:val="44"/>
                <w:szCs w:val="44"/>
                <w:lang w:val="en-US" w:eastAsia="zh-CN" w:bidi="ar"/>
              </w:rPr>
              <w:t>部门困难人口动态调整名单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单位名称（盖章）：</w:t>
            </w: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动态调整类型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动态调整时间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注：1.本表由民政、乡村振兴部门填写；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2.动态调整类型为：新增或退出；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4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3.人员类别为：特困人员、低保对象、低保边缘家庭成员、返贫致贫人口、脱贫不稳定人口、边缘易致贫人口和突发严重困难人口。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F4F6D"/>
    <w:rsid w:val="9F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2022-10-21T15:49:00Z</dcterms:created>
  <dc:creator>greatwall</dc:creator>
  <cp:lastModifiedBy>greatwall</cp:lastModifiedBy>
  <dcterms:modified xsi:type="dcterms:W3CDTF">2022-10-21T15:51:28Z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