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0" w:after="0" w:line="570" w:lineRule="exact"/>
        <w:ind w:right="0" w:rightChars="0"/>
        <w:jc w:val="left"/>
        <w:textAlignment w:val="auto"/>
        <w:outlineLvl w:val="9"/>
        <w:rPr>
          <w:rFonts w:hint="default" w:ascii="黑体" w:hAnsi="黑体" w:eastAsia="黑体" w:cs="黑体"/>
          <w:spacing w:val="0"/>
          <w:w w:val="100"/>
          <w:sz w:val="32"/>
          <w:szCs w:val="32"/>
          <w:lang w:val="en-US" w:eastAsia="zh-CN"/>
        </w:rPr>
      </w:pPr>
      <w:r>
        <w:rPr>
          <w:rFonts w:hint="eastAsia" w:ascii="仿宋_GB2312" w:hAnsi="仿宋_GB2312" w:eastAsia="仿宋_GB2312" w:cs="仿宋_GB2312"/>
          <w:b/>
          <w:bCs/>
          <w:spacing w:val="0"/>
          <w:w w:val="100"/>
          <w:sz w:val="32"/>
          <w:szCs w:val="32"/>
          <w:lang w:eastAsia="zh-CN"/>
        </w:rPr>
        <w:drawing>
          <wp:anchor distT="0" distB="0" distL="114300" distR="114300" simplePos="0" relativeHeight="251659264" behindDoc="1" locked="0" layoutInCell="1" allowOverlap="1">
            <wp:simplePos x="0" y="0"/>
            <wp:positionH relativeFrom="column">
              <wp:posOffset>-891540</wp:posOffset>
            </wp:positionH>
            <wp:positionV relativeFrom="paragraph">
              <wp:posOffset>-624205</wp:posOffset>
            </wp:positionV>
            <wp:extent cx="6920865" cy="8692515"/>
            <wp:effectExtent l="0" t="0" r="13335" b="13335"/>
            <wp:wrapNone/>
            <wp:docPr id="1" name="图片 2" descr="吕梁市人民政府办公室br关于印发吕梁市食品安全突发事件应急预案的通知b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吕梁市人民政府办公室br关于印发吕梁市食品安全突发事件应急预案的通知br-14"/>
                    <pic:cNvPicPr>
                      <a:picLocks noChangeAspect="1"/>
                    </pic:cNvPicPr>
                  </pic:nvPicPr>
                  <pic:blipFill>
                    <a:blip r:embed="rId16"/>
                    <a:srcRect b="11194"/>
                    <a:stretch>
                      <a:fillRect/>
                    </a:stretch>
                  </pic:blipFill>
                  <pic:spPr>
                    <a:xfrm>
                      <a:off x="0" y="0"/>
                      <a:ext cx="6920865" cy="8692515"/>
                    </a:xfrm>
                    <a:prstGeom prst="rect">
                      <a:avLst/>
                    </a:prstGeom>
                    <a:noFill/>
                    <a:ln>
                      <a:noFill/>
                    </a:ln>
                  </pic:spPr>
                </pic:pic>
              </a:graphicData>
            </a:graphic>
          </wp:anchor>
        </w:drawing>
      </w:r>
      <w:r>
        <w:rPr>
          <w:rFonts w:hint="eastAsia" w:ascii="黑体" w:hAnsi="黑体" w:eastAsia="黑体" w:cs="黑体"/>
          <w:spacing w:val="0"/>
          <w:w w:val="100"/>
          <w:sz w:val="32"/>
          <w:szCs w:val="32"/>
        </w:rPr>
        <w:t>附</w:t>
      </w:r>
      <w:r>
        <w:rPr>
          <w:rFonts w:hint="eastAsia" w:ascii="黑体" w:hAnsi="黑体" w:eastAsia="黑体" w:cs="黑体"/>
          <w:spacing w:val="0"/>
          <w:w w:val="100"/>
          <w:sz w:val="32"/>
          <w:szCs w:val="32"/>
          <w:lang w:eastAsia="zh-CN"/>
        </w:rPr>
        <w:t>件</w:t>
      </w:r>
      <w:r>
        <w:rPr>
          <w:rFonts w:hint="eastAsia" w:ascii="黑体" w:hAnsi="黑体" w:eastAsia="黑体" w:cs="黑体"/>
          <w:spacing w:val="0"/>
          <w:w w:val="100"/>
          <w:sz w:val="32"/>
          <w:szCs w:val="32"/>
          <w:lang w:val="en-US" w:eastAsia="zh-CN"/>
        </w:rPr>
        <w:t>1</w:t>
      </w:r>
      <w:bookmarkStart w:id="0" w:name="_GoBack"/>
      <w:bookmarkEnd w:id="0"/>
    </w:p>
    <w:p>
      <w:pPr>
        <w:keepNext w:val="0"/>
        <w:keepLines w:val="0"/>
        <w:pageBreakBefore w:val="0"/>
        <w:widowControl w:val="0"/>
        <w:kinsoku/>
        <w:wordWrap/>
        <w:overflowPunct w:val="0"/>
        <w:topLinePunct w:val="0"/>
        <w:autoSpaceDE/>
        <w:autoSpaceDN/>
        <w:bidi w:val="0"/>
        <w:adjustRightInd/>
        <w:snapToGrid/>
        <w:spacing w:before="0" w:after="0" w:line="300" w:lineRule="exact"/>
        <w:ind w:right="0" w:rightChars="0"/>
        <w:jc w:val="left"/>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w w:val="100"/>
          <w:sz w:val="44"/>
          <w:szCs w:val="44"/>
        </w:rPr>
      </w:pPr>
      <w:r>
        <w:rPr>
          <w:rFonts w:hint="eastAsia" w:ascii="方正小标宋_GBK" w:hAnsi="方正小标宋_GBK" w:eastAsia="方正小标宋_GBK" w:cs="方正小标宋_GBK"/>
          <w:spacing w:val="0"/>
          <w:w w:val="100"/>
          <w:sz w:val="44"/>
          <w:szCs w:val="44"/>
          <w:lang w:eastAsia="zh-CN"/>
        </w:rPr>
        <w:t>临县</w:t>
      </w:r>
      <w:r>
        <w:rPr>
          <w:rFonts w:hint="eastAsia" w:ascii="方正小标宋_GBK" w:hAnsi="方正小标宋_GBK" w:eastAsia="方正小标宋_GBK" w:cs="方正小标宋_GBK"/>
          <w:spacing w:val="0"/>
          <w:w w:val="100"/>
          <w:sz w:val="44"/>
          <w:szCs w:val="44"/>
        </w:rPr>
        <w:t>食品安全突发事件应急处置流程图</w:t>
      </w: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2" w:firstLineChars="200"/>
        <w:jc w:val="both"/>
        <w:textAlignment w:val="auto"/>
        <w:outlineLvl w:val="9"/>
        <w:rPr>
          <w:rFonts w:hint="eastAsia" w:ascii="仿宋_GB2312" w:hAnsi="仿宋_GB2312" w:eastAsia="仿宋_GB2312" w:cs="仿宋_GB2312"/>
          <w:b/>
          <w:bCs/>
          <w:spacing w:val="0"/>
          <w:w w:val="100"/>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start="2"/>
          <w:cols w:space="720" w:num="1"/>
          <w:rtlGutter w:val="0"/>
          <w:docGrid w:type="lines" w:linePitch="312" w:charSpace="0"/>
        </w:sectPr>
      </w:pPr>
    </w:p>
    <w:p>
      <w:pPr>
        <w:pStyle w:val="3"/>
        <w:spacing w:before="54"/>
        <w:rPr>
          <w:rFonts w:hint="eastAsia" w:ascii="黑体" w:eastAsia="黑体"/>
          <w:b w:val="0"/>
          <w:bCs w:val="0"/>
          <w:lang w:eastAsia="zh-CN"/>
        </w:rPr>
      </w:pPr>
      <w:r>
        <w:rPr>
          <w:rFonts w:hint="eastAsia" w:ascii="黑体" w:eastAsia="黑体"/>
          <w:b w:val="0"/>
          <w:bCs w:val="0"/>
        </w:rPr>
        <w:t>附</w:t>
      </w:r>
      <w:r>
        <w:rPr>
          <w:rFonts w:hint="eastAsia" w:ascii="黑体" w:eastAsia="黑体"/>
          <w:b w:val="0"/>
          <w:bCs w:val="0"/>
          <w:lang w:eastAsia="zh-CN"/>
        </w:rPr>
        <w:t>件</w:t>
      </w:r>
      <w:r>
        <w:rPr>
          <w:rFonts w:hint="eastAsia" w:ascii="黑体" w:eastAsia="黑体"/>
          <w:b w:val="0"/>
          <w:bCs w:val="0"/>
          <w:lang w:val="en-US" w:eastAsia="zh-CN"/>
        </w:rPr>
        <w:t>2</w:t>
      </w:r>
    </w:p>
    <w:p>
      <w:pPr>
        <w:pStyle w:val="3"/>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sz w:val="20"/>
        </w:rPr>
      </w:pPr>
    </w:p>
    <w:p>
      <w:pPr>
        <w:pStyle w:val="2"/>
        <w:keepNext w:val="0"/>
        <w:keepLines w:val="0"/>
        <w:pageBreakBefore w:val="0"/>
        <w:widowControl w:val="0"/>
        <w:kinsoku/>
        <w:wordWrap/>
        <w:overflowPunct w:val="0"/>
        <w:topLinePunct w:val="0"/>
        <w:autoSpaceDE/>
        <w:autoSpaceDN/>
        <w:bidi w:val="0"/>
        <w:adjustRightInd/>
        <w:snapToGrid/>
        <w:ind w:left="0" w:leftChars="0" w:right="0" w:firstLine="0" w:firstLineChars="0"/>
        <w:jc w:val="center"/>
        <w:textAlignment w:val="auto"/>
      </w:pPr>
      <w:r>
        <w:rPr>
          <w:rFonts w:hint="eastAsia"/>
          <w:lang w:eastAsia="zh-CN"/>
        </w:rPr>
        <w:t>临县</w:t>
      </w:r>
      <w:r>
        <w:t>食品安全突发事件应急指挥部及成员单位职责</w:t>
      </w:r>
    </w:p>
    <w:tbl>
      <w:tblPr>
        <w:tblStyle w:val="6"/>
        <w:tblW w:w="13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8"/>
        <w:gridCol w:w="11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ascii="黑体" w:eastAsia="黑体"/>
                <w:sz w:val="24"/>
                <w:szCs w:val="24"/>
              </w:rPr>
            </w:pPr>
            <w:r>
              <w:rPr>
                <w:rFonts w:hint="eastAsia" w:ascii="黑体" w:eastAsia="黑体"/>
                <w:sz w:val="24"/>
                <w:szCs w:val="24"/>
              </w:rPr>
              <w:t>部</w:t>
            </w:r>
            <w:r>
              <w:rPr>
                <w:rFonts w:hint="eastAsia" w:ascii="黑体" w:eastAsia="黑体"/>
                <w:sz w:val="24"/>
                <w:szCs w:val="24"/>
                <w:lang w:val="en-US" w:eastAsia="zh-CN"/>
              </w:rPr>
              <w:t xml:space="preserve">  </w:t>
            </w:r>
            <w:r>
              <w:rPr>
                <w:rFonts w:hint="eastAsia" w:ascii="黑体" w:eastAsia="黑体"/>
                <w:sz w:val="24"/>
                <w:szCs w:val="24"/>
              </w:rPr>
              <w:t>门</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ascii="黑体" w:eastAsia="黑体"/>
                <w:sz w:val="24"/>
                <w:szCs w:val="24"/>
              </w:rPr>
            </w:pPr>
            <w:r>
              <w:rPr>
                <w:rFonts w:hint="eastAsia" w:ascii="黑体" w:eastAsia="黑体"/>
                <w:sz w:val="24"/>
                <w:szCs w:val="24"/>
              </w:rPr>
              <w:t>主要职责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指挥部</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pacing w:val="-5"/>
                <w:sz w:val="24"/>
                <w:szCs w:val="24"/>
              </w:rPr>
              <w:t>统筹协调全</w:t>
            </w:r>
            <w:r>
              <w:rPr>
                <w:rFonts w:hint="eastAsia"/>
                <w:spacing w:val="-5"/>
                <w:sz w:val="24"/>
                <w:szCs w:val="24"/>
                <w:lang w:val="en-US" w:eastAsia="zh-CN"/>
              </w:rPr>
              <w:t>县</w:t>
            </w:r>
            <w:r>
              <w:rPr>
                <w:spacing w:val="-5"/>
                <w:sz w:val="24"/>
                <w:szCs w:val="24"/>
              </w:rPr>
              <w:t>食品安全防控工作，制定食品安全重要措施、总体规划，组织指挥食品安全突发事件应急处置工作，决定</w:t>
            </w:r>
            <w:r>
              <w:rPr>
                <w:rFonts w:hint="eastAsia"/>
                <w:spacing w:val="-5"/>
                <w:sz w:val="24"/>
                <w:szCs w:val="24"/>
                <w:lang w:val="en-US" w:eastAsia="zh-CN"/>
              </w:rPr>
              <w:t>县</w:t>
            </w:r>
            <w:r>
              <w:rPr>
                <w:spacing w:val="-5"/>
                <w:sz w:val="24"/>
                <w:szCs w:val="24"/>
              </w:rPr>
              <w:t>级层面食品安全突发</w:t>
            </w:r>
            <w:r>
              <w:rPr>
                <w:spacing w:val="-6"/>
                <w:sz w:val="24"/>
                <w:szCs w:val="24"/>
              </w:rPr>
              <w:t>事件响应级别并组织落实响应措施，颁布临时规定，依法实施管理、限制等措施，发布食品安全突发事件信息，指导支持</w:t>
            </w:r>
            <w:r>
              <w:rPr>
                <w:rFonts w:hint="eastAsia"/>
                <w:spacing w:val="-6"/>
                <w:sz w:val="24"/>
                <w:szCs w:val="24"/>
                <w:lang w:eastAsia="zh-CN"/>
              </w:rPr>
              <w:t>各乡镇</w:t>
            </w:r>
            <w:r>
              <w:rPr>
                <w:spacing w:val="-4"/>
                <w:sz w:val="24"/>
                <w:szCs w:val="24"/>
              </w:rPr>
              <w:t>食品安</w:t>
            </w:r>
            <w:r>
              <w:rPr>
                <w:sz w:val="24"/>
                <w:szCs w:val="24"/>
              </w:rPr>
              <w:t>全突发事件应急处置工作，落实</w:t>
            </w:r>
            <w:r>
              <w:rPr>
                <w:rFonts w:hint="eastAsia"/>
                <w:sz w:val="24"/>
                <w:szCs w:val="24"/>
                <w:lang w:val="en-US" w:eastAsia="zh-CN"/>
              </w:rPr>
              <w:t>县</w:t>
            </w:r>
            <w:r>
              <w:rPr>
                <w:sz w:val="24"/>
                <w:szCs w:val="24"/>
              </w:rPr>
              <w:t>委、</w:t>
            </w:r>
            <w:r>
              <w:rPr>
                <w:rFonts w:hint="eastAsia"/>
                <w:sz w:val="24"/>
                <w:szCs w:val="24"/>
                <w:lang w:val="en-US" w:eastAsia="zh-CN"/>
              </w:rPr>
              <w:t>县</w:t>
            </w:r>
            <w:r>
              <w:rPr>
                <w:sz w:val="24"/>
                <w:szCs w:val="24"/>
              </w:rPr>
              <w:t>政府和</w:t>
            </w:r>
            <w:r>
              <w:rPr>
                <w:rFonts w:hint="eastAsia"/>
                <w:sz w:val="24"/>
                <w:szCs w:val="24"/>
                <w:lang w:val="en-US" w:eastAsia="zh-CN"/>
              </w:rPr>
              <w:t>县</w:t>
            </w:r>
            <w:r>
              <w:rPr>
                <w:sz w:val="24"/>
                <w:szCs w:val="24"/>
              </w:rPr>
              <w:t>应急救援总指挥部交办的食品安全突发事件应急处置的其他重大事项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eastAsia="仿宋"/>
                <w:sz w:val="24"/>
                <w:szCs w:val="24"/>
                <w:lang w:eastAsia="zh-CN"/>
              </w:rPr>
            </w:pPr>
            <w:r>
              <w:rPr>
                <w:rFonts w:hint="eastAsia"/>
                <w:sz w:val="24"/>
                <w:szCs w:val="24"/>
                <w:lang w:eastAsia="zh-CN"/>
              </w:rPr>
              <w:t>县指挥部办公室</w:t>
            </w:r>
          </w:p>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sz w:val="24"/>
                <w:szCs w:val="24"/>
              </w:rPr>
              <w:t>（</w:t>
            </w:r>
            <w:r>
              <w:rPr>
                <w:rFonts w:hint="eastAsia"/>
                <w:sz w:val="24"/>
                <w:szCs w:val="24"/>
                <w:lang w:val="en-US" w:eastAsia="zh-CN"/>
              </w:rPr>
              <w:t>县</w:t>
            </w:r>
            <w:r>
              <w:rPr>
                <w:sz w:val="24"/>
                <w:szCs w:val="24"/>
              </w:rPr>
              <w:t>市场监管局）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rFonts w:hint="eastAsia" w:eastAsia="仿宋"/>
                <w:sz w:val="24"/>
                <w:szCs w:val="24"/>
                <w:lang w:eastAsia="zh-CN"/>
              </w:rPr>
            </w:pPr>
            <w:r>
              <w:rPr>
                <w:spacing w:val="-5"/>
                <w:sz w:val="24"/>
                <w:szCs w:val="24"/>
              </w:rPr>
              <w:t>承担</w:t>
            </w:r>
            <w:r>
              <w:rPr>
                <w:rFonts w:hint="eastAsia"/>
                <w:spacing w:val="-5"/>
                <w:sz w:val="24"/>
                <w:szCs w:val="24"/>
                <w:lang w:eastAsia="zh-CN"/>
              </w:rPr>
              <w:t>县指挥部</w:t>
            </w:r>
            <w:r>
              <w:rPr>
                <w:spacing w:val="-5"/>
                <w:sz w:val="24"/>
                <w:szCs w:val="24"/>
              </w:rPr>
              <w:t>日常工作，制定、修订食品安全突发事件专项应急预案，组织建立和管理专家组，协调各方力量参加食品安全突发事件应急处置</w:t>
            </w:r>
            <w:r>
              <w:rPr>
                <w:spacing w:val="-8"/>
                <w:sz w:val="24"/>
                <w:szCs w:val="24"/>
              </w:rPr>
              <w:t>工作，报告食品安全突发事件信息，指挥</w:t>
            </w:r>
            <w:r>
              <w:rPr>
                <w:rFonts w:hint="eastAsia"/>
                <w:spacing w:val="-8"/>
                <w:sz w:val="24"/>
                <w:szCs w:val="24"/>
                <w:lang w:eastAsia="zh-CN"/>
              </w:rPr>
              <w:t>各乡镇</w:t>
            </w:r>
            <w:r>
              <w:rPr>
                <w:spacing w:val="-4"/>
                <w:sz w:val="24"/>
                <w:szCs w:val="24"/>
              </w:rPr>
              <w:t>做好食品安全突发事件应对工作，负责组派应急队伍，组织相关宣传培训和演练等工作，</w:t>
            </w:r>
            <w:r>
              <w:rPr>
                <w:sz w:val="24"/>
                <w:szCs w:val="24"/>
              </w:rPr>
              <w:t>完成</w:t>
            </w:r>
            <w:r>
              <w:rPr>
                <w:rFonts w:hint="eastAsia"/>
                <w:sz w:val="24"/>
                <w:szCs w:val="24"/>
                <w:lang w:eastAsia="zh-CN"/>
              </w:rPr>
              <w:t>县指挥部</w:t>
            </w:r>
            <w:r>
              <w:rPr>
                <w:sz w:val="24"/>
                <w:szCs w:val="24"/>
              </w:rPr>
              <w:t>交办的其他工作</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委宣传部</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组织协调媒体做好应急新闻报道，积极引导舆论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委统战部</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负责对清真食品的安全生产经营进行监督检查，指导各县市区做好清真食品安全突发事件应急处置工作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color w:val="auto"/>
                <w:sz w:val="24"/>
                <w:szCs w:val="24"/>
              </w:rPr>
            </w:pPr>
            <w:r>
              <w:rPr>
                <w:rFonts w:hint="eastAsia"/>
                <w:color w:val="auto"/>
                <w:sz w:val="24"/>
                <w:szCs w:val="24"/>
                <w:lang w:val="en-US" w:eastAsia="zh-CN"/>
              </w:rPr>
              <w:t>县政府</w:t>
            </w:r>
            <w:r>
              <w:rPr>
                <w:color w:val="auto"/>
                <w:sz w:val="24"/>
                <w:szCs w:val="24"/>
              </w:rPr>
              <w:t>办</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color w:val="auto"/>
                <w:sz w:val="24"/>
                <w:szCs w:val="24"/>
              </w:rPr>
            </w:pPr>
            <w:r>
              <w:rPr>
                <w:color w:val="auto"/>
                <w:sz w:val="24"/>
                <w:szCs w:val="24"/>
              </w:rPr>
              <w:t>负责涉</w:t>
            </w:r>
            <w:r>
              <w:rPr>
                <w:rFonts w:hint="eastAsia"/>
                <w:color w:val="auto"/>
                <w:sz w:val="24"/>
                <w:szCs w:val="24"/>
                <w:lang w:eastAsia="zh-CN"/>
              </w:rPr>
              <w:t>台</w:t>
            </w:r>
            <w:r>
              <w:rPr>
                <w:color w:val="auto"/>
                <w:sz w:val="24"/>
                <w:szCs w:val="24"/>
              </w:rPr>
              <w:t>食品安全突发事件中的涉台政策指导，对台联系和台湾媒体采访等工作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default" w:eastAsia="仿宋"/>
                <w:sz w:val="24"/>
                <w:szCs w:val="24"/>
                <w:lang w:val="en-US" w:eastAsia="zh-CN"/>
              </w:rPr>
            </w:pPr>
            <w:r>
              <w:rPr>
                <w:rFonts w:hint="eastAsia"/>
                <w:sz w:val="24"/>
                <w:szCs w:val="24"/>
                <w:lang w:val="en-US" w:eastAsia="zh-CN"/>
              </w:rPr>
              <w:t>县粮食中心</w:t>
            </w:r>
          </w:p>
        </w:tc>
        <w:tc>
          <w:tcPr>
            <w:tcW w:w="11291" w:type="dxa"/>
            <w:noWrap w:val="0"/>
            <w:vAlign w:val="top"/>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textAlignment w:val="auto"/>
              <w:rPr>
                <w:sz w:val="24"/>
                <w:szCs w:val="24"/>
              </w:rPr>
            </w:pPr>
            <w:r>
              <w:rPr>
                <w:spacing w:val="-8"/>
                <w:sz w:val="24"/>
                <w:szCs w:val="24"/>
              </w:rPr>
              <w:t>负责协调、落实</w:t>
            </w:r>
            <w:r>
              <w:rPr>
                <w:rFonts w:hint="eastAsia"/>
                <w:spacing w:val="-8"/>
                <w:sz w:val="24"/>
                <w:szCs w:val="24"/>
                <w:lang w:val="en-US" w:eastAsia="zh-CN"/>
              </w:rPr>
              <w:t>县</w:t>
            </w:r>
            <w:r>
              <w:rPr>
                <w:spacing w:val="-8"/>
                <w:sz w:val="24"/>
                <w:szCs w:val="24"/>
              </w:rPr>
              <w:t>级重要物资和应急储备物资动用计划和指令，负责粮食收购、销售、储存、加工、运输等环节原粮质量安全事故的调查处理</w:t>
            </w:r>
            <w:r>
              <w:rPr>
                <w:sz w:val="24"/>
                <w:szCs w:val="24"/>
              </w:rPr>
              <w:t>和相关技术鉴定等工作。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教</w:t>
            </w:r>
            <w:r>
              <w:rPr>
                <w:rFonts w:hint="eastAsia"/>
                <w:sz w:val="24"/>
                <w:szCs w:val="24"/>
                <w:lang w:val="en-US" w:eastAsia="zh-CN"/>
              </w:rPr>
              <w:t>科</w:t>
            </w:r>
            <w:r>
              <w:rPr>
                <w:sz w:val="24"/>
                <w:szCs w:val="24"/>
              </w:rPr>
              <w:t>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负责协助</w:t>
            </w:r>
            <w:r>
              <w:rPr>
                <w:rFonts w:hint="eastAsia"/>
                <w:sz w:val="24"/>
                <w:szCs w:val="24"/>
                <w:lang w:val="en-US" w:eastAsia="zh-CN"/>
              </w:rPr>
              <w:t>县</w:t>
            </w:r>
            <w:r>
              <w:rPr>
                <w:sz w:val="24"/>
                <w:szCs w:val="24"/>
              </w:rPr>
              <w:t>市场监管局等有关部门对学校食堂（含托幼机构</w:t>
            </w:r>
            <w:r>
              <w:rPr>
                <w:spacing w:val="-89"/>
                <w:sz w:val="24"/>
                <w:szCs w:val="24"/>
              </w:rPr>
              <w:t>）</w:t>
            </w:r>
            <w:r>
              <w:rPr>
                <w:sz w:val="24"/>
                <w:szCs w:val="24"/>
              </w:rPr>
              <w:t>、学生在校营养餐造成的食品安全突发事件原因进行调查以及组织应急处置工作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hAnsi="仿宋" w:eastAsia="黑体" w:cs="仿宋"/>
                <w:kern w:val="2"/>
                <w:sz w:val="24"/>
                <w:szCs w:val="24"/>
                <w:lang w:val="en-US" w:eastAsia="zh-CN" w:bidi="zh-CN"/>
              </w:rPr>
            </w:pPr>
            <w:r>
              <w:rPr>
                <w:rFonts w:hint="eastAsia" w:ascii="黑体" w:eastAsia="黑体"/>
                <w:sz w:val="24"/>
                <w:szCs w:val="24"/>
              </w:rPr>
              <w:t>部</w:t>
            </w:r>
            <w:r>
              <w:rPr>
                <w:rFonts w:hint="eastAsia" w:ascii="黑体" w:eastAsia="黑体"/>
                <w:sz w:val="24"/>
                <w:szCs w:val="24"/>
                <w:lang w:val="en-US" w:eastAsia="zh-CN"/>
              </w:rPr>
              <w:t xml:space="preserve">  </w:t>
            </w:r>
            <w:r>
              <w:rPr>
                <w:rFonts w:hint="eastAsia" w:ascii="黑体" w:eastAsia="黑体"/>
                <w:sz w:val="24"/>
                <w:szCs w:val="24"/>
              </w:rPr>
              <w:t>门</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hAnsi="仿宋" w:eastAsia="黑体" w:cs="仿宋"/>
                <w:kern w:val="2"/>
                <w:sz w:val="24"/>
                <w:szCs w:val="24"/>
                <w:lang w:val="zh-CN" w:eastAsia="zh-CN" w:bidi="zh-CN"/>
              </w:rPr>
            </w:pPr>
            <w:r>
              <w:rPr>
                <w:rFonts w:hint="eastAsia" w:ascii="黑体" w:eastAsia="黑体"/>
                <w:sz w:val="24"/>
                <w:szCs w:val="24"/>
              </w:rPr>
              <w:t>主要职责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仿宋" w:hAnsi="仿宋" w:eastAsia="仿宋" w:cs="仿宋"/>
                <w:kern w:val="2"/>
                <w:sz w:val="24"/>
                <w:szCs w:val="24"/>
                <w:lang w:val="zh-CN" w:eastAsia="zh-CN" w:bidi="zh-CN"/>
              </w:rPr>
            </w:pPr>
            <w:r>
              <w:rPr>
                <w:rFonts w:hint="eastAsia"/>
                <w:sz w:val="24"/>
                <w:szCs w:val="24"/>
                <w:lang w:val="en-US" w:eastAsia="zh-CN"/>
              </w:rPr>
              <w:t>县</w:t>
            </w:r>
            <w:r>
              <w:rPr>
                <w:sz w:val="24"/>
                <w:szCs w:val="24"/>
              </w:rPr>
              <w:t>工信局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kern w:val="2"/>
                <w:sz w:val="24"/>
                <w:szCs w:val="24"/>
                <w:lang w:val="en-US" w:eastAsia="zh-CN" w:bidi="zh-CN"/>
              </w:rPr>
            </w:pPr>
            <w:r>
              <w:rPr>
                <w:sz w:val="24"/>
                <w:szCs w:val="24"/>
              </w:rPr>
              <w:t>负责</w:t>
            </w:r>
            <w:r>
              <w:rPr>
                <w:rFonts w:hint="eastAsia"/>
                <w:sz w:val="24"/>
                <w:szCs w:val="24"/>
                <w:lang w:val="en-US" w:eastAsia="zh-CN"/>
              </w:rPr>
              <w:t>县</w:t>
            </w:r>
            <w:r>
              <w:rPr>
                <w:sz w:val="24"/>
                <w:szCs w:val="24"/>
              </w:rPr>
              <w:t>级医药物资储备的应急调拨</w:t>
            </w:r>
            <w:r>
              <w:rPr>
                <w:rFonts w:hint="eastAsia"/>
                <w:sz w:val="24"/>
                <w:szCs w:val="24"/>
                <w:lang w:val="en-US" w:eastAsia="zh-CN"/>
              </w:rPr>
              <w:t>；</w:t>
            </w:r>
            <w:r>
              <w:rPr>
                <w:sz w:val="24"/>
                <w:szCs w:val="24"/>
              </w:rPr>
              <w:t>协助配合有关部门做好涉及农贸市场销售农产品的重大食品安全突发事件应急处置工作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公安局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pacing w:val="-6"/>
                <w:sz w:val="24"/>
                <w:szCs w:val="24"/>
              </w:rPr>
              <w:t>负责事发地的现场保护、治安秩序维护工作，负责周边道路交通管制、保障应急救援道路畅通和城市公共客运通行，做好涉嫌犯罪案件的侦查</w:t>
            </w:r>
            <w:r>
              <w:rPr>
                <w:sz w:val="24"/>
                <w:szCs w:val="24"/>
              </w:rPr>
              <w:t>工作，依法严厉打击危害食品安全犯罪行为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民政局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按照国家有关规定负责食品安全突发事件死亡人员遗体火化工作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财政局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负责食品安全突发事件应急救援、应急处置资金保障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default" w:eastAsia="仿宋"/>
                <w:sz w:val="24"/>
                <w:szCs w:val="24"/>
                <w:lang w:val="en-US" w:eastAsia="zh-CN"/>
              </w:rPr>
            </w:pPr>
            <w:r>
              <w:rPr>
                <w:sz w:val="24"/>
                <w:szCs w:val="24"/>
              </w:rPr>
              <w:t>市生态环境局</w:t>
            </w:r>
            <w:r>
              <w:rPr>
                <w:rFonts w:hint="eastAsia"/>
                <w:sz w:val="24"/>
                <w:szCs w:val="24"/>
                <w:lang w:val="en-US" w:eastAsia="zh-CN"/>
              </w:rPr>
              <w:t>临县分局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负责食品安全突发事件引发的对周边环境污染的环境监测工作，指导事发地人民政府快速妥善处置次生环境污染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住建局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rFonts w:hint="eastAsia" w:eastAsia="仿宋"/>
                <w:sz w:val="24"/>
                <w:szCs w:val="24"/>
                <w:lang w:val="en-US" w:eastAsia="zh-CN"/>
              </w:rPr>
            </w:pPr>
            <w:r>
              <w:rPr>
                <w:sz w:val="24"/>
                <w:szCs w:val="24"/>
              </w:rPr>
              <w:t>负责协助有关部门做好房屋建筑和</w:t>
            </w:r>
            <w:r>
              <w:rPr>
                <w:rFonts w:hint="eastAsia"/>
                <w:sz w:val="24"/>
                <w:szCs w:val="24"/>
                <w:lang w:val="en-US" w:eastAsia="zh-CN"/>
              </w:rPr>
              <w:t>城乡</w:t>
            </w:r>
            <w:r>
              <w:rPr>
                <w:sz w:val="24"/>
                <w:szCs w:val="24"/>
              </w:rPr>
              <w:t>基础设施工程工地食品安全突发事件的应急处置工作</w:t>
            </w:r>
            <w:r>
              <w:rPr>
                <w:rFonts w:hint="eastAsia"/>
                <w:sz w:val="24"/>
                <w:szCs w:val="24"/>
                <w:lang w:val="en-US" w:eastAsia="zh-CN"/>
              </w:rPr>
              <w:t>；</w:t>
            </w:r>
            <w:r>
              <w:rPr>
                <w:sz w:val="24"/>
                <w:szCs w:val="24"/>
              </w:rPr>
              <w:t>负责协助有关部门对</w:t>
            </w:r>
            <w:r>
              <w:rPr>
                <w:rFonts w:hint="eastAsia"/>
                <w:sz w:val="24"/>
                <w:szCs w:val="24"/>
                <w:lang w:eastAsia="zh-CN"/>
              </w:rPr>
              <w:t>临县</w:t>
            </w:r>
            <w:r>
              <w:rPr>
                <w:sz w:val="24"/>
                <w:szCs w:val="24"/>
              </w:rPr>
              <w:t>区户外流动食品摊贩造成的食品安全突发事件原因进行调查以及应急处置工作</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交通局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负责协调食品安全突发事件应急处置人员、物资车辆公路运输的通行。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农业农村局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pacing w:val="-3"/>
                <w:sz w:val="24"/>
                <w:szCs w:val="24"/>
              </w:rPr>
              <w:t>负责对食用农产品种植养殖环节造成的</w:t>
            </w:r>
            <w:r>
              <w:rPr>
                <w:sz w:val="24"/>
                <w:szCs w:val="24"/>
              </w:rPr>
              <w:t>农产品</w:t>
            </w:r>
            <w:r>
              <w:rPr>
                <w:spacing w:val="-3"/>
                <w:sz w:val="24"/>
                <w:szCs w:val="24"/>
              </w:rPr>
              <w:t>质量安全事故进行调查处理和相关技术鉴定等，负责对水产品养殖生产环节造成的食用水产品质</w:t>
            </w:r>
            <w:r>
              <w:rPr>
                <w:sz w:val="24"/>
                <w:szCs w:val="24"/>
              </w:rPr>
              <w:t>量安全事故的调查处理和相关技术鉴定等工作</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default" w:eastAsia="仿宋"/>
                <w:sz w:val="24"/>
                <w:szCs w:val="24"/>
                <w:lang w:val="en-US" w:eastAsia="zh-CN"/>
              </w:rPr>
            </w:pPr>
            <w:r>
              <w:rPr>
                <w:rFonts w:hint="eastAsia"/>
                <w:sz w:val="24"/>
                <w:szCs w:val="24"/>
                <w:lang w:val="en-US" w:eastAsia="zh-CN"/>
              </w:rPr>
              <w:t>县畜牧中心</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负责对畜禽屠宰加工环节中食品安全突发事件的调查处理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rFonts w:hint="eastAsia"/>
                <w:sz w:val="24"/>
                <w:szCs w:val="24"/>
                <w:lang w:val="en-US" w:eastAsia="zh-CN"/>
              </w:rPr>
              <w:t>县</w:t>
            </w:r>
            <w:r>
              <w:rPr>
                <w:sz w:val="24"/>
                <w:szCs w:val="24"/>
              </w:rPr>
              <w:t>文旅局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z w:val="24"/>
                <w:szCs w:val="24"/>
              </w:rPr>
            </w:pPr>
            <w:r>
              <w:rPr>
                <w:sz w:val="24"/>
                <w:szCs w:val="24"/>
              </w:rPr>
              <w:t>协助相关部门对旅行社组织的团队食品安全突发事件进行应急处置，指导和协调事发地人民政府对旅游景区（点）发生的食品安全突发事件进行应急处置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8" w:type="dxa"/>
            <w:noWrap w:val="0"/>
            <w:vAlign w:val="top"/>
          </w:tcPr>
          <w:p>
            <w:pPr>
              <w:pStyle w:val="9"/>
              <w:spacing w:before="151"/>
              <w:ind w:right="363" w:rightChars="0"/>
              <w:jc w:val="center"/>
              <w:rPr>
                <w:rFonts w:hint="eastAsia" w:ascii="仿宋" w:hAnsi="仿宋" w:eastAsia="仿宋" w:cs="仿宋"/>
                <w:kern w:val="2"/>
                <w:sz w:val="18"/>
                <w:szCs w:val="24"/>
                <w:lang w:val="en-US" w:eastAsia="zh-CN" w:bidi="zh-CN"/>
              </w:rPr>
            </w:pPr>
            <w:r>
              <w:rPr>
                <w:rFonts w:hint="eastAsia"/>
                <w:sz w:val="24"/>
                <w:szCs w:val="24"/>
                <w:lang w:val="en-US" w:eastAsia="zh-CN"/>
              </w:rPr>
              <w:t xml:space="preserve">   县</w:t>
            </w:r>
            <w:r>
              <w:rPr>
                <w:sz w:val="24"/>
                <w:szCs w:val="24"/>
              </w:rPr>
              <w:t>卫</w:t>
            </w:r>
            <w:r>
              <w:rPr>
                <w:rFonts w:hint="eastAsia"/>
                <w:sz w:val="24"/>
                <w:szCs w:val="24"/>
                <w:lang w:val="en-US" w:eastAsia="zh-CN"/>
              </w:rPr>
              <w:t>体局</w:t>
            </w:r>
          </w:p>
        </w:tc>
        <w:tc>
          <w:tcPr>
            <w:tcW w:w="11291" w:type="dxa"/>
            <w:noWrap w:val="0"/>
            <w:vAlign w:val="top"/>
          </w:tcPr>
          <w:p>
            <w:pPr>
              <w:pStyle w:val="9"/>
              <w:spacing w:before="49" w:line="360" w:lineRule="atLeast"/>
              <w:ind w:left="106" w:leftChars="0" w:right="97" w:rightChars="0"/>
              <w:rPr>
                <w:rFonts w:ascii="仿宋" w:hAnsi="仿宋" w:eastAsia="仿宋" w:cs="仿宋"/>
                <w:kern w:val="2"/>
                <w:sz w:val="18"/>
                <w:szCs w:val="24"/>
                <w:lang w:val="zh-CN" w:eastAsia="zh-CN" w:bidi="zh-CN"/>
              </w:rPr>
            </w:pPr>
            <w:r>
              <w:rPr>
                <w:sz w:val="21"/>
                <w:szCs w:val="21"/>
              </w:rPr>
              <w:t>组织协调开展食品安全突发事件患者医疗救治和事件现场卫生处理，对造成人体健康损害的食品安全突发事件中与食品安全相关的因素开展流行病学调查；负责通报在调查处理传染病或其他突发公共卫生事件中发现与食品安全相关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hAnsi="仿宋" w:eastAsia="黑体" w:cs="仿宋"/>
                <w:kern w:val="2"/>
                <w:sz w:val="24"/>
                <w:szCs w:val="24"/>
                <w:lang w:val="en-US" w:eastAsia="zh-CN" w:bidi="zh-CN"/>
              </w:rPr>
            </w:pPr>
            <w:r>
              <w:rPr>
                <w:rFonts w:hint="eastAsia" w:ascii="黑体" w:eastAsia="黑体"/>
                <w:sz w:val="24"/>
                <w:szCs w:val="24"/>
              </w:rPr>
              <w:t>部</w:t>
            </w:r>
            <w:r>
              <w:rPr>
                <w:rFonts w:hint="eastAsia" w:ascii="黑体" w:eastAsia="黑体"/>
                <w:sz w:val="24"/>
                <w:szCs w:val="24"/>
                <w:lang w:val="en-US" w:eastAsia="zh-CN"/>
              </w:rPr>
              <w:t xml:space="preserve">  </w:t>
            </w:r>
            <w:r>
              <w:rPr>
                <w:rFonts w:hint="eastAsia" w:ascii="黑体" w:eastAsia="黑体"/>
                <w:sz w:val="24"/>
                <w:szCs w:val="24"/>
              </w:rPr>
              <w:t>门</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hAnsi="仿宋" w:eastAsia="黑体" w:cs="仿宋"/>
                <w:kern w:val="2"/>
                <w:sz w:val="24"/>
                <w:szCs w:val="24"/>
                <w:lang w:val="zh-CN" w:eastAsia="zh-CN" w:bidi="zh-CN"/>
              </w:rPr>
            </w:pPr>
            <w:r>
              <w:rPr>
                <w:rFonts w:hint="eastAsia" w:ascii="黑体" w:eastAsia="黑体"/>
                <w:sz w:val="24"/>
                <w:szCs w:val="24"/>
              </w:rPr>
              <w:t>主要职责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sz w:val="24"/>
                <w:szCs w:val="24"/>
                <w:lang w:val="en-US" w:eastAsia="zh-CN"/>
              </w:rPr>
            </w:pPr>
            <w:r>
              <w:rPr>
                <w:rFonts w:hint="eastAsia"/>
                <w:sz w:val="24"/>
                <w:szCs w:val="24"/>
                <w:lang w:val="en-US" w:eastAsia="zh-CN"/>
              </w:rPr>
              <w:t>县</w:t>
            </w:r>
            <w:r>
              <w:rPr>
                <w:sz w:val="24"/>
                <w:szCs w:val="24"/>
              </w:rPr>
              <w:t>退役军人事务局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r>
              <w:rPr>
                <w:spacing w:val="-6"/>
                <w:sz w:val="24"/>
                <w:szCs w:val="24"/>
              </w:rPr>
              <w:t>按照国家有关政策规定，负责食品安全突发事件应急处置人员中国家机关工作人员和无工作单位的因抢救国家财产、人民生命财产受伤人员的因公伤残抚恤工作，做好食品安全突发事件中符合条件人员的烈士评定工作，协助相关单位办理食品安全突发事件中死亡国家机关工作人员死亡性质认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sz w:val="24"/>
                <w:szCs w:val="24"/>
                <w:lang w:val="en-US" w:eastAsia="zh-CN"/>
              </w:rPr>
            </w:pPr>
            <w:r>
              <w:rPr>
                <w:rFonts w:hint="eastAsia"/>
                <w:sz w:val="24"/>
                <w:szCs w:val="24"/>
                <w:lang w:val="en-US" w:eastAsia="zh-CN"/>
              </w:rPr>
              <w:t>县</w:t>
            </w:r>
            <w:r>
              <w:rPr>
                <w:sz w:val="24"/>
                <w:szCs w:val="24"/>
              </w:rPr>
              <w:t>应急局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r>
              <w:rPr>
                <w:spacing w:val="-6"/>
                <w:sz w:val="24"/>
                <w:szCs w:val="24"/>
              </w:rPr>
              <w:t>指导应急预案制定、修订，指导食品安全突发事件应急处置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sz w:val="24"/>
                <w:szCs w:val="24"/>
                <w:lang w:val="en-US" w:eastAsia="zh-CN"/>
              </w:rPr>
            </w:pPr>
            <w:r>
              <w:rPr>
                <w:rFonts w:hint="eastAsia"/>
                <w:sz w:val="24"/>
                <w:szCs w:val="24"/>
                <w:lang w:val="en-US" w:eastAsia="zh-CN"/>
              </w:rPr>
              <w:t>县</w:t>
            </w:r>
            <w:r>
              <w:rPr>
                <w:sz w:val="24"/>
                <w:szCs w:val="24"/>
              </w:rPr>
              <w:t>市场监管局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r>
              <w:rPr>
                <w:spacing w:val="-6"/>
                <w:sz w:val="24"/>
                <w:szCs w:val="24"/>
              </w:rPr>
              <w:t>负责对食品及相关产品生产、销售、餐饮服务等环节食品安全突发事件进行调查处理和相关技术支持等，统筹协调食品安全防范控制工作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sz w:val="24"/>
                <w:szCs w:val="24"/>
                <w:lang w:val="en-US" w:eastAsia="zh-CN"/>
              </w:rPr>
            </w:pPr>
            <w:r>
              <w:rPr>
                <w:rFonts w:hint="eastAsia"/>
                <w:sz w:val="24"/>
                <w:szCs w:val="24"/>
                <w:lang w:val="en-US" w:eastAsia="zh-CN"/>
              </w:rPr>
              <w:t>县林业</w:t>
            </w:r>
            <w:r>
              <w:rPr>
                <w:sz w:val="24"/>
                <w:szCs w:val="24"/>
              </w:rPr>
              <w:t>局</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r>
              <w:rPr>
                <w:spacing w:val="-6"/>
                <w:sz w:val="24"/>
                <w:szCs w:val="24"/>
              </w:rPr>
              <w:t>负责食用林产品在生长环节的质量安全监管工作，协助开展食用林产品安全事故的调查处理和相关技术鉴定工作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z w:val="24"/>
                <w:szCs w:val="24"/>
              </w:rPr>
            </w:pPr>
            <w:r>
              <w:rPr>
                <w:sz w:val="24"/>
                <w:szCs w:val="24"/>
              </w:rPr>
              <w:t>移动、联通、</w:t>
            </w:r>
          </w:p>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sz w:val="24"/>
                <w:szCs w:val="24"/>
                <w:lang w:val="en-US" w:eastAsia="zh-CN"/>
              </w:rPr>
            </w:pPr>
            <w:r>
              <w:rPr>
                <w:sz w:val="24"/>
                <w:szCs w:val="24"/>
              </w:rPr>
              <w:t>电信公司</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r>
              <w:rPr>
                <w:spacing w:val="-6"/>
                <w:sz w:val="24"/>
                <w:szCs w:val="24"/>
              </w:rPr>
              <w:t>负责做好应急通信保障工作，保障通信指挥畅通。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8"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rFonts w:hint="eastAsia"/>
                <w:sz w:val="24"/>
                <w:szCs w:val="24"/>
                <w:lang w:val="en-US" w:eastAsia="zh-CN"/>
              </w:rPr>
            </w:pPr>
            <w:r>
              <w:rPr>
                <w:rFonts w:hint="eastAsia"/>
                <w:sz w:val="24"/>
                <w:szCs w:val="24"/>
                <w:lang w:val="en-US" w:eastAsia="zh-CN"/>
              </w:rPr>
              <w:t>县融媒体中心</w:t>
            </w:r>
          </w:p>
        </w:tc>
        <w:tc>
          <w:tcPr>
            <w:tcW w:w="11291"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r>
              <w:rPr>
                <w:spacing w:val="-6"/>
                <w:sz w:val="24"/>
                <w:szCs w:val="24"/>
              </w:rPr>
              <w:t>负责第一时间从指挥部获得权威信息，并及时、准确、全面、客观地宣传报道</w:t>
            </w:r>
          </w:p>
        </w:tc>
      </w:tr>
    </w:tbl>
    <w:p>
      <w:pPr>
        <w:keepNext w:val="0"/>
        <w:keepLines w:val="0"/>
        <w:pageBreakBefore w:val="0"/>
        <w:widowControl w:val="0"/>
        <w:kinsoku/>
        <w:wordWrap/>
        <w:overflowPunct w:val="0"/>
        <w:topLinePunct w:val="0"/>
        <w:autoSpaceDE/>
        <w:autoSpaceDN/>
        <w:bidi w:val="0"/>
        <w:adjustRightInd/>
        <w:snapToGrid/>
        <w:spacing w:before="0" w:after="0" w:line="570" w:lineRule="exact"/>
        <w:ind w:right="0" w:rightChars="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640" w:firstLineChars="200"/>
        <w:jc w:val="both"/>
        <w:textAlignment w:val="auto"/>
        <w:outlineLvl w:val="9"/>
        <w:rPr>
          <w:rFonts w:ascii="仿宋_GB2312" w:hAnsi="仿宋_GB2312" w:eastAsia="仿宋_GB2312" w:cs="仿宋_GB2312"/>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0" w:lineRule="exact"/>
        <w:ind w:right="0" w:rightChars="0"/>
        <w:jc w:val="both"/>
        <w:textAlignment w:val="auto"/>
        <w:outlineLvl w:val="9"/>
        <w:rPr>
          <w:rFonts w:hint="default" w:ascii="黑体" w:eastAsia="黑体"/>
          <w:b/>
          <w:bCs/>
          <w:lang w:val="en-US"/>
        </w:rPr>
      </w:pPr>
      <w:r>
        <w:rPr>
          <w:rFonts w:ascii="仿宋_GB2312" w:hAnsi="仿宋_GB2312" w:eastAsia="仿宋_GB2312" w:cs="仿宋_GB2312"/>
          <w:spacing w:val="0"/>
          <w:w w:val="100"/>
          <w:sz w:val="32"/>
          <w:szCs w:val="32"/>
        </w:rPr>
        <w:br w:type="page"/>
      </w:r>
      <w:r>
        <w:rPr>
          <w:rFonts w:hint="eastAsia" w:ascii="黑体" w:hAnsi="仿宋" w:eastAsia="黑体" w:cs="仿宋"/>
          <w:b w:val="0"/>
          <w:bCs w:val="0"/>
          <w:kern w:val="2"/>
          <w:sz w:val="32"/>
          <w:szCs w:val="32"/>
          <w:lang w:val="zh-CN" w:eastAsia="zh-CN" w:bidi="zh-CN"/>
        </w:rPr>
        <w:t>附件</w:t>
      </w:r>
      <w:r>
        <w:rPr>
          <w:rFonts w:hint="eastAsia" w:ascii="黑体" w:hAnsi="仿宋" w:eastAsia="黑体" w:cs="仿宋"/>
          <w:b w:val="0"/>
          <w:bCs w:val="0"/>
          <w:kern w:val="2"/>
          <w:sz w:val="32"/>
          <w:szCs w:val="32"/>
          <w:lang w:val="en-US" w:eastAsia="zh-CN" w:bidi="zh-CN"/>
        </w:rPr>
        <w:t>3</w:t>
      </w:r>
    </w:p>
    <w:p>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sz w:val="20"/>
        </w:rPr>
      </w:pPr>
    </w:p>
    <w:p>
      <w:pPr>
        <w:pStyle w:val="2"/>
        <w:keepNext w:val="0"/>
        <w:keepLines w:val="0"/>
        <w:pageBreakBefore w:val="0"/>
        <w:widowControl w:val="0"/>
        <w:kinsoku/>
        <w:wordWrap/>
        <w:overflowPunct w:val="0"/>
        <w:topLinePunct w:val="0"/>
        <w:autoSpaceDE/>
        <w:autoSpaceDN/>
        <w:bidi w:val="0"/>
        <w:adjustRightInd/>
        <w:snapToGrid/>
        <w:ind w:left="0" w:leftChars="0" w:right="0" w:firstLine="0" w:firstLineChars="0"/>
        <w:jc w:val="center"/>
        <w:textAlignment w:val="auto"/>
      </w:pPr>
      <w:r>
        <w:rPr>
          <w:rFonts w:hint="eastAsia"/>
          <w:lang w:eastAsia="zh-CN"/>
        </w:rPr>
        <w:t>临县</w:t>
      </w:r>
      <w:r>
        <w:t>食品安全突发事件现场指挥部工作组职责</w:t>
      </w:r>
    </w:p>
    <w:tbl>
      <w:tblPr>
        <w:tblStyle w:val="6"/>
        <w:tblpPr w:leftFromText="180" w:rightFromText="180" w:vertAnchor="text" w:horzAnchor="page" w:tblpX="2004" w:tblpY="284"/>
        <w:tblOverlap w:val="never"/>
        <w:tblW w:w="13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66"/>
        <w:gridCol w:w="3250"/>
        <w:gridCol w:w="8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eastAsia="黑体"/>
                <w:sz w:val="24"/>
                <w:szCs w:val="24"/>
              </w:rPr>
            </w:pPr>
            <w:r>
              <w:rPr>
                <w:rFonts w:hint="eastAsia" w:ascii="黑体" w:eastAsia="黑体"/>
                <w:sz w:val="24"/>
                <w:szCs w:val="24"/>
              </w:rPr>
              <w:t>工作组</w:t>
            </w:r>
          </w:p>
        </w:tc>
        <w:tc>
          <w:tcPr>
            <w:tcW w:w="866"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eastAsia="黑体"/>
                <w:sz w:val="24"/>
                <w:szCs w:val="24"/>
              </w:rPr>
            </w:pPr>
            <w:r>
              <w:rPr>
                <w:rFonts w:hint="eastAsia" w:ascii="黑体" w:eastAsia="黑体"/>
                <w:sz w:val="24"/>
                <w:szCs w:val="24"/>
              </w:rPr>
              <w:t>牵头</w:t>
            </w:r>
          </w:p>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eastAsia="黑体"/>
                <w:sz w:val="24"/>
                <w:szCs w:val="24"/>
              </w:rPr>
            </w:pPr>
            <w:r>
              <w:rPr>
                <w:rFonts w:hint="eastAsia" w:ascii="黑体" w:eastAsia="黑体"/>
                <w:sz w:val="24"/>
                <w:szCs w:val="24"/>
              </w:rPr>
              <w:t>单位</w:t>
            </w:r>
          </w:p>
        </w:tc>
        <w:tc>
          <w:tcPr>
            <w:tcW w:w="3250"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eastAsia="黑体"/>
                <w:sz w:val="24"/>
                <w:szCs w:val="24"/>
              </w:rPr>
            </w:pPr>
            <w:r>
              <w:rPr>
                <w:rFonts w:hint="eastAsia" w:ascii="黑体" w:eastAsia="黑体"/>
                <w:sz w:val="24"/>
                <w:szCs w:val="24"/>
              </w:rPr>
              <w:t>成员单位</w:t>
            </w:r>
          </w:p>
        </w:tc>
        <w:tc>
          <w:tcPr>
            <w:tcW w:w="81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eastAsia="黑体"/>
                <w:sz w:val="24"/>
                <w:szCs w:val="24"/>
              </w:rPr>
            </w:pPr>
            <w:r>
              <w:rPr>
                <w:rFonts w:hint="eastAsia" w:ascii="黑体" w:eastAsia="黑体"/>
                <w:sz w:val="24"/>
                <w:szCs w:val="24"/>
              </w:rPr>
              <w:t>职</w:t>
            </w:r>
            <w:r>
              <w:rPr>
                <w:rFonts w:hint="eastAsia" w:ascii="黑体" w:eastAsia="黑体"/>
                <w:sz w:val="24"/>
                <w:szCs w:val="24"/>
                <w:lang w:val="en-US" w:eastAsia="zh-CN"/>
              </w:rPr>
              <w:t xml:space="preserve">  </w:t>
            </w:r>
            <w:r>
              <w:rPr>
                <w:rFonts w:hint="eastAsia" w:ascii="黑体" w:eastAsia="黑体"/>
                <w:sz w:val="24"/>
                <w:szCs w:val="24"/>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exact"/>
        </w:trPr>
        <w:tc>
          <w:tcPr>
            <w:tcW w:w="9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pacing w:val="-6"/>
                <w:sz w:val="24"/>
                <w:szCs w:val="24"/>
              </w:rPr>
            </w:pPr>
            <w:r>
              <w:rPr>
                <w:spacing w:val="-6"/>
                <w:sz w:val="24"/>
                <w:szCs w:val="24"/>
              </w:rPr>
              <w:t>事件</w:t>
            </w:r>
          </w:p>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pacing w:val="-6"/>
                <w:sz w:val="24"/>
                <w:szCs w:val="24"/>
              </w:rPr>
            </w:pPr>
            <w:r>
              <w:rPr>
                <w:spacing w:val="-6"/>
                <w:sz w:val="24"/>
                <w:szCs w:val="24"/>
              </w:rPr>
              <w:t>调查组</w:t>
            </w:r>
          </w:p>
        </w:tc>
        <w:tc>
          <w:tcPr>
            <w:tcW w:w="866"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pacing w:val="-6"/>
                <w:sz w:val="24"/>
                <w:szCs w:val="24"/>
              </w:rPr>
            </w:pPr>
            <w:r>
              <w:rPr>
                <w:rFonts w:hint="eastAsia"/>
                <w:spacing w:val="-6"/>
                <w:sz w:val="24"/>
                <w:szCs w:val="24"/>
                <w:lang w:val="en-US" w:eastAsia="zh-CN"/>
              </w:rPr>
              <w:t>县</w:t>
            </w:r>
            <w:r>
              <w:rPr>
                <w:spacing w:val="-6"/>
                <w:sz w:val="24"/>
                <w:szCs w:val="24"/>
              </w:rPr>
              <w:t>市场监管局</w:t>
            </w:r>
          </w:p>
        </w:tc>
        <w:tc>
          <w:tcPr>
            <w:tcW w:w="3250"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pacing w:val="-6"/>
                <w:sz w:val="24"/>
                <w:szCs w:val="24"/>
              </w:rPr>
            </w:pPr>
            <w:r>
              <w:rPr>
                <w:rFonts w:hint="eastAsia"/>
                <w:spacing w:val="-6"/>
                <w:sz w:val="24"/>
                <w:szCs w:val="24"/>
                <w:lang w:val="en-US" w:eastAsia="zh-CN"/>
              </w:rPr>
              <w:t>县</w:t>
            </w:r>
            <w:r>
              <w:rPr>
                <w:spacing w:val="-6"/>
                <w:sz w:val="24"/>
                <w:szCs w:val="24"/>
              </w:rPr>
              <w:t>公安局、市生态环境局</w:t>
            </w:r>
            <w:r>
              <w:rPr>
                <w:rFonts w:hint="eastAsia"/>
                <w:spacing w:val="-6"/>
                <w:sz w:val="24"/>
                <w:szCs w:val="24"/>
                <w:lang w:val="en-US" w:eastAsia="zh-CN"/>
              </w:rPr>
              <w:t>临县分局</w:t>
            </w:r>
            <w:r>
              <w:rPr>
                <w:spacing w:val="-6"/>
                <w:sz w:val="24"/>
                <w:szCs w:val="24"/>
              </w:rPr>
              <w:t>、</w:t>
            </w:r>
            <w:r>
              <w:rPr>
                <w:rFonts w:hint="eastAsia"/>
                <w:spacing w:val="-6"/>
                <w:sz w:val="24"/>
                <w:szCs w:val="24"/>
                <w:lang w:val="en-US" w:eastAsia="zh-CN"/>
              </w:rPr>
              <w:t>县</w:t>
            </w:r>
            <w:r>
              <w:rPr>
                <w:spacing w:val="-6"/>
                <w:sz w:val="24"/>
                <w:szCs w:val="24"/>
              </w:rPr>
              <w:t>农业农村局、</w:t>
            </w:r>
            <w:r>
              <w:rPr>
                <w:rFonts w:hint="eastAsia"/>
                <w:spacing w:val="-6"/>
                <w:sz w:val="24"/>
                <w:szCs w:val="24"/>
                <w:lang w:val="en-US" w:eastAsia="zh-CN"/>
              </w:rPr>
              <w:t>县</w:t>
            </w:r>
            <w:r>
              <w:rPr>
                <w:rFonts w:hint="eastAsia"/>
                <w:spacing w:val="-6"/>
                <w:sz w:val="24"/>
                <w:szCs w:val="24"/>
                <w:lang w:eastAsia="zh-CN"/>
              </w:rPr>
              <w:t>教科局</w:t>
            </w:r>
            <w:r>
              <w:rPr>
                <w:spacing w:val="-6"/>
                <w:sz w:val="24"/>
                <w:szCs w:val="24"/>
              </w:rPr>
              <w:t>、</w:t>
            </w:r>
            <w:r>
              <w:rPr>
                <w:rFonts w:hint="eastAsia"/>
                <w:spacing w:val="-6"/>
                <w:sz w:val="24"/>
                <w:szCs w:val="24"/>
                <w:lang w:val="en-US" w:eastAsia="zh-CN"/>
              </w:rPr>
              <w:t>县</w:t>
            </w:r>
            <w:r>
              <w:rPr>
                <w:spacing w:val="-6"/>
                <w:sz w:val="24"/>
                <w:szCs w:val="24"/>
              </w:rPr>
              <w:t>卫</w:t>
            </w:r>
            <w:r>
              <w:rPr>
                <w:rFonts w:hint="eastAsia"/>
                <w:spacing w:val="-6"/>
                <w:sz w:val="24"/>
                <w:szCs w:val="24"/>
                <w:lang w:val="en-US" w:eastAsia="zh-CN"/>
              </w:rPr>
              <w:t>体局</w:t>
            </w:r>
            <w:r>
              <w:rPr>
                <w:spacing w:val="-6"/>
                <w:sz w:val="24"/>
                <w:szCs w:val="24"/>
              </w:rPr>
              <w:t>、</w:t>
            </w:r>
            <w:r>
              <w:rPr>
                <w:rFonts w:hint="eastAsia"/>
                <w:spacing w:val="-6"/>
                <w:sz w:val="24"/>
                <w:szCs w:val="24"/>
                <w:lang w:val="en-US" w:eastAsia="zh-CN"/>
              </w:rPr>
              <w:t>县</w:t>
            </w:r>
            <w:r>
              <w:rPr>
                <w:spacing w:val="-6"/>
                <w:sz w:val="24"/>
                <w:szCs w:val="24"/>
              </w:rPr>
              <w:t>住建局等部门</w:t>
            </w:r>
          </w:p>
        </w:tc>
        <w:tc>
          <w:tcPr>
            <w:tcW w:w="81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r>
              <w:rPr>
                <w:spacing w:val="-6"/>
                <w:sz w:val="24"/>
                <w:szCs w:val="24"/>
              </w:rPr>
              <w:t>负责调查事件的发生原因、人员伤亡、经济损失等情况，查明事件性质，分析事件责任和影响因素，提出防范措施和对事件责任人处理意见。涉嫌犯罪的，由</w:t>
            </w:r>
            <w:r>
              <w:rPr>
                <w:rFonts w:hint="eastAsia"/>
                <w:spacing w:val="-6"/>
                <w:sz w:val="24"/>
                <w:szCs w:val="24"/>
                <w:lang w:val="en-US" w:eastAsia="zh-CN"/>
              </w:rPr>
              <w:t>县</w:t>
            </w:r>
            <w:r>
              <w:rPr>
                <w:spacing w:val="-6"/>
                <w:sz w:val="24"/>
                <w:szCs w:val="24"/>
              </w:rPr>
              <w:t>公安局负责督促、指导，依法追究刑事责任。事件责任调查与事件应急处理同步进行，边报告、边调查、边处置。根据实际需要，事件调查组可以设置在事发地或派出部分人员赴现场开展工作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exact"/>
        </w:trPr>
        <w:tc>
          <w:tcPr>
            <w:tcW w:w="9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pacing w:val="-6"/>
                <w:sz w:val="24"/>
                <w:szCs w:val="24"/>
              </w:rPr>
            </w:pPr>
            <w:r>
              <w:rPr>
                <w:spacing w:val="-6"/>
                <w:sz w:val="24"/>
                <w:szCs w:val="24"/>
              </w:rPr>
              <w:t>危害</w:t>
            </w:r>
          </w:p>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pacing w:val="-6"/>
                <w:sz w:val="24"/>
                <w:szCs w:val="24"/>
              </w:rPr>
            </w:pPr>
            <w:r>
              <w:rPr>
                <w:spacing w:val="-6"/>
                <w:sz w:val="24"/>
                <w:szCs w:val="24"/>
              </w:rPr>
              <w:t>控制组</w:t>
            </w:r>
          </w:p>
        </w:tc>
        <w:tc>
          <w:tcPr>
            <w:tcW w:w="866"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pacing w:val="-6"/>
                <w:sz w:val="24"/>
                <w:szCs w:val="24"/>
              </w:rPr>
            </w:pPr>
            <w:r>
              <w:rPr>
                <w:rFonts w:hint="eastAsia"/>
                <w:spacing w:val="-6"/>
                <w:sz w:val="24"/>
                <w:szCs w:val="24"/>
                <w:lang w:val="en-US" w:eastAsia="zh-CN"/>
              </w:rPr>
              <w:t>县</w:t>
            </w:r>
            <w:r>
              <w:rPr>
                <w:spacing w:val="-6"/>
                <w:sz w:val="24"/>
                <w:szCs w:val="24"/>
              </w:rPr>
              <w:t>市场监管局</w:t>
            </w:r>
          </w:p>
        </w:tc>
        <w:tc>
          <w:tcPr>
            <w:tcW w:w="3250"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center"/>
              <w:textAlignment w:val="auto"/>
              <w:rPr>
                <w:spacing w:val="-6"/>
                <w:sz w:val="24"/>
                <w:szCs w:val="24"/>
              </w:rPr>
            </w:pPr>
            <w:r>
              <w:rPr>
                <w:rFonts w:hint="eastAsia"/>
                <w:spacing w:val="-6"/>
                <w:sz w:val="24"/>
                <w:szCs w:val="24"/>
                <w:lang w:val="en-US" w:eastAsia="zh-CN"/>
              </w:rPr>
              <w:t>县</w:t>
            </w:r>
            <w:r>
              <w:rPr>
                <w:spacing w:val="-6"/>
                <w:sz w:val="24"/>
                <w:szCs w:val="24"/>
              </w:rPr>
              <w:t>委统战部、</w:t>
            </w:r>
            <w:r>
              <w:rPr>
                <w:rFonts w:hint="eastAsia"/>
                <w:spacing w:val="-6"/>
                <w:sz w:val="24"/>
                <w:szCs w:val="24"/>
                <w:lang w:val="en-US" w:eastAsia="zh-CN"/>
              </w:rPr>
              <w:t>县</w:t>
            </w:r>
            <w:r>
              <w:rPr>
                <w:rFonts w:hint="eastAsia"/>
                <w:spacing w:val="-6"/>
                <w:sz w:val="24"/>
                <w:szCs w:val="24"/>
                <w:lang w:eastAsia="zh-CN"/>
              </w:rPr>
              <w:t>教科局</w:t>
            </w:r>
            <w:r>
              <w:rPr>
                <w:spacing w:val="-6"/>
                <w:sz w:val="24"/>
                <w:szCs w:val="24"/>
              </w:rPr>
              <w:t>、</w:t>
            </w:r>
            <w:r>
              <w:rPr>
                <w:rFonts w:hint="eastAsia"/>
                <w:spacing w:val="-6"/>
                <w:sz w:val="24"/>
                <w:szCs w:val="24"/>
                <w:lang w:val="en-US" w:eastAsia="zh-CN"/>
              </w:rPr>
              <w:t>县</w:t>
            </w:r>
            <w:r>
              <w:rPr>
                <w:spacing w:val="-6"/>
                <w:sz w:val="24"/>
                <w:szCs w:val="24"/>
              </w:rPr>
              <w:t>公安局、市生态环境局</w:t>
            </w:r>
            <w:r>
              <w:rPr>
                <w:rFonts w:hint="eastAsia"/>
                <w:spacing w:val="-6"/>
                <w:sz w:val="24"/>
                <w:szCs w:val="24"/>
                <w:lang w:val="en-US" w:eastAsia="zh-CN"/>
              </w:rPr>
              <w:t>临县分局</w:t>
            </w:r>
            <w:r>
              <w:rPr>
                <w:spacing w:val="-6"/>
                <w:sz w:val="24"/>
                <w:szCs w:val="24"/>
              </w:rPr>
              <w:t>、</w:t>
            </w:r>
            <w:r>
              <w:rPr>
                <w:rFonts w:hint="eastAsia"/>
                <w:spacing w:val="-6"/>
                <w:sz w:val="24"/>
                <w:szCs w:val="24"/>
                <w:lang w:val="en-US" w:eastAsia="zh-CN"/>
              </w:rPr>
              <w:t>县</w:t>
            </w:r>
            <w:r>
              <w:rPr>
                <w:spacing w:val="-6"/>
                <w:sz w:val="24"/>
                <w:szCs w:val="24"/>
              </w:rPr>
              <w:t>住建局、</w:t>
            </w:r>
            <w:r>
              <w:rPr>
                <w:rFonts w:hint="eastAsia"/>
                <w:spacing w:val="-6"/>
                <w:sz w:val="24"/>
                <w:szCs w:val="24"/>
                <w:lang w:val="en-US" w:eastAsia="zh-CN"/>
              </w:rPr>
              <w:t>县</w:t>
            </w:r>
            <w:r>
              <w:rPr>
                <w:spacing w:val="-6"/>
                <w:sz w:val="24"/>
                <w:szCs w:val="24"/>
              </w:rPr>
              <w:t>农业农村局、</w:t>
            </w:r>
            <w:r>
              <w:rPr>
                <w:rFonts w:hint="eastAsia"/>
                <w:spacing w:val="-6"/>
                <w:sz w:val="24"/>
                <w:szCs w:val="24"/>
                <w:lang w:val="en-US" w:eastAsia="zh-CN"/>
              </w:rPr>
              <w:t>县林业局</w:t>
            </w:r>
            <w:r>
              <w:rPr>
                <w:spacing w:val="-6"/>
                <w:sz w:val="24"/>
                <w:szCs w:val="24"/>
              </w:rPr>
              <w:t>、</w:t>
            </w:r>
            <w:r>
              <w:rPr>
                <w:rFonts w:hint="eastAsia"/>
                <w:spacing w:val="-6"/>
                <w:sz w:val="24"/>
                <w:szCs w:val="24"/>
                <w:lang w:val="en-US" w:eastAsia="zh-CN"/>
              </w:rPr>
              <w:t>县工信</w:t>
            </w:r>
            <w:r>
              <w:rPr>
                <w:spacing w:val="-6"/>
                <w:sz w:val="24"/>
                <w:szCs w:val="24"/>
              </w:rPr>
              <w:t>局、</w:t>
            </w:r>
            <w:r>
              <w:rPr>
                <w:rFonts w:hint="eastAsia"/>
                <w:spacing w:val="-6"/>
                <w:sz w:val="24"/>
                <w:szCs w:val="24"/>
                <w:lang w:val="en-US" w:eastAsia="zh-CN"/>
              </w:rPr>
              <w:t>县</w:t>
            </w:r>
            <w:r>
              <w:rPr>
                <w:spacing w:val="-6"/>
                <w:sz w:val="24"/>
                <w:szCs w:val="24"/>
              </w:rPr>
              <w:t>文旅局</w:t>
            </w:r>
          </w:p>
        </w:tc>
        <w:tc>
          <w:tcPr>
            <w:tcW w:w="81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r>
              <w:rPr>
                <w:spacing w:val="-6"/>
                <w:sz w:val="24"/>
                <w:szCs w:val="24"/>
              </w:rPr>
              <w:t>负责监督、指导事件发生地政府职能部门召回、下架、封存有关食品、原料、食品添加剂及食品相关产品，严格控制流通渠道，防止危害蔓延扩大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exact"/>
        </w:trPr>
        <w:tc>
          <w:tcPr>
            <w:tcW w:w="9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spacing w:val="-6"/>
                <w:sz w:val="24"/>
                <w:szCs w:val="24"/>
              </w:rPr>
            </w:pPr>
            <w:r>
              <w:rPr>
                <w:spacing w:val="-6"/>
                <w:sz w:val="24"/>
                <w:szCs w:val="24"/>
              </w:rPr>
              <w:t>医学</w:t>
            </w:r>
          </w:p>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spacing w:val="-6"/>
                <w:sz w:val="24"/>
                <w:szCs w:val="24"/>
              </w:rPr>
            </w:pPr>
            <w:r>
              <w:rPr>
                <w:spacing w:val="-6"/>
                <w:sz w:val="24"/>
                <w:szCs w:val="24"/>
              </w:rPr>
              <w:t>救援组</w:t>
            </w:r>
          </w:p>
        </w:tc>
        <w:tc>
          <w:tcPr>
            <w:tcW w:w="866"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spacing w:val="-6"/>
                <w:sz w:val="24"/>
                <w:szCs w:val="24"/>
              </w:rPr>
            </w:pPr>
            <w:r>
              <w:rPr>
                <w:rFonts w:hint="eastAsia"/>
                <w:spacing w:val="-6"/>
                <w:sz w:val="24"/>
                <w:szCs w:val="24"/>
                <w:lang w:val="en-US" w:eastAsia="zh-CN"/>
              </w:rPr>
              <w:t>县</w:t>
            </w:r>
            <w:r>
              <w:rPr>
                <w:spacing w:val="-6"/>
                <w:sz w:val="24"/>
                <w:szCs w:val="24"/>
              </w:rPr>
              <w:t>卫</w:t>
            </w:r>
          </w:p>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spacing w:val="-6"/>
                <w:sz w:val="24"/>
                <w:szCs w:val="24"/>
                <w:lang w:val="en-US" w:eastAsia="zh-CN"/>
              </w:rPr>
            </w:pPr>
            <w:r>
              <w:rPr>
                <w:rFonts w:hint="eastAsia"/>
                <w:spacing w:val="-6"/>
                <w:sz w:val="24"/>
                <w:szCs w:val="24"/>
                <w:lang w:val="en-US" w:eastAsia="zh-CN"/>
              </w:rPr>
              <w:t>体局</w:t>
            </w:r>
          </w:p>
        </w:tc>
        <w:tc>
          <w:tcPr>
            <w:tcW w:w="3250"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spacing w:val="-6"/>
                <w:sz w:val="24"/>
                <w:szCs w:val="24"/>
                <w:lang w:val="en-US" w:eastAsia="zh-CN"/>
              </w:rPr>
            </w:pPr>
            <w:r>
              <w:rPr>
                <w:rFonts w:hint="eastAsia"/>
                <w:spacing w:val="-6"/>
                <w:sz w:val="24"/>
                <w:szCs w:val="24"/>
                <w:lang w:val="en-US" w:eastAsia="zh-CN"/>
              </w:rPr>
              <w:t>县</w:t>
            </w:r>
            <w:r>
              <w:rPr>
                <w:spacing w:val="-6"/>
                <w:sz w:val="24"/>
                <w:szCs w:val="24"/>
              </w:rPr>
              <w:t>工信局、</w:t>
            </w:r>
            <w:r>
              <w:rPr>
                <w:rFonts w:hint="eastAsia"/>
                <w:spacing w:val="-6"/>
                <w:sz w:val="24"/>
                <w:szCs w:val="24"/>
                <w:lang w:val="en-US" w:eastAsia="zh-CN"/>
              </w:rPr>
              <w:t>县</w:t>
            </w:r>
            <w:r>
              <w:rPr>
                <w:spacing w:val="-6"/>
                <w:sz w:val="24"/>
                <w:szCs w:val="24"/>
              </w:rPr>
              <w:t>市场监管局</w:t>
            </w:r>
          </w:p>
        </w:tc>
        <w:tc>
          <w:tcPr>
            <w:tcW w:w="81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textAlignment w:val="auto"/>
              <w:rPr>
                <w:spacing w:val="-6"/>
                <w:sz w:val="24"/>
                <w:szCs w:val="24"/>
              </w:rPr>
            </w:pPr>
            <w:r>
              <w:rPr>
                <w:spacing w:val="-6"/>
                <w:sz w:val="24"/>
                <w:szCs w:val="24"/>
              </w:rPr>
              <w:t>负责组织协调相关医疗机构和疾病预防控制机构等，调派医疗救治和公共卫生专家，实施患者医疗救治和相关流行病学调查工作，协助有关部门对事件现场进行卫生处理。组织</w:t>
            </w:r>
            <w:r>
              <w:rPr>
                <w:rFonts w:hint="eastAsia"/>
                <w:spacing w:val="-6"/>
                <w:sz w:val="24"/>
                <w:szCs w:val="24"/>
                <w:lang w:val="en-US" w:eastAsia="zh-CN"/>
              </w:rPr>
              <w:t>县</w:t>
            </w:r>
            <w:r>
              <w:rPr>
                <w:spacing w:val="-6"/>
                <w:sz w:val="24"/>
                <w:szCs w:val="24"/>
              </w:rPr>
              <w:t>级医药储备应急调拨，确保及时有效保障，并做好药品安全监管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hAnsi="仿宋" w:eastAsia="黑体" w:cs="仿宋"/>
                <w:kern w:val="2"/>
                <w:sz w:val="24"/>
                <w:szCs w:val="24"/>
                <w:lang w:val="zh-CN" w:eastAsia="zh-CN" w:bidi="zh-CN"/>
              </w:rPr>
            </w:pPr>
            <w:r>
              <w:rPr>
                <w:rFonts w:hint="eastAsia" w:ascii="黑体" w:eastAsia="黑体"/>
                <w:sz w:val="24"/>
                <w:szCs w:val="24"/>
              </w:rPr>
              <w:t>工作组</w:t>
            </w:r>
          </w:p>
        </w:tc>
        <w:tc>
          <w:tcPr>
            <w:tcW w:w="866"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eastAsia="黑体"/>
                <w:sz w:val="24"/>
                <w:szCs w:val="24"/>
              </w:rPr>
            </w:pPr>
            <w:r>
              <w:rPr>
                <w:rFonts w:hint="eastAsia" w:ascii="黑体" w:eastAsia="黑体"/>
                <w:sz w:val="24"/>
                <w:szCs w:val="24"/>
              </w:rPr>
              <w:t>牵头</w:t>
            </w:r>
          </w:p>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hAnsi="仿宋" w:eastAsia="黑体" w:cs="仿宋"/>
                <w:kern w:val="2"/>
                <w:sz w:val="24"/>
                <w:szCs w:val="24"/>
                <w:lang w:val="en-US" w:eastAsia="zh-CN" w:bidi="zh-CN"/>
              </w:rPr>
            </w:pPr>
            <w:r>
              <w:rPr>
                <w:rFonts w:hint="eastAsia" w:ascii="黑体" w:eastAsia="黑体"/>
                <w:sz w:val="24"/>
                <w:szCs w:val="24"/>
              </w:rPr>
              <w:t>单位</w:t>
            </w:r>
          </w:p>
        </w:tc>
        <w:tc>
          <w:tcPr>
            <w:tcW w:w="3250"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hAnsi="仿宋" w:eastAsia="黑体" w:cs="仿宋"/>
                <w:kern w:val="2"/>
                <w:sz w:val="24"/>
                <w:szCs w:val="24"/>
                <w:lang w:val="en-US" w:eastAsia="zh-CN" w:bidi="zh-CN"/>
              </w:rPr>
            </w:pPr>
            <w:r>
              <w:rPr>
                <w:rFonts w:hint="eastAsia" w:ascii="黑体" w:eastAsia="黑体"/>
                <w:sz w:val="24"/>
                <w:szCs w:val="24"/>
              </w:rPr>
              <w:t>成员单位</w:t>
            </w:r>
          </w:p>
        </w:tc>
        <w:tc>
          <w:tcPr>
            <w:tcW w:w="81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ascii="黑体" w:hAnsi="仿宋" w:eastAsia="黑体" w:cs="仿宋"/>
                <w:kern w:val="2"/>
                <w:sz w:val="24"/>
                <w:szCs w:val="24"/>
                <w:lang w:val="zh-CN" w:eastAsia="zh-CN" w:bidi="zh-CN"/>
              </w:rPr>
            </w:pPr>
            <w:r>
              <w:rPr>
                <w:rFonts w:hint="eastAsia" w:ascii="黑体" w:eastAsia="黑体"/>
                <w:sz w:val="24"/>
                <w:szCs w:val="24"/>
              </w:rPr>
              <w:t>职</w:t>
            </w:r>
            <w:r>
              <w:rPr>
                <w:rFonts w:hint="eastAsia" w:ascii="黑体" w:eastAsia="黑体"/>
                <w:sz w:val="24"/>
                <w:szCs w:val="24"/>
                <w:lang w:val="en-US" w:eastAsia="zh-CN"/>
              </w:rPr>
              <w:t xml:space="preserve">  </w:t>
            </w:r>
            <w:r>
              <w:rPr>
                <w:rFonts w:hint="eastAsia" w:ascii="黑体" w:eastAsia="黑体"/>
                <w:sz w:val="24"/>
                <w:szCs w:val="24"/>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exact"/>
        </w:trPr>
        <w:tc>
          <w:tcPr>
            <w:tcW w:w="9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spacing w:val="-6"/>
                <w:sz w:val="24"/>
                <w:szCs w:val="24"/>
              </w:rPr>
            </w:pPr>
            <w:r>
              <w:rPr>
                <w:spacing w:val="-6"/>
                <w:sz w:val="24"/>
                <w:szCs w:val="24"/>
              </w:rPr>
              <w:t>应急</w:t>
            </w:r>
          </w:p>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spacing w:val="-6"/>
                <w:sz w:val="24"/>
                <w:szCs w:val="24"/>
              </w:rPr>
            </w:pPr>
            <w:r>
              <w:rPr>
                <w:spacing w:val="-6"/>
                <w:sz w:val="24"/>
                <w:szCs w:val="24"/>
              </w:rPr>
              <w:t>保障组</w:t>
            </w:r>
          </w:p>
        </w:tc>
        <w:tc>
          <w:tcPr>
            <w:tcW w:w="866"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spacing w:val="-6"/>
                <w:sz w:val="24"/>
                <w:szCs w:val="24"/>
                <w:lang w:val="en-US" w:eastAsia="zh-CN"/>
              </w:rPr>
            </w:pPr>
            <w:r>
              <w:rPr>
                <w:rFonts w:hint="eastAsia"/>
                <w:spacing w:val="-6"/>
                <w:sz w:val="24"/>
                <w:szCs w:val="24"/>
                <w:lang w:val="en-US" w:eastAsia="zh-CN"/>
              </w:rPr>
              <w:t>县</w:t>
            </w:r>
            <w:r>
              <w:rPr>
                <w:spacing w:val="-6"/>
                <w:sz w:val="24"/>
                <w:szCs w:val="24"/>
              </w:rPr>
              <w:t>发展改革</w:t>
            </w:r>
            <w:r>
              <w:rPr>
                <w:rFonts w:hint="eastAsia"/>
                <w:spacing w:val="-6"/>
                <w:sz w:val="24"/>
                <w:szCs w:val="24"/>
                <w:lang w:val="en-US" w:eastAsia="zh-CN"/>
              </w:rPr>
              <w:t>局</w:t>
            </w:r>
          </w:p>
        </w:tc>
        <w:tc>
          <w:tcPr>
            <w:tcW w:w="3250"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spacing w:val="-6"/>
                <w:sz w:val="24"/>
                <w:szCs w:val="24"/>
                <w:lang w:val="en-US" w:eastAsia="zh-CN"/>
              </w:rPr>
            </w:pPr>
            <w:r>
              <w:rPr>
                <w:rFonts w:hint="eastAsia"/>
                <w:spacing w:val="-6"/>
                <w:sz w:val="24"/>
                <w:szCs w:val="24"/>
                <w:lang w:val="en-US" w:eastAsia="zh-CN"/>
              </w:rPr>
              <w:t>县</w:t>
            </w:r>
            <w:r>
              <w:rPr>
                <w:spacing w:val="-6"/>
                <w:sz w:val="24"/>
                <w:szCs w:val="24"/>
              </w:rPr>
              <w:t>公安局、</w:t>
            </w:r>
            <w:r>
              <w:rPr>
                <w:rFonts w:hint="eastAsia"/>
                <w:spacing w:val="-6"/>
                <w:sz w:val="24"/>
                <w:szCs w:val="24"/>
                <w:lang w:val="en-US" w:eastAsia="zh-CN"/>
              </w:rPr>
              <w:t>县</w:t>
            </w:r>
            <w:r>
              <w:rPr>
                <w:spacing w:val="-6"/>
                <w:sz w:val="24"/>
                <w:szCs w:val="24"/>
              </w:rPr>
              <w:t>民政局、</w:t>
            </w:r>
            <w:r>
              <w:rPr>
                <w:rFonts w:hint="eastAsia"/>
                <w:spacing w:val="-6"/>
                <w:sz w:val="24"/>
                <w:szCs w:val="24"/>
                <w:lang w:val="en-US" w:eastAsia="zh-CN"/>
              </w:rPr>
              <w:t>县</w:t>
            </w:r>
            <w:r>
              <w:rPr>
                <w:spacing w:val="-6"/>
                <w:sz w:val="24"/>
                <w:szCs w:val="24"/>
              </w:rPr>
              <w:t>财政局、</w:t>
            </w:r>
            <w:r>
              <w:rPr>
                <w:rFonts w:hint="eastAsia"/>
                <w:spacing w:val="-6"/>
                <w:sz w:val="24"/>
                <w:szCs w:val="24"/>
                <w:lang w:val="en-US" w:eastAsia="zh-CN"/>
              </w:rPr>
              <w:t>县</w:t>
            </w:r>
            <w:r>
              <w:rPr>
                <w:spacing w:val="-6"/>
                <w:sz w:val="24"/>
                <w:szCs w:val="24"/>
              </w:rPr>
              <w:t>交通局、</w:t>
            </w:r>
            <w:r>
              <w:rPr>
                <w:rFonts w:hint="eastAsia"/>
                <w:spacing w:val="-6"/>
                <w:sz w:val="24"/>
                <w:szCs w:val="24"/>
                <w:lang w:val="en-US" w:eastAsia="zh-CN"/>
              </w:rPr>
              <w:t>县工信</w:t>
            </w:r>
            <w:r>
              <w:rPr>
                <w:spacing w:val="-6"/>
                <w:sz w:val="24"/>
                <w:szCs w:val="24"/>
              </w:rPr>
              <w:t>局、中国移动</w:t>
            </w:r>
            <w:r>
              <w:rPr>
                <w:rFonts w:hint="eastAsia"/>
                <w:spacing w:val="-6"/>
                <w:sz w:val="24"/>
                <w:szCs w:val="24"/>
                <w:lang w:val="en-US" w:eastAsia="zh-CN"/>
              </w:rPr>
              <w:t>临县</w:t>
            </w:r>
            <w:r>
              <w:rPr>
                <w:spacing w:val="-6"/>
                <w:sz w:val="24"/>
                <w:szCs w:val="24"/>
              </w:rPr>
              <w:t>分公司、中国联通</w:t>
            </w:r>
            <w:r>
              <w:rPr>
                <w:rFonts w:hint="eastAsia"/>
                <w:spacing w:val="-6"/>
                <w:sz w:val="24"/>
                <w:szCs w:val="24"/>
                <w:lang w:val="en-US" w:eastAsia="zh-CN"/>
              </w:rPr>
              <w:t>临县</w:t>
            </w:r>
            <w:r>
              <w:rPr>
                <w:spacing w:val="-6"/>
                <w:sz w:val="24"/>
                <w:szCs w:val="24"/>
              </w:rPr>
              <w:t>分公司、中国电信</w:t>
            </w:r>
            <w:r>
              <w:rPr>
                <w:rFonts w:hint="eastAsia"/>
                <w:spacing w:val="-6"/>
                <w:sz w:val="24"/>
                <w:szCs w:val="24"/>
                <w:lang w:val="en-US" w:eastAsia="zh-CN"/>
              </w:rPr>
              <w:t>临县</w:t>
            </w:r>
            <w:r>
              <w:rPr>
                <w:spacing w:val="-6"/>
                <w:sz w:val="24"/>
                <w:szCs w:val="24"/>
              </w:rPr>
              <w:t>分公司</w:t>
            </w:r>
          </w:p>
        </w:tc>
        <w:tc>
          <w:tcPr>
            <w:tcW w:w="81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textAlignment w:val="auto"/>
              <w:rPr>
                <w:spacing w:val="-6"/>
                <w:sz w:val="24"/>
                <w:szCs w:val="24"/>
              </w:rPr>
            </w:pPr>
            <w:r>
              <w:rPr>
                <w:spacing w:val="-6"/>
                <w:sz w:val="24"/>
                <w:szCs w:val="24"/>
              </w:rPr>
              <w:t>提供应急救援资金及协助征用交通工具，负责协调组织调运应急救援设施，对受害人员进行安抚，对受影响人群进行相应安置处理，保障应急现场安全和救援秩序，加强治安管理、维护社会稳定，负责出入境应急设备、物资通关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exact"/>
        </w:trPr>
        <w:tc>
          <w:tcPr>
            <w:tcW w:w="9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spacing w:val="-6"/>
                <w:sz w:val="24"/>
                <w:szCs w:val="24"/>
              </w:rPr>
            </w:pPr>
            <w:r>
              <w:rPr>
                <w:spacing w:val="-6"/>
                <w:sz w:val="24"/>
                <w:szCs w:val="24"/>
              </w:rPr>
              <w:t>宣传</w:t>
            </w:r>
          </w:p>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spacing w:val="-6"/>
                <w:sz w:val="24"/>
                <w:szCs w:val="24"/>
              </w:rPr>
            </w:pPr>
            <w:r>
              <w:rPr>
                <w:spacing w:val="-6"/>
                <w:sz w:val="24"/>
                <w:szCs w:val="24"/>
              </w:rPr>
              <w:t>报道组</w:t>
            </w:r>
          </w:p>
        </w:tc>
        <w:tc>
          <w:tcPr>
            <w:tcW w:w="866"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spacing w:val="-6"/>
                <w:sz w:val="24"/>
                <w:szCs w:val="24"/>
                <w:lang w:val="en-US" w:eastAsia="zh-CN"/>
              </w:rPr>
            </w:pPr>
            <w:r>
              <w:rPr>
                <w:rFonts w:hint="eastAsia"/>
                <w:spacing w:val="-6"/>
                <w:sz w:val="24"/>
                <w:szCs w:val="24"/>
                <w:lang w:val="en-US" w:eastAsia="zh-CN"/>
              </w:rPr>
              <w:t>县</w:t>
            </w:r>
            <w:r>
              <w:rPr>
                <w:spacing w:val="-6"/>
                <w:sz w:val="24"/>
                <w:szCs w:val="24"/>
              </w:rPr>
              <w:t>委宣传部</w:t>
            </w:r>
          </w:p>
        </w:tc>
        <w:tc>
          <w:tcPr>
            <w:tcW w:w="3250"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spacing w:val="-6"/>
                <w:sz w:val="24"/>
                <w:szCs w:val="24"/>
                <w:lang w:val="en-US" w:eastAsia="zh-CN"/>
              </w:rPr>
            </w:pPr>
            <w:r>
              <w:rPr>
                <w:rFonts w:hint="eastAsia"/>
                <w:spacing w:val="-6"/>
                <w:sz w:val="24"/>
                <w:szCs w:val="24"/>
                <w:lang w:val="en-US" w:eastAsia="zh-CN"/>
              </w:rPr>
              <w:t>县</w:t>
            </w:r>
            <w:r>
              <w:rPr>
                <w:spacing w:val="-6"/>
                <w:sz w:val="24"/>
                <w:szCs w:val="24"/>
              </w:rPr>
              <w:t>新闻办、</w:t>
            </w:r>
            <w:r>
              <w:rPr>
                <w:rFonts w:hint="eastAsia"/>
                <w:spacing w:val="-6"/>
                <w:sz w:val="24"/>
                <w:szCs w:val="24"/>
                <w:lang w:val="en-US" w:eastAsia="zh-CN"/>
              </w:rPr>
              <w:t>县</w:t>
            </w:r>
            <w:r>
              <w:rPr>
                <w:spacing w:val="-6"/>
                <w:sz w:val="24"/>
                <w:szCs w:val="24"/>
              </w:rPr>
              <w:t>农业农村局、</w:t>
            </w:r>
            <w:r>
              <w:rPr>
                <w:rFonts w:hint="eastAsia"/>
                <w:spacing w:val="-6"/>
                <w:sz w:val="24"/>
                <w:szCs w:val="24"/>
                <w:lang w:val="en-US" w:eastAsia="zh-CN"/>
              </w:rPr>
              <w:t>县</w:t>
            </w:r>
            <w:r>
              <w:rPr>
                <w:spacing w:val="-6"/>
                <w:sz w:val="24"/>
                <w:szCs w:val="24"/>
              </w:rPr>
              <w:t>卫</w:t>
            </w:r>
            <w:r>
              <w:rPr>
                <w:rFonts w:hint="eastAsia"/>
                <w:spacing w:val="-6"/>
                <w:sz w:val="24"/>
                <w:szCs w:val="24"/>
                <w:lang w:val="en-US" w:eastAsia="zh-CN"/>
              </w:rPr>
              <w:t>体局</w:t>
            </w:r>
            <w:r>
              <w:rPr>
                <w:spacing w:val="-6"/>
                <w:sz w:val="24"/>
                <w:szCs w:val="24"/>
              </w:rPr>
              <w:t>、</w:t>
            </w:r>
            <w:r>
              <w:rPr>
                <w:rFonts w:hint="eastAsia"/>
                <w:spacing w:val="-6"/>
                <w:sz w:val="24"/>
                <w:szCs w:val="24"/>
                <w:lang w:val="en-US" w:eastAsia="zh-CN"/>
              </w:rPr>
              <w:t>县</w:t>
            </w:r>
            <w:r>
              <w:rPr>
                <w:spacing w:val="-6"/>
                <w:sz w:val="24"/>
                <w:szCs w:val="24"/>
              </w:rPr>
              <w:t>市场监管局、</w:t>
            </w:r>
            <w:r>
              <w:rPr>
                <w:rFonts w:hint="eastAsia"/>
                <w:spacing w:val="-6"/>
                <w:sz w:val="24"/>
                <w:szCs w:val="24"/>
                <w:lang w:val="en-US" w:eastAsia="zh-CN"/>
              </w:rPr>
              <w:t>县融媒体中心</w:t>
            </w:r>
            <w:r>
              <w:rPr>
                <w:spacing w:val="-6"/>
                <w:sz w:val="24"/>
                <w:szCs w:val="24"/>
              </w:rPr>
              <w:t>等部门；涉外、涉台时包括</w:t>
            </w:r>
            <w:r>
              <w:rPr>
                <w:rFonts w:hint="eastAsia"/>
                <w:spacing w:val="-6"/>
                <w:sz w:val="24"/>
                <w:szCs w:val="24"/>
                <w:lang w:val="en-US" w:eastAsia="zh-CN"/>
              </w:rPr>
              <w:t>县政府</w:t>
            </w:r>
            <w:r>
              <w:rPr>
                <w:spacing w:val="-6"/>
                <w:sz w:val="24"/>
                <w:szCs w:val="24"/>
              </w:rPr>
              <w:t>办、</w:t>
            </w:r>
            <w:r>
              <w:rPr>
                <w:rFonts w:hint="eastAsia"/>
                <w:spacing w:val="-6"/>
                <w:sz w:val="24"/>
                <w:szCs w:val="24"/>
                <w:lang w:val="en-US" w:eastAsia="zh-CN"/>
              </w:rPr>
              <w:t>县</w:t>
            </w:r>
            <w:r>
              <w:rPr>
                <w:spacing w:val="-6"/>
                <w:sz w:val="24"/>
                <w:szCs w:val="24"/>
              </w:rPr>
              <w:t>文旅局</w:t>
            </w:r>
          </w:p>
        </w:tc>
        <w:tc>
          <w:tcPr>
            <w:tcW w:w="81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textAlignment w:val="auto"/>
              <w:rPr>
                <w:spacing w:val="-6"/>
                <w:sz w:val="24"/>
                <w:szCs w:val="24"/>
              </w:rPr>
            </w:pPr>
            <w:r>
              <w:rPr>
                <w:spacing w:val="-6"/>
                <w:sz w:val="24"/>
                <w:szCs w:val="24"/>
              </w:rPr>
              <w:t>根据</w:t>
            </w:r>
            <w:r>
              <w:rPr>
                <w:rFonts w:hint="eastAsia"/>
                <w:spacing w:val="-6"/>
                <w:sz w:val="24"/>
                <w:szCs w:val="24"/>
                <w:lang w:eastAsia="zh-CN"/>
              </w:rPr>
              <w:t>县指挥部</w:t>
            </w:r>
            <w:r>
              <w:rPr>
                <w:spacing w:val="-6"/>
                <w:sz w:val="24"/>
                <w:szCs w:val="24"/>
              </w:rPr>
              <w:t>发布的指令，组织协调新闻媒体做好食品安全突发事件应急处置的新闻报道，积极引导舆论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exact"/>
        </w:trPr>
        <w:tc>
          <w:tcPr>
            <w:tcW w:w="9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spacing w:val="-6"/>
                <w:sz w:val="24"/>
                <w:szCs w:val="24"/>
              </w:rPr>
            </w:pPr>
            <w:r>
              <w:rPr>
                <w:spacing w:val="-6"/>
                <w:sz w:val="24"/>
                <w:szCs w:val="24"/>
              </w:rPr>
              <w:t>专家组</w:t>
            </w:r>
          </w:p>
        </w:tc>
        <w:tc>
          <w:tcPr>
            <w:tcW w:w="866"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spacing w:val="-6"/>
                <w:sz w:val="24"/>
                <w:szCs w:val="24"/>
                <w:lang w:val="en-US" w:eastAsia="zh-CN"/>
              </w:rPr>
            </w:pPr>
            <w:r>
              <w:rPr>
                <w:rFonts w:hint="eastAsia"/>
                <w:spacing w:val="-6"/>
                <w:sz w:val="24"/>
                <w:szCs w:val="24"/>
                <w:lang w:eastAsia="zh-CN"/>
              </w:rPr>
              <w:t>县指挥部办公室</w:t>
            </w:r>
          </w:p>
        </w:tc>
        <w:tc>
          <w:tcPr>
            <w:tcW w:w="3250"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textAlignment w:val="auto"/>
              <w:rPr>
                <w:rFonts w:hint="eastAsia"/>
                <w:spacing w:val="-6"/>
                <w:sz w:val="24"/>
                <w:szCs w:val="24"/>
                <w:lang w:val="en-US" w:eastAsia="zh-CN"/>
              </w:rPr>
            </w:pPr>
            <w:r>
              <w:rPr>
                <w:spacing w:val="-6"/>
                <w:sz w:val="24"/>
                <w:szCs w:val="24"/>
              </w:rPr>
              <w:t>指挥部抽调有关方面专家组成</w:t>
            </w:r>
          </w:p>
        </w:tc>
        <w:tc>
          <w:tcPr>
            <w:tcW w:w="8184"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textAlignment w:val="auto"/>
              <w:rPr>
                <w:spacing w:val="-6"/>
                <w:sz w:val="24"/>
                <w:szCs w:val="24"/>
              </w:rPr>
            </w:pPr>
            <w:r>
              <w:rPr>
                <w:spacing w:val="-6"/>
                <w:sz w:val="24"/>
                <w:szCs w:val="24"/>
              </w:rPr>
              <w:t>负责对事件进行分析评估，为应急响应的调整和解除以及应急处置工作提供决策建议，必要时参与应急处置</w:t>
            </w:r>
          </w:p>
        </w:tc>
      </w:tr>
    </w:tbl>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spacing w:val="-6"/>
          <w:sz w:val="24"/>
          <w:szCs w:val="24"/>
        </w:rPr>
      </w:pPr>
    </w:p>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rFonts w:hint="eastAsia"/>
          <w:spacing w:val="-6"/>
          <w:sz w:val="24"/>
          <w:szCs w:val="24"/>
          <w:lang w:eastAsia="zh-CN"/>
        </w:rPr>
      </w:pPr>
    </w:p>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rFonts w:hint="eastAsia"/>
          <w:spacing w:val="-6"/>
          <w:sz w:val="24"/>
          <w:szCs w:val="24"/>
          <w:lang w:eastAsia="zh-CN"/>
        </w:rPr>
      </w:pPr>
    </w:p>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rFonts w:hint="eastAsia"/>
          <w:spacing w:val="-6"/>
          <w:sz w:val="24"/>
          <w:szCs w:val="24"/>
          <w:lang w:eastAsia="zh-CN"/>
        </w:rPr>
      </w:pPr>
    </w:p>
    <w:p>
      <w:pPr>
        <w:pStyle w:val="9"/>
        <w:keepNext w:val="0"/>
        <w:keepLines w:val="0"/>
        <w:pageBreakBefore w:val="0"/>
        <w:widowControl w:val="0"/>
        <w:kinsoku/>
        <w:wordWrap/>
        <w:overflowPunct w:val="0"/>
        <w:topLinePunct w:val="0"/>
        <w:autoSpaceDE/>
        <w:autoSpaceDN/>
        <w:bidi w:val="0"/>
        <w:adjustRightInd/>
        <w:snapToGrid/>
        <w:spacing w:line="360" w:lineRule="exact"/>
        <w:ind w:left="0" w:right="0"/>
        <w:jc w:val="both"/>
        <w:textAlignment w:val="auto"/>
        <w:rPr>
          <w:rFonts w:hint="eastAsia"/>
          <w:spacing w:val="-6"/>
          <w:sz w:val="24"/>
          <w:szCs w:val="24"/>
          <w:lang w:eastAsia="zh-CN"/>
        </w:rPr>
      </w:pPr>
    </w:p>
    <w:p>
      <w:pPr>
        <w:pStyle w:val="3"/>
        <w:spacing w:before="54"/>
        <w:rPr>
          <w:rFonts w:hint="eastAsia" w:ascii="黑体" w:eastAsia="黑体"/>
          <w:b w:val="0"/>
          <w:bCs w:val="0"/>
          <w:lang w:eastAsia="zh-CN"/>
        </w:rPr>
      </w:pPr>
      <w:r>
        <w:rPr>
          <w:rFonts w:hint="eastAsia" w:ascii="黑体" w:eastAsia="黑体"/>
          <w:b w:val="0"/>
          <w:bCs w:val="0"/>
        </w:rPr>
        <w:t>附</w:t>
      </w:r>
      <w:r>
        <w:rPr>
          <w:rFonts w:hint="eastAsia" w:ascii="黑体" w:eastAsia="黑体"/>
          <w:b w:val="0"/>
          <w:bCs w:val="0"/>
          <w:lang w:eastAsia="zh-CN"/>
        </w:rPr>
        <w:t>件</w:t>
      </w:r>
      <w:r>
        <w:rPr>
          <w:rFonts w:hint="eastAsia" w:ascii="黑体" w:eastAsia="黑体"/>
          <w:b w:val="0"/>
          <w:bCs w:val="0"/>
          <w:lang w:val="en-US" w:eastAsia="zh-CN"/>
        </w:rPr>
        <w:t>4</w:t>
      </w:r>
    </w:p>
    <w:p>
      <w:pPr>
        <w:pStyle w:val="2"/>
        <w:keepNext w:val="0"/>
        <w:keepLines w:val="0"/>
        <w:pageBreakBefore w:val="0"/>
        <w:widowControl w:val="0"/>
        <w:kinsoku/>
        <w:wordWrap/>
        <w:overflowPunct w:val="0"/>
        <w:topLinePunct w:val="0"/>
        <w:autoSpaceDE/>
        <w:autoSpaceDN/>
        <w:bidi w:val="0"/>
        <w:adjustRightInd/>
        <w:snapToGrid/>
        <w:ind w:left="0" w:leftChars="0" w:right="0" w:firstLine="0" w:firstLineChars="0"/>
        <w:jc w:val="center"/>
        <w:textAlignment w:val="auto"/>
        <w:rPr>
          <w:rFonts w:hint="eastAsia"/>
          <w:lang w:eastAsia="zh-CN"/>
        </w:rPr>
      </w:pPr>
      <w:r>
        <w:rPr>
          <w:rFonts w:hint="eastAsia"/>
          <w:lang w:eastAsia="zh-CN"/>
        </w:rPr>
        <w:t>临县食品安全突发事件信息报告制度</w:t>
      </w:r>
    </w:p>
    <w:tbl>
      <w:tblPr>
        <w:tblStyle w:val="7"/>
        <w:tblW w:w="1328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trPr>
        <w:tc>
          <w:tcPr>
            <w:tcW w:w="79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00" w:lineRule="exact"/>
              <w:ind w:left="0" w:right="0"/>
              <w:jc w:val="center"/>
              <w:textAlignment w:val="auto"/>
              <w:rPr>
                <w:spacing w:val="-6"/>
                <w:sz w:val="24"/>
                <w:szCs w:val="24"/>
              </w:rPr>
            </w:pPr>
            <w:r>
              <w:rPr>
                <w:rFonts w:hint="eastAsia"/>
                <w:spacing w:val="-6"/>
                <w:sz w:val="24"/>
                <w:szCs w:val="24"/>
              </w:rPr>
              <w:t>报告主体和时限</w:t>
            </w:r>
          </w:p>
        </w:tc>
        <w:tc>
          <w:tcPr>
            <w:tcW w:w="12492"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1.发生可能与食品安全有关的急性群体性健康损害的单位，应当在2小时内向所在地县级市场监管和卫生健康部门报告。</w:t>
            </w:r>
          </w:p>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2.食品生产经营者发现其生产经营的食品造成或可能造成公众健康损害的，应当在2小时内向所在地县级市场监管部门报告。</w:t>
            </w:r>
          </w:p>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3.食品安全相关技术机构、有关社会团体及个人发现食品安全突发事件相关情况，应当按规定及时向所在地县级市场监管部门报告或举报。</w:t>
            </w:r>
          </w:p>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4.医疗机构发现其收治的病人与食品安全突发事件有关的，应当在2小时内向所在地县级卫生健康部门报告。</w:t>
            </w:r>
          </w:p>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5.卫生健康部门在调查处理传染病或者其他突发公共卫生事件中发现与食品安全相关的信息，应当立即通报同级市场监管部门。</w:t>
            </w:r>
          </w:p>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6.有关监管部门获知食品安全突发事件或接到食品安全突发事件报告、举报，应当立即通报同级市场监管部门；经初步核实后要继续收集相关信息，及时将有关情况进一步向市场监管部门通报。在食品安全事件中涉及有关部门的，市场监管部门应当及时通报同级相关部门。</w:t>
            </w:r>
          </w:p>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7.县级以上市场监管部门应当在接到与食品安全有关的急性群体性健康损害报告后2小时之内进行现场核查，并于核查后1小时之内向本级政府和上级市场监管部门报告。</w:t>
            </w:r>
          </w:p>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spacing w:val="-6"/>
                <w:sz w:val="24"/>
                <w:szCs w:val="24"/>
              </w:rPr>
            </w:pPr>
            <w:r>
              <w:rPr>
                <w:rFonts w:hint="eastAsia"/>
                <w:spacing w:val="-6"/>
                <w:sz w:val="24"/>
                <w:szCs w:val="24"/>
              </w:rPr>
              <w:t>按照属地管理原则，食品安全事件信息报告实行逐级上报。事发地人民政府应在事件核实半小时之内上报到县政府和上级有关部门，县政府在事件核实1小时之内上报到市政府和上级有关部门，紧急情况下可电话口头报告，然后必须在30分钟之内上报书面信息，特殊情况可越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793"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00" w:lineRule="exact"/>
              <w:ind w:left="0" w:right="0"/>
              <w:jc w:val="center"/>
              <w:textAlignment w:val="auto"/>
              <w:rPr>
                <w:rFonts w:hint="eastAsia"/>
                <w:spacing w:val="-6"/>
                <w:sz w:val="24"/>
                <w:szCs w:val="24"/>
              </w:rPr>
            </w:pPr>
            <w:r>
              <w:rPr>
                <w:rFonts w:hint="eastAsia"/>
                <w:spacing w:val="-6"/>
                <w:sz w:val="24"/>
                <w:szCs w:val="24"/>
              </w:rPr>
              <w:t>报告内容</w:t>
            </w:r>
          </w:p>
        </w:tc>
        <w:tc>
          <w:tcPr>
            <w:tcW w:w="12492" w:type="dxa"/>
            <w:noWrap w:val="0"/>
            <w:vAlign w:val="center"/>
          </w:tcPr>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市场监管部门、食品生产经营者、医疗机构、技术机构和社会团体、个人报告食品安全事件信息时，应当报告事件发生时间、地点和当前状况等基本情况。</w:t>
            </w:r>
          </w:p>
          <w:p>
            <w:pPr>
              <w:pStyle w:val="9"/>
              <w:keepNext w:val="0"/>
              <w:keepLines w:val="0"/>
              <w:pageBreakBefore w:val="0"/>
              <w:widowControl w:val="0"/>
              <w:kinsoku/>
              <w:wordWrap/>
              <w:overflowPunct w:val="0"/>
              <w:topLinePunct w:val="0"/>
              <w:autoSpaceDE/>
              <w:autoSpaceDN/>
              <w:bidi w:val="0"/>
              <w:adjustRightInd/>
              <w:snapToGrid/>
              <w:spacing w:line="300" w:lineRule="exact"/>
              <w:ind w:left="0" w:right="0" w:firstLine="456" w:firstLineChars="200"/>
              <w:jc w:val="both"/>
              <w:textAlignment w:val="auto"/>
              <w:rPr>
                <w:rFonts w:hint="eastAsia"/>
                <w:spacing w:val="-6"/>
                <w:sz w:val="24"/>
                <w:szCs w:val="24"/>
              </w:rPr>
            </w:pPr>
            <w:r>
              <w:rPr>
                <w:rFonts w:hint="eastAsia"/>
                <w:spacing w:val="-6"/>
                <w:sz w:val="24"/>
                <w:szCs w:val="24"/>
              </w:rPr>
              <w:t>市场监管部门初报食品安全突发事件信息应包括信息来源、事件发生时间、地点、当前状况、危害程度、先期处置等信息。根据事件应对情况可进行多次续报，内容主要包括事件进展、发展趋势、后续应对措施、调查详情、原因分析等信息。终报在事件处理完毕后按规定上报，应包括事件概况、调查处理过程、事件性质、事件责任认定、追溯或处置结果、整改措施和效果评价等。重特大突发事件发生时，至少每日报告情况，重要情况随时报告。</w:t>
            </w:r>
          </w:p>
        </w:tc>
      </w:tr>
    </w:tbl>
    <w:p>
      <w:pPr>
        <w:pStyle w:val="3"/>
        <w:spacing w:before="54"/>
        <w:rPr>
          <w:rFonts w:hint="eastAsia" w:ascii="黑体" w:eastAsia="黑体"/>
          <w:b w:val="0"/>
          <w:bCs w:val="0"/>
          <w:lang w:eastAsia="zh-CN"/>
        </w:rPr>
      </w:pPr>
      <w:r>
        <w:rPr>
          <w:rFonts w:hint="eastAsia" w:ascii="黑体" w:eastAsia="黑体"/>
          <w:b w:val="0"/>
          <w:bCs w:val="0"/>
        </w:rPr>
        <w:t>附</w:t>
      </w:r>
      <w:r>
        <w:rPr>
          <w:rFonts w:hint="eastAsia" w:ascii="黑体" w:eastAsia="黑体"/>
          <w:b w:val="0"/>
          <w:bCs w:val="0"/>
          <w:lang w:eastAsia="zh-CN"/>
        </w:rPr>
        <w:t>件</w:t>
      </w:r>
      <w:r>
        <w:rPr>
          <w:rFonts w:hint="eastAsia" w:ascii="黑体" w:eastAsia="黑体"/>
          <w:b w:val="0"/>
          <w:bCs w:val="0"/>
          <w:lang w:val="en-US" w:eastAsia="zh-CN"/>
        </w:rPr>
        <w:t>5</w:t>
      </w:r>
    </w:p>
    <w:p>
      <w:pPr>
        <w:pStyle w:val="2"/>
        <w:keepNext w:val="0"/>
        <w:keepLines w:val="0"/>
        <w:pageBreakBefore w:val="0"/>
        <w:widowControl w:val="0"/>
        <w:kinsoku/>
        <w:wordWrap/>
        <w:overflowPunct w:val="0"/>
        <w:topLinePunct w:val="0"/>
        <w:autoSpaceDE/>
        <w:autoSpaceDN/>
        <w:bidi w:val="0"/>
        <w:adjustRightInd/>
        <w:snapToGrid/>
        <w:ind w:left="0" w:leftChars="0" w:right="0" w:firstLine="0" w:firstLineChars="0"/>
        <w:jc w:val="center"/>
        <w:textAlignment w:val="auto"/>
        <w:rPr>
          <w:rFonts w:hint="eastAsia"/>
          <w:lang w:eastAsia="zh-CN"/>
        </w:rPr>
      </w:pPr>
      <w:r>
        <w:rPr>
          <w:rFonts w:hint="eastAsia"/>
          <w:lang w:eastAsia="zh-CN"/>
        </w:rPr>
        <w:t>临县食品安全突发事件响应分级及措施</w:t>
      </w:r>
    </w:p>
    <w:tbl>
      <w:tblPr>
        <w:tblStyle w:val="6"/>
        <w:tblW w:w="13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2600"/>
        <w:gridCol w:w="2600"/>
        <w:gridCol w:w="2600"/>
        <w:gridCol w:w="4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186" w:type="dxa"/>
            <w:noWrap w:val="0"/>
            <w:vAlign w:val="top"/>
          </w:tcPr>
          <w:p>
            <w:pPr>
              <w:pStyle w:val="9"/>
              <w:keepNext w:val="0"/>
              <w:keepLines w:val="0"/>
              <w:pageBreakBefore w:val="0"/>
              <w:widowControl w:val="0"/>
              <w:kinsoku/>
              <w:wordWrap/>
              <w:overflowPunct/>
              <w:topLinePunct w:val="0"/>
              <w:autoSpaceDE/>
              <w:autoSpaceDN/>
              <w:bidi w:val="0"/>
              <w:adjustRightInd/>
              <w:snapToGrid/>
              <w:spacing w:before="4" w:line="200" w:lineRule="exact"/>
              <w:ind w:right="51" w:firstLine="180" w:firstLineChars="100"/>
              <w:textAlignment w:val="auto"/>
              <w:rPr>
                <w:rFonts w:hint="eastAsia" w:ascii="仿宋_GB2312" w:hAnsi="仿宋_GB2312" w:eastAsia="仿宋_GB2312" w:cs="仿宋_GB2312"/>
                <w:spacing w:val="0"/>
                <w:w w:val="100"/>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8255</wp:posOffset>
                      </wp:positionV>
                      <wp:extent cx="753110" cy="464185"/>
                      <wp:effectExtent l="2540" t="3810" r="6350" b="8255"/>
                      <wp:wrapNone/>
                      <wp:docPr id="6" name="直接连接符 6"/>
                      <wp:cNvGraphicFramePr/>
                      <a:graphic xmlns:a="http://schemas.openxmlformats.org/drawingml/2006/main">
                        <a:graphicData uri="http://schemas.microsoft.com/office/word/2010/wordprocessingShape">
                          <wps:wsp>
                            <wps:cNvSpPr/>
                            <wps:spPr>
                              <a:xfrm>
                                <a:off x="0" y="0"/>
                                <a:ext cx="753110" cy="46418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0.65pt;height:36.55pt;width:59.3pt;z-index:251662336;mso-width-relative:page;mso-height-relative:page;" fillcolor="#FFFFFF" filled="t" stroked="t" coordsize="21600,21600" o:gfxdata="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&#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CkO330gAAAAUBAAAPAAAAAAAAAAEAIAAAADgAAABk&#10;cnMvZG93bnJldi54bWxQSwECFAAUAAAACACHTuJA0pkjxPYBAADoAwAADgAAAAAAAAABACAAAAA3&#10;AQAAZHJzL2Uyb0RvYy54bWxQSwUGAAAAAAYABgBZAQAAnwUAAAAA&#10;">
                      <v:path arrowok="t"/>
                      <v:fill on="t" focussize="0,0"/>
                      <v:stroke weight="0.5pt"/>
                      <v:imagedata o:title=""/>
                      <o:lock v:ext="edit" aspectratio="f"/>
                    </v:line>
                  </w:pict>
                </mc:Fallback>
              </mc:AlternateContent>
            </w:r>
            <w:r>
              <w:rPr>
                <w:rFonts w:hint="eastAsia" w:ascii="仿宋_GB2312" w:hAnsi="仿宋_GB2312" w:eastAsia="仿宋_GB2312" w:cs="仿宋_GB2312"/>
                <w:spacing w:val="0"/>
                <w:w w:val="100"/>
                <w:sz w:val="18"/>
                <w:szCs w:val="18"/>
                <w:lang w:val="en-US" w:eastAsia="zh-CN"/>
              </w:rPr>
              <w:t xml:space="preserve">   </w:t>
            </w:r>
            <w:r>
              <w:rPr>
                <w:rFonts w:hint="eastAsia" w:ascii="仿宋_GB2312" w:hAnsi="仿宋_GB2312" w:eastAsia="仿宋_GB2312" w:cs="仿宋_GB2312"/>
                <w:spacing w:val="0"/>
                <w:w w:val="100"/>
                <w:sz w:val="18"/>
                <w:szCs w:val="18"/>
              </w:rPr>
              <w:t>响应</w:t>
            </w:r>
          </w:p>
          <w:p>
            <w:pPr>
              <w:pStyle w:val="9"/>
              <w:keepNext w:val="0"/>
              <w:keepLines w:val="0"/>
              <w:pageBreakBefore w:val="0"/>
              <w:widowControl w:val="0"/>
              <w:kinsoku/>
              <w:wordWrap/>
              <w:overflowPunct/>
              <w:topLinePunct w:val="0"/>
              <w:autoSpaceDE/>
              <w:autoSpaceDN/>
              <w:bidi w:val="0"/>
              <w:adjustRightInd/>
              <w:snapToGrid/>
              <w:spacing w:before="4" w:line="200" w:lineRule="exact"/>
              <w:ind w:right="51" w:firstLine="720" w:firstLineChars="400"/>
              <w:textAlignment w:val="auto"/>
              <w:rPr>
                <w:rFonts w:hint="eastAsia" w:ascii="仿宋_GB2312" w:hAnsi="仿宋_GB2312" w:eastAsia="仿宋_GB2312" w:cs="仿宋_GB2312"/>
                <w:spacing w:val="0"/>
                <w:w w:val="100"/>
                <w:sz w:val="18"/>
                <w:szCs w:val="18"/>
              </w:rPr>
            </w:pPr>
            <w:r>
              <w:rPr>
                <w:rFonts w:hint="eastAsia" w:ascii="仿宋_GB2312" w:hAnsi="仿宋_GB2312" w:eastAsia="仿宋_GB2312" w:cs="仿宋_GB2312"/>
                <w:spacing w:val="0"/>
                <w:w w:val="100"/>
                <w:sz w:val="18"/>
                <w:szCs w:val="18"/>
              </w:rPr>
              <w:t>级别</w:t>
            </w:r>
          </w:p>
          <w:p>
            <w:pPr>
              <w:pStyle w:val="9"/>
              <w:keepNext w:val="0"/>
              <w:keepLines w:val="0"/>
              <w:pageBreakBefore w:val="0"/>
              <w:widowControl w:val="0"/>
              <w:kinsoku/>
              <w:wordWrap/>
              <w:overflowPunct/>
              <w:topLinePunct w:val="0"/>
              <w:autoSpaceDE/>
              <w:autoSpaceDN/>
              <w:bidi w:val="0"/>
              <w:adjustRightInd/>
              <w:snapToGrid/>
              <w:spacing w:line="300" w:lineRule="exact"/>
              <w:ind w:left="108"/>
              <w:textAlignment w:val="auto"/>
              <w:rPr>
                <w:rFonts w:hint="eastAsia" w:ascii="仿宋_GB2312" w:hAnsi="仿宋_GB2312" w:eastAsia="仿宋_GB2312" w:cs="仿宋_GB2312"/>
                <w:spacing w:val="0"/>
                <w:w w:val="100"/>
                <w:sz w:val="21"/>
                <w:szCs w:val="21"/>
              </w:rPr>
            </w:pPr>
            <w:r>
              <w:rPr>
                <w:rFonts w:hint="eastAsia" w:ascii="仿宋_GB2312" w:hAnsi="仿宋_GB2312" w:eastAsia="仿宋_GB2312" w:cs="仿宋_GB2312"/>
                <w:spacing w:val="0"/>
                <w:w w:val="100"/>
                <w:sz w:val="18"/>
                <w:szCs w:val="18"/>
              </w:rPr>
              <w:t>响应措施</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Ⅳ级响应</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Ⅲ级响应</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Ⅱ级响应</w:t>
            </w:r>
          </w:p>
        </w:tc>
        <w:tc>
          <w:tcPr>
            <w:tcW w:w="43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Ⅰ级响应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2" w:hRule="atLeast"/>
        </w:trPr>
        <w:tc>
          <w:tcPr>
            <w:tcW w:w="1186" w:type="dxa"/>
            <w:noWrap w:val="0"/>
            <w:vAlign w:val="center"/>
          </w:tcPr>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仿宋_GB2312" w:hAnsi="仿宋_GB2312" w:eastAsia="仿宋_GB2312" w:cs="仿宋_GB2312"/>
                <w:b/>
                <w:bCs/>
                <w:spacing w:val="0"/>
                <w:w w:val="100"/>
                <w:sz w:val="21"/>
                <w:szCs w:val="21"/>
              </w:rPr>
            </w:pPr>
            <w:r>
              <w:rPr>
                <w:rFonts w:hint="eastAsia" w:ascii="仿宋_GB2312" w:hAnsi="仿宋_GB2312" w:eastAsia="仿宋_GB2312" w:cs="仿宋_GB2312"/>
                <w:b/>
                <w:bCs/>
                <w:spacing w:val="0"/>
                <w:w w:val="100"/>
                <w:sz w:val="21"/>
                <w:szCs w:val="21"/>
              </w:rPr>
              <w:t>响应</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仿宋_GB2312" w:hAnsi="仿宋_GB2312" w:eastAsia="仿宋_GB2312" w:cs="仿宋_GB2312"/>
                <w:spacing w:val="0"/>
                <w:w w:val="100"/>
                <w:sz w:val="21"/>
                <w:szCs w:val="21"/>
              </w:rPr>
            </w:pPr>
            <w:r>
              <w:rPr>
                <w:rFonts w:hint="eastAsia" w:ascii="仿宋_GB2312" w:hAnsi="仿宋_GB2312" w:eastAsia="仿宋_GB2312" w:cs="仿宋_GB2312"/>
                <w:b/>
                <w:bCs/>
                <w:spacing w:val="0"/>
                <w:w w:val="100"/>
                <w:sz w:val="21"/>
                <w:szCs w:val="21"/>
              </w:rPr>
              <w:t>条件</w:t>
            </w:r>
          </w:p>
        </w:tc>
        <w:tc>
          <w:tcPr>
            <w:tcW w:w="2600" w:type="dxa"/>
            <w:noWrap w:val="0"/>
            <w:vAlign w:val="top"/>
          </w:tcPr>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出现以下条件之一，启动Ⅳ级响应：</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1.存在健康损害的污染食品，已造成严重健康损害后果的；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2.1起食品安全事件涉及人数在30以下且未出现死亡病例，经评估认为应当采取应急措施的；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3.已经造成一般危害或一般不良影响，经评估认为应当采取应急措施应对的食品安全舆情事件；</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4.</w:t>
            </w:r>
            <w:r>
              <w:rPr>
                <w:rFonts w:hint="eastAsia" w:ascii="仿宋_GB2312" w:hAnsi="仿宋_GB2312" w:eastAsia="仿宋_GB2312" w:cs="仿宋_GB2312"/>
                <w:spacing w:val="0"/>
                <w:w w:val="100"/>
                <w:sz w:val="24"/>
                <w:szCs w:val="24"/>
              </w:rPr>
              <w:t>县指挥部认定的其他需启动Ⅳ级响应的食品安全突发事件。</w:t>
            </w:r>
          </w:p>
        </w:tc>
        <w:tc>
          <w:tcPr>
            <w:tcW w:w="2600" w:type="dxa"/>
            <w:noWrap w:val="0"/>
            <w:vAlign w:val="top"/>
          </w:tcPr>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出现以下条件之一，启动Ⅲ级响应：</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1.存在健康损害的污染食品，已造成严重健康损害后果的；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2.1起食品安全事件涉及人数在30以上、100人以下且未出现死亡病例，经评估认为应当采取应急措施的；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3.已经造成一般危害或一般不良影响，经评估认为应当采取应急措施应对的食品安全舆情事件；</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4.</w:t>
            </w:r>
            <w:r>
              <w:rPr>
                <w:rFonts w:hint="eastAsia" w:ascii="仿宋_GB2312" w:hAnsi="仿宋_GB2312" w:eastAsia="仿宋_GB2312" w:cs="仿宋_GB2312"/>
                <w:spacing w:val="0"/>
                <w:w w:val="100"/>
                <w:sz w:val="24"/>
                <w:szCs w:val="24"/>
              </w:rPr>
              <w:t>县指挥部认定的其他需启动Ⅲ级响应的食品安全突发事件。</w:t>
            </w:r>
          </w:p>
        </w:tc>
        <w:tc>
          <w:tcPr>
            <w:tcW w:w="2600" w:type="dxa"/>
            <w:noWrap w:val="0"/>
            <w:vAlign w:val="top"/>
          </w:tcPr>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出现以下条件之一，启动Ⅱ级响应：</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1.受污染食品流入2个以上各乡镇，已造成严重健康损害后果的；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2.1起食品安全事件涉及人数在100人以上，或者涉及人数在100人以下但出现死亡病例的；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3.已经造成较大危害或较大不良影响，经评估认为应当采取应急措施应对的食品安全舆情事件；</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4.</w:t>
            </w:r>
            <w:r>
              <w:rPr>
                <w:rFonts w:hint="eastAsia" w:ascii="仿宋_GB2312" w:hAnsi="仿宋_GB2312" w:eastAsia="仿宋_GB2312" w:cs="仿宋_GB2312"/>
                <w:spacing w:val="0"/>
                <w:w w:val="100"/>
                <w:sz w:val="24"/>
                <w:szCs w:val="24"/>
              </w:rPr>
              <w:t>县指挥部认定的其他需启动Ⅱ级响应的食品安全突发事件。</w:t>
            </w:r>
          </w:p>
        </w:tc>
        <w:tc>
          <w:tcPr>
            <w:tcW w:w="4300" w:type="dxa"/>
            <w:noWrap w:val="0"/>
            <w:vAlign w:val="top"/>
          </w:tcPr>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出现以下条件之一，启动Ⅰ级响应：</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1.受污染食品流入2个以上省份或国（境）外（含港澳台地区），造成特别严重健康损害后果的；或经评估认为危害特别严重的；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2.受污染食品流入2个以上设区市，造成或经评估认为可能对社会公众健康产生严重损害的；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3.发现在我国首次出现的新的污染物引起的食源性疾病，造成严重健康损害后果并有扩散趋势的；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4.1起食品安全事件出现10人以上死亡的；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5.1起食品安全事件涉及人数在100人以上且出现死亡病例的；</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6.已经造成重大危害或重大不良影响，经评估认为应当在市级层面采取应急措施应对的食品安全舆情事件；</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left="0" w:leftChars="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7.</w:t>
            </w:r>
            <w:r>
              <w:rPr>
                <w:rFonts w:hint="eastAsia" w:ascii="仿宋_GB2312" w:hAnsi="仿宋_GB2312" w:eastAsia="仿宋_GB2312" w:cs="仿宋_GB2312"/>
                <w:spacing w:val="0"/>
                <w:w w:val="100"/>
                <w:sz w:val="24"/>
                <w:szCs w:val="24"/>
              </w:rPr>
              <w:t>县指挥部认定的其他需启动Ⅰ级响应的食品安全突发事件。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trPr>
        <w:tc>
          <w:tcPr>
            <w:tcW w:w="1186" w:type="dxa"/>
            <w:noWrap w:val="0"/>
            <w:vAlign w:val="top"/>
          </w:tcPr>
          <w:p>
            <w:pPr>
              <w:pStyle w:val="9"/>
              <w:keepNext w:val="0"/>
              <w:keepLines w:val="0"/>
              <w:pageBreakBefore w:val="0"/>
              <w:widowControl w:val="0"/>
              <w:kinsoku/>
              <w:wordWrap/>
              <w:overflowPunct/>
              <w:topLinePunct w:val="0"/>
              <w:autoSpaceDE/>
              <w:autoSpaceDN/>
              <w:bidi w:val="0"/>
              <w:adjustRightInd/>
              <w:snapToGrid/>
              <w:spacing w:before="4" w:line="200" w:lineRule="exact"/>
              <w:ind w:right="51" w:firstLine="180" w:firstLineChars="100"/>
              <w:textAlignment w:val="auto"/>
              <w:rPr>
                <w:rFonts w:hint="eastAsia" w:ascii="仿宋_GB2312" w:hAnsi="仿宋_GB2312" w:eastAsia="仿宋_GB2312" w:cs="仿宋_GB2312"/>
                <w:spacing w:val="0"/>
                <w:w w:val="100"/>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8255</wp:posOffset>
                      </wp:positionV>
                      <wp:extent cx="753110" cy="464185"/>
                      <wp:effectExtent l="2540" t="3810" r="6350" b="8255"/>
                      <wp:wrapNone/>
                      <wp:docPr id="10" name="直接连接符 10"/>
                      <wp:cNvGraphicFramePr/>
                      <a:graphic xmlns:a="http://schemas.openxmlformats.org/drawingml/2006/main">
                        <a:graphicData uri="http://schemas.microsoft.com/office/word/2010/wordprocessingShape">
                          <wps:wsp>
                            <wps:cNvSpPr/>
                            <wps:spPr>
                              <a:xfrm>
                                <a:off x="0" y="0"/>
                                <a:ext cx="753110" cy="46418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0.65pt;height:36.55pt;width:59.3pt;z-index:251663360;mso-width-relative:page;mso-height-relative:page;" fillcolor="#FFFFFF" filled="t" stroked="t" coordsize="21600,21600" o:gfxdata="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&#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CkO330gAAAAUBAAAPAAAAAAAAAAEAIAAAADgAAABk&#10;cnMvZG93bnJldi54bWxQSwECFAAUAAAACACHTuJAQydYGfYBAADqAwAADgAAAAAAAAABACAAAAA3&#10;AQAAZHJzL2Uyb0RvYy54bWxQSwUGAAAAAAYABgBZAQAAnwUAAAAA&#10;">
                      <v:path arrowok="t"/>
                      <v:fill on="t" focussize="0,0"/>
                      <v:stroke weight="0.5pt"/>
                      <v:imagedata o:title=""/>
                      <o:lock v:ext="edit" aspectratio="f"/>
                    </v:line>
                  </w:pict>
                </mc:Fallback>
              </mc:AlternateContent>
            </w:r>
            <w:r>
              <w:rPr>
                <w:rFonts w:hint="eastAsia" w:ascii="仿宋_GB2312" w:hAnsi="仿宋_GB2312" w:eastAsia="仿宋_GB2312" w:cs="仿宋_GB2312"/>
                <w:spacing w:val="0"/>
                <w:w w:val="100"/>
                <w:sz w:val="18"/>
                <w:szCs w:val="18"/>
                <w:lang w:val="en-US" w:eastAsia="zh-CN"/>
              </w:rPr>
              <w:t xml:space="preserve">   </w:t>
            </w:r>
            <w:r>
              <w:rPr>
                <w:rFonts w:hint="eastAsia" w:ascii="仿宋_GB2312" w:hAnsi="仿宋_GB2312" w:eastAsia="仿宋_GB2312" w:cs="仿宋_GB2312"/>
                <w:spacing w:val="0"/>
                <w:w w:val="100"/>
                <w:sz w:val="18"/>
                <w:szCs w:val="18"/>
              </w:rPr>
              <w:t>响应</w:t>
            </w:r>
          </w:p>
          <w:p>
            <w:pPr>
              <w:pStyle w:val="9"/>
              <w:keepNext w:val="0"/>
              <w:keepLines w:val="0"/>
              <w:pageBreakBefore w:val="0"/>
              <w:widowControl w:val="0"/>
              <w:kinsoku/>
              <w:wordWrap/>
              <w:overflowPunct/>
              <w:topLinePunct w:val="0"/>
              <w:autoSpaceDE/>
              <w:autoSpaceDN/>
              <w:bidi w:val="0"/>
              <w:adjustRightInd/>
              <w:snapToGrid/>
              <w:spacing w:before="4" w:line="200" w:lineRule="exact"/>
              <w:ind w:right="51" w:firstLine="720" w:firstLineChars="400"/>
              <w:textAlignment w:val="auto"/>
              <w:rPr>
                <w:rFonts w:hint="eastAsia" w:ascii="仿宋_GB2312" w:hAnsi="仿宋_GB2312" w:eastAsia="仿宋_GB2312" w:cs="仿宋_GB2312"/>
                <w:spacing w:val="0"/>
                <w:w w:val="100"/>
                <w:sz w:val="18"/>
                <w:szCs w:val="18"/>
              </w:rPr>
            </w:pPr>
            <w:r>
              <w:rPr>
                <w:rFonts w:hint="eastAsia" w:ascii="仿宋_GB2312" w:hAnsi="仿宋_GB2312" w:eastAsia="仿宋_GB2312" w:cs="仿宋_GB2312"/>
                <w:spacing w:val="0"/>
                <w:w w:val="100"/>
                <w:sz w:val="18"/>
                <w:szCs w:val="18"/>
              </w:rPr>
              <w:t>级别</w:t>
            </w:r>
          </w:p>
          <w:p>
            <w:pPr>
              <w:pStyle w:val="9"/>
              <w:keepNext w:val="0"/>
              <w:keepLines w:val="0"/>
              <w:pageBreakBefore w:val="0"/>
              <w:widowControl w:val="0"/>
              <w:kinsoku/>
              <w:wordWrap/>
              <w:overflowPunct/>
              <w:topLinePunct w:val="0"/>
              <w:autoSpaceDE/>
              <w:autoSpaceDN/>
              <w:bidi w:val="0"/>
              <w:adjustRightInd/>
              <w:snapToGrid/>
              <w:spacing w:line="300" w:lineRule="exact"/>
              <w:ind w:left="108" w:leftChars="0"/>
              <w:textAlignment w:val="auto"/>
              <w:rPr>
                <w:rFonts w:hint="eastAsia" w:ascii="仿宋_GB2312" w:hAnsi="仿宋_GB2312" w:eastAsia="仿宋_GB2312" w:cs="仿宋_GB2312"/>
                <w:spacing w:val="0"/>
                <w:w w:val="100"/>
                <w:kern w:val="2"/>
                <w:sz w:val="21"/>
                <w:szCs w:val="21"/>
                <w:lang w:val="zh-CN" w:eastAsia="zh-CN" w:bidi="zh-CN"/>
              </w:rPr>
            </w:pPr>
            <w:r>
              <w:rPr>
                <w:rFonts w:hint="eastAsia" w:ascii="仿宋_GB2312" w:hAnsi="仿宋_GB2312" w:eastAsia="仿宋_GB2312" w:cs="仿宋_GB2312"/>
                <w:spacing w:val="0"/>
                <w:w w:val="100"/>
                <w:sz w:val="18"/>
                <w:szCs w:val="18"/>
              </w:rPr>
              <w:t>响应措施</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pacing w:val="0"/>
                <w:w w:val="100"/>
                <w:kern w:val="2"/>
                <w:sz w:val="24"/>
                <w:szCs w:val="24"/>
                <w:lang w:val="en-US" w:eastAsia="zh-CN" w:bidi="zh-CN"/>
              </w:rPr>
            </w:pPr>
            <w:r>
              <w:rPr>
                <w:rFonts w:hint="eastAsia" w:ascii="仿宋_GB2312" w:hAnsi="仿宋_GB2312" w:eastAsia="仿宋_GB2312" w:cs="仿宋_GB2312"/>
                <w:spacing w:val="0"/>
                <w:w w:val="100"/>
                <w:sz w:val="24"/>
                <w:szCs w:val="24"/>
              </w:rPr>
              <w:t>Ⅳ级响应</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pacing w:val="0"/>
                <w:w w:val="100"/>
                <w:kern w:val="2"/>
                <w:sz w:val="24"/>
                <w:szCs w:val="24"/>
                <w:lang w:val="en-US" w:eastAsia="zh-CN" w:bidi="zh-CN"/>
              </w:rPr>
            </w:pPr>
            <w:r>
              <w:rPr>
                <w:rFonts w:hint="eastAsia" w:ascii="仿宋_GB2312" w:hAnsi="仿宋_GB2312" w:eastAsia="仿宋_GB2312" w:cs="仿宋_GB2312"/>
                <w:spacing w:val="0"/>
                <w:w w:val="100"/>
                <w:sz w:val="24"/>
                <w:szCs w:val="24"/>
              </w:rPr>
              <w:t>Ⅲ级响应</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pacing w:val="0"/>
                <w:w w:val="100"/>
                <w:kern w:val="2"/>
                <w:sz w:val="24"/>
                <w:szCs w:val="24"/>
                <w:lang w:val="en-US" w:eastAsia="zh-CN" w:bidi="zh-CN"/>
              </w:rPr>
            </w:pPr>
            <w:r>
              <w:rPr>
                <w:rFonts w:hint="eastAsia" w:ascii="仿宋_GB2312" w:hAnsi="仿宋_GB2312" w:eastAsia="仿宋_GB2312" w:cs="仿宋_GB2312"/>
                <w:spacing w:val="0"/>
                <w:w w:val="100"/>
                <w:sz w:val="24"/>
                <w:szCs w:val="24"/>
              </w:rPr>
              <w:t>Ⅱ级响应</w:t>
            </w:r>
          </w:p>
        </w:tc>
        <w:tc>
          <w:tcPr>
            <w:tcW w:w="43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pacing w:val="0"/>
                <w:w w:val="100"/>
                <w:kern w:val="2"/>
                <w:sz w:val="24"/>
                <w:szCs w:val="24"/>
                <w:lang w:val="en-US" w:eastAsia="zh-CN" w:bidi="zh-CN"/>
              </w:rPr>
            </w:pPr>
            <w:r>
              <w:rPr>
                <w:rFonts w:hint="eastAsia" w:ascii="仿宋_GB2312" w:hAnsi="仿宋_GB2312" w:eastAsia="仿宋_GB2312" w:cs="仿宋_GB2312"/>
                <w:spacing w:val="0"/>
                <w:w w:val="100"/>
                <w:sz w:val="24"/>
                <w:szCs w:val="24"/>
              </w:rPr>
              <w:t>Ⅰ级响应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1186"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启动</w:t>
            </w:r>
          </w:p>
          <w:p>
            <w:pPr>
              <w:pStyle w:val="9"/>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程序</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134" w:line="300" w:lineRule="exact"/>
              <w:ind w:left="108" w:right="78"/>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事件发生后，县指挥部办公室经评估，向</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报告，由县指挥部决定启动Ⅳ级响应</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134" w:line="300" w:lineRule="exact"/>
              <w:ind w:left="106" w:right="139"/>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事件发生后，</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经评估，向</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报告，由</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决定启动Ⅲ级响应</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134" w:line="300" w:lineRule="exact"/>
              <w:ind w:left="108" w:right="93"/>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事件发生后，</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经评估，向</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提出建议，由</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决定启动Ⅱ级响应</w:t>
            </w:r>
          </w:p>
        </w:tc>
        <w:tc>
          <w:tcPr>
            <w:tcW w:w="43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108" w:right="151"/>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事件发生后，</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经评估，向</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提出启动Ⅰ级响应的建议，</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决定启动Ⅰ级响应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0" w:hRule="atLeast"/>
        </w:trPr>
        <w:tc>
          <w:tcPr>
            <w:tcW w:w="1186"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响应</w:t>
            </w:r>
          </w:p>
          <w:p>
            <w:pPr>
              <w:pStyle w:val="9"/>
              <w:keepNext w:val="0"/>
              <w:keepLines w:val="0"/>
              <w:pageBreakBefore w:val="0"/>
              <w:widowControl w:val="0"/>
              <w:kinsoku/>
              <w:wordWrap/>
              <w:overflowPunct/>
              <w:topLinePunct w:val="0"/>
              <w:autoSpaceDE/>
              <w:autoSpaceDN/>
              <w:bidi w:val="0"/>
              <w:adjustRightInd/>
              <w:snapToGrid/>
              <w:spacing w:line="300" w:lineRule="exact"/>
              <w:ind w:right="0" w:firstLine="0" w:firstLineChars="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措施</w:t>
            </w:r>
          </w:p>
        </w:tc>
        <w:tc>
          <w:tcPr>
            <w:tcW w:w="2600" w:type="dxa"/>
            <w:noWrap w:val="0"/>
            <w:vAlign w:val="center"/>
          </w:tcPr>
          <w:p>
            <w:pPr>
              <w:pStyle w:val="9"/>
              <w:keepNext w:val="0"/>
              <w:keepLines w:val="0"/>
              <w:pageBreakBefore w:val="0"/>
              <w:widowControl w:val="0"/>
              <w:numPr>
                <w:ilvl w:val="0"/>
                <w:numId w:val="0"/>
              </w:numPr>
              <w:tabs>
                <w:tab w:val="left" w:pos="738"/>
              </w:tabs>
              <w:kinsoku/>
              <w:wordWrap/>
              <w:overflowPunct/>
              <w:topLinePunct w:val="0"/>
              <w:autoSpaceDE/>
              <w:autoSpaceDN/>
              <w:bidi w:val="0"/>
              <w:adjustRightInd/>
              <w:snapToGrid/>
              <w:spacing w:before="60" w:after="0" w:line="300" w:lineRule="exact"/>
              <w:ind w:right="78"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1.</w:t>
            </w:r>
            <w:r>
              <w:rPr>
                <w:rFonts w:hint="eastAsia" w:ascii="仿宋_GB2312" w:hAnsi="仿宋_GB2312" w:eastAsia="仿宋_GB2312" w:cs="仿宋_GB2312"/>
                <w:spacing w:val="0"/>
                <w:w w:val="100"/>
                <w:sz w:val="24"/>
                <w:szCs w:val="24"/>
              </w:rPr>
              <w:t>加强与事发地</w:t>
            </w:r>
            <w:r>
              <w:rPr>
                <w:rFonts w:hint="eastAsia" w:ascii="仿宋_GB2312" w:hAnsi="仿宋_GB2312" w:eastAsia="仿宋_GB2312" w:cs="仿宋_GB2312"/>
                <w:spacing w:val="0"/>
                <w:w w:val="100"/>
                <w:sz w:val="24"/>
                <w:szCs w:val="24"/>
                <w:lang w:val="en-US" w:eastAsia="zh-CN"/>
              </w:rPr>
              <w:t>突发事件应急</w:t>
            </w:r>
            <w:r>
              <w:rPr>
                <w:rFonts w:hint="eastAsia" w:ascii="仿宋_GB2312" w:hAnsi="仿宋_GB2312" w:eastAsia="仿宋_GB2312" w:cs="仿宋_GB2312"/>
                <w:spacing w:val="0"/>
                <w:w w:val="100"/>
                <w:sz w:val="24"/>
                <w:szCs w:val="24"/>
              </w:rPr>
              <w:t>指挥</w:t>
            </w:r>
            <w:r>
              <w:rPr>
                <w:rFonts w:hint="eastAsia" w:ascii="仿宋_GB2312" w:hAnsi="仿宋_GB2312" w:eastAsia="仿宋_GB2312" w:cs="仿宋_GB2312"/>
                <w:spacing w:val="0"/>
                <w:w w:val="100"/>
                <w:sz w:val="24"/>
                <w:szCs w:val="24"/>
                <w:lang w:val="en-US" w:eastAsia="zh-CN"/>
              </w:rPr>
              <w:t>部</w:t>
            </w:r>
            <w:r>
              <w:rPr>
                <w:rFonts w:hint="eastAsia" w:ascii="仿宋_GB2312" w:hAnsi="仿宋_GB2312" w:eastAsia="仿宋_GB2312" w:cs="仿宋_GB2312"/>
                <w:spacing w:val="0"/>
                <w:w w:val="100"/>
                <w:sz w:val="24"/>
                <w:szCs w:val="24"/>
              </w:rPr>
              <w:t>的通信联系，随时掌握事件进展情况。</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0" w:after="0" w:line="300" w:lineRule="exact"/>
              <w:ind w:right="78"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2.</w:t>
            </w:r>
            <w:r>
              <w:rPr>
                <w:rFonts w:hint="eastAsia" w:ascii="仿宋_GB2312" w:hAnsi="仿宋_GB2312" w:eastAsia="仿宋_GB2312" w:cs="仿宋_GB2312"/>
                <w:spacing w:val="0"/>
                <w:w w:val="100"/>
                <w:sz w:val="24"/>
                <w:szCs w:val="24"/>
              </w:rPr>
              <w:t>根据事件进展，必要时派出由</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相关负责人带队、有关部门参加的工作组赴现场，核查事件，指导协助地方开展处置工作。</w:t>
            </w:r>
          </w:p>
          <w:p>
            <w:pPr>
              <w:pStyle w:val="9"/>
              <w:keepNext w:val="0"/>
              <w:keepLines w:val="0"/>
              <w:pageBreakBefore w:val="0"/>
              <w:widowControl w:val="0"/>
              <w:numPr>
                <w:ilvl w:val="0"/>
                <w:numId w:val="0"/>
              </w:numPr>
              <w:tabs>
                <w:tab w:val="left" w:pos="738"/>
              </w:tabs>
              <w:kinsoku/>
              <w:wordWrap/>
              <w:overflowPunct/>
              <w:topLinePunct w:val="0"/>
              <w:autoSpaceDE/>
              <w:autoSpaceDN/>
              <w:bidi w:val="0"/>
              <w:adjustRightInd/>
              <w:snapToGrid/>
              <w:spacing w:before="1" w:after="0" w:line="300" w:lineRule="exact"/>
              <w:ind w:right="78"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3.</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必要时组织专家进行事件会商，研究评估事件发展趋势。</w:t>
            </w:r>
          </w:p>
        </w:tc>
        <w:tc>
          <w:tcPr>
            <w:tcW w:w="2600" w:type="dxa"/>
            <w:noWrap w:val="0"/>
            <w:vAlign w:val="center"/>
          </w:tcPr>
          <w:p>
            <w:pPr>
              <w:pStyle w:val="9"/>
              <w:keepNext w:val="0"/>
              <w:keepLines w:val="0"/>
              <w:pageBreakBefore w:val="0"/>
              <w:widowControl w:val="0"/>
              <w:numPr>
                <w:ilvl w:val="0"/>
                <w:numId w:val="0"/>
              </w:numPr>
              <w:tabs>
                <w:tab w:val="left" w:pos="637"/>
              </w:tabs>
              <w:kinsoku/>
              <w:wordWrap/>
              <w:overflowPunct/>
              <w:topLinePunct w:val="0"/>
              <w:autoSpaceDE/>
              <w:autoSpaceDN/>
              <w:bidi w:val="0"/>
              <w:adjustRightInd/>
              <w:snapToGrid/>
              <w:spacing w:before="0" w:after="0" w:line="300" w:lineRule="exact"/>
              <w:ind w:right="139"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1.</w:t>
            </w:r>
            <w:r>
              <w:rPr>
                <w:rFonts w:hint="eastAsia" w:ascii="仿宋_GB2312" w:hAnsi="仿宋_GB2312" w:eastAsia="仿宋_GB2312" w:cs="仿宋_GB2312"/>
                <w:spacing w:val="0"/>
                <w:w w:val="100"/>
                <w:sz w:val="24"/>
                <w:szCs w:val="24"/>
              </w:rPr>
              <w:t>及时派出由</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相关负责人带队、有关部门参加的工作组赴现场，核查事件，指导协助地方开展处置工作。</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right="139"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2.</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必要时组织专家进行事件会商，研究评估事件发展趋势。</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0" w:after="0" w:line="300" w:lineRule="exact"/>
              <w:ind w:right="93"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3.</w:t>
            </w:r>
            <w:r>
              <w:rPr>
                <w:rFonts w:hint="eastAsia" w:ascii="仿宋_GB2312" w:hAnsi="仿宋_GB2312" w:eastAsia="仿宋_GB2312" w:cs="仿宋_GB2312"/>
                <w:spacing w:val="0"/>
                <w:w w:val="100"/>
                <w:sz w:val="24"/>
                <w:szCs w:val="24"/>
              </w:rPr>
              <w:t>按规定向</w:t>
            </w:r>
            <w:r>
              <w:rPr>
                <w:rFonts w:hint="eastAsia" w:ascii="仿宋_GB2312" w:hAnsi="仿宋_GB2312" w:eastAsia="仿宋_GB2312" w:cs="仿宋_GB2312"/>
                <w:spacing w:val="0"/>
                <w:w w:val="100"/>
                <w:sz w:val="24"/>
                <w:szCs w:val="24"/>
                <w:lang w:val="en-US" w:eastAsia="zh-CN"/>
              </w:rPr>
              <w:t>市</w:t>
            </w:r>
            <w:r>
              <w:rPr>
                <w:rFonts w:hint="eastAsia" w:ascii="仿宋_GB2312" w:hAnsi="仿宋_GB2312" w:eastAsia="仿宋_GB2312" w:cs="仿宋_GB2312"/>
                <w:spacing w:val="0"/>
                <w:w w:val="100"/>
                <w:sz w:val="24"/>
                <w:szCs w:val="24"/>
              </w:rPr>
              <w:t>市场监管局、</w:t>
            </w:r>
            <w:r>
              <w:rPr>
                <w:rFonts w:hint="eastAsia" w:ascii="仿宋_GB2312" w:hAnsi="仿宋_GB2312" w:eastAsia="仿宋_GB2312" w:cs="仿宋_GB2312"/>
                <w:spacing w:val="0"/>
                <w:w w:val="100"/>
                <w:sz w:val="24"/>
                <w:szCs w:val="24"/>
                <w:lang w:val="en-US" w:eastAsia="zh-CN"/>
              </w:rPr>
              <w:t>市</w:t>
            </w:r>
            <w:r>
              <w:rPr>
                <w:rFonts w:hint="eastAsia" w:ascii="仿宋_GB2312" w:hAnsi="仿宋_GB2312" w:eastAsia="仿宋_GB2312" w:cs="仿宋_GB2312"/>
                <w:spacing w:val="0"/>
                <w:w w:val="100"/>
                <w:sz w:val="24"/>
                <w:szCs w:val="24"/>
              </w:rPr>
              <w:t>卫生健康委、</w:t>
            </w:r>
            <w:r>
              <w:rPr>
                <w:rFonts w:hint="eastAsia" w:ascii="仿宋_GB2312" w:hAnsi="仿宋_GB2312" w:eastAsia="仿宋_GB2312" w:cs="仿宋_GB2312"/>
                <w:spacing w:val="0"/>
                <w:w w:val="100"/>
                <w:sz w:val="24"/>
                <w:szCs w:val="24"/>
                <w:lang w:val="en-US" w:eastAsia="zh-CN"/>
              </w:rPr>
              <w:t>市</w:t>
            </w:r>
            <w:r>
              <w:rPr>
                <w:rFonts w:hint="eastAsia" w:ascii="仿宋_GB2312" w:hAnsi="仿宋_GB2312" w:eastAsia="仿宋_GB2312" w:cs="仿宋_GB2312"/>
                <w:spacing w:val="0"/>
                <w:w w:val="100"/>
                <w:sz w:val="24"/>
                <w:szCs w:val="24"/>
              </w:rPr>
              <w:t>政府报告事件情况和应急处置情况，</w:t>
            </w:r>
          </w:p>
        </w:tc>
        <w:tc>
          <w:tcPr>
            <w:tcW w:w="2600" w:type="dxa"/>
            <w:noWrap w:val="0"/>
            <w:vAlign w:val="center"/>
          </w:tcPr>
          <w:p>
            <w:pPr>
              <w:pStyle w:val="9"/>
              <w:keepNext w:val="0"/>
              <w:keepLines w:val="0"/>
              <w:pageBreakBefore w:val="0"/>
              <w:widowControl w:val="0"/>
              <w:numPr>
                <w:ilvl w:val="0"/>
                <w:numId w:val="0"/>
              </w:numPr>
              <w:tabs>
                <w:tab w:val="left" w:pos="639"/>
              </w:tabs>
              <w:kinsoku/>
              <w:wordWrap/>
              <w:overflowPunct/>
              <w:topLinePunct w:val="0"/>
              <w:autoSpaceDE/>
              <w:autoSpaceDN/>
              <w:bidi w:val="0"/>
              <w:adjustRightInd/>
              <w:snapToGrid/>
              <w:spacing w:before="153" w:after="0" w:line="300" w:lineRule="exact"/>
              <w:ind w:right="50"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1.</w:t>
            </w:r>
            <w:r>
              <w:rPr>
                <w:rFonts w:hint="eastAsia" w:ascii="仿宋_GB2312" w:hAnsi="仿宋_GB2312" w:eastAsia="仿宋_GB2312" w:cs="仿宋_GB2312"/>
                <w:spacing w:val="0"/>
                <w:w w:val="100"/>
                <w:sz w:val="24"/>
                <w:szCs w:val="24"/>
              </w:rPr>
              <w:t>派出由</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相关负责人带队、有关部门参加的工作组赴现场，核查事件，指导协助地方开展处置工作。</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0" w:after="0" w:line="300" w:lineRule="exact"/>
              <w:ind w:right="136"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2.</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组织专家进行事件会商，研究评估事件发展趋势。</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right="91"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3.</w:t>
            </w:r>
            <w:r>
              <w:rPr>
                <w:rFonts w:hint="eastAsia" w:ascii="仿宋_GB2312" w:hAnsi="仿宋_GB2312" w:eastAsia="仿宋_GB2312" w:cs="仿宋_GB2312"/>
                <w:spacing w:val="0"/>
                <w:w w:val="100"/>
                <w:sz w:val="24"/>
                <w:szCs w:val="24"/>
              </w:rPr>
              <w:t>按规定向市市场监管局、市卫生健康委、市政府报告事件情况和应急处置情况，必要时请求市市场监管局、市卫生健康委等给予支持。</w:t>
            </w:r>
          </w:p>
        </w:tc>
        <w:tc>
          <w:tcPr>
            <w:tcW w:w="4300" w:type="dxa"/>
            <w:noWrap w:val="0"/>
            <w:vAlign w:val="center"/>
          </w:tcPr>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0" w:after="0" w:line="300" w:lineRule="exact"/>
              <w:ind w:right="93"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1.</w:t>
            </w:r>
            <w:r>
              <w:rPr>
                <w:rFonts w:hint="eastAsia" w:ascii="仿宋_GB2312" w:hAnsi="仿宋_GB2312" w:eastAsia="仿宋_GB2312" w:cs="仿宋_GB2312"/>
                <w:spacing w:val="0"/>
                <w:w w:val="100"/>
                <w:sz w:val="24"/>
                <w:szCs w:val="24"/>
              </w:rPr>
              <w:t>召开</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会商会，对应急处置重大事项作出决定。</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0" w:after="0" w:line="300" w:lineRule="exact"/>
              <w:ind w:right="93"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2.</w:t>
            </w:r>
            <w:r>
              <w:rPr>
                <w:rFonts w:hint="eastAsia" w:ascii="仿宋_GB2312" w:hAnsi="仿宋_GB2312" w:eastAsia="仿宋_GB2312" w:cs="仿宋_GB2312"/>
                <w:spacing w:val="0"/>
                <w:w w:val="100"/>
                <w:sz w:val="24"/>
                <w:szCs w:val="24"/>
              </w:rPr>
              <w:t>各应急工作组按照</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的指令赶赴现场，依据各自职责分工开展应急处置工作。</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1" w:after="0" w:line="300" w:lineRule="exact"/>
              <w:ind w:right="4"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3.</w:t>
            </w:r>
            <w:r>
              <w:rPr>
                <w:rFonts w:hint="eastAsia" w:ascii="仿宋_GB2312" w:hAnsi="仿宋_GB2312" w:eastAsia="仿宋_GB2312" w:cs="仿宋_GB2312"/>
                <w:spacing w:val="0"/>
                <w:w w:val="100"/>
                <w:sz w:val="24"/>
                <w:szCs w:val="24"/>
              </w:rPr>
              <w:t>组织召开专家咨询会，分析情况、提出处置建议，派遣相关救援力量和专家赶赴现场，参与指导现场应急处置工作。</w:t>
            </w:r>
          </w:p>
          <w:p>
            <w:pPr>
              <w:pStyle w:val="9"/>
              <w:keepNext w:val="0"/>
              <w:keepLines w:val="0"/>
              <w:pageBreakBefore w:val="0"/>
              <w:widowControl w:val="0"/>
              <w:numPr>
                <w:ilvl w:val="0"/>
                <w:numId w:val="0"/>
              </w:numPr>
              <w:tabs>
                <w:tab w:val="left" w:pos="721"/>
              </w:tabs>
              <w:kinsoku/>
              <w:wordWrap/>
              <w:overflowPunct/>
              <w:topLinePunct w:val="0"/>
              <w:autoSpaceDE/>
              <w:autoSpaceDN/>
              <w:bidi w:val="0"/>
              <w:adjustRightInd/>
              <w:snapToGrid/>
              <w:spacing w:before="0" w:after="0" w:line="300" w:lineRule="exact"/>
              <w:ind w:right="90" w:rightChars="0" w:firstLine="480" w:firstLineChars="200"/>
              <w:jc w:val="both"/>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4.</w:t>
            </w:r>
            <w:r>
              <w:rPr>
                <w:rFonts w:hint="eastAsia" w:ascii="仿宋_GB2312" w:hAnsi="仿宋_GB2312" w:eastAsia="仿宋_GB2312" w:cs="仿宋_GB2312"/>
                <w:spacing w:val="0"/>
                <w:w w:val="100"/>
                <w:sz w:val="24"/>
                <w:szCs w:val="24"/>
              </w:rPr>
              <w:t>按规定向市市场监管局、市卫生健康委、市政府报告事件情况和应急处置情况，必要时请求市市场监管局、市卫生健康委等给予支持。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trPr>
        <w:tc>
          <w:tcPr>
            <w:tcW w:w="1186" w:type="dxa"/>
            <w:noWrap w:val="0"/>
            <w:vAlign w:val="top"/>
          </w:tcPr>
          <w:p>
            <w:pPr>
              <w:pStyle w:val="9"/>
              <w:keepNext w:val="0"/>
              <w:keepLines w:val="0"/>
              <w:pageBreakBefore w:val="0"/>
              <w:widowControl w:val="0"/>
              <w:kinsoku/>
              <w:wordWrap/>
              <w:overflowPunct/>
              <w:topLinePunct w:val="0"/>
              <w:autoSpaceDE/>
              <w:autoSpaceDN/>
              <w:bidi w:val="0"/>
              <w:adjustRightInd/>
              <w:snapToGrid/>
              <w:spacing w:before="4" w:line="200" w:lineRule="exact"/>
              <w:ind w:right="51" w:firstLine="180" w:firstLineChars="100"/>
              <w:textAlignment w:val="auto"/>
              <w:rPr>
                <w:rFonts w:hint="eastAsia" w:ascii="仿宋_GB2312" w:hAnsi="仿宋_GB2312" w:eastAsia="仿宋_GB2312" w:cs="仿宋_GB2312"/>
                <w:spacing w:val="0"/>
                <w:w w:val="100"/>
                <w:sz w:val="18"/>
                <w:szCs w:val="18"/>
              </w:rPr>
            </w:pPr>
            <w:r>
              <w:rPr>
                <w:sz w:val="18"/>
                <w:szCs w:val="18"/>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8255</wp:posOffset>
                      </wp:positionV>
                      <wp:extent cx="753110" cy="464185"/>
                      <wp:effectExtent l="2540" t="3810" r="6350" b="8255"/>
                      <wp:wrapNone/>
                      <wp:docPr id="5" name="直接连接符 5"/>
                      <wp:cNvGraphicFramePr/>
                      <a:graphic xmlns:a="http://schemas.openxmlformats.org/drawingml/2006/main">
                        <a:graphicData uri="http://schemas.microsoft.com/office/word/2010/wordprocessingShape">
                          <wps:wsp>
                            <wps:cNvSpPr/>
                            <wps:spPr>
                              <a:xfrm>
                                <a:off x="0" y="0"/>
                                <a:ext cx="753110" cy="46418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0.65pt;height:36.55pt;width:59.3pt;z-index:251664384;mso-width-relative:page;mso-height-relative:page;" fillcolor="#FFFFFF" filled="t" stroked="t" coordsize="21600,21600" o:gfxdata="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CkO330gAAAAUBAAAPAAAAAAAAAAEAIAAAADgA&#10;AABkcnMvZG93bnJldi54bWxQSwECFAAUAAAACACHTuJAFHaMvPkBAADoAwAADgAAAAAAAAABACAA&#10;AAA3AQAAZHJzL2Uyb0RvYy54bWxQSwUGAAAAAAYABgBZAQAAogUAAAAA&#10;">
                      <v:path arrowok="t"/>
                      <v:fill on="t" focussize="0,0"/>
                      <v:stroke weight="0.5pt"/>
                      <v:imagedata o:title=""/>
                      <o:lock v:ext="edit" aspectratio="f"/>
                    </v:line>
                  </w:pict>
                </mc:Fallback>
              </mc:AlternateContent>
            </w:r>
            <w:r>
              <w:rPr>
                <w:rFonts w:hint="eastAsia" w:ascii="仿宋_GB2312" w:hAnsi="仿宋_GB2312" w:eastAsia="仿宋_GB2312" w:cs="仿宋_GB2312"/>
                <w:spacing w:val="0"/>
                <w:w w:val="100"/>
                <w:sz w:val="18"/>
                <w:szCs w:val="18"/>
                <w:lang w:val="en-US" w:eastAsia="zh-CN"/>
              </w:rPr>
              <w:t xml:space="preserve">   </w:t>
            </w:r>
            <w:r>
              <w:rPr>
                <w:rFonts w:hint="eastAsia" w:ascii="仿宋_GB2312" w:hAnsi="仿宋_GB2312" w:eastAsia="仿宋_GB2312" w:cs="仿宋_GB2312"/>
                <w:spacing w:val="0"/>
                <w:w w:val="100"/>
                <w:sz w:val="18"/>
                <w:szCs w:val="18"/>
              </w:rPr>
              <w:t>响应</w:t>
            </w:r>
          </w:p>
          <w:p>
            <w:pPr>
              <w:pStyle w:val="9"/>
              <w:keepNext w:val="0"/>
              <w:keepLines w:val="0"/>
              <w:pageBreakBefore w:val="0"/>
              <w:widowControl w:val="0"/>
              <w:kinsoku/>
              <w:wordWrap/>
              <w:overflowPunct/>
              <w:topLinePunct w:val="0"/>
              <w:autoSpaceDE/>
              <w:autoSpaceDN/>
              <w:bidi w:val="0"/>
              <w:adjustRightInd/>
              <w:snapToGrid/>
              <w:spacing w:before="4" w:line="200" w:lineRule="exact"/>
              <w:ind w:right="51" w:firstLine="720" w:firstLineChars="400"/>
              <w:textAlignment w:val="auto"/>
              <w:rPr>
                <w:rFonts w:hint="eastAsia" w:ascii="仿宋_GB2312" w:hAnsi="仿宋_GB2312" w:eastAsia="仿宋_GB2312" w:cs="仿宋_GB2312"/>
                <w:spacing w:val="0"/>
                <w:w w:val="100"/>
                <w:sz w:val="18"/>
                <w:szCs w:val="18"/>
              </w:rPr>
            </w:pPr>
            <w:r>
              <w:rPr>
                <w:rFonts w:hint="eastAsia" w:ascii="仿宋_GB2312" w:hAnsi="仿宋_GB2312" w:eastAsia="仿宋_GB2312" w:cs="仿宋_GB2312"/>
                <w:spacing w:val="0"/>
                <w:w w:val="100"/>
                <w:sz w:val="18"/>
                <w:szCs w:val="18"/>
              </w:rPr>
              <w:t>级别</w:t>
            </w:r>
          </w:p>
          <w:p>
            <w:pPr>
              <w:pStyle w:val="9"/>
              <w:keepNext w:val="0"/>
              <w:keepLines w:val="0"/>
              <w:pageBreakBefore w:val="0"/>
              <w:widowControl w:val="0"/>
              <w:kinsoku/>
              <w:wordWrap/>
              <w:overflowPunct/>
              <w:topLinePunct w:val="0"/>
              <w:autoSpaceDE/>
              <w:autoSpaceDN/>
              <w:bidi w:val="0"/>
              <w:adjustRightInd/>
              <w:snapToGrid/>
              <w:spacing w:line="300" w:lineRule="exact"/>
              <w:ind w:left="108" w:leftChars="0"/>
              <w:textAlignment w:val="auto"/>
              <w:rPr>
                <w:rFonts w:hint="eastAsia" w:ascii="仿宋_GB2312" w:hAnsi="仿宋_GB2312" w:eastAsia="仿宋_GB2312" w:cs="仿宋_GB2312"/>
                <w:spacing w:val="0"/>
                <w:w w:val="100"/>
                <w:kern w:val="2"/>
                <w:sz w:val="21"/>
                <w:szCs w:val="21"/>
                <w:lang w:val="zh-CN" w:eastAsia="zh-CN" w:bidi="zh-CN"/>
              </w:rPr>
            </w:pPr>
            <w:r>
              <w:rPr>
                <w:rFonts w:hint="eastAsia" w:ascii="仿宋_GB2312" w:hAnsi="仿宋_GB2312" w:eastAsia="仿宋_GB2312" w:cs="仿宋_GB2312"/>
                <w:spacing w:val="0"/>
                <w:w w:val="100"/>
                <w:sz w:val="18"/>
                <w:szCs w:val="18"/>
              </w:rPr>
              <w:t>响应措施</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pacing w:val="0"/>
                <w:w w:val="100"/>
                <w:kern w:val="2"/>
                <w:sz w:val="24"/>
                <w:szCs w:val="24"/>
                <w:lang w:val="en-US" w:eastAsia="zh-CN" w:bidi="zh-CN"/>
              </w:rPr>
            </w:pPr>
            <w:r>
              <w:rPr>
                <w:rFonts w:hint="eastAsia" w:ascii="仿宋_GB2312" w:hAnsi="仿宋_GB2312" w:eastAsia="仿宋_GB2312" w:cs="仿宋_GB2312"/>
                <w:spacing w:val="0"/>
                <w:w w:val="100"/>
                <w:sz w:val="24"/>
                <w:szCs w:val="24"/>
              </w:rPr>
              <w:t>Ⅳ级响应</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pacing w:val="0"/>
                <w:w w:val="100"/>
                <w:kern w:val="2"/>
                <w:sz w:val="24"/>
                <w:szCs w:val="24"/>
                <w:lang w:val="en-US" w:eastAsia="zh-CN" w:bidi="zh-CN"/>
              </w:rPr>
            </w:pPr>
            <w:r>
              <w:rPr>
                <w:rFonts w:hint="eastAsia" w:ascii="仿宋_GB2312" w:hAnsi="仿宋_GB2312" w:eastAsia="仿宋_GB2312" w:cs="仿宋_GB2312"/>
                <w:spacing w:val="0"/>
                <w:w w:val="100"/>
                <w:sz w:val="24"/>
                <w:szCs w:val="24"/>
              </w:rPr>
              <w:t>Ⅲ级响应</w:t>
            </w:r>
          </w:p>
        </w:tc>
        <w:tc>
          <w:tcPr>
            <w:tcW w:w="26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pacing w:val="0"/>
                <w:w w:val="100"/>
                <w:kern w:val="2"/>
                <w:sz w:val="24"/>
                <w:szCs w:val="24"/>
                <w:lang w:val="en-US" w:eastAsia="zh-CN" w:bidi="zh-CN"/>
              </w:rPr>
            </w:pPr>
            <w:r>
              <w:rPr>
                <w:rFonts w:hint="eastAsia" w:ascii="仿宋_GB2312" w:hAnsi="仿宋_GB2312" w:eastAsia="仿宋_GB2312" w:cs="仿宋_GB2312"/>
                <w:spacing w:val="0"/>
                <w:w w:val="100"/>
                <w:sz w:val="24"/>
                <w:szCs w:val="24"/>
              </w:rPr>
              <w:t>Ⅱ级响应</w:t>
            </w:r>
          </w:p>
        </w:tc>
        <w:tc>
          <w:tcPr>
            <w:tcW w:w="43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pacing w:val="0"/>
                <w:w w:val="100"/>
                <w:kern w:val="2"/>
                <w:sz w:val="24"/>
                <w:szCs w:val="24"/>
                <w:lang w:val="en-US" w:eastAsia="zh-CN" w:bidi="zh-CN"/>
              </w:rPr>
            </w:pPr>
            <w:r>
              <w:rPr>
                <w:rFonts w:hint="eastAsia" w:ascii="仿宋_GB2312" w:hAnsi="仿宋_GB2312" w:eastAsia="仿宋_GB2312" w:cs="仿宋_GB2312"/>
                <w:spacing w:val="0"/>
                <w:w w:val="100"/>
                <w:sz w:val="24"/>
                <w:szCs w:val="24"/>
              </w:rPr>
              <w:t>Ⅰ级响应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1186"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响应</w:t>
            </w:r>
          </w:p>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级别</w:t>
            </w:r>
          </w:p>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调整</w:t>
            </w:r>
          </w:p>
        </w:tc>
        <w:tc>
          <w:tcPr>
            <w:tcW w:w="12100" w:type="dxa"/>
            <w:gridSpan w:val="4"/>
            <w:noWrap w:val="0"/>
            <w:vAlign w:val="top"/>
          </w:tcPr>
          <w:p>
            <w:pPr>
              <w:pStyle w:val="9"/>
              <w:keepNext w:val="0"/>
              <w:keepLines w:val="0"/>
              <w:pageBreakBefore w:val="0"/>
              <w:widowControl w:val="0"/>
              <w:numPr>
                <w:ilvl w:val="0"/>
                <w:numId w:val="0"/>
              </w:numPr>
              <w:tabs>
                <w:tab w:val="left" w:pos="373"/>
              </w:tabs>
              <w:kinsoku/>
              <w:wordWrap/>
              <w:overflowPunct/>
              <w:topLinePunct w:val="0"/>
              <w:autoSpaceDE/>
              <w:autoSpaceDN/>
              <w:bidi w:val="0"/>
              <w:adjustRightInd/>
              <w:snapToGrid/>
              <w:spacing w:after="0" w:line="360" w:lineRule="exact"/>
              <w:ind w:left="0" w:leftChars="0" w:right="0" w:rightChars="0" w:firstLine="481" w:firstLineChars="200"/>
              <w:jc w:val="left"/>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lang w:val="en-US" w:eastAsia="zh-CN"/>
              </w:rPr>
              <w:t>1.</w:t>
            </w:r>
            <w:r>
              <w:rPr>
                <w:rFonts w:hint="eastAsia" w:ascii="仿宋_GB2312" w:hAnsi="仿宋_GB2312" w:eastAsia="仿宋_GB2312" w:cs="仿宋_GB2312"/>
                <w:b/>
                <w:spacing w:val="0"/>
                <w:w w:val="100"/>
                <w:sz w:val="24"/>
                <w:szCs w:val="24"/>
              </w:rPr>
              <w:t>响应升级</w:t>
            </w:r>
          </w:p>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当事件进一步加重，影响或危害扩大并有蔓延趋势，情况复杂难以控制时，应当及时提升响应级别。</w:t>
            </w:r>
          </w:p>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当学校或托幼机构、全</w:t>
            </w:r>
            <w:r>
              <w:rPr>
                <w:rFonts w:hint="eastAsia" w:ascii="仿宋_GB2312" w:hAnsi="仿宋_GB2312" w:eastAsia="仿宋_GB2312" w:cs="仿宋_GB2312"/>
                <w:spacing w:val="0"/>
                <w:w w:val="100"/>
                <w:sz w:val="24"/>
                <w:szCs w:val="24"/>
                <w:lang w:val="en-US" w:eastAsia="zh-CN"/>
              </w:rPr>
              <w:t>县</w:t>
            </w:r>
            <w:r>
              <w:rPr>
                <w:rFonts w:hint="eastAsia" w:ascii="仿宋_GB2312" w:hAnsi="仿宋_GB2312" w:eastAsia="仿宋_GB2312" w:cs="仿宋_GB2312"/>
                <w:spacing w:val="0"/>
                <w:w w:val="100"/>
                <w:sz w:val="24"/>
                <w:szCs w:val="24"/>
              </w:rPr>
              <w:t>性或区域性重要活动期间发生食品安全突发事件时，可相应提高响应级别，加大应急处置力度，确保迅速、有效应对食品安全突发事件，维护社会稳定。</w:t>
            </w:r>
          </w:p>
          <w:p>
            <w:pPr>
              <w:pStyle w:val="9"/>
              <w:keepNext w:val="0"/>
              <w:keepLines w:val="0"/>
              <w:pageBreakBefore w:val="0"/>
              <w:widowControl w:val="0"/>
              <w:numPr>
                <w:ilvl w:val="0"/>
                <w:numId w:val="0"/>
              </w:numPr>
              <w:tabs>
                <w:tab w:val="left" w:pos="373"/>
              </w:tabs>
              <w:kinsoku/>
              <w:wordWrap/>
              <w:overflowPunct/>
              <w:topLinePunct w:val="0"/>
              <w:autoSpaceDE/>
              <w:autoSpaceDN/>
              <w:bidi w:val="0"/>
              <w:adjustRightInd/>
              <w:snapToGrid/>
              <w:spacing w:after="0" w:line="360" w:lineRule="exact"/>
              <w:ind w:left="0" w:leftChars="0" w:right="0" w:rightChars="0" w:firstLine="481" w:firstLineChars="200"/>
              <w:jc w:val="left"/>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lang w:val="en-US" w:eastAsia="zh-CN"/>
              </w:rPr>
              <w:t>2.</w:t>
            </w:r>
            <w:r>
              <w:rPr>
                <w:rFonts w:hint="eastAsia" w:ascii="仿宋_GB2312" w:hAnsi="仿宋_GB2312" w:eastAsia="仿宋_GB2312" w:cs="仿宋_GB2312"/>
                <w:b/>
                <w:spacing w:val="0"/>
                <w:w w:val="100"/>
                <w:sz w:val="24"/>
                <w:szCs w:val="24"/>
              </w:rPr>
              <w:t>响应降级</w:t>
            </w:r>
          </w:p>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事件危害或不良影响得到有效控制，且经研判认为事件危害或不良影响已降低到原级别评估标准以下，无进一步蔓延趋势的，可降低应急响应级别。</w:t>
            </w:r>
          </w:p>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由</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组织对食品安全突发事件进行评估，认为符合级别调整条件的，</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提出调整应急响应级别建议，报</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批准后实施。应急响应级别调整后，事件相关地区政府应当结合调整后级别采取相应措施。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1186"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响应</w:t>
            </w:r>
          </w:p>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b/>
                <w:spacing w:val="0"/>
                <w:w w:val="100"/>
                <w:sz w:val="24"/>
                <w:szCs w:val="24"/>
              </w:rPr>
            </w:pPr>
            <w:r>
              <w:rPr>
                <w:rFonts w:hint="eastAsia" w:ascii="仿宋_GB2312" w:hAnsi="仿宋_GB2312" w:eastAsia="仿宋_GB2312" w:cs="仿宋_GB2312"/>
                <w:b/>
                <w:spacing w:val="0"/>
                <w:w w:val="100"/>
                <w:sz w:val="24"/>
                <w:szCs w:val="24"/>
              </w:rPr>
              <w:t>终止</w:t>
            </w:r>
          </w:p>
        </w:tc>
        <w:tc>
          <w:tcPr>
            <w:tcW w:w="12100" w:type="dxa"/>
            <w:gridSpan w:val="4"/>
            <w:noWrap w:val="0"/>
            <w:vAlign w:val="top"/>
          </w:tcPr>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当食品安全突发事件得到控制，并符合以下要求，经分析评估认为可解除响应的，应当及时终止响应：</w:t>
            </w:r>
          </w:p>
          <w:p>
            <w:pPr>
              <w:pStyle w:val="9"/>
              <w:keepNext w:val="0"/>
              <w:keepLines w:val="0"/>
              <w:pageBreakBefore w:val="0"/>
              <w:widowControl w:val="0"/>
              <w:numPr>
                <w:ilvl w:val="0"/>
                <w:numId w:val="0"/>
              </w:numPr>
              <w:tabs>
                <w:tab w:val="left" w:pos="727"/>
              </w:tabs>
              <w:kinsoku/>
              <w:wordWrap/>
              <w:overflowPunct/>
              <w:topLinePunct w:val="0"/>
              <w:autoSpaceDE/>
              <w:autoSpaceDN/>
              <w:bidi w:val="0"/>
              <w:adjustRightInd/>
              <w:snapToGrid/>
              <w:spacing w:after="0" w:line="360" w:lineRule="exact"/>
              <w:ind w:left="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1.</w:t>
            </w:r>
            <w:r>
              <w:rPr>
                <w:rFonts w:hint="eastAsia" w:ascii="仿宋_GB2312" w:hAnsi="仿宋_GB2312" w:eastAsia="仿宋_GB2312" w:cs="仿宋_GB2312"/>
                <w:spacing w:val="0"/>
                <w:w w:val="100"/>
                <w:sz w:val="24"/>
                <w:szCs w:val="24"/>
              </w:rPr>
              <w:t>患者基本得到救治，病情稳定24小时以上，事态基本得到控制，且同时期无同类新发病例出现；一个最长潜伏期内，在食源性污染导致的最后一例患者之后，未出现同类新发病例；</w:t>
            </w:r>
          </w:p>
          <w:p>
            <w:pPr>
              <w:pStyle w:val="9"/>
              <w:keepNext w:val="0"/>
              <w:keepLines w:val="0"/>
              <w:pageBreakBefore w:val="0"/>
              <w:widowControl w:val="0"/>
              <w:numPr>
                <w:ilvl w:val="0"/>
                <w:numId w:val="0"/>
              </w:numPr>
              <w:tabs>
                <w:tab w:val="left" w:pos="727"/>
              </w:tabs>
              <w:kinsoku/>
              <w:wordWrap/>
              <w:overflowPunct/>
              <w:topLinePunct w:val="0"/>
              <w:autoSpaceDE/>
              <w:autoSpaceDN/>
              <w:bidi w:val="0"/>
              <w:adjustRightInd/>
              <w:snapToGrid/>
              <w:spacing w:after="0" w:line="360" w:lineRule="exact"/>
              <w:ind w:left="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2.</w:t>
            </w:r>
            <w:r>
              <w:rPr>
                <w:rFonts w:hint="eastAsia" w:ascii="仿宋_GB2312" w:hAnsi="仿宋_GB2312" w:eastAsia="仿宋_GB2312" w:cs="仿宋_GB2312"/>
                <w:spacing w:val="0"/>
                <w:w w:val="100"/>
                <w:sz w:val="24"/>
                <w:szCs w:val="24"/>
              </w:rPr>
              <w:t>现场、受污染食品得到有效控制，食品与环境污染得到有效卫生处理并符合相关标准，次生、衍生事故隐患消除；</w:t>
            </w:r>
          </w:p>
          <w:p>
            <w:pPr>
              <w:pStyle w:val="9"/>
              <w:keepNext w:val="0"/>
              <w:keepLines w:val="0"/>
              <w:pageBreakBefore w:val="0"/>
              <w:widowControl w:val="0"/>
              <w:numPr>
                <w:ilvl w:val="0"/>
                <w:numId w:val="0"/>
              </w:numPr>
              <w:tabs>
                <w:tab w:val="left" w:pos="775"/>
              </w:tabs>
              <w:kinsoku/>
              <w:wordWrap/>
              <w:overflowPunct/>
              <w:topLinePunct w:val="0"/>
              <w:autoSpaceDE/>
              <w:autoSpaceDN/>
              <w:bidi w:val="0"/>
              <w:adjustRightInd/>
              <w:snapToGrid/>
              <w:spacing w:after="0" w:line="360" w:lineRule="exact"/>
              <w:ind w:left="0" w:right="0" w:rightChars="0" w:firstLine="480" w:firstLineChars="200"/>
              <w:jc w:val="left"/>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lang w:val="en-US" w:eastAsia="zh-CN"/>
              </w:rPr>
              <w:t>3.</w:t>
            </w:r>
            <w:r>
              <w:rPr>
                <w:rFonts w:hint="eastAsia" w:ascii="仿宋_GB2312" w:hAnsi="仿宋_GB2312" w:eastAsia="仿宋_GB2312" w:cs="仿宋_GB2312"/>
                <w:spacing w:val="0"/>
                <w:w w:val="100"/>
                <w:sz w:val="24"/>
                <w:szCs w:val="24"/>
              </w:rPr>
              <w:t>事件造成的危害或不良影响已消除或得到了有效控制，不需要继续按预案进行应急处置的。</w:t>
            </w:r>
          </w:p>
          <w:p>
            <w:pPr>
              <w:pStyle w:val="9"/>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textAlignment w:val="auto"/>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由</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组织对食品安全突发事件进行评估，认为符合响应终止条件时，</w:t>
            </w:r>
            <w:r>
              <w:rPr>
                <w:rFonts w:hint="eastAsia" w:ascii="仿宋_GB2312" w:hAnsi="仿宋_GB2312" w:eastAsia="仿宋_GB2312" w:cs="仿宋_GB2312"/>
                <w:spacing w:val="0"/>
                <w:w w:val="100"/>
                <w:sz w:val="24"/>
                <w:szCs w:val="24"/>
                <w:lang w:eastAsia="zh-CN"/>
              </w:rPr>
              <w:t>县指挥部办公室</w:t>
            </w:r>
            <w:r>
              <w:rPr>
                <w:rFonts w:hint="eastAsia" w:ascii="仿宋_GB2312" w:hAnsi="仿宋_GB2312" w:eastAsia="仿宋_GB2312" w:cs="仿宋_GB2312"/>
                <w:spacing w:val="0"/>
                <w:w w:val="100"/>
                <w:sz w:val="24"/>
                <w:szCs w:val="24"/>
              </w:rPr>
              <w:t>提出终止响应的建议，报</w:t>
            </w:r>
            <w:r>
              <w:rPr>
                <w:rFonts w:hint="eastAsia" w:ascii="仿宋_GB2312" w:hAnsi="仿宋_GB2312" w:eastAsia="仿宋_GB2312" w:cs="仿宋_GB2312"/>
                <w:spacing w:val="0"/>
                <w:w w:val="100"/>
                <w:sz w:val="24"/>
                <w:szCs w:val="24"/>
                <w:lang w:eastAsia="zh-CN"/>
              </w:rPr>
              <w:t>县指挥部</w:t>
            </w:r>
            <w:r>
              <w:rPr>
                <w:rFonts w:hint="eastAsia" w:ascii="仿宋_GB2312" w:hAnsi="仿宋_GB2312" w:eastAsia="仿宋_GB2312" w:cs="仿宋_GB2312"/>
                <w:spacing w:val="0"/>
                <w:w w:val="100"/>
                <w:sz w:val="24"/>
                <w:szCs w:val="24"/>
              </w:rPr>
              <w:t>批准后实施。</w:t>
            </w:r>
          </w:p>
        </w:tc>
      </w:tr>
    </w:tbl>
    <w:p>
      <w:pPr>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rightChars="0" w:firstLine="480" w:firstLineChars="200"/>
        <w:jc w:val="both"/>
        <w:textAlignment w:val="auto"/>
        <w:outlineLvl w:val="9"/>
        <w:rPr>
          <w:rFonts w:ascii="仿宋_GB2312" w:hAnsi="仿宋_GB2312" w:eastAsia="仿宋_GB2312" w:cs="仿宋_GB2312"/>
          <w:spacing w:val="0"/>
          <w:w w:val="100"/>
          <w:sz w:val="32"/>
          <w:szCs w:val="32"/>
        </w:rPr>
        <w:sectPr>
          <w:headerReference r:id="rId7" w:type="default"/>
          <w:footerReference r:id="rId9" w:type="default"/>
          <w:headerReference r:id="rId8" w:type="even"/>
          <w:footerReference r:id="rId10" w:type="even"/>
          <w:pgSz w:w="16838" w:h="11906" w:orient="landscape"/>
          <w:pgMar w:top="1587" w:right="1984" w:bottom="1474" w:left="2211" w:header="851" w:footer="992" w:gutter="0"/>
          <w:pgNumType w:fmt="numberInDash"/>
          <w:cols w:space="720" w:num="1"/>
          <w:rtlGutter w:val="0"/>
          <w:docGrid w:type="lines" w:linePitch="315" w:charSpace="0"/>
        </w:sectPr>
      </w:pPr>
      <w:r>
        <w:rPr>
          <w:rFonts w:hint="eastAsia" w:ascii="仿宋_GB2312" w:hAnsi="仿宋_GB2312" w:eastAsia="仿宋_GB2312" w:cs="仿宋_GB2312"/>
          <w:spacing w:val="0"/>
          <w:w w:val="100"/>
          <w:sz w:val="24"/>
          <w:szCs w:val="24"/>
        </w:rPr>
        <w:t>注：关于数字的表述，“以上”含本数，“以下”不含本数</w:t>
      </w:r>
    </w:p>
    <w:p/>
    <w:sectPr>
      <w:headerReference r:id="rId11" w:type="default"/>
      <w:footerReference r:id="rId13" w:type="default"/>
      <w:headerReference r:id="rId12" w:type="even"/>
      <w:footerReference r:id="rId14" w:type="even"/>
      <w:pgSz w:w="11906" w:h="16838"/>
      <w:pgMar w:top="2098" w:right="1474" w:bottom="1984"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86"/>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10"/>
        <w:tab w:val="left" w:pos="420"/>
        <w:tab w:val="left" w:pos="8610"/>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4893945</wp:posOffset>
              </wp:positionH>
              <wp:positionV relativeFrom="paragraph">
                <wp:posOffset>-474980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85.35pt;margin-top:-37.4pt;height:144pt;width:144pt;mso-position-horizontal-relative:margin;mso-wrap-style:none;z-index:251659264;mso-width-relative:page;mso-height-relative:page;" filled="f" stroked="f" coordsize="21600,21600" o:gfxdata="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d&#10;DN1M2wAAAAwBAAAPAAAAAAAAAAEAIAAAADgAAABkcnMvZG93bnJldi54bWxQSwECFAAUAAAACACH&#10;TuJATuFGkdIBAACjAwAADgAAAAAAAAABACAAAABAAQAAZHJzL2Uyb0RvYy54bWxQSwUGAAAAAAYA&#10;BgBZAQAAhAUAAAAA&#10;">
              <v:path/>
              <v:fill on="f" focussize="0,0"/>
              <v:stroke on="f" weight="1.2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0"/>
      </w:tabs>
    </w:pPr>
    <w:r>
      <w:rPr>
        <w:sz w:val="18"/>
      </w:rPr>
      <mc:AlternateContent>
        <mc:Choice Requires="wps">
          <w:drawing>
            <wp:anchor distT="0" distB="0" distL="114300" distR="114300" simplePos="0" relativeHeight="251660288" behindDoc="0" locked="0" layoutInCell="1" allowOverlap="1">
              <wp:simplePos x="0" y="0"/>
              <wp:positionH relativeFrom="margin">
                <wp:posOffset>217170</wp:posOffset>
              </wp:positionH>
              <wp:positionV relativeFrom="paragraph">
                <wp:posOffset>-475615</wp:posOffset>
              </wp:positionV>
              <wp:extent cx="5334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33400" cy="1828800"/>
                      </a:xfrm>
                      <a:prstGeom prst="rect">
                        <a:avLst/>
                      </a:prstGeom>
                      <a:noFill/>
                      <a:ln w="15875">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left:17.1pt;margin-top:-37.45pt;height:144pt;width:42pt;mso-position-horizontal-relative:margin;z-index:251660288;mso-width-relative:page;mso-height-relative:page;" filled="f" stroked="f" coordsize="21600,21600" o:gfxdata="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N/sInaAAAA&#10;CgEAAA8AAAAAAAAAAQAgAAAAOAAAAGRycy9kb3ducmV2LnhtbFBLAQIUABQAAAAIAIdO4kDrLJ8V&#10;zAEAAJYDAAAOAAAAAAAAAAEAIAAAAD8BAABkcnMvZTJvRG9jLnhtbFBLBQYAAAAABgAGAFkBAAB9&#10;BQAAAAA=&#10;">
              <v:path/>
              <v:fill on="f" focussize="0,0"/>
              <v:stroke on="f" weight="1.2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-216535</wp:posOffset>
              </wp:positionH>
              <wp:positionV relativeFrom="paragraph">
                <wp:posOffset>-902970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15875">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17.05pt;margin-top:-71.1pt;height:144pt;width:144pt;mso-position-horizontal-relative:margin;mso-wrap-style:none;rotation:5898240f;z-index:251661312;mso-width-relative:page;mso-height-relative:page;" filled="f" stroked="f" coordsize="21600,21600" o:gfxdata="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8iW9ctoAAAAMAQAADwAAAAAAAAABACAAAAA4AAAAZHJzL2Rvd25yZXYueG1sUEsBAhQA&#10;FAAAAAgAh07iQH3nJl3aAQAAsQMAAA4AAAAAAAAAAQAgAAAAPwEAAGRycy9lMm9Eb2MueG1sUEsF&#10;BgAAAAAGAAYAWQEAAIsFAAAAAA==&#10;">
              <v:path/>
              <v:fill on="f" focussize="0,0"/>
              <v:stroke on="f" weight="1.2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posOffset>-209550</wp:posOffset>
              </wp:positionH>
              <wp:positionV relativeFrom="paragraph">
                <wp:posOffset>572770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15875">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16.5pt;margin-top:45.1pt;height:144pt;width:144pt;mso-position-horizontal-relative:margin;mso-wrap-style:none;rotation:5898240f;z-index:251663360;mso-width-relative:page;mso-height-relative:page;" filled="f" stroked="f" coordsize="21600,21600" o:gfxdata="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C/NQk2QAAAAoBAAAPAAAAAAAAAAEAIAAAADgAAABkcnMvZG93bnJldi54bWxQSwECFAAU&#10;AAAACACHTuJABek6bNoBAACxAwAADgAAAAAAAAABACAAAAA+AQAAZHJzL2Uyb0RvYy54bWxQSwUG&#10;AAAAAAYABgBZAQAAigUAAAAA&#10;">
              <v:path/>
              <v:fill on="f" focussize="0,0"/>
              <v:stroke on="f" weight="1.2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BB8589"/>
    <w:rsid w:val="AFBB8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2595"/>
      <w:jc w:val="center"/>
      <w:outlineLvl w:val="0"/>
    </w:pPr>
    <w:rPr>
      <w:rFonts w:ascii="方正小标宋简体" w:hAnsi="方正小标宋简体" w:eastAsia="方正小标宋简体" w:cs="方正小标宋简体"/>
      <w:sz w:val="44"/>
      <w:szCs w:val="44"/>
      <w:lang w:val="zh-CN" w:eastAsia="zh-CN" w:bidi="zh-CN"/>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2021-12-07T09:17:00Z</dcterms:created>
  <dc:creator>greatwall</dc:creator>
  <cp:lastModifiedBy>greatwall</cp:lastModifiedBy>
  <dcterms:modified xsi:type="dcterms:W3CDTF">2021-12-07T09:21:12Z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