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348"/>
        <w:gridCol w:w="1470"/>
        <w:gridCol w:w="1485"/>
        <w:gridCol w:w="1725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w w:val="90"/>
                <w:kern w:val="0"/>
                <w:sz w:val="36"/>
                <w:szCs w:val="36"/>
                <w:u w:val="none"/>
                <w:lang w:val="en-US" w:eastAsia="zh-CN" w:bidi="ar"/>
              </w:rPr>
              <w:t>临县行政审批服务管理局退回主管单位审批事项清单目录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退回依据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举行大型宗教活动审批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宗教团体成立、变更、注销前审批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开展宗教教育培训审批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宗教团体、宗教院校、宗教活动场所接受境外组织和个人捐赠审批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变更民族成分审批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清真食品的名称、标识、标签、说明书和包装上的字样、图像、图案备案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县统战部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宗教活动场所法人登记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晋政发〔2021〕47号涉及宗教活动事项暂不划转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从事出版物、包装装潢印刷品和其他印刷品印刷经营活动企业的设立、变更审批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出版物零售单位和个体工商户设立、变更审批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内部资料性出版物准印证核发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地方志书、综合年鉴出版许可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单位内部设立印刷厂登记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地方志书、综合年鉴冠名编纂许可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县宣传部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有线广播电视传输覆盖网工程建设及验收审核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设置卫星电视广播地面接收设施审批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广播电台、电视台设立、终止审批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区域性有线广播电视传输覆盖网总体规划、建设方案审核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广播电视专用频段频率使用许可证（甲类）核发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广播电视专用频段频率使用许可证（乙类）核发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无线广播电视发射设备（不含小功率无线广播电视发射设备）订购证明核发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广播电视设施迁建审批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广播电台、电视台变更台名、台标、节目设置范围或节目套数审批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互联网网站使用广播电视专有名称的审批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乡镇设立广播电视站和机关、部队、团体、企业事业单位设立有线广播电视站审批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晋政发〔2021〕47号涉及意识形态事项暂不划转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出租汽车服务质量信誉考核（包括巡游出租车、网约出租车）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晋政发〔2021〕47号不宜在县审批服务管理局局实施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公路工程质量安全监督手续批复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晋政发〔2021〕47号不宜在县审批服务管理局局实施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渔业船舶及船用产品检验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晋政发〔2021〕48号要求下放至市级交通运输部门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2A3E"/>
    <w:rsid w:val="7FD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qFormat/>
    <w:uiPriority w:val="0"/>
    <w:pPr>
      <w:spacing w:after="120"/>
      <w:ind w:firstLine="560"/>
    </w:pPr>
    <w:rPr>
      <w:rFonts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2022-05-24T18:07:00Z</dcterms:created>
  <dc:creator>greatwall</dc:creator>
  <cp:lastModifiedBy>greatwall</cp:lastModifiedBy>
  <dcterms:modified xsi:type="dcterms:W3CDTF">2022-05-24T18:10:33Z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