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3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2"/>
        <w:gridCol w:w="1356"/>
        <w:gridCol w:w="1984"/>
        <w:gridCol w:w="1378"/>
        <w:gridCol w:w="1681"/>
        <w:gridCol w:w="2561"/>
        <w:gridCol w:w="1253"/>
        <w:gridCol w:w="1098"/>
        <w:gridCol w:w="872"/>
        <w:gridCol w:w="82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110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07" w:type="dxa"/>
            <w:gridSpan w:val="10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8"/>
              </w:rPr>
            </w:pPr>
            <w:r>
              <w:rPr>
                <w:rFonts w:ascii="宋体" w:hAnsi="宋体"/>
                <w:b/>
                <w:color w:val="000000"/>
                <w:sz w:val="48"/>
              </w:rPr>
              <w:t>重大行政执法决定法制审核目录清单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执法类别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审核项目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承办机构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审核条件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审核依据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审核机构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提交的审核材料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重点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00704364"/>
    <w:rsid w:val="007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2023-01-13T03:47:00Z</dcterms:created>
  <dc:creator>huawei</dc:creator>
  <cp:lastModifiedBy>huawei</cp:lastModifiedBy>
  <dcterms:modified xsi:type="dcterms:W3CDTF">2023-01-13T03:49:36Z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CB7420A7B9784950ADCCCAFEC530886E</vt:lpwstr>
  </property>
</Properties>
</file>