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left"/>
        <w:rPr>
          <w:rFonts w:hint="eastAsia" w:ascii="黑体" w:hAnsi="黑体" w:eastAsia="黑体" w:cs="黑体"/>
          <w:kern w:val="1"/>
          <w:sz w:val="32"/>
          <w:szCs w:val="32"/>
        </w:rPr>
      </w:pPr>
      <w:r>
        <w:rPr>
          <w:rFonts w:hint="eastAsia" w:ascii="黑体" w:hAnsi="黑体" w:eastAsia="黑体" w:cs="黑体"/>
          <w:kern w:val="1"/>
          <w:sz w:val="32"/>
          <w:szCs w:val="32"/>
        </w:rPr>
        <w:t>附表1</w:t>
      </w:r>
    </w:p>
    <w:p>
      <w:pPr>
        <w:spacing w:before="240" w:beforeLines="100" w:after="120" w:afterLines="50" w:line="590" w:lineRule="exact"/>
        <w:jc w:val="center"/>
        <w:rPr>
          <w:rFonts w:ascii="方正小标宋简体" w:hAnsi="仿宋" w:eastAsia="方正小标宋简体" w:cs="Times New Roman"/>
          <w:kern w:val="1"/>
          <w:sz w:val="40"/>
          <w:szCs w:val="40"/>
        </w:rPr>
      </w:pPr>
      <w:r>
        <w:rPr>
          <w:rFonts w:hint="eastAsia" w:ascii="方正小标宋简体" w:hAnsi="仿宋" w:eastAsia="方正小标宋简体" w:cs="方正小标宋简体"/>
          <w:kern w:val="1"/>
          <w:sz w:val="40"/>
          <w:szCs w:val="40"/>
        </w:rPr>
        <w:t>种植产品</w:t>
      </w:r>
      <w:r>
        <w:rPr>
          <w:rFonts w:hint="eastAsia" w:ascii="方正小标宋简体" w:hAnsi="仿宋" w:eastAsia="方正小标宋简体" w:cs="方正小标宋简体"/>
          <w:kern w:val="1"/>
          <w:sz w:val="40"/>
          <w:szCs w:val="40"/>
          <w:lang w:val="en-US" w:eastAsia="zh-CN"/>
        </w:rPr>
        <w:t>监测项目</w:t>
      </w:r>
      <w:r>
        <w:rPr>
          <w:rFonts w:hint="eastAsia" w:ascii="方正小标宋简体" w:hAnsi="仿宋" w:eastAsia="方正小标宋简体" w:cs="方正小标宋简体"/>
          <w:kern w:val="1"/>
          <w:sz w:val="40"/>
          <w:szCs w:val="40"/>
        </w:rPr>
        <w:t>和检测方法</w:t>
      </w:r>
    </w:p>
    <w:tbl>
      <w:tblPr>
        <w:tblStyle w:val="3"/>
        <w:tblpPr w:leftFromText="180" w:rightFromText="180" w:vertAnchor="text" w:tblpXSpec="center" w:tblpY="1"/>
        <w:tblOverlap w:val="never"/>
        <w:tblW w:w="90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6"/>
        <w:gridCol w:w="5670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206" w:type="dxa"/>
            <w:vAlign w:val="center"/>
          </w:tcPr>
          <w:p>
            <w:pPr>
              <w:spacing w:line="320" w:lineRule="exact"/>
              <w:ind w:left="105" w:leftChars="50" w:right="105" w:rightChars="50"/>
              <w:jc w:val="center"/>
              <w:rPr>
                <w:rFonts w:ascii="宋体" w:hAnsi="宋体" w:eastAsia="宋体" w:cs="Times New Roman"/>
                <w:b/>
                <w:bCs/>
                <w:color w:val="000000"/>
                <w:kern w:val="1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1"/>
                <w:sz w:val="22"/>
                <w:szCs w:val="22"/>
              </w:rPr>
              <w:t>产品类别</w:t>
            </w:r>
          </w:p>
        </w:tc>
        <w:tc>
          <w:tcPr>
            <w:tcW w:w="5670" w:type="dxa"/>
            <w:vAlign w:val="center"/>
          </w:tcPr>
          <w:p>
            <w:pPr>
              <w:spacing w:line="320" w:lineRule="exact"/>
              <w:ind w:left="105" w:leftChars="50" w:right="105" w:rightChars="50"/>
              <w:jc w:val="center"/>
              <w:rPr>
                <w:rFonts w:ascii="宋体" w:hAnsi="宋体" w:eastAsia="宋体" w:cs="Times New Roman"/>
                <w:b/>
                <w:bCs/>
                <w:color w:val="000000"/>
                <w:kern w:val="1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1"/>
                <w:sz w:val="22"/>
                <w:szCs w:val="22"/>
              </w:rPr>
              <w:t>监测项目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ind w:left="105" w:leftChars="50" w:right="105" w:rightChars="50"/>
              <w:jc w:val="center"/>
              <w:rPr>
                <w:rFonts w:ascii="宋体" w:hAnsi="宋体" w:eastAsia="宋体" w:cs="Times New Roman"/>
                <w:b/>
                <w:bCs/>
                <w:color w:val="000000"/>
                <w:kern w:val="1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1"/>
                <w:sz w:val="22"/>
                <w:szCs w:val="22"/>
              </w:rPr>
              <w:t>检测方法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206" w:type="dxa"/>
            <w:vMerge w:val="restart"/>
            <w:vAlign w:val="center"/>
          </w:tcPr>
          <w:p>
            <w:pPr>
              <w:pStyle w:val="5"/>
              <w:spacing w:line="320" w:lineRule="exact"/>
              <w:ind w:left="105" w:leftChars="50" w:right="105" w:rightChars="50"/>
              <w:jc w:val="center"/>
              <w:rPr>
                <w:rFonts w:ascii="宋体"/>
                <w:color w:val="000000"/>
                <w:kern w:val="1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1"/>
                <w:sz w:val="22"/>
                <w:szCs w:val="22"/>
              </w:rPr>
              <w:t>蔬菜</w:t>
            </w:r>
          </w:p>
          <w:p>
            <w:pPr>
              <w:pStyle w:val="5"/>
              <w:spacing w:line="320" w:lineRule="exact"/>
              <w:ind w:left="105" w:leftChars="50" w:right="105" w:rightChars="50"/>
              <w:jc w:val="center"/>
              <w:rPr>
                <w:rFonts w:ascii="宋体"/>
                <w:color w:val="000000"/>
                <w:kern w:val="1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1"/>
                <w:sz w:val="22"/>
                <w:szCs w:val="22"/>
              </w:rPr>
              <w:t>食用菌</w:t>
            </w:r>
          </w:p>
          <w:p>
            <w:pPr>
              <w:pStyle w:val="5"/>
              <w:spacing w:line="320" w:lineRule="exact"/>
              <w:ind w:left="105" w:leftChars="50" w:right="105" w:rightChars="50"/>
              <w:jc w:val="center"/>
              <w:rPr>
                <w:rFonts w:ascii="宋体"/>
                <w:color w:val="000000"/>
                <w:kern w:val="1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1"/>
                <w:sz w:val="22"/>
                <w:szCs w:val="22"/>
              </w:rPr>
              <w:t>水果</w:t>
            </w:r>
          </w:p>
        </w:tc>
        <w:tc>
          <w:tcPr>
            <w:tcW w:w="5670" w:type="dxa"/>
            <w:vAlign w:val="center"/>
          </w:tcPr>
          <w:p>
            <w:pPr>
              <w:pStyle w:val="5"/>
              <w:spacing w:line="320" w:lineRule="exact"/>
              <w:ind w:left="105" w:leftChars="50" w:right="105" w:rightChars="50"/>
              <w:rPr>
                <w:rFonts w:ascii="宋体"/>
                <w:color w:val="000000"/>
                <w:kern w:val="1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1"/>
                <w:sz w:val="22"/>
                <w:szCs w:val="22"/>
              </w:rPr>
              <w:t>禁用农药（</w:t>
            </w:r>
            <w:r>
              <w:rPr>
                <w:rFonts w:ascii="宋体" w:hAnsi="宋体" w:cs="宋体"/>
                <w:color w:val="000000"/>
                <w:kern w:val="1"/>
                <w:sz w:val="22"/>
                <w:szCs w:val="22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1"/>
                <w:sz w:val="22"/>
                <w:szCs w:val="22"/>
              </w:rPr>
              <w:t>个）：甲胺磷、对硫磷、甲基对硫磷、</w:t>
            </w:r>
            <w:r>
              <w:rPr>
                <w:rFonts w:ascii="宋体" w:hAnsi="宋体" w:cs="宋体"/>
                <w:color w:val="000000"/>
                <w:kern w:val="1"/>
                <w:sz w:val="22"/>
                <w:szCs w:val="22"/>
              </w:rPr>
              <w:t>三氯杀螨醇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pStyle w:val="5"/>
              <w:spacing w:line="320" w:lineRule="exact"/>
              <w:ind w:left="105" w:leftChars="50" w:right="105" w:rightChars="50"/>
              <w:jc w:val="center"/>
              <w:rPr>
                <w:rFonts w:ascii="宋体"/>
                <w:color w:val="000000"/>
                <w:kern w:val="1"/>
                <w:sz w:val="22"/>
                <w:lang w:val="fr-FR"/>
              </w:rPr>
            </w:pPr>
            <w:r>
              <w:rPr>
                <w:rFonts w:ascii="宋体" w:hAnsi="宋体" w:cs="宋体"/>
                <w:color w:val="000000"/>
                <w:kern w:val="1"/>
                <w:sz w:val="22"/>
                <w:szCs w:val="22"/>
                <w:lang w:val="fr-FR"/>
              </w:rPr>
              <w:t>NY/T 761-2008</w:t>
            </w:r>
            <w:r>
              <w:rPr>
                <w:rFonts w:hint="eastAsia" w:ascii="宋体" w:hAnsi="宋体" w:cs="宋体"/>
                <w:color w:val="000000"/>
                <w:kern w:val="1"/>
                <w:sz w:val="22"/>
                <w:szCs w:val="22"/>
              </w:rPr>
              <w:t>或</w:t>
            </w:r>
          </w:p>
          <w:p>
            <w:pPr>
              <w:pStyle w:val="5"/>
              <w:spacing w:line="320" w:lineRule="exact"/>
              <w:ind w:left="105" w:leftChars="50" w:right="105" w:rightChars="50"/>
              <w:jc w:val="center"/>
              <w:rPr>
                <w:rFonts w:ascii="宋体"/>
                <w:color w:val="000000"/>
                <w:kern w:val="1"/>
                <w:sz w:val="22"/>
                <w:lang w:val="fr-FR"/>
              </w:rPr>
            </w:pPr>
            <w:r>
              <w:rPr>
                <w:rFonts w:ascii="宋体" w:hAnsi="宋体" w:cs="宋体"/>
                <w:color w:val="000000"/>
                <w:kern w:val="1"/>
                <w:sz w:val="22"/>
                <w:szCs w:val="22"/>
                <w:lang w:val="fr-FR"/>
              </w:rPr>
              <w:t>GB/T20769-2008</w:t>
            </w:r>
            <w:r>
              <w:rPr>
                <w:rFonts w:hint="eastAsia" w:ascii="宋体" w:hAnsi="宋体" w:cs="宋体"/>
                <w:color w:val="000000"/>
                <w:kern w:val="1"/>
                <w:sz w:val="22"/>
                <w:szCs w:val="22"/>
              </w:rPr>
              <w:t>或</w:t>
            </w:r>
          </w:p>
          <w:p>
            <w:pPr>
              <w:pStyle w:val="5"/>
              <w:spacing w:line="320" w:lineRule="exact"/>
              <w:ind w:left="105" w:leftChars="50" w:right="105" w:rightChars="50"/>
              <w:jc w:val="center"/>
              <w:rPr>
                <w:rFonts w:ascii="宋体"/>
                <w:color w:val="000000"/>
                <w:kern w:val="1"/>
                <w:sz w:val="22"/>
              </w:rPr>
            </w:pPr>
            <w:r>
              <w:rPr>
                <w:rFonts w:ascii="宋体" w:hAnsi="宋体" w:cs="宋体"/>
                <w:color w:val="000000"/>
                <w:kern w:val="1"/>
                <w:sz w:val="22"/>
                <w:szCs w:val="22"/>
              </w:rPr>
              <w:t>GB 23200.113-2018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 w:hRule="atLeast"/>
        </w:trPr>
        <w:tc>
          <w:tcPr>
            <w:tcW w:w="1206" w:type="dxa"/>
            <w:vMerge w:val="continue"/>
          </w:tcPr>
          <w:p>
            <w:pPr>
              <w:pStyle w:val="5"/>
              <w:spacing w:line="320" w:lineRule="exact"/>
              <w:ind w:left="105" w:leftChars="50" w:right="105" w:rightChars="50"/>
              <w:rPr>
                <w:rFonts w:ascii="宋体"/>
                <w:color w:val="000000"/>
                <w:kern w:val="1"/>
                <w:sz w:val="22"/>
              </w:rPr>
            </w:pPr>
          </w:p>
        </w:tc>
        <w:tc>
          <w:tcPr>
            <w:tcW w:w="5670" w:type="dxa"/>
            <w:vAlign w:val="center"/>
          </w:tcPr>
          <w:p>
            <w:pPr>
              <w:pStyle w:val="5"/>
              <w:spacing w:line="320" w:lineRule="exact"/>
              <w:ind w:left="105" w:leftChars="50" w:right="105" w:rightChars="50"/>
              <w:rPr>
                <w:rFonts w:ascii="宋体"/>
                <w:color w:val="000000"/>
                <w:kern w:val="1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1"/>
                <w:sz w:val="22"/>
                <w:szCs w:val="22"/>
              </w:rPr>
              <w:t>限用农药（</w:t>
            </w:r>
            <w:r>
              <w:rPr>
                <w:rFonts w:ascii="宋体" w:hAnsi="宋体" w:cs="宋体"/>
                <w:color w:val="000000"/>
                <w:kern w:val="1"/>
                <w:sz w:val="22"/>
                <w:szCs w:val="22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1"/>
                <w:sz w:val="22"/>
                <w:szCs w:val="22"/>
              </w:rPr>
              <w:t>个）：甲拌磷（包括甲拌磷砜和甲拌磷亚砜）、氧乐果、水胺硫磷、甲基异柳磷、克百威（包括</w:t>
            </w:r>
            <w:r>
              <w:rPr>
                <w:rFonts w:ascii="宋体" w:hAnsi="宋体" w:cs="宋体"/>
                <w:color w:val="000000"/>
                <w:kern w:val="1"/>
                <w:sz w:val="22"/>
                <w:szCs w:val="22"/>
              </w:rPr>
              <w:t>3-</w:t>
            </w:r>
            <w:r>
              <w:rPr>
                <w:rFonts w:hint="eastAsia" w:ascii="宋体" w:hAnsi="宋体" w:cs="宋体"/>
                <w:color w:val="000000"/>
                <w:kern w:val="1"/>
                <w:sz w:val="22"/>
                <w:szCs w:val="22"/>
              </w:rPr>
              <w:t>羟基克百威）、涕灭威（包括涕灭威砜和涕灭威亚砜）、毒死蜱、三唑磷、乐果、</w:t>
            </w:r>
            <w:r>
              <w:rPr>
                <w:rFonts w:ascii="宋体" w:hAnsi="宋体" w:cs="宋体"/>
                <w:color w:val="000000"/>
                <w:kern w:val="1"/>
                <w:sz w:val="22"/>
                <w:szCs w:val="22"/>
              </w:rPr>
              <w:t>乙酰甲</w:t>
            </w:r>
            <w:r>
              <w:rPr>
                <w:rFonts w:hint="eastAsia" w:ascii="宋体" w:hAnsi="宋体" w:cs="宋体"/>
                <w:color w:val="000000"/>
                <w:kern w:val="1"/>
                <w:sz w:val="22"/>
                <w:szCs w:val="22"/>
              </w:rPr>
              <w:t>胺</w:t>
            </w:r>
            <w:r>
              <w:rPr>
                <w:rFonts w:ascii="宋体" w:hAnsi="宋体" w:cs="宋体"/>
                <w:color w:val="000000"/>
                <w:kern w:val="1"/>
                <w:sz w:val="22"/>
                <w:szCs w:val="22"/>
              </w:rPr>
              <w:t>磷、灭多威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widowControl/>
              <w:spacing w:line="320" w:lineRule="exact"/>
              <w:ind w:left="105" w:leftChars="50" w:right="105" w:rightChars="50"/>
              <w:jc w:val="center"/>
              <w:rPr>
                <w:rFonts w:ascii="宋体" w:hAnsi="宋体" w:eastAsia="宋体" w:cs="Times New Roman"/>
                <w:color w:val="000000"/>
                <w:kern w:val="1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2" w:hRule="atLeast"/>
        </w:trPr>
        <w:tc>
          <w:tcPr>
            <w:tcW w:w="1206" w:type="dxa"/>
            <w:vMerge w:val="continue"/>
          </w:tcPr>
          <w:p>
            <w:pPr>
              <w:pStyle w:val="5"/>
              <w:spacing w:line="320" w:lineRule="exact"/>
              <w:ind w:left="105" w:leftChars="50" w:right="105" w:rightChars="50"/>
              <w:rPr>
                <w:rFonts w:ascii="宋体"/>
                <w:color w:val="000000"/>
                <w:kern w:val="1"/>
                <w:sz w:val="22"/>
              </w:rPr>
            </w:pPr>
          </w:p>
        </w:tc>
        <w:tc>
          <w:tcPr>
            <w:tcW w:w="5670" w:type="dxa"/>
            <w:vAlign w:val="center"/>
          </w:tcPr>
          <w:p>
            <w:pPr>
              <w:pStyle w:val="5"/>
              <w:spacing w:line="320" w:lineRule="exact"/>
              <w:ind w:left="105" w:leftChars="50" w:right="105" w:rightChars="50"/>
              <w:rPr>
                <w:rFonts w:ascii="宋体"/>
                <w:color w:val="000000"/>
                <w:kern w:val="1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1"/>
                <w:sz w:val="22"/>
                <w:szCs w:val="22"/>
              </w:rPr>
              <w:t>常规农药（</w:t>
            </w:r>
            <w:r>
              <w:rPr>
                <w:rFonts w:ascii="宋体" w:hAnsi="宋体" w:cs="宋体"/>
                <w:color w:val="000000"/>
                <w:kern w:val="1"/>
                <w:sz w:val="22"/>
                <w:szCs w:val="22"/>
              </w:rPr>
              <w:t>26</w:t>
            </w:r>
            <w:r>
              <w:rPr>
                <w:rFonts w:hint="eastAsia" w:ascii="宋体" w:hAnsi="宋体" w:cs="宋体"/>
                <w:color w:val="000000"/>
                <w:kern w:val="1"/>
                <w:sz w:val="22"/>
                <w:szCs w:val="22"/>
              </w:rPr>
              <w:t>个）：敌敌畏、百菌清氰戊菊酯、丙溴磷、杀螟硫磷、二嗪磷、马拉硫磷、亚胺硫磷、伏杀硫磷、辛硫磷、氯氰菊酯、甲氰菊酯、氯氟氰菊酯、氟氯氰菊酯、溴氰菊酯、联苯菊酯、氟胺氰菊酯、氟氰戊菊酯、三唑酮、异菌脲、甲萘威、腐霉利、五氯硝基苯、乙烯菌核利、多菌灵、吡虫啉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widowControl/>
              <w:spacing w:line="320" w:lineRule="exact"/>
              <w:ind w:left="105" w:leftChars="50" w:right="105" w:rightChars="50"/>
              <w:jc w:val="center"/>
              <w:rPr>
                <w:rFonts w:ascii="宋体" w:hAnsi="宋体" w:eastAsia="宋体" w:cs="Times New Roman"/>
                <w:color w:val="000000"/>
                <w:kern w:val="1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</w:trPr>
        <w:tc>
          <w:tcPr>
            <w:tcW w:w="1206" w:type="dxa"/>
            <w:vMerge w:val="continue"/>
          </w:tcPr>
          <w:p>
            <w:pPr>
              <w:pStyle w:val="5"/>
              <w:spacing w:line="320" w:lineRule="exact"/>
              <w:ind w:left="105" w:leftChars="50" w:right="105" w:rightChars="50"/>
              <w:rPr>
                <w:rFonts w:ascii="宋体"/>
                <w:color w:val="000000"/>
                <w:kern w:val="1"/>
                <w:sz w:val="22"/>
              </w:rPr>
            </w:pPr>
          </w:p>
        </w:tc>
        <w:tc>
          <w:tcPr>
            <w:tcW w:w="5670" w:type="dxa"/>
            <w:vAlign w:val="center"/>
          </w:tcPr>
          <w:p>
            <w:pPr>
              <w:pStyle w:val="5"/>
              <w:spacing w:line="320" w:lineRule="exact"/>
              <w:ind w:left="105" w:leftChars="50" w:right="105" w:rightChars="50"/>
              <w:rPr>
                <w:rFonts w:ascii="宋体"/>
                <w:color w:val="000000"/>
                <w:kern w:val="1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1"/>
                <w:sz w:val="22"/>
                <w:szCs w:val="22"/>
              </w:rPr>
              <w:t>常规农药（</w:t>
            </w:r>
            <w:r>
              <w:rPr>
                <w:rFonts w:ascii="宋体" w:hAnsi="宋体" w:cs="宋体"/>
                <w:color w:val="000000"/>
                <w:kern w:val="1"/>
                <w:sz w:val="22"/>
                <w:szCs w:val="22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1"/>
                <w:sz w:val="22"/>
                <w:szCs w:val="22"/>
              </w:rPr>
              <w:t>个）：啶虫脒、哒螨灵、嘧霉胺、烯酰吗啉、虫螨腈、咪鲜胺、嘧菌酯、噻虫嗪、灭幼脲、氯菊酯（异构体之和）</w:t>
            </w:r>
          </w:p>
        </w:tc>
        <w:tc>
          <w:tcPr>
            <w:tcW w:w="2127" w:type="dxa"/>
            <w:vAlign w:val="center"/>
          </w:tcPr>
          <w:p>
            <w:pPr>
              <w:pStyle w:val="5"/>
              <w:spacing w:line="320" w:lineRule="exact"/>
              <w:ind w:left="105" w:leftChars="50" w:right="105" w:rightChars="50"/>
              <w:jc w:val="center"/>
              <w:rPr>
                <w:rFonts w:ascii="宋体"/>
                <w:color w:val="000000"/>
                <w:kern w:val="1"/>
                <w:sz w:val="22"/>
              </w:rPr>
            </w:pPr>
            <w:r>
              <w:rPr>
                <w:rFonts w:ascii="宋体" w:hAnsi="宋体" w:cs="宋体"/>
                <w:color w:val="000000"/>
                <w:kern w:val="1"/>
                <w:sz w:val="22"/>
                <w:szCs w:val="22"/>
              </w:rPr>
              <w:t>GB/T20769-2008</w:t>
            </w:r>
            <w:r>
              <w:rPr>
                <w:rFonts w:hint="eastAsia" w:ascii="宋体" w:hAnsi="宋体" w:cs="宋体"/>
                <w:color w:val="000000"/>
                <w:kern w:val="1"/>
                <w:sz w:val="22"/>
                <w:szCs w:val="22"/>
              </w:rPr>
              <w:t>或</w:t>
            </w:r>
          </w:p>
          <w:p>
            <w:pPr>
              <w:pStyle w:val="5"/>
              <w:spacing w:line="320" w:lineRule="exact"/>
              <w:ind w:left="105" w:leftChars="50" w:right="105" w:rightChars="50"/>
              <w:jc w:val="center"/>
              <w:rPr>
                <w:rFonts w:ascii="宋体"/>
                <w:color w:val="000000"/>
                <w:kern w:val="1"/>
                <w:sz w:val="22"/>
              </w:rPr>
            </w:pPr>
            <w:r>
              <w:rPr>
                <w:rFonts w:ascii="宋体" w:hAnsi="宋体" w:cs="宋体"/>
                <w:color w:val="000000"/>
                <w:kern w:val="1"/>
                <w:sz w:val="22"/>
                <w:szCs w:val="22"/>
              </w:rPr>
              <w:t>GB 23200.113-2018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exact"/>
        </w:trPr>
        <w:tc>
          <w:tcPr>
            <w:tcW w:w="1206" w:type="dxa"/>
            <w:vMerge w:val="continue"/>
          </w:tcPr>
          <w:p>
            <w:pPr>
              <w:pStyle w:val="5"/>
              <w:spacing w:line="320" w:lineRule="exact"/>
              <w:ind w:left="105" w:leftChars="50" w:right="105" w:rightChars="50"/>
              <w:rPr>
                <w:rFonts w:ascii="宋体"/>
                <w:color w:val="000000"/>
                <w:kern w:val="1"/>
                <w:sz w:val="22"/>
              </w:rPr>
            </w:pPr>
          </w:p>
        </w:tc>
        <w:tc>
          <w:tcPr>
            <w:tcW w:w="5670" w:type="dxa"/>
            <w:vAlign w:val="center"/>
          </w:tcPr>
          <w:p>
            <w:pPr>
              <w:pStyle w:val="5"/>
              <w:spacing w:line="320" w:lineRule="exact"/>
              <w:ind w:left="105" w:leftChars="50" w:right="105" w:rightChars="50"/>
              <w:rPr>
                <w:rFonts w:ascii="宋体"/>
                <w:color w:val="000000"/>
                <w:kern w:val="1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1"/>
                <w:sz w:val="22"/>
                <w:szCs w:val="22"/>
              </w:rPr>
              <w:t>常规农药（</w:t>
            </w:r>
            <w:r>
              <w:rPr>
                <w:rFonts w:ascii="宋体" w:hAnsi="宋体" w:cs="宋体"/>
                <w:color w:val="000000"/>
                <w:kern w:val="1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1"/>
                <w:sz w:val="22"/>
                <w:szCs w:val="22"/>
              </w:rPr>
              <w:t>个）：阿维菌素</w:t>
            </w:r>
          </w:p>
        </w:tc>
        <w:tc>
          <w:tcPr>
            <w:tcW w:w="2127" w:type="dxa"/>
            <w:vAlign w:val="center"/>
          </w:tcPr>
          <w:p>
            <w:pPr>
              <w:pStyle w:val="5"/>
              <w:spacing w:line="320" w:lineRule="exact"/>
              <w:ind w:left="105" w:leftChars="50" w:right="105" w:rightChars="50"/>
              <w:jc w:val="center"/>
              <w:rPr>
                <w:rFonts w:ascii="宋体"/>
                <w:color w:val="000000"/>
                <w:kern w:val="1"/>
                <w:sz w:val="22"/>
              </w:rPr>
            </w:pPr>
            <w:r>
              <w:rPr>
                <w:rFonts w:ascii="宋体" w:hAnsi="宋体" w:cs="宋体"/>
                <w:color w:val="000000"/>
                <w:kern w:val="1"/>
                <w:sz w:val="22"/>
                <w:szCs w:val="22"/>
              </w:rPr>
              <w:t>GB 23200.19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exact"/>
        </w:trPr>
        <w:tc>
          <w:tcPr>
            <w:tcW w:w="1206" w:type="dxa"/>
            <w:vMerge w:val="continue"/>
          </w:tcPr>
          <w:p>
            <w:pPr>
              <w:pStyle w:val="5"/>
              <w:spacing w:line="320" w:lineRule="exact"/>
              <w:ind w:left="105" w:leftChars="50" w:right="105" w:rightChars="50"/>
              <w:rPr>
                <w:rFonts w:ascii="宋体"/>
                <w:color w:val="000000"/>
                <w:kern w:val="1"/>
                <w:sz w:val="22"/>
              </w:rPr>
            </w:pPr>
          </w:p>
        </w:tc>
        <w:tc>
          <w:tcPr>
            <w:tcW w:w="5670" w:type="dxa"/>
            <w:vAlign w:val="center"/>
          </w:tcPr>
          <w:p>
            <w:pPr>
              <w:pStyle w:val="5"/>
              <w:spacing w:line="320" w:lineRule="exact"/>
              <w:ind w:left="105" w:leftChars="50" w:right="105" w:rightChars="50"/>
              <w:rPr>
                <w:rFonts w:ascii="宋体"/>
                <w:color w:val="000000"/>
                <w:kern w:val="1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1"/>
                <w:sz w:val="22"/>
                <w:szCs w:val="22"/>
              </w:rPr>
              <w:t>常规农药（</w:t>
            </w:r>
            <w:r>
              <w:rPr>
                <w:rFonts w:ascii="宋体" w:hAnsi="宋体" w:cs="宋体"/>
                <w:color w:val="000000"/>
                <w:kern w:val="1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1"/>
                <w:sz w:val="22"/>
                <w:szCs w:val="22"/>
              </w:rPr>
              <w:t>个）：除虫脲</w:t>
            </w:r>
          </w:p>
        </w:tc>
        <w:tc>
          <w:tcPr>
            <w:tcW w:w="2127" w:type="dxa"/>
            <w:vAlign w:val="center"/>
          </w:tcPr>
          <w:p>
            <w:pPr>
              <w:pStyle w:val="5"/>
              <w:spacing w:line="320" w:lineRule="exact"/>
              <w:ind w:left="105" w:leftChars="50" w:right="105" w:rightChars="50"/>
              <w:jc w:val="center"/>
              <w:rPr>
                <w:rFonts w:ascii="宋体"/>
                <w:color w:val="000000"/>
                <w:kern w:val="1"/>
                <w:sz w:val="22"/>
              </w:rPr>
            </w:pPr>
            <w:r>
              <w:rPr>
                <w:rFonts w:ascii="宋体" w:hAnsi="宋体" w:cs="宋体"/>
                <w:color w:val="000000"/>
                <w:kern w:val="1"/>
                <w:sz w:val="22"/>
                <w:szCs w:val="22"/>
              </w:rPr>
              <w:t>GB/T5009.147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7" w:hRule="exact"/>
        </w:trPr>
        <w:tc>
          <w:tcPr>
            <w:tcW w:w="1206" w:type="dxa"/>
            <w:vAlign w:val="center"/>
          </w:tcPr>
          <w:p>
            <w:pPr>
              <w:pStyle w:val="5"/>
              <w:spacing w:line="320" w:lineRule="exact"/>
              <w:ind w:left="105" w:leftChars="50" w:right="105" w:rightChars="50"/>
              <w:jc w:val="center"/>
              <w:rPr>
                <w:rFonts w:ascii="宋体"/>
                <w:color w:val="000000"/>
                <w:kern w:val="1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1"/>
                <w:sz w:val="22"/>
                <w:szCs w:val="22"/>
              </w:rPr>
              <w:t>中药材</w:t>
            </w:r>
          </w:p>
        </w:tc>
        <w:tc>
          <w:tcPr>
            <w:tcW w:w="5670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spacing w:line="320" w:lineRule="exact"/>
              <w:rPr>
                <w:rFonts w:ascii="宋体"/>
                <w:color w:val="000000"/>
                <w:kern w:val="1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1"/>
                <w:sz w:val="22"/>
                <w:szCs w:val="22"/>
              </w:rPr>
              <w:t>禁用农药（</w:t>
            </w:r>
            <w:r>
              <w:rPr>
                <w:rFonts w:ascii="宋体" w:hAnsi="宋体" w:cs="宋体"/>
                <w:color w:val="000000"/>
                <w:kern w:val="1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1"/>
                <w:sz w:val="22"/>
                <w:szCs w:val="22"/>
              </w:rPr>
              <w:t>个）：甲胺磷</w:t>
            </w:r>
          </w:p>
          <w:p>
            <w:pPr>
              <w:pStyle w:val="5"/>
              <w:spacing w:line="320" w:lineRule="exact"/>
              <w:rPr>
                <w:rFonts w:ascii="宋体"/>
                <w:color w:val="000000"/>
                <w:kern w:val="1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1"/>
                <w:sz w:val="22"/>
                <w:szCs w:val="22"/>
              </w:rPr>
              <w:t>限用农药（</w:t>
            </w:r>
            <w:r>
              <w:rPr>
                <w:rFonts w:ascii="宋体" w:hAnsi="宋体" w:cs="宋体"/>
                <w:color w:val="000000"/>
                <w:kern w:val="1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1"/>
                <w:sz w:val="22"/>
                <w:szCs w:val="22"/>
              </w:rPr>
              <w:t>个）：乙酰甲胺磷</w:t>
            </w:r>
          </w:p>
          <w:p>
            <w:pPr>
              <w:pStyle w:val="5"/>
              <w:spacing w:line="320" w:lineRule="exact"/>
              <w:rPr>
                <w:rFonts w:ascii="宋体"/>
                <w:color w:val="000000"/>
                <w:kern w:val="1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1"/>
                <w:sz w:val="22"/>
                <w:szCs w:val="22"/>
              </w:rPr>
              <w:t>常规农药（</w:t>
            </w:r>
            <w:r>
              <w:rPr>
                <w:rFonts w:ascii="宋体" w:hAnsi="宋体" w:cs="宋体"/>
                <w:color w:val="000000"/>
                <w:kern w:val="1"/>
                <w:sz w:val="22"/>
                <w:szCs w:val="22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1"/>
                <w:sz w:val="22"/>
                <w:szCs w:val="22"/>
              </w:rPr>
              <w:t>个）：联苯菊酯、氯氰菊酯、溴氰菊酯、氟氰戊菊酯、氯菊酯。</w:t>
            </w:r>
          </w:p>
          <w:p>
            <w:pPr>
              <w:pStyle w:val="5"/>
              <w:spacing w:line="320" w:lineRule="exact"/>
              <w:rPr>
                <w:rFonts w:ascii="宋体"/>
                <w:color w:val="000000"/>
                <w:kern w:val="1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1"/>
                <w:sz w:val="22"/>
                <w:szCs w:val="22"/>
              </w:rPr>
              <w:t>重金属（</w:t>
            </w:r>
            <w:r>
              <w:rPr>
                <w:rFonts w:ascii="宋体" w:hAnsi="宋体" w:cs="宋体"/>
                <w:color w:val="000000"/>
                <w:kern w:val="1"/>
                <w:sz w:val="22"/>
                <w:szCs w:val="22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1"/>
                <w:sz w:val="22"/>
                <w:szCs w:val="22"/>
              </w:rPr>
              <w:t>个）：铅、镉、砷、汞、铜。</w:t>
            </w:r>
          </w:p>
        </w:tc>
        <w:tc>
          <w:tcPr>
            <w:tcW w:w="2127" w:type="dxa"/>
            <w:vAlign w:val="center"/>
          </w:tcPr>
          <w:p>
            <w:pPr>
              <w:pStyle w:val="5"/>
              <w:spacing w:line="320" w:lineRule="exact"/>
              <w:ind w:left="105" w:leftChars="50" w:right="105" w:rightChars="50"/>
              <w:jc w:val="center"/>
              <w:rPr>
                <w:rFonts w:ascii="宋体"/>
                <w:color w:val="000000"/>
                <w:kern w:val="1"/>
                <w:sz w:val="22"/>
              </w:rPr>
            </w:pPr>
            <w:r>
              <w:rPr>
                <w:rFonts w:ascii="宋体" w:hAnsi="宋体" w:cs="宋体"/>
                <w:color w:val="000000"/>
                <w:kern w:val="1"/>
                <w:sz w:val="22"/>
                <w:szCs w:val="22"/>
              </w:rPr>
              <w:t>GB 23200.113-2018</w:t>
            </w:r>
          </w:p>
          <w:p>
            <w:pPr>
              <w:pStyle w:val="5"/>
              <w:spacing w:line="320" w:lineRule="exact"/>
              <w:ind w:left="105" w:leftChars="50" w:right="105" w:rightChars="50"/>
              <w:jc w:val="center"/>
              <w:rPr>
                <w:rFonts w:ascii="宋体"/>
                <w:color w:val="000000"/>
                <w:kern w:val="1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1"/>
                <w:sz w:val="22"/>
                <w:szCs w:val="22"/>
              </w:rPr>
              <w:t>药典通则</w:t>
            </w:r>
            <w:r>
              <w:rPr>
                <w:rFonts w:ascii="宋体" w:hAnsi="宋体" w:cs="宋体"/>
                <w:color w:val="000000"/>
                <w:kern w:val="1"/>
                <w:sz w:val="22"/>
                <w:szCs w:val="22"/>
              </w:rPr>
              <w:t>2321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hMDE4ODNkMDgwODRjNjA1ZjUyNzIyMDI3ZDg5NGEifQ=="/>
  </w:docVars>
  <w:rsids>
    <w:rsidRoot w:val="7B4931C7"/>
    <w:rsid w:val="7B49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p0"/>
    <w:basedOn w:val="1"/>
    <w:qFormat/>
    <w:uiPriority w:val="99"/>
    <w:pPr>
      <w:widowControl/>
    </w:pPr>
    <w:rPr>
      <w:rFonts w:ascii="Times New Roman" w:hAnsi="Times New Roman" w:eastAsia="宋体" w:cs="Times New Roman"/>
      <w:kern w:val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2023-01-05T02:28:00Z</dcterms:created>
  <dc:creator>mqf</dc:creator>
  <cp:lastModifiedBy>mqf</cp:lastModifiedBy>
  <dcterms:modified xsi:type="dcterms:W3CDTF">2023-01-05T02:28:44Z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2052-11.1.0.11807</vt:lpwstr>
  </property>
  <property fmtid="{D5CDD505-2E9C-101B-9397-08002B2CF9AE}" pid="3" name="ICV">
    <vt:lpwstr>1D785C34555C4B84BA673C6C95558188</vt:lpwstr>
  </property>
</Properties>
</file>