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加快项目开工建设“百日攻坚”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春季行动实施方案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599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</w:rPr>
        <w:t>以习近平新时代中国特色社会主义思想为指导，全面贯彻落实党的二十大精神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Hans"/>
        </w:rPr>
        <w:t>和习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近平总书记考察调研山西重要讲话重要指示精神，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</w:rPr>
        <w:t>认真贯彻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Hans"/>
        </w:rPr>
        <w:t>全县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</w:rPr>
        <w:t>经济工作会议精神，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加快推进项目开工建设，提升资金使用绩效和项目建设效益，确保完成全年目标任务，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Hans"/>
        </w:rPr>
        <w:t>结合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Hans"/>
        </w:rPr>
        <w:t>乡实际，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实施方案。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</w:rPr>
        <w:t>一 、目标任务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599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加快项目开工建设“百日攻坚”春季行动要坚持“早动手、严要求、强实效”理念，推动年度项目早建设、早受益。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争取在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资金项目匹配率、项目开工率、资金支出进度等重点指标保持全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Hans"/>
        </w:rPr>
        <w:t>县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领先位次。进一步组织完善年度项目库，确定年度实施的项目加快办理相关手续，集中力量开展项目大会战；3月底前，年度计划实施项目的立项、规划、土地、环评等前期手续全部办结，具备开工条件；4月底前，计划实施项目全部开工建设;5月底前，实施的项目都有实质性进展，至少完成工程量的40%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</w:rPr>
        <w:t>二、 具体任务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val="en-US" w:eastAsia="zh-Hans"/>
        </w:rPr>
        <w:t>做好项目对接。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要将优质储备项目及时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纳入县级项目储备库。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年度计划实施项目确定后，原则上不得调整。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Hans"/>
        </w:rPr>
        <w:t>积极配合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协调解决项目拆迁、供电、供水、通讯等方面的困难和问题，确保项目如期开工建设。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)加快资金支出。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各级衔接补助资金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后，15日内匹配到年度实施项目。按照项目实施进度，序时拨付项目资金，形成实际支出。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)严格绩效管控。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按照事前绩效评估、事中绩效监控和事后绩效评价的流程，从项目申报立项到竣工验收，全程动态监控绩效运行质量。落实好公告公示“两个一律”要求，加快预算执行，提高资金使用效益。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43" w:firstLineChars="200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三、推进举措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754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(一)及早落实衔接补助资金。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衔接资金到位要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及时下达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按要求全部落实到位。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强化协调调度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分析研判项目建设形势和投资运行态势，协调解决项目推进中的重大问题。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734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)实行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通报约谈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制度。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对资金使用管理和项目实施中工作推动不力的，约谈相关责任人，推动相关问题整改落实。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组织保障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)成立工作专班。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统筹推动项目开工建设。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成立由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乡人大主席任组长，各片长、乡村振兴办公室主任任副组长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的工作领导小组。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)强化组织领导。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加快项目开工建设“百日攻坚”春季行动，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主要负责同志为推进项目开工建设的第一责任人，协调推动项目前期手续办理、开工建设，资金序时支出等。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(三)严格考核评估。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加强对推动项目开工建设的量化考核，预算落实率、资金项目匹配率、项目开工率、资金支出率等作为重要量化指标，纳入年度考评内容。</w:t>
      </w:r>
    </w:p>
    <w:p>
      <w:pPr>
        <w:pStyle w:val="7"/>
        <w:rPr>
          <w:rFonts w:hint="eastAsia"/>
        </w:rPr>
      </w:pPr>
    </w:p>
    <w:p>
      <w:pPr>
        <w:pStyle w:val="7"/>
        <w:ind w:firstLine="643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联络人：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Hans"/>
        </w:rPr>
        <w:t>樊峰珍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15203580411</w:t>
      </w:r>
    </w:p>
    <w:p>
      <w:pPr>
        <w:pStyle w:val="2"/>
        <w:ind w:left="0" w:leftChars="0" w:firstLine="420" w:firstLineChars="200"/>
        <w:rPr>
          <w:rFonts w:hint="default"/>
          <w:lang w:val="en-US" w:eastAsia="zh-CN"/>
        </w:rPr>
      </w:pPr>
    </w:p>
    <w:p>
      <w:pPr>
        <w:pStyle w:val="7"/>
        <w:ind w:firstLine="643" w:firstLineChars="200"/>
        <w:rPr>
          <w:rFonts w:hint="default" w:eastAsia="仿宋_GB231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3FC1"/>
    <w:rsid w:val="29A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标题 Char Char"/>
    <w:basedOn w:val="1"/>
    <w:next w:val="3"/>
    <w:qFormat/>
    <w:uiPriority w:val="0"/>
    <w:pPr>
      <w:outlineLvl w:val="0"/>
    </w:pPr>
    <w:rPr>
      <w:rFonts w:ascii="楷体_GB2312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2023-12-24T04:05:00Z</dcterms:created>
  <dc:creator>Administrator</dc:creator>
  <cp:lastModifiedBy>Administrator</cp:lastModifiedBy>
  <dcterms:modified xsi:type="dcterms:W3CDTF">2023-12-24T04:07:48Z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5AD52B30A1A24E3B89C29CC8DA07B5B8</vt:lpwstr>
  </property>
</Properties>
</file>