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ind w:firstLine="440" w:firstLineChars="100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支出绩效自评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报告</w:t>
      </w:r>
    </w:p>
    <w:p>
      <w:pPr>
        <w:spacing w:before="240" w:line="9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240" w:line="900" w:lineRule="atLeast"/>
        <w:ind w:firstLine="980" w:firstLineChars="3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临县木瓜坪乡人民政府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6104" w:firstLineChars="19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   月   日</w:t>
      </w:r>
    </w:p>
    <w:p/>
    <w:p/>
    <w:p/>
    <w:p/>
    <w:p/>
    <w:p>
      <w:pPr>
        <w:pStyle w:val="5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5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5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录</w:t>
      </w:r>
    </w:p>
    <w:p>
      <w:pPr>
        <w:rPr>
          <w:rFonts w:hint="eastAsia"/>
          <w:sz w:val="32"/>
          <w:szCs w:val="32"/>
          <w:lang w:val="zh-CN"/>
        </w:rPr>
      </w:pPr>
    </w:p>
    <w:p>
      <w:pPr>
        <w:pStyle w:val="5"/>
        <w:tabs>
          <w:tab w:val="right" w:leader="dot" w:pos="8834"/>
        </w:tabs>
        <w:snapToGrid w:val="0"/>
        <w:spacing w:line="360" w:lineRule="auto"/>
        <w:jc w:val="center"/>
        <w:rPr>
          <w:rFonts w:hint="eastAsia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_Toc18403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总体情况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5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_Toc17356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二、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综合评价结果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5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资金到位情况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5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（二）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资金使用情况</w:t>
      </w:r>
      <w:r>
        <w:rPr>
          <w:rFonts w:hint="default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……………………………………………</w:t>
      </w:r>
    </w:p>
    <w:p>
      <w:pPr>
        <w:pStyle w:val="5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（三）绩效完成情况</w:t>
      </w:r>
      <w:r>
        <w:rPr>
          <w:rFonts w:hint="default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……………………………………………</w:t>
      </w:r>
    </w:p>
    <w:p>
      <w:pPr>
        <w:pStyle w:val="5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（四）项目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5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_Toc18496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三、存在的问题及改进建议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临县木瓜坪乡人民政府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2021年项目支出绩效自评汇总报告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为深入贯彻落实《中共临县县委办公室  临县人民政府办公室关于全面实施预算绩效管理的实施方案》（临办发〔2020〕44号）文件精神，提高财政资源配置效率和资金使用效益，根据《临县财政局关于印发&lt;临县县级项目支出绩效评价管理暂行办法&gt;的通知》（临财资〔2020〕357号）中“谁支出，谁自评”基本原则，临县木瓜坪乡人民政府对2021年项目支出进行绩效评价。现将绩效评价情况及评价结果报告如下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总体情况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年以来，在县委、县政府的正确领导下，临县木瓜坪乡人民政府紧紧围绕年度目标任务及工作安排，坚持以党建为统领，进一步落实党的路线、方针、政策，制定并组织实施我乡建设规划，充分发挥服务人民群众的职能作用，各项工作取得明显成效。2021年临县木瓜坪乡人民政府实行绩效目标管理的项目共有8个，均为特定目标类。我单位在编制预算时，以年内实际工作为依据，提升预算管理质量，强化预算编制，以绩效管理为目标，这8个项目都向财政部门进行了绩效目标申报；财政业务股室和绩效股进行了审核批准。根据临财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256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号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文件精神，对实行绩效目标管理的8个项目支出绩效目标完成情况进行了绩效自评。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治理庄则上村地质灾害建设项目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庄则上村位于木瓜坪乡政府西面，距离乡政府3公里。村庄总土地面积约 3297亩，耕地面积 1528 亩，人均耕地面积 1.54 亩。庄则上村户籍人口372户993人，建档立卡人口127户383人。庄则上村地质灾害安全隐患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治理，涉及该村9户住户。县地质灾害防治领导组下发临地灾组发[2019]4号文件“关于对木瓜坪乡庄子上村地质灾害隐患进行整治的紧急通知”，我乡聘请有资者单位进行设计。治理工程资金为345597元。治理完成后，能保护村庄的整体安全，保障9户住户的直接安全。此项目的资金于2021年均列入预算，并全部到位。项目于年内全部完成，项目的绩效目标和任务近乎达到要求，完成各项指标任务，绩效目标自评得分97.8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全年预算数为345597元，执行数为327665.09元，完成预算的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94.81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元倍花园社区新建卫生室项目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木瓜坪乡元倍花园社区属于移民社区，从2016年到2019年共纳移民涉及11个乡镇、34 个村，共有258户1135 人移民户入住。为了提升社区服务，按县政府安排，需在社区新建社区卫生室80平米，经造价资质公司测算，工程总造价为11.208157 万元。卫生室建成后可以方便社区居民看病就医。此项目的资金于2021年均列入预算，并全部到位。项目于年内全部完成，项目的绩效目标和任务近乎达到要求，完成各项指标任务，绩效目标自评得分96分，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全年预算数为112081.57元，执行数为112081.57元，完成预算的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补偿水毁房屋资金项目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近几年乡政府办公场所水道年久失修，加之设计不合理，雨水无法分流，洪水全部泄流到邻居高唤明家房基周围，连年雨水浸泡，以致造成邻居高唤明一房屋底层192.30平米(共二层)严重损坏。高唤明多次到乡政府上访要求赔偿其房屋全部损失，乡政府聘请吕梁智恒地产评估有限公司对其损失估价，其损失为 13.1981万元，经与高唤明家友好协商，乡政府已与其就水毁房屋补偿一事达成协议，此事的圆满解决，维护了稳定并保障了群众的合法利益。此项目的资金于2021年均列入预算，并全部到位。项目于年内全部完成，目的绩效目标和任务近乎达到要求，完成各项指标任务，绩效目标自评得分95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131981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元，执行数为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131981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元，完成预算的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解决机关餐厅办公室房扩建资金项目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乡机关办公用房始建于70年代，现共有办公用房、周转房、附属实施房共计1080平米。近年来随着社会经济的发展和机构设置增加，机关用房越来越紧张，许多需要单设的机构无法解决，特别是机关餐厅厨房(共63平方米，已鉴定为危房)已无法满足正常用餐使用。根据临发改投字[2018]28号文件精神，结合我乡在编在岗人员数计算，我乡办公用房、周转房、和附属实施应该共需2371平米，实际还缺1291平方米用房。鉴于实际情况，经乡党委会议研究，决定暂时扩建办公用房、餐厅等共计320平方米，以解机关办公运转燃眉之急。现餐厅、办公用房已完工验收并投入使用，总投资额为147.6374万元，另设计费用:6万元;监理费用:4.3万;勘察费:0.9万，合计总资金:158.837万元。现申请项目资金计划50万元。餐厅办公用房的扩建，解机关了办公运转燃眉之急，方便了干部职工就餐。此项目的资金于2021年均列入预算，并全部到位。项目于年内全部完成，此项目的绩效目标和任务近乎达到要求，完成各项指标任务，绩效目标自评得分96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元，执行数为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450000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元，完成预算的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widowControl w:val="0"/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解决生猪扑杀补助费用项目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2020年10月份我乡有三家养殖场养的猪先后出现不明原因的死亡，乡政府及时联系县畜牧中心联合进行了三次扑杀,前后扑杀掩埋生猪298 头，为了减轻养殖户的损失，现申请给养殖户按每头补助1100元，三家养殖场共需补助327800元，另三次扑杀掩埋动用机械、三轮、人工等费用为 21000 元，以上两项合计费用共计 34.88 万元。生猪扑杀有效防止了疫情的传播。此项目的资金于2021年均列入预算，并全部到位。项目于年内全部完成，项目的绩效目标和任务近乎达到要求，完成各项指标任务，绩效目标自评得分95分，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348800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元，执行数为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309700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元，完成预算的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88.8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widowControl w:val="0"/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left="0" w:leftChars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户容户貌整治结算审计资金项目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2020年木瓜坪乡户容户貌整治一共涉及484户，现已全部完工，整治费用以及产部发放到户，工程完工后我多聘请第三方进行工程量结算及审核，所需费用为每户300元，共计145200。现申请项目资金计划 10 万元。项目的资金于2021年均列入预算，并全部到位。此项目于年内全部完成，项目的绩效目标和任务近乎达到要求，完成各项指标任务，绩效目标自评得分97.5分，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元，执行数为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元，完成预算的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(七）解决2018 年右芮高速通道绿化工程资金项目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2018年我乡按县委、县政府的安排，开展了右芮高速水瓜坪段沿线提档升级绿化工程，经县林业局设计并聘请第三方验收，工程总裁植面积1334.5亩,工程费用380.0656万元，监理费用5.7万元，合计总金额为385.7656元。到目前县里已解决50.86万元，还有资金缺口334.9056万元，通道绿化提高了高速通道绿植覆盖率。此项目于年内全部完成，项目的绩效目标和任务近乎达到要求，完成各项指标任务，绩效目标自评得分94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3349056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元，执行数为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3346606.8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元，完成预算的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99.9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（八）关于申请外环路段山体滑塌灾害治理土地林木补偿资金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jc w:val="both"/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  <w:t>我乡外环路段马家庄大南梁山于2021年3月25日发生山体滑塌自然灾害，根据县领导批示精神和应急治理意见，我乡组织相关部门人员进行实地丈量、清点树木，治理范围内共涉及土地31.93 亩，林木 2061 株，因弃土需临时占地约 35 亩，经预算，初步需要资金 1107678.32 元。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此项目于年内全部完成，项目的绩效目标和任务近乎达到要求，完成各项指标任务，绩效目标自评得分95分，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1107678.32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元，执行数为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1107678.32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元，完成预算的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综合评价结果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根据临财绩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256号的文件精神，我部门对所属预算单位临县木瓜坪乡人民政府实行绩效目标管理的8个项目的自评结果进行汇总，8个项目资金在 2021 年全部列入当年预算，8个项目资金全部落实，项目资金使用支出合理。根据自评结果，8个项目已完成预期目标，达到了项目设立时的目标。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资金到位情况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8个项目的资金在2021年全部到位，列入当年预算。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个项目的资金都纳入预算管理，项目资金8个全部落实，项目资金使用规范，支出合理。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绩效完成情况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临县木瓜坪乡人民政府实行绩效目标管理的项目共有8个，这8个项目都向财政部门进行了绩效目标申报，财政业务股室和绩效股进行了审核批准。根据临财绩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256号文件精神，对实行绩效目标管理的8个项目支出绩效目标完成情况进行了绩效自评。根据自评结果8个项目已完成预期绩效，达到了项目设立时的预期目标。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根据自评结果，临县木瓜坪乡人民政府实行绩效管理的8个项目已完成预期绩效，项目得分整体较好。</w:t>
      </w:r>
    </w:p>
    <w:p>
      <w:pPr>
        <w:numPr>
          <w:ilvl w:val="0"/>
          <w:numId w:val="1"/>
        </w:numPr>
        <w:pBdr>
          <w:bottom w:val="single" w:color="FFFFFF" w:sz="4" w:space="31"/>
        </w:pBdr>
        <w:snapToGrid w:val="0"/>
        <w:spacing w:line="600" w:lineRule="exact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存在的问题及改进建议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单位以绩效管理为目标，健全绩效管理工作机制、明确绩效管理工作责任、努力提高绩效管理工作水平、提升预算管理质量，对发现问题及时进行改进。对照年初预算确定的项目绩效信息，重点审查资金是否符合规定支出范围；预算执行进度是否及时、合理；单位是否完成年初确定的预算绩效目标等，并对预算执行结果开展了监督审查。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（一）存在问题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临县财政局相关精神，我单位积极组织开展财政支出项目预算绩效评价，取得了一定的成效，但由于预算绩效管理工作具有政策性强、专业性强、涉及面广、操作难度大等特点，我单位仍存在资金落实不到位、认识理解不充分、业务水平不高、重点把握不到位、绩效评价能力欠缺、评价流于形式等不足。我单位将在今后的工作中加强学习，不断提高工作能力和业务水平，同时，认真总结经验，完善机制，促进本单位预算项目绩效评价工作能圆满完成并取得更大的提高。</w:t>
      </w:r>
    </w:p>
    <w:p>
      <w:pPr>
        <w:numPr>
          <w:ilvl w:val="0"/>
          <w:numId w:val="4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改进建议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由于预算项目绩效自评业务专业性、知识性、政策性强，操作难度大，业务要求高，我单位将加大对绩效管理知识的学习培训力度，适时开展培训，提高绩效评价人员对专项资金使用绩效评价工作重要性的认识，牢固树立绩效管理理念，同时进一步提高业务能力和水平，便于单位绩效自评工作的顺利开展。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1920" w:firstLineChars="6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1920" w:firstLineChars="6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临县木瓜坪乡人民政府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960" w:firstLineChars="3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2022年8月15日</w:t>
      </w:r>
    </w:p>
    <w:p>
      <w:pPr>
        <w:ind w:firstLine="600" w:firstLineChars="200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2BBB0"/>
    <w:multiLevelType w:val="singleLevel"/>
    <w:tmpl w:val="C6F2BB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804C90"/>
    <w:multiLevelType w:val="singleLevel"/>
    <w:tmpl w:val="E5804C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C7DE7D4"/>
    <w:multiLevelType w:val="singleLevel"/>
    <w:tmpl w:val="2C7DE7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B6D6066"/>
    <w:multiLevelType w:val="singleLevel"/>
    <w:tmpl w:val="3B6D60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OTc3MGU5YTM3ODY3ZTc3YTlkM2UyYTQzNDViMWUifQ=="/>
  </w:docVars>
  <w:rsids>
    <w:rsidRoot w:val="3E487C75"/>
    <w:rsid w:val="02434703"/>
    <w:rsid w:val="024C6BAE"/>
    <w:rsid w:val="035C29A5"/>
    <w:rsid w:val="049B524A"/>
    <w:rsid w:val="05CE6147"/>
    <w:rsid w:val="06122DE2"/>
    <w:rsid w:val="09235702"/>
    <w:rsid w:val="09F94995"/>
    <w:rsid w:val="0A0D74A0"/>
    <w:rsid w:val="0AB73645"/>
    <w:rsid w:val="0ABF069E"/>
    <w:rsid w:val="0B5331D2"/>
    <w:rsid w:val="0C694BB5"/>
    <w:rsid w:val="0CD43E9E"/>
    <w:rsid w:val="0CDF777C"/>
    <w:rsid w:val="0D5A38A1"/>
    <w:rsid w:val="0DA07099"/>
    <w:rsid w:val="0E222D02"/>
    <w:rsid w:val="0F4D5EA9"/>
    <w:rsid w:val="125735A8"/>
    <w:rsid w:val="13CB7DA9"/>
    <w:rsid w:val="14B76B30"/>
    <w:rsid w:val="14FC60B6"/>
    <w:rsid w:val="161B6FC9"/>
    <w:rsid w:val="16855D9E"/>
    <w:rsid w:val="16C53729"/>
    <w:rsid w:val="16EF3600"/>
    <w:rsid w:val="18594AE1"/>
    <w:rsid w:val="196C64A8"/>
    <w:rsid w:val="19B92550"/>
    <w:rsid w:val="1C0320AA"/>
    <w:rsid w:val="1DAB74FE"/>
    <w:rsid w:val="1E86766B"/>
    <w:rsid w:val="1FB75686"/>
    <w:rsid w:val="21CF2FF4"/>
    <w:rsid w:val="22FE4E11"/>
    <w:rsid w:val="231D535E"/>
    <w:rsid w:val="235D7A53"/>
    <w:rsid w:val="23640B83"/>
    <w:rsid w:val="24AC2CC3"/>
    <w:rsid w:val="26630DB6"/>
    <w:rsid w:val="275B7D5C"/>
    <w:rsid w:val="27CF73A5"/>
    <w:rsid w:val="28AF7842"/>
    <w:rsid w:val="294933EB"/>
    <w:rsid w:val="2A61290E"/>
    <w:rsid w:val="2D452523"/>
    <w:rsid w:val="2D7350C4"/>
    <w:rsid w:val="2E080D18"/>
    <w:rsid w:val="2E1845F0"/>
    <w:rsid w:val="2E6E5202"/>
    <w:rsid w:val="30C26E16"/>
    <w:rsid w:val="312A1D5D"/>
    <w:rsid w:val="327B69E7"/>
    <w:rsid w:val="32A113C6"/>
    <w:rsid w:val="34232E2C"/>
    <w:rsid w:val="34FE08F7"/>
    <w:rsid w:val="37215DAE"/>
    <w:rsid w:val="37A75B88"/>
    <w:rsid w:val="38BB18EB"/>
    <w:rsid w:val="392E6BD2"/>
    <w:rsid w:val="3AD45ECC"/>
    <w:rsid w:val="3AED1DB7"/>
    <w:rsid w:val="3E044704"/>
    <w:rsid w:val="3E487C75"/>
    <w:rsid w:val="3EA8231B"/>
    <w:rsid w:val="3EAD1CD6"/>
    <w:rsid w:val="3F9D43BE"/>
    <w:rsid w:val="3FAC01DF"/>
    <w:rsid w:val="43A97ECA"/>
    <w:rsid w:val="44471566"/>
    <w:rsid w:val="446522F1"/>
    <w:rsid w:val="449C3DC0"/>
    <w:rsid w:val="4536046F"/>
    <w:rsid w:val="461A5F3F"/>
    <w:rsid w:val="46390C0D"/>
    <w:rsid w:val="465D30E6"/>
    <w:rsid w:val="4673734A"/>
    <w:rsid w:val="47611245"/>
    <w:rsid w:val="483D7FB3"/>
    <w:rsid w:val="484E0268"/>
    <w:rsid w:val="499D6666"/>
    <w:rsid w:val="4A0716C9"/>
    <w:rsid w:val="4AB15C33"/>
    <w:rsid w:val="4BC01227"/>
    <w:rsid w:val="4C530CE0"/>
    <w:rsid w:val="4C89075A"/>
    <w:rsid w:val="4D0E3425"/>
    <w:rsid w:val="4DB90697"/>
    <w:rsid w:val="4DFF04B8"/>
    <w:rsid w:val="4EA458C0"/>
    <w:rsid w:val="4FB858B8"/>
    <w:rsid w:val="4FDB4BFE"/>
    <w:rsid w:val="51730B5D"/>
    <w:rsid w:val="518014CC"/>
    <w:rsid w:val="52854FEC"/>
    <w:rsid w:val="528F3F29"/>
    <w:rsid w:val="52B8774F"/>
    <w:rsid w:val="52E12930"/>
    <w:rsid w:val="539D660E"/>
    <w:rsid w:val="54352A41"/>
    <w:rsid w:val="546724CF"/>
    <w:rsid w:val="54AB6BDD"/>
    <w:rsid w:val="54CB697E"/>
    <w:rsid w:val="54D9517B"/>
    <w:rsid w:val="550E27CE"/>
    <w:rsid w:val="55562C6F"/>
    <w:rsid w:val="56631C89"/>
    <w:rsid w:val="57340A7F"/>
    <w:rsid w:val="57FB365A"/>
    <w:rsid w:val="581035A9"/>
    <w:rsid w:val="5960312A"/>
    <w:rsid w:val="5A2B70EC"/>
    <w:rsid w:val="5A8F3D4B"/>
    <w:rsid w:val="5B20170B"/>
    <w:rsid w:val="5C8D5D8F"/>
    <w:rsid w:val="5CB14C2F"/>
    <w:rsid w:val="5E084D23"/>
    <w:rsid w:val="5F7F7EF8"/>
    <w:rsid w:val="5FE419C7"/>
    <w:rsid w:val="603462D4"/>
    <w:rsid w:val="61347630"/>
    <w:rsid w:val="61540A65"/>
    <w:rsid w:val="622639C9"/>
    <w:rsid w:val="624A3B5C"/>
    <w:rsid w:val="63184BB1"/>
    <w:rsid w:val="639B25F1"/>
    <w:rsid w:val="65053DAC"/>
    <w:rsid w:val="659A7625"/>
    <w:rsid w:val="66576557"/>
    <w:rsid w:val="66E63727"/>
    <w:rsid w:val="66FB7777"/>
    <w:rsid w:val="6A745C1A"/>
    <w:rsid w:val="6C52291A"/>
    <w:rsid w:val="70266BBA"/>
    <w:rsid w:val="70C7450C"/>
    <w:rsid w:val="71433D5C"/>
    <w:rsid w:val="71B3355D"/>
    <w:rsid w:val="71D225A0"/>
    <w:rsid w:val="732906E7"/>
    <w:rsid w:val="741E2F68"/>
    <w:rsid w:val="74D52056"/>
    <w:rsid w:val="75D315D7"/>
    <w:rsid w:val="761A1582"/>
    <w:rsid w:val="762C4F17"/>
    <w:rsid w:val="78167322"/>
    <w:rsid w:val="7AEB77CE"/>
    <w:rsid w:val="7AEE59DD"/>
    <w:rsid w:val="7AF26564"/>
    <w:rsid w:val="7B24485B"/>
    <w:rsid w:val="7D1A7E8D"/>
    <w:rsid w:val="7D604F73"/>
    <w:rsid w:val="7DDD1EA2"/>
    <w:rsid w:val="7F600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240" w:lineRule="auto"/>
      <w:ind w:firstLine="200" w:firstLineChars="200"/>
      <w:jc w:val="both"/>
    </w:p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  <w:pPr>
      <w:spacing w:before="120" w:line="360" w:lineRule="auto"/>
    </w:pPr>
    <w:rPr>
      <w:sz w:val="2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3691</Words>
  <Characters>4124</Characters>
  <Lines>0</Lines>
  <Paragraphs>0</Paragraphs>
  <TotalTime>2</TotalTime>
  <ScaleCrop>false</ScaleCrop>
  <LinksUpToDate>false</LinksUpToDate>
  <CharactersWithSpaces>4172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2019-12-05T01:47:00Z</dcterms:created>
  <dc:creator>anhaizhong</dc:creator>
  <cp:lastModifiedBy></cp:lastModifiedBy>
  <cp:lastPrinted>2022-11-17T07:09:00Z</cp:lastPrinted>
  <dcterms:modified xsi:type="dcterms:W3CDTF">2023-03-03T06:54:31Z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E253B424C8A048C69E139D12B8D3CBEF</vt:lpwstr>
  </property>
</Properties>
</file>