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仿宋" w:eastAsia="方正小标宋_GBK"/>
          <w:sz w:val="44"/>
          <w:szCs w:val="44"/>
        </w:rPr>
      </w:pPr>
      <w:r>
        <w:rPr>
          <w:rFonts w:hint="eastAsia" w:ascii="方正小标宋_GBK" w:hAnsi="仿宋" w:eastAsia="方正小标宋_GBK"/>
          <w:sz w:val="44"/>
          <w:szCs w:val="44"/>
        </w:rPr>
        <w:t>临县民政局</w:t>
      </w:r>
    </w:p>
    <w:p>
      <w:pPr>
        <w:spacing w:line="560" w:lineRule="exact"/>
        <w:jc w:val="center"/>
        <w:rPr>
          <w:rFonts w:ascii="方正小标宋_GBK" w:hAnsi="仿宋" w:eastAsia="方正小标宋_GBK"/>
          <w:sz w:val="44"/>
          <w:szCs w:val="44"/>
        </w:rPr>
      </w:pPr>
      <w:r>
        <w:rPr>
          <w:rFonts w:hint="eastAsia" w:ascii="方正小标宋_GBK" w:hAnsi="仿宋" w:eastAsia="方正小标宋_GBK"/>
          <w:sz w:val="44"/>
          <w:szCs w:val="44"/>
        </w:rPr>
        <w:t>通过法定途径处理的信访投诉请求清单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一、申诉求决类投诉请求</w:t>
      </w:r>
    </w:p>
    <w:p>
      <w:pPr>
        <w:pStyle w:val="9"/>
        <w:spacing w:line="560" w:lineRule="exact"/>
        <w:ind w:firstLine="640"/>
        <w:rPr>
          <w:rFonts w:ascii="仿宋" w:hAnsi="仿宋" w:eastAsia="仿宋"/>
          <w:sz w:val="32"/>
          <w:szCs w:val="32"/>
        </w:rPr>
      </w:pPr>
      <w:r>
        <w:rPr>
          <w:rFonts w:hint="eastAsia" w:ascii="仿宋" w:hAnsi="仿宋" w:eastAsia="仿宋"/>
          <w:sz w:val="32"/>
          <w:szCs w:val="32"/>
        </w:rPr>
        <w:t>申诉求决，是指公民、法人或其他组织依据法律法规或组织章程规定，向国家机关、政党、社会团体、企事业单位申诉，要求重新做出处理或解决矛盾纠纷。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（一）不服民政局作出的行政许可行为</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1、具体投诉请求：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不服民政局作出的以下行政许可行为（见下表）：</w:t>
      </w:r>
    </w:p>
    <w:tbl>
      <w:tblPr>
        <w:tblStyle w:val="5"/>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6"/>
        <w:gridCol w:w="5553"/>
        <w:gridCol w:w="20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20" w:type="pct"/>
            <w:vAlign w:val="center"/>
          </w:tcPr>
          <w:p>
            <w:pPr>
              <w:spacing w:line="560" w:lineRule="exact"/>
              <w:jc w:val="center"/>
              <w:rPr>
                <w:rFonts w:ascii="仿宋" w:hAnsi="仿宋" w:eastAsia="仿宋"/>
                <w:sz w:val="32"/>
                <w:szCs w:val="32"/>
              </w:rPr>
            </w:pPr>
            <w:r>
              <w:rPr>
                <w:rFonts w:hint="eastAsia" w:ascii="仿宋" w:hAnsi="仿宋" w:eastAsia="仿宋"/>
                <w:sz w:val="32"/>
                <w:szCs w:val="32"/>
              </w:rPr>
              <w:t>序号</w:t>
            </w:r>
          </w:p>
        </w:tc>
        <w:tc>
          <w:tcPr>
            <w:tcW w:w="3258" w:type="pct"/>
            <w:vAlign w:val="center"/>
          </w:tcPr>
          <w:p>
            <w:pPr>
              <w:spacing w:line="560" w:lineRule="exact"/>
              <w:jc w:val="center"/>
              <w:rPr>
                <w:rFonts w:ascii="仿宋" w:hAnsi="仿宋" w:eastAsia="仿宋"/>
                <w:sz w:val="32"/>
                <w:szCs w:val="32"/>
              </w:rPr>
            </w:pPr>
            <w:r>
              <w:rPr>
                <w:rFonts w:hint="eastAsia" w:ascii="仿宋" w:hAnsi="仿宋" w:eastAsia="仿宋"/>
                <w:sz w:val="32"/>
                <w:szCs w:val="32"/>
              </w:rPr>
              <w:t>行政许可行为总结</w:t>
            </w:r>
          </w:p>
        </w:tc>
        <w:tc>
          <w:tcPr>
            <w:tcW w:w="1222" w:type="pct"/>
            <w:vAlign w:val="center"/>
          </w:tcPr>
          <w:p>
            <w:pPr>
              <w:spacing w:line="560" w:lineRule="exact"/>
              <w:jc w:val="center"/>
              <w:rPr>
                <w:rFonts w:ascii="仿宋" w:hAnsi="仿宋" w:eastAsia="仿宋"/>
                <w:sz w:val="32"/>
                <w:szCs w:val="32"/>
              </w:rPr>
            </w:pPr>
            <w:r>
              <w:rPr>
                <w:rFonts w:hint="eastAsia" w:ascii="仿宋" w:hAnsi="仿宋" w:eastAsia="仿宋"/>
                <w:sz w:val="32"/>
                <w:szCs w:val="32"/>
              </w:rPr>
              <w:t>业务类别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20" w:type="pct"/>
            <w:vAlign w:val="center"/>
          </w:tcPr>
          <w:p>
            <w:pPr>
              <w:spacing w:line="560" w:lineRule="exact"/>
              <w:jc w:val="center"/>
              <w:rPr>
                <w:rFonts w:ascii="仿宋" w:hAnsi="仿宋" w:eastAsia="仿宋"/>
                <w:sz w:val="32"/>
                <w:szCs w:val="32"/>
              </w:rPr>
            </w:pPr>
            <w:r>
              <w:rPr>
                <w:rFonts w:hint="eastAsia" w:ascii="仿宋" w:hAnsi="仿宋" w:eastAsia="仿宋"/>
                <w:sz w:val="32"/>
                <w:szCs w:val="32"/>
              </w:rPr>
              <w:t>1</w:t>
            </w:r>
          </w:p>
        </w:tc>
        <w:tc>
          <w:tcPr>
            <w:tcW w:w="3258" w:type="pct"/>
            <w:vAlign w:val="center"/>
          </w:tcPr>
          <w:p>
            <w:pPr>
              <w:spacing w:line="560" w:lineRule="exact"/>
              <w:jc w:val="center"/>
              <w:rPr>
                <w:rFonts w:ascii="仿宋" w:hAnsi="仿宋" w:eastAsia="仿宋"/>
                <w:sz w:val="32"/>
                <w:szCs w:val="32"/>
              </w:rPr>
            </w:pPr>
            <w:r>
              <w:rPr>
                <w:rFonts w:hint="eastAsia" w:ascii="仿宋" w:hAnsi="仿宋" w:eastAsia="仿宋"/>
                <w:sz w:val="32"/>
                <w:szCs w:val="32"/>
              </w:rPr>
              <w:t>社会团体、基金会、民办非企业单位成立登记</w:t>
            </w:r>
          </w:p>
        </w:tc>
        <w:tc>
          <w:tcPr>
            <w:tcW w:w="1222" w:type="pct"/>
            <w:vMerge w:val="restart"/>
            <w:vAlign w:val="center"/>
          </w:tcPr>
          <w:p>
            <w:pPr>
              <w:spacing w:line="560" w:lineRule="exact"/>
              <w:jc w:val="center"/>
              <w:rPr>
                <w:rFonts w:ascii="仿宋" w:hAnsi="仿宋" w:eastAsia="仿宋"/>
                <w:sz w:val="32"/>
                <w:szCs w:val="32"/>
              </w:rPr>
            </w:pPr>
            <w:r>
              <w:rPr>
                <w:rFonts w:hint="eastAsia" w:ascii="仿宋" w:hAnsi="仿宋" w:eastAsia="仿宋"/>
                <w:sz w:val="32"/>
                <w:szCs w:val="32"/>
              </w:rPr>
              <w:t>民间组织管理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20" w:type="pct"/>
            <w:vAlign w:val="center"/>
          </w:tcPr>
          <w:p>
            <w:pPr>
              <w:spacing w:line="560" w:lineRule="exact"/>
              <w:jc w:val="center"/>
              <w:rPr>
                <w:rFonts w:ascii="仿宋" w:hAnsi="仿宋" w:eastAsia="仿宋"/>
                <w:sz w:val="32"/>
                <w:szCs w:val="32"/>
              </w:rPr>
            </w:pPr>
            <w:r>
              <w:rPr>
                <w:rFonts w:hint="eastAsia" w:ascii="仿宋" w:hAnsi="仿宋" w:eastAsia="仿宋"/>
                <w:sz w:val="32"/>
                <w:szCs w:val="32"/>
              </w:rPr>
              <w:t>2</w:t>
            </w:r>
          </w:p>
        </w:tc>
        <w:tc>
          <w:tcPr>
            <w:tcW w:w="3258" w:type="pct"/>
            <w:vAlign w:val="center"/>
          </w:tcPr>
          <w:p>
            <w:pPr>
              <w:spacing w:line="560" w:lineRule="exact"/>
              <w:jc w:val="center"/>
              <w:rPr>
                <w:rFonts w:ascii="仿宋" w:hAnsi="仿宋" w:eastAsia="仿宋"/>
                <w:sz w:val="32"/>
                <w:szCs w:val="32"/>
              </w:rPr>
            </w:pPr>
            <w:r>
              <w:rPr>
                <w:rFonts w:hint="eastAsia" w:ascii="仿宋" w:hAnsi="仿宋" w:eastAsia="仿宋"/>
                <w:sz w:val="32"/>
                <w:szCs w:val="32"/>
              </w:rPr>
              <w:t>社会团体、基金会、民办非企业单位变更登记</w:t>
            </w:r>
          </w:p>
        </w:tc>
        <w:tc>
          <w:tcPr>
            <w:tcW w:w="1222" w:type="pct"/>
            <w:vMerge w:val="continue"/>
            <w:vAlign w:val="center"/>
          </w:tcPr>
          <w:p>
            <w:pPr>
              <w:spacing w:line="560" w:lineRule="exact"/>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20" w:type="pct"/>
            <w:vAlign w:val="center"/>
          </w:tcPr>
          <w:p>
            <w:pPr>
              <w:spacing w:line="560" w:lineRule="exact"/>
              <w:jc w:val="center"/>
              <w:rPr>
                <w:rFonts w:ascii="仿宋" w:hAnsi="仿宋" w:eastAsia="仿宋"/>
                <w:sz w:val="32"/>
                <w:szCs w:val="32"/>
              </w:rPr>
            </w:pPr>
            <w:r>
              <w:rPr>
                <w:rFonts w:hint="eastAsia" w:ascii="仿宋" w:hAnsi="仿宋" w:eastAsia="仿宋"/>
                <w:sz w:val="32"/>
                <w:szCs w:val="32"/>
              </w:rPr>
              <w:t>3</w:t>
            </w:r>
          </w:p>
        </w:tc>
        <w:tc>
          <w:tcPr>
            <w:tcW w:w="3258" w:type="pct"/>
            <w:vAlign w:val="center"/>
          </w:tcPr>
          <w:p>
            <w:pPr>
              <w:spacing w:line="560" w:lineRule="exact"/>
              <w:jc w:val="center"/>
              <w:rPr>
                <w:rFonts w:ascii="仿宋" w:hAnsi="仿宋" w:eastAsia="仿宋"/>
                <w:sz w:val="32"/>
                <w:szCs w:val="32"/>
              </w:rPr>
            </w:pPr>
            <w:r>
              <w:rPr>
                <w:rFonts w:hint="eastAsia" w:ascii="仿宋" w:hAnsi="仿宋" w:eastAsia="仿宋"/>
                <w:sz w:val="32"/>
                <w:szCs w:val="32"/>
              </w:rPr>
              <w:t>社会团体、基金会、民办非企业单位注销登记</w:t>
            </w:r>
          </w:p>
        </w:tc>
        <w:tc>
          <w:tcPr>
            <w:tcW w:w="1222" w:type="pct"/>
            <w:vMerge w:val="continue"/>
            <w:vAlign w:val="center"/>
          </w:tcPr>
          <w:p>
            <w:pPr>
              <w:spacing w:line="560" w:lineRule="exact"/>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20" w:type="pct"/>
            <w:vAlign w:val="center"/>
          </w:tcPr>
          <w:p>
            <w:pPr>
              <w:spacing w:line="560" w:lineRule="exact"/>
              <w:jc w:val="center"/>
              <w:rPr>
                <w:rFonts w:ascii="仿宋" w:hAnsi="仿宋" w:eastAsia="仿宋"/>
                <w:sz w:val="32"/>
                <w:szCs w:val="32"/>
              </w:rPr>
            </w:pPr>
            <w:r>
              <w:rPr>
                <w:rFonts w:hint="eastAsia" w:ascii="仿宋" w:hAnsi="仿宋" w:eastAsia="仿宋"/>
                <w:sz w:val="32"/>
                <w:szCs w:val="32"/>
              </w:rPr>
              <w:t>4</w:t>
            </w:r>
          </w:p>
        </w:tc>
        <w:tc>
          <w:tcPr>
            <w:tcW w:w="3258" w:type="pct"/>
            <w:vAlign w:val="center"/>
          </w:tcPr>
          <w:p>
            <w:pPr>
              <w:spacing w:line="560" w:lineRule="exact"/>
              <w:jc w:val="center"/>
              <w:rPr>
                <w:rFonts w:ascii="仿宋" w:hAnsi="仿宋" w:eastAsia="仿宋"/>
                <w:sz w:val="32"/>
                <w:szCs w:val="32"/>
              </w:rPr>
            </w:pPr>
            <w:r>
              <w:rPr>
                <w:rFonts w:hint="eastAsia" w:ascii="仿宋" w:hAnsi="仿宋" w:eastAsia="仿宋"/>
                <w:sz w:val="32"/>
                <w:szCs w:val="32"/>
              </w:rPr>
              <w:t>养老机构设立、变更、注销许可</w:t>
            </w:r>
          </w:p>
        </w:tc>
        <w:tc>
          <w:tcPr>
            <w:tcW w:w="1222" w:type="pct"/>
            <w:vMerge w:val="continue"/>
            <w:vAlign w:val="center"/>
          </w:tcPr>
          <w:p>
            <w:pPr>
              <w:spacing w:line="560" w:lineRule="exact"/>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20" w:type="pct"/>
            <w:vAlign w:val="center"/>
          </w:tcPr>
          <w:p>
            <w:pPr>
              <w:spacing w:line="560" w:lineRule="exact"/>
              <w:jc w:val="center"/>
              <w:rPr>
                <w:rFonts w:ascii="仿宋" w:hAnsi="仿宋" w:eastAsia="仿宋"/>
                <w:sz w:val="32"/>
                <w:szCs w:val="32"/>
              </w:rPr>
            </w:pPr>
            <w:r>
              <w:rPr>
                <w:rFonts w:hint="eastAsia" w:ascii="仿宋" w:hAnsi="仿宋" w:eastAsia="仿宋"/>
                <w:sz w:val="32"/>
                <w:szCs w:val="32"/>
              </w:rPr>
              <w:t>5</w:t>
            </w:r>
          </w:p>
        </w:tc>
        <w:tc>
          <w:tcPr>
            <w:tcW w:w="3258" w:type="pct"/>
            <w:vAlign w:val="center"/>
          </w:tcPr>
          <w:p>
            <w:pPr>
              <w:spacing w:line="560" w:lineRule="exact"/>
              <w:jc w:val="center"/>
              <w:rPr>
                <w:rFonts w:ascii="仿宋" w:hAnsi="仿宋" w:eastAsia="仿宋"/>
                <w:sz w:val="32"/>
                <w:szCs w:val="32"/>
              </w:rPr>
            </w:pPr>
            <w:r>
              <w:rPr>
                <w:rFonts w:hint="eastAsia" w:ascii="仿宋" w:hAnsi="仿宋" w:eastAsia="仿宋"/>
                <w:sz w:val="32"/>
                <w:szCs w:val="32"/>
              </w:rPr>
              <w:t>社会福利机构审批</w:t>
            </w:r>
          </w:p>
        </w:tc>
        <w:tc>
          <w:tcPr>
            <w:tcW w:w="1222" w:type="pct"/>
            <w:vAlign w:val="center"/>
          </w:tcPr>
          <w:p>
            <w:pPr>
              <w:spacing w:line="560" w:lineRule="exact"/>
              <w:jc w:val="center"/>
              <w:rPr>
                <w:rFonts w:ascii="仿宋" w:hAnsi="仿宋" w:eastAsia="仿宋"/>
                <w:sz w:val="32"/>
                <w:szCs w:val="32"/>
              </w:rPr>
            </w:pPr>
            <w:r>
              <w:rPr>
                <w:rFonts w:hint="eastAsia" w:ascii="仿宋" w:hAnsi="仿宋" w:eastAsia="仿宋"/>
                <w:sz w:val="32"/>
                <w:szCs w:val="32"/>
              </w:rPr>
              <w:t>社会福利和慈善事业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20" w:type="pct"/>
            <w:vAlign w:val="center"/>
          </w:tcPr>
          <w:p>
            <w:pPr>
              <w:spacing w:line="560" w:lineRule="exact"/>
              <w:jc w:val="center"/>
              <w:rPr>
                <w:rFonts w:ascii="仿宋" w:hAnsi="仿宋" w:eastAsia="仿宋"/>
                <w:sz w:val="32"/>
                <w:szCs w:val="32"/>
              </w:rPr>
            </w:pPr>
            <w:r>
              <w:rPr>
                <w:rFonts w:hint="eastAsia" w:ascii="仿宋" w:hAnsi="仿宋" w:eastAsia="仿宋"/>
                <w:sz w:val="32"/>
                <w:szCs w:val="32"/>
              </w:rPr>
              <w:t>6</w:t>
            </w:r>
          </w:p>
        </w:tc>
        <w:tc>
          <w:tcPr>
            <w:tcW w:w="3258" w:type="pct"/>
            <w:vAlign w:val="center"/>
          </w:tcPr>
          <w:p>
            <w:pPr>
              <w:spacing w:line="560" w:lineRule="exact"/>
              <w:jc w:val="center"/>
              <w:rPr>
                <w:rFonts w:ascii="仿宋" w:hAnsi="仿宋" w:eastAsia="仿宋"/>
                <w:sz w:val="32"/>
                <w:szCs w:val="32"/>
              </w:rPr>
            </w:pPr>
            <w:r>
              <w:rPr>
                <w:rFonts w:hint="eastAsia" w:ascii="仿宋" w:hAnsi="仿宋" w:eastAsia="仿宋"/>
                <w:sz w:val="32"/>
                <w:szCs w:val="32"/>
              </w:rPr>
              <w:t>建设殡仪服务、骨灰堂、公墓审批</w:t>
            </w:r>
          </w:p>
        </w:tc>
        <w:tc>
          <w:tcPr>
            <w:tcW w:w="1222" w:type="pct"/>
            <w:vAlign w:val="center"/>
          </w:tcPr>
          <w:p>
            <w:pPr>
              <w:spacing w:line="560" w:lineRule="exact"/>
              <w:jc w:val="center"/>
              <w:rPr>
                <w:rFonts w:ascii="仿宋" w:hAnsi="仿宋" w:eastAsia="仿宋"/>
                <w:sz w:val="32"/>
                <w:szCs w:val="32"/>
              </w:rPr>
            </w:pPr>
            <w:r>
              <w:rPr>
                <w:rFonts w:hint="eastAsia" w:ascii="仿宋" w:hAnsi="仿宋" w:eastAsia="仿宋"/>
                <w:sz w:val="32"/>
                <w:szCs w:val="32"/>
              </w:rPr>
              <w:t>社会事务</w:t>
            </w:r>
          </w:p>
        </w:tc>
      </w:tr>
    </w:tbl>
    <w:p>
      <w:pPr>
        <w:spacing w:line="560" w:lineRule="exact"/>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楷体" w:hAnsi="楷体" w:eastAsia="楷体"/>
          <w:sz w:val="32"/>
          <w:szCs w:val="32"/>
        </w:rPr>
        <w:t>2、法定途径：</w:t>
      </w:r>
      <w:r>
        <w:rPr>
          <w:rFonts w:hint="eastAsia" w:ascii="仿宋" w:hAnsi="仿宋" w:eastAsia="仿宋"/>
          <w:sz w:val="32"/>
          <w:szCs w:val="32"/>
        </w:rPr>
        <w:t>申请行政复议、提起行政诉讼。</w:t>
      </w:r>
    </w:p>
    <w:p>
      <w:pPr>
        <w:spacing w:line="560" w:lineRule="exact"/>
        <w:ind w:firstLine="640" w:firstLineChars="200"/>
        <w:rPr>
          <w:rFonts w:ascii="仿宋" w:hAnsi="仿宋" w:eastAsia="仿宋"/>
          <w:sz w:val="32"/>
          <w:szCs w:val="32"/>
        </w:rPr>
      </w:pPr>
      <w:r>
        <w:rPr>
          <w:rFonts w:hint="eastAsia" w:ascii="楷体" w:hAnsi="楷体" w:eastAsia="楷体"/>
          <w:sz w:val="32"/>
          <w:szCs w:val="32"/>
        </w:rPr>
        <w:t>3、主要政策法规依据：</w:t>
      </w:r>
      <w:r>
        <w:rPr>
          <w:rFonts w:hint="eastAsia" w:ascii="仿宋" w:hAnsi="仿宋" w:eastAsia="仿宋"/>
          <w:sz w:val="32"/>
          <w:szCs w:val="32"/>
        </w:rPr>
        <w:t>《中华人民共和国行政复议法》、《中华人民共和国行政诉讼法》、《中华人民共和国行政许可法》、《社会团体登记管理条例》、《民办非企业单位登记管理暂行条例》、《基金会管理条例》、《中华人民共和国老年人权益保障法》、《养老机构设立许可办法》、《社会福利机构管理暂行办法》、《殡葬管理条例》等。</w:t>
      </w:r>
    </w:p>
    <w:p>
      <w:pPr>
        <w:spacing w:line="560" w:lineRule="exact"/>
        <w:ind w:left="420"/>
        <w:rPr>
          <w:rFonts w:ascii="仿宋" w:hAnsi="仿宋" w:eastAsia="仿宋"/>
          <w:sz w:val="32"/>
          <w:szCs w:val="32"/>
        </w:rPr>
      </w:pPr>
      <w:r>
        <w:rPr>
          <w:rFonts w:hint="eastAsia" w:ascii="仿宋" w:hAnsi="仿宋" w:eastAsia="仿宋"/>
          <w:sz w:val="32"/>
          <w:szCs w:val="32"/>
        </w:rPr>
        <w:t>（二）不服民政局作出的行政给付行为</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1、具体投诉请求：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不服民政局作出的以下行政给付行为（见下表）：</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5953"/>
        <w:gridCol w:w="16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序号</w:t>
            </w:r>
          </w:p>
        </w:tc>
        <w:tc>
          <w:tcPr>
            <w:tcW w:w="595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行政给付行为内容</w:t>
            </w:r>
          </w:p>
        </w:tc>
        <w:tc>
          <w:tcPr>
            <w:tcW w:w="16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业务类别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560" w:lineRule="exact"/>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1</w:t>
            </w:r>
          </w:p>
        </w:tc>
        <w:tc>
          <w:tcPr>
            <w:tcW w:w="595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最低生活保障、农村五保供养、临时救助等对象认定、救助给付及终止</w:t>
            </w:r>
          </w:p>
        </w:tc>
        <w:tc>
          <w:tcPr>
            <w:tcW w:w="16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社会救助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560" w:lineRule="exact"/>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2</w:t>
            </w:r>
          </w:p>
        </w:tc>
        <w:tc>
          <w:tcPr>
            <w:tcW w:w="595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孤儿基本生活费发放</w:t>
            </w:r>
          </w:p>
        </w:tc>
        <w:tc>
          <w:tcPr>
            <w:tcW w:w="16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社会福利和慈善事业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560" w:lineRule="exact"/>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3</w:t>
            </w:r>
          </w:p>
        </w:tc>
        <w:tc>
          <w:tcPr>
            <w:tcW w:w="5953"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为生活无着的流浪乞讨人员提供生活救助、返乡救助等救助保护</w:t>
            </w:r>
          </w:p>
        </w:tc>
        <w:tc>
          <w:tcPr>
            <w:tcW w:w="161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社会事务</w:t>
            </w:r>
          </w:p>
        </w:tc>
      </w:tr>
    </w:tbl>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楷体" w:hAnsi="楷体" w:eastAsia="楷体"/>
          <w:sz w:val="32"/>
          <w:szCs w:val="32"/>
        </w:rPr>
        <w:t>2、法定途径：</w:t>
      </w:r>
      <w:r>
        <w:rPr>
          <w:rFonts w:hint="eastAsia" w:ascii="仿宋" w:hAnsi="仿宋" w:eastAsia="仿宋"/>
          <w:sz w:val="32"/>
          <w:szCs w:val="32"/>
        </w:rPr>
        <w:t>申请行政复议、提起行政诉讼。</w:t>
      </w:r>
    </w:p>
    <w:p>
      <w:pPr>
        <w:spacing w:line="560" w:lineRule="exact"/>
        <w:ind w:firstLine="640" w:firstLineChars="200"/>
        <w:rPr>
          <w:rFonts w:ascii="仿宋" w:hAnsi="仿宋" w:eastAsia="仿宋"/>
          <w:sz w:val="32"/>
          <w:szCs w:val="32"/>
        </w:rPr>
      </w:pPr>
      <w:r>
        <w:rPr>
          <w:rFonts w:hint="eastAsia" w:ascii="楷体" w:hAnsi="楷体" w:eastAsia="楷体"/>
          <w:sz w:val="32"/>
          <w:szCs w:val="32"/>
        </w:rPr>
        <w:t>3、主要政策法规依据：</w:t>
      </w:r>
      <w:r>
        <w:rPr>
          <w:rFonts w:hint="eastAsia" w:ascii="仿宋" w:hAnsi="仿宋" w:eastAsia="仿宋"/>
          <w:sz w:val="32"/>
          <w:szCs w:val="32"/>
        </w:rPr>
        <w:t>《中华人民共和国行政复议法》、《中华人民共和国行政诉讼法》、《自然灾害救助条例》、《中华人民共和国公益事业捐赠法》、《救灾捐赠管理办法》、《社会救助暂行办法》、《国务院办公厅关于加强孤儿保障工作的意见》（国办发〔2010〕54号）、《城市生活无着的流浪乞讨人员救助管理办法》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（三）不服民政局作出的行政确认行为</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1、具体投诉请求：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不服民政局作出的以下行政确认行为（见下表）：</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42"/>
        <w:gridCol w:w="4439"/>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序号</w:t>
            </w:r>
          </w:p>
        </w:tc>
        <w:tc>
          <w:tcPr>
            <w:tcW w:w="4439"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行政确认行为内容</w:t>
            </w:r>
          </w:p>
        </w:tc>
        <w:tc>
          <w:tcPr>
            <w:tcW w:w="2841"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业务类别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1</w:t>
            </w:r>
          </w:p>
        </w:tc>
        <w:tc>
          <w:tcPr>
            <w:tcW w:w="4439"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公益性捐赠税前扣除资格确认（联合确认）</w:t>
            </w:r>
          </w:p>
        </w:tc>
        <w:tc>
          <w:tcPr>
            <w:tcW w:w="2841"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民间组织管理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val="en-US" w:eastAsia="zh-CN"/>
              </w:rPr>
              <w:t>2</w:t>
            </w:r>
          </w:p>
        </w:tc>
        <w:tc>
          <w:tcPr>
            <w:tcW w:w="4439"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婚姻登记</w:t>
            </w:r>
          </w:p>
        </w:tc>
        <w:tc>
          <w:tcPr>
            <w:tcW w:w="2841" w:type="dxa"/>
            <w:vMerge w:val="restart"/>
            <w:vAlign w:val="center"/>
          </w:tcPr>
          <w:p>
            <w:pPr>
              <w:spacing w:line="560" w:lineRule="exact"/>
              <w:jc w:val="center"/>
              <w:rPr>
                <w:rFonts w:ascii="仿宋" w:hAnsi="仿宋" w:eastAsia="仿宋"/>
                <w:sz w:val="32"/>
                <w:szCs w:val="32"/>
              </w:rPr>
            </w:pPr>
            <w:r>
              <w:rPr>
                <w:rFonts w:hint="eastAsia" w:ascii="仿宋" w:hAnsi="仿宋" w:eastAsia="仿宋"/>
                <w:sz w:val="32"/>
                <w:szCs w:val="32"/>
              </w:rPr>
              <w:t>社会事务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center"/>
          </w:tcPr>
          <w:p>
            <w:pPr>
              <w:spacing w:line="560" w:lineRule="exact"/>
              <w:jc w:val="center"/>
              <w:rPr>
                <w:rFonts w:hint="eastAsia" w:ascii="仿宋" w:hAnsi="仿宋" w:eastAsia="仿宋"/>
                <w:sz w:val="32"/>
                <w:szCs w:val="32"/>
                <w:lang w:eastAsia="zh-CN"/>
              </w:rPr>
            </w:pPr>
            <w:r>
              <w:rPr>
                <w:rFonts w:hint="eastAsia" w:ascii="仿宋" w:hAnsi="仿宋" w:eastAsia="仿宋"/>
                <w:sz w:val="32"/>
                <w:szCs w:val="32"/>
                <w:lang w:val="en-US" w:eastAsia="zh-CN"/>
              </w:rPr>
              <w:t>3</w:t>
            </w:r>
          </w:p>
        </w:tc>
        <w:tc>
          <w:tcPr>
            <w:tcW w:w="4439"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收养登记</w:t>
            </w:r>
          </w:p>
        </w:tc>
        <w:tc>
          <w:tcPr>
            <w:tcW w:w="2841" w:type="dxa"/>
            <w:vMerge w:val="continue"/>
            <w:vAlign w:val="center"/>
          </w:tcPr>
          <w:p>
            <w:pPr>
              <w:spacing w:line="560" w:lineRule="exact"/>
              <w:jc w:val="center"/>
              <w:rPr>
                <w:rFonts w:ascii="仿宋" w:hAnsi="仿宋" w:eastAsia="仿宋"/>
                <w:sz w:val="32"/>
                <w:szCs w:val="32"/>
              </w:rPr>
            </w:pPr>
          </w:p>
        </w:tc>
      </w:tr>
    </w:tbl>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楷体" w:hAnsi="楷体" w:eastAsia="楷体"/>
          <w:sz w:val="32"/>
          <w:szCs w:val="32"/>
        </w:rPr>
        <w:t>2、法定途径：</w:t>
      </w:r>
      <w:r>
        <w:rPr>
          <w:rFonts w:hint="eastAsia" w:ascii="仿宋" w:hAnsi="仿宋" w:eastAsia="仿宋"/>
          <w:sz w:val="32"/>
          <w:szCs w:val="32"/>
        </w:rPr>
        <w:t>申请行政复议、提起行政诉讼、民政诉讼（婚姻登记当事人认为婚姻行为存在无效情形的，可以依法提起民事诉讼，要求确认婚姻行为无效）。</w:t>
      </w:r>
    </w:p>
    <w:p>
      <w:pPr>
        <w:spacing w:line="560" w:lineRule="exact"/>
        <w:ind w:firstLine="640" w:firstLineChars="200"/>
        <w:rPr>
          <w:rFonts w:ascii="仿宋" w:hAnsi="仿宋" w:eastAsia="仿宋"/>
          <w:sz w:val="32"/>
          <w:szCs w:val="32"/>
        </w:rPr>
      </w:pPr>
      <w:r>
        <w:rPr>
          <w:rFonts w:hint="eastAsia" w:ascii="楷体" w:hAnsi="楷体" w:eastAsia="楷体"/>
          <w:sz w:val="32"/>
          <w:szCs w:val="32"/>
        </w:rPr>
        <w:t>3、主要政策法规依据：</w:t>
      </w:r>
      <w:r>
        <w:rPr>
          <w:rFonts w:hint="eastAsia" w:ascii="仿宋" w:hAnsi="仿宋" w:eastAsia="仿宋"/>
          <w:sz w:val="32"/>
          <w:szCs w:val="32"/>
        </w:rPr>
        <w:t>《中华人民共和国行政复议法》、《中华人民共和国行政诉讼法》、《中华人民共和国民事诉讼法》、《财政部国家税务总局 民政部关于公益性捐赠税前扣除有关问题的通知》（财税〔2008〕160号）、《财政部国家税务总局 民政部关于公益性捐赠税前扣除有关问题的补充通知》（财税〔2010〕45号）、《民政部关于印发</w:t>
      </w:r>
      <w:r>
        <w:rPr>
          <w:rFonts w:ascii="仿宋" w:hAnsi="仿宋" w:eastAsia="仿宋"/>
          <w:sz w:val="32"/>
          <w:szCs w:val="32"/>
        </w:rPr>
        <w:t>&lt;</w:t>
      </w:r>
      <w:r>
        <w:rPr>
          <w:rFonts w:hint="eastAsia" w:ascii="仿宋" w:hAnsi="仿宋" w:eastAsia="仿宋"/>
          <w:sz w:val="32"/>
          <w:szCs w:val="32"/>
        </w:rPr>
        <w:t>福利企业资格认定办法</w:t>
      </w:r>
      <w:r>
        <w:rPr>
          <w:rFonts w:ascii="仿宋" w:hAnsi="仿宋" w:eastAsia="仿宋"/>
          <w:sz w:val="32"/>
          <w:szCs w:val="32"/>
        </w:rPr>
        <w:t>&gt;</w:t>
      </w:r>
      <w:r>
        <w:rPr>
          <w:rFonts w:hint="eastAsia" w:ascii="仿宋" w:hAnsi="仿宋" w:eastAsia="仿宋"/>
          <w:sz w:val="32"/>
          <w:szCs w:val="32"/>
        </w:rPr>
        <w:t>的通知》（民发〔2007〕103号）、《中华人民共和国民法通则》、《中华人民共和国婚姻法》、《婚姻登记条例》、《中华人民共和国收养法》、《中国公民收养子女登记办法》、《外国人在中华人民共和国收养子女登记办法》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（四）不服民政局作出的行政处罚行为</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1、具体投诉请求：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不服民政局对本清单第二部分第一项所列违法行为作出的行政处罚行为。</w:t>
      </w:r>
    </w:p>
    <w:p>
      <w:pPr>
        <w:spacing w:line="560" w:lineRule="exact"/>
        <w:ind w:firstLine="640" w:firstLineChars="200"/>
        <w:rPr>
          <w:rFonts w:ascii="仿宋" w:hAnsi="仿宋" w:eastAsia="仿宋"/>
          <w:sz w:val="32"/>
          <w:szCs w:val="32"/>
        </w:rPr>
      </w:pPr>
      <w:r>
        <w:rPr>
          <w:rFonts w:hint="eastAsia" w:ascii="楷体" w:hAnsi="楷体" w:eastAsia="楷体"/>
          <w:sz w:val="32"/>
          <w:szCs w:val="32"/>
        </w:rPr>
        <w:t>2、法定途径：</w:t>
      </w:r>
      <w:r>
        <w:rPr>
          <w:rFonts w:hint="eastAsia" w:ascii="仿宋" w:hAnsi="仿宋" w:eastAsia="仿宋"/>
          <w:sz w:val="32"/>
          <w:szCs w:val="32"/>
        </w:rPr>
        <w:t>申请行政复议、提起行政诉讼。</w:t>
      </w:r>
    </w:p>
    <w:p>
      <w:pPr>
        <w:spacing w:line="560" w:lineRule="exact"/>
        <w:ind w:firstLine="640" w:firstLineChars="200"/>
        <w:rPr>
          <w:rFonts w:ascii="仿宋" w:hAnsi="仿宋" w:eastAsia="仿宋"/>
          <w:sz w:val="32"/>
          <w:szCs w:val="32"/>
        </w:rPr>
      </w:pPr>
      <w:r>
        <w:rPr>
          <w:rFonts w:hint="eastAsia" w:ascii="楷体" w:hAnsi="楷体" w:eastAsia="楷体"/>
          <w:sz w:val="32"/>
          <w:szCs w:val="32"/>
        </w:rPr>
        <w:t>3、主要政策法规依据：</w:t>
      </w:r>
      <w:r>
        <w:rPr>
          <w:rFonts w:hint="eastAsia" w:ascii="仿宋" w:hAnsi="仿宋" w:eastAsia="仿宋"/>
          <w:sz w:val="32"/>
          <w:szCs w:val="32"/>
        </w:rPr>
        <w:t>《中华人民共和国行政复议法》、《中华人民共和国行政诉讼法》、《中华人民共和国行政处罚法》、《社会团体登记管理条例》、《民办非企业单位登记管理暂行条例》、《基金会管理条例》、《基金会信息公布办法》、《社会救助暂行办法》、《城市居民最低生活保障条例》、《农村五保供养工作条例》、《国务院关于进一步加强和改进最低生活保障工作的意见》、《行政区域界线管理条例》、《行政区域界线界桩管理办法》、《中华人民共和国老年人权益保障法》、《养老机构设立许可办法》、《社会福利机构管理暂行办法》、《殡葬管理条例》、《彩票管理条例》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（五）民政局公务员、事业单位对机关、事业单位工作人员对涉及本人的考核结果、处分决定等不服。</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1、具体投诉请求：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公务员对涉及本人的有关人事处理不服、事业单位工作人员对涉及本人的考核结果、处分决定等不服。</w:t>
      </w:r>
    </w:p>
    <w:p>
      <w:pPr>
        <w:spacing w:line="560" w:lineRule="exact"/>
        <w:ind w:firstLine="640" w:firstLineChars="200"/>
        <w:rPr>
          <w:rFonts w:ascii="仿宋" w:hAnsi="仿宋" w:eastAsia="仿宋"/>
          <w:sz w:val="32"/>
          <w:szCs w:val="32"/>
        </w:rPr>
      </w:pPr>
      <w:r>
        <w:rPr>
          <w:rFonts w:hint="eastAsia" w:ascii="楷体" w:hAnsi="楷体" w:eastAsia="楷体"/>
          <w:sz w:val="32"/>
          <w:szCs w:val="32"/>
        </w:rPr>
        <w:t>2、法定途径：</w:t>
      </w:r>
      <w:r>
        <w:rPr>
          <w:rFonts w:hint="eastAsia" w:ascii="仿宋" w:hAnsi="仿宋" w:eastAsia="仿宋"/>
          <w:sz w:val="32"/>
          <w:szCs w:val="32"/>
        </w:rPr>
        <w:t>内部申诉。</w:t>
      </w:r>
    </w:p>
    <w:p>
      <w:pPr>
        <w:spacing w:line="560" w:lineRule="exact"/>
        <w:ind w:firstLine="640" w:firstLineChars="200"/>
        <w:rPr>
          <w:rFonts w:ascii="仿宋" w:hAnsi="仿宋" w:eastAsia="仿宋"/>
          <w:sz w:val="32"/>
          <w:szCs w:val="32"/>
        </w:rPr>
      </w:pPr>
      <w:r>
        <w:rPr>
          <w:rFonts w:hint="eastAsia" w:ascii="楷体" w:hAnsi="楷体" w:eastAsia="楷体"/>
          <w:sz w:val="32"/>
          <w:szCs w:val="32"/>
        </w:rPr>
        <w:t>3、主要政策法规依据：</w:t>
      </w:r>
      <w:r>
        <w:rPr>
          <w:rFonts w:hint="eastAsia" w:ascii="仿宋" w:hAnsi="仿宋" w:eastAsia="仿宋"/>
          <w:sz w:val="32"/>
          <w:szCs w:val="32"/>
        </w:rPr>
        <w:t>《中华人民共和国公务员法》、《中共中央组织部  人力资源社会保障部关于印发</w:t>
      </w:r>
      <w:r>
        <w:rPr>
          <w:rFonts w:ascii="仿宋" w:hAnsi="仿宋" w:eastAsia="仿宋"/>
          <w:sz w:val="32"/>
          <w:szCs w:val="32"/>
        </w:rPr>
        <w:t>&lt;</w:t>
      </w:r>
      <w:r>
        <w:rPr>
          <w:rFonts w:hint="eastAsia" w:ascii="仿宋" w:hAnsi="仿宋" w:eastAsia="仿宋"/>
          <w:sz w:val="32"/>
          <w:szCs w:val="32"/>
        </w:rPr>
        <w:t>事业单位工作人员申诉规定</w:t>
      </w:r>
      <w:r>
        <w:rPr>
          <w:rFonts w:ascii="仿宋" w:hAnsi="仿宋" w:eastAsia="仿宋"/>
          <w:sz w:val="32"/>
          <w:szCs w:val="32"/>
        </w:rPr>
        <w:t>&gt;</w:t>
      </w:r>
      <w:r>
        <w:rPr>
          <w:rFonts w:hint="eastAsia" w:ascii="仿宋" w:hAnsi="仿宋" w:eastAsia="仿宋"/>
          <w:sz w:val="32"/>
          <w:szCs w:val="32"/>
        </w:rPr>
        <w:t>的通知》（人社部发〔2014〕45号）等。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（六）民政局内单位与工作人员之间发生的劳动人事争议。</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1、具体争议：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因订立、履行、变更、解除和终止劳动合同，或者因除名、辞退和辞职、离职发生的争议等。</w:t>
      </w:r>
    </w:p>
    <w:p>
      <w:pPr>
        <w:spacing w:line="560" w:lineRule="exact"/>
        <w:ind w:firstLine="640" w:firstLineChars="200"/>
        <w:rPr>
          <w:rFonts w:ascii="仿宋" w:hAnsi="仿宋" w:eastAsia="仿宋"/>
          <w:sz w:val="32"/>
          <w:szCs w:val="32"/>
        </w:rPr>
      </w:pPr>
      <w:r>
        <w:rPr>
          <w:rFonts w:hint="eastAsia" w:ascii="楷体" w:hAnsi="楷体" w:eastAsia="楷体"/>
          <w:sz w:val="32"/>
          <w:szCs w:val="32"/>
        </w:rPr>
        <w:t>2、法定途径：</w:t>
      </w:r>
      <w:r>
        <w:rPr>
          <w:rFonts w:hint="eastAsia" w:ascii="仿宋" w:hAnsi="仿宋" w:eastAsia="仿宋"/>
          <w:sz w:val="32"/>
          <w:szCs w:val="32"/>
        </w:rPr>
        <w:t>申请调解仲裁。</w:t>
      </w:r>
    </w:p>
    <w:p>
      <w:pPr>
        <w:spacing w:line="560" w:lineRule="exact"/>
        <w:ind w:firstLine="640" w:firstLineChars="200"/>
        <w:rPr>
          <w:rFonts w:ascii="仿宋" w:hAnsi="仿宋" w:eastAsia="仿宋"/>
          <w:sz w:val="32"/>
          <w:szCs w:val="32"/>
        </w:rPr>
      </w:pPr>
      <w:r>
        <w:rPr>
          <w:rFonts w:hint="eastAsia" w:ascii="楷体" w:hAnsi="楷体" w:eastAsia="楷体"/>
          <w:sz w:val="32"/>
          <w:szCs w:val="32"/>
        </w:rPr>
        <w:t>3、主要政策法规依据：</w:t>
      </w:r>
      <w:r>
        <w:rPr>
          <w:rFonts w:hint="eastAsia" w:ascii="仿宋" w:hAnsi="仿宋" w:eastAsia="仿宋"/>
          <w:sz w:val="32"/>
          <w:szCs w:val="32"/>
        </w:rPr>
        <w:t>《中华人民共和国劳动合同法》、《中华人民共和国公务员法》、《中华人民共和国劳动争议调解仲裁法》、《事业单位人事管理条例》、《劳动人事争议仲裁办案规则》、《中共中央组织部人事部  总政治部关于印发</w:t>
      </w:r>
      <w:r>
        <w:rPr>
          <w:rFonts w:ascii="仿宋" w:hAnsi="仿宋" w:eastAsia="仿宋"/>
          <w:sz w:val="32"/>
          <w:szCs w:val="32"/>
        </w:rPr>
        <w:t>&lt;</w:t>
      </w:r>
      <w:r>
        <w:rPr>
          <w:rFonts w:hint="eastAsia" w:ascii="仿宋" w:hAnsi="仿宋" w:eastAsia="仿宋"/>
          <w:sz w:val="32"/>
          <w:szCs w:val="32"/>
        </w:rPr>
        <w:t>人事争议处理规定</w:t>
      </w:r>
      <w:r>
        <w:rPr>
          <w:rFonts w:ascii="仿宋" w:hAnsi="仿宋" w:eastAsia="仿宋"/>
          <w:sz w:val="32"/>
          <w:szCs w:val="32"/>
        </w:rPr>
        <w:t>&gt;</w:t>
      </w:r>
      <w:r>
        <w:rPr>
          <w:rFonts w:hint="eastAsia" w:ascii="仿宋" w:hAnsi="仿宋" w:eastAsia="仿宋"/>
          <w:sz w:val="32"/>
          <w:szCs w:val="32"/>
        </w:rPr>
        <w:t>的通知》（国人部发〔2007〕109号）、《中共中央组织部 人力资源社会保障部 总政治部关于修改</w:t>
      </w:r>
      <w:r>
        <w:rPr>
          <w:rFonts w:ascii="仿宋" w:hAnsi="仿宋" w:eastAsia="仿宋"/>
          <w:sz w:val="32"/>
          <w:szCs w:val="32"/>
        </w:rPr>
        <w:t>&lt;</w:t>
      </w:r>
      <w:r>
        <w:rPr>
          <w:rFonts w:hint="eastAsia" w:ascii="仿宋" w:hAnsi="仿宋" w:eastAsia="仿宋"/>
          <w:sz w:val="32"/>
          <w:szCs w:val="32"/>
        </w:rPr>
        <w:t>人事争议处理规定</w:t>
      </w:r>
      <w:r>
        <w:rPr>
          <w:rFonts w:ascii="仿宋" w:hAnsi="仿宋" w:eastAsia="仿宋"/>
          <w:sz w:val="32"/>
          <w:szCs w:val="32"/>
        </w:rPr>
        <w:t>&gt;</w:t>
      </w:r>
      <w:r>
        <w:rPr>
          <w:rFonts w:hint="eastAsia" w:ascii="仿宋" w:hAnsi="仿宋" w:eastAsia="仿宋"/>
          <w:sz w:val="32"/>
          <w:szCs w:val="32"/>
        </w:rPr>
        <w:t>的通知》（人社部发〔2011〕88号）等。</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二、揭发控告类投诉请求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揭发控告，是指向行政机关、司法机关等反映公民、法人或其他组织违法违纪事实或提供线索，要求依法制止、惩处或赔偿。</w:t>
      </w:r>
    </w:p>
    <w:p>
      <w:pPr>
        <w:spacing w:line="560" w:lineRule="exact"/>
        <w:ind w:firstLine="640"/>
        <w:rPr>
          <w:rFonts w:ascii="仿宋" w:hAnsi="仿宋" w:eastAsia="仿宋"/>
          <w:sz w:val="32"/>
          <w:szCs w:val="32"/>
        </w:rPr>
      </w:pPr>
      <w:r>
        <w:rPr>
          <w:rFonts w:hint="eastAsia" w:ascii="仿宋" w:hAnsi="仿宋" w:eastAsia="仿宋"/>
          <w:sz w:val="32"/>
          <w:szCs w:val="32"/>
        </w:rPr>
        <w:t>（一）检举控告违法行为，要求民政局作出行政处罚行为。</w:t>
      </w:r>
    </w:p>
    <w:p>
      <w:pPr>
        <w:ind w:firstLine="640"/>
        <w:rPr>
          <w:rFonts w:ascii="楷体" w:hAnsi="楷体" w:eastAsia="楷体"/>
          <w:sz w:val="32"/>
          <w:szCs w:val="32"/>
        </w:rPr>
      </w:pPr>
      <w:r>
        <w:rPr>
          <w:rFonts w:hint="eastAsia" w:ascii="楷体" w:hAnsi="楷体" w:eastAsia="楷体"/>
          <w:sz w:val="32"/>
          <w:szCs w:val="32"/>
        </w:rPr>
        <w:t>1、投诉的违法行为（见下表）：</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5953"/>
        <w:gridCol w:w="16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序号</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投诉的违法行为</w:t>
            </w:r>
          </w:p>
        </w:tc>
        <w:tc>
          <w:tcPr>
            <w:tcW w:w="1610" w:type="dxa"/>
            <w:vAlign w:val="center"/>
          </w:tcPr>
          <w:p>
            <w:pPr>
              <w:jc w:val="center"/>
              <w:rPr>
                <w:rFonts w:ascii="仿宋" w:hAnsi="仿宋" w:eastAsia="仿宋"/>
                <w:sz w:val="32"/>
                <w:szCs w:val="32"/>
              </w:rPr>
            </w:pPr>
            <w:r>
              <w:rPr>
                <w:rFonts w:hint="eastAsia" w:ascii="仿宋" w:hAnsi="仿宋" w:eastAsia="仿宋"/>
                <w:sz w:val="32"/>
                <w:szCs w:val="32"/>
              </w:rPr>
              <w:t>业务类别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1</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社会团体自取得《社会团体法人登记证书》之日起1年未开展活动的行为</w:t>
            </w:r>
          </w:p>
        </w:tc>
        <w:tc>
          <w:tcPr>
            <w:tcW w:w="1610" w:type="dxa"/>
            <w:vMerge w:val="restart"/>
            <w:vAlign w:val="center"/>
          </w:tcPr>
          <w:p>
            <w:pPr>
              <w:jc w:val="center"/>
              <w:rPr>
                <w:rFonts w:ascii="仿宋" w:hAnsi="仿宋" w:eastAsia="仿宋"/>
                <w:sz w:val="32"/>
                <w:szCs w:val="32"/>
              </w:rPr>
            </w:pPr>
            <w:r>
              <w:rPr>
                <w:rFonts w:hint="eastAsia" w:ascii="仿宋" w:hAnsi="仿宋" w:eastAsia="仿宋"/>
                <w:sz w:val="32"/>
                <w:szCs w:val="32"/>
              </w:rPr>
              <w:t>民间组织管理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2</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社会团体涂改、出租、出借《社会团体法人登记证书》的行为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3</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社会团体出租、出借社会团体印章的行为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4</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社会团体拒不接受监督检查的行为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5</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社会团体不按照规定接收监督检查的行为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6</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社会团体超出章程规定的宗旨和业务范围进行活动的行为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7</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社会团体不按照规定办理变更登记的行为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8</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社会团体对分支结构、代表机构疏于管理，造成严重后果的行为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9</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社会团体从事营利性的经营活动的行为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10</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侵占、私分、挪用社会团体资产的行为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11</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侵占、私分、挪用社会团体所接受的捐赠、资助的行为</w:t>
            </w:r>
          </w:p>
        </w:tc>
        <w:tc>
          <w:tcPr>
            <w:tcW w:w="1610" w:type="dxa"/>
            <w:vMerge w:val="restart"/>
            <w:vAlign w:val="center"/>
          </w:tcPr>
          <w:p>
            <w:pPr>
              <w:jc w:val="center"/>
              <w:rPr>
                <w:rFonts w:ascii="仿宋" w:hAnsi="仿宋" w:eastAsia="仿宋"/>
                <w:sz w:val="32"/>
                <w:szCs w:val="32"/>
              </w:rPr>
            </w:pPr>
            <w:r>
              <w:rPr>
                <w:rFonts w:hint="eastAsia" w:ascii="仿宋" w:hAnsi="仿宋" w:eastAsia="仿宋"/>
                <w:sz w:val="32"/>
                <w:szCs w:val="32"/>
              </w:rPr>
              <w:t>民间组织管理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12</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社会团体违反国家有关规定接受、使用捐赠、资助的行为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13</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民办非企业单位涂改、出租、出借民办非企业单位登记证书的行为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14</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民办非企业单位出租、出借民办非企业单位印章的行为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15</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民办非企业单位超出其章程规定的宗旨和业务范围进行活动的行为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16</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民办非企业单位拒不接受监督检查的行为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17</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民办非企业单位不按照规定接受监督检查的行为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18</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民办非企业单位不按照规定办理变更登记的行为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19</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民办非企业单位设立分支机构的行为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20</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民办非企业单位从事营利性的经营活动的行为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21</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侵占、私分、挪用民办非企业单位的资产的行为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22</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侵占、私分、挪用民办非企业单位所接受的捐赠、资助的行为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23</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民办非企业单位违反国家规定收取费用、筹集资金的行为</w:t>
            </w:r>
          </w:p>
        </w:tc>
        <w:tc>
          <w:tcPr>
            <w:tcW w:w="1610" w:type="dxa"/>
            <w:vMerge w:val="restart"/>
            <w:vAlign w:val="center"/>
          </w:tcPr>
          <w:p>
            <w:pPr>
              <w:jc w:val="center"/>
              <w:rPr>
                <w:rFonts w:ascii="仿宋" w:hAnsi="仿宋" w:eastAsia="仿宋"/>
                <w:sz w:val="32"/>
                <w:szCs w:val="32"/>
              </w:rPr>
            </w:pPr>
            <w:r>
              <w:rPr>
                <w:rFonts w:hint="eastAsia" w:ascii="仿宋" w:hAnsi="仿宋" w:eastAsia="仿宋"/>
                <w:sz w:val="32"/>
                <w:szCs w:val="32"/>
              </w:rPr>
              <w:t>民间组织管理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24</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民办非企业单位违反国家规定接受、使用捐赠、资助的行为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25</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基金会自取得登记证书之日起12个月内未按章程规定开展活动的行为</w:t>
            </w:r>
          </w:p>
        </w:tc>
        <w:tc>
          <w:tcPr>
            <w:tcW w:w="1610" w:type="dxa"/>
            <w:vMerge w:val="continue"/>
            <w:vAlign w:val="center"/>
          </w:tcPr>
          <w:p>
            <w:pPr>
              <w:jc w:val="center"/>
              <w:rPr>
                <w:rFonts w:ascii="仿宋" w:hAnsi="仿宋" w:eastAsia="仿宋"/>
                <w:sz w:val="32"/>
                <w:szCs w:val="32"/>
              </w:rPr>
            </w:pPr>
          </w:p>
        </w:tc>
      </w:tr>
      <w:tr>
        <w:tc>
          <w:tcPr>
            <w:tcW w:w="959" w:type="dxa"/>
            <w:vAlign w:val="center"/>
          </w:tcPr>
          <w:p>
            <w:pPr>
              <w:jc w:val="center"/>
              <w:rPr>
                <w:rFonts w:ascii="仿宋" w:hAnsi="仿宋" w:eastAsia="仿宋"/>
                <w:sz w:val="32"/>
                <w:szCs w:val="32"/>
              </w:rPr>
            </w:pPr>
            <w:r>
              <w:rPr>
                <w:rFonts w:hint="eastAsia" w:ascii="仿宋" w:hAnsi="仿宋" w:eastAsia="仿宋"/>
                <w:sz w:val="32"/>
                <w:szCs w:val="32"/>
              </w:rPr>
              <w:t>26</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基金会符合注销条件，不按照《基金会管理条例》的规定办理注销登记仍继续开展活动的行为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27</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基金会未按照章程规定的宗旨和公益活动的业务范围进行活动的行为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28</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基金会在填制会计凭证、登记会计账簿、编制财务会计报告中弄虚作假的行为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29</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基金会不按照规定办理变更登记的行为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30</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基金会未按照《基金会管理条例》的规定完成公益事业支出额度的行为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31</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基金会未按照《基金会管理条例》的规定接受年度检查的行为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32</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基金会年度检查不合格的行为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33</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基金会不履行信息公布义务的行为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ascii="仿宋" w:hAnsi="仿宋" w:eastAsia="仿宋"/>
                <w:sz w:val="32"/>
                <w:szCs w:val="32"/>
              </w:rPr>
            </w:pPr>
            <w:r>
              <w:rPr>
                <w:rFonts w:hint="eastAsia" w:ascii="仿宋" w:hAnsi="仿宋" w:eastAsia="仿宋"/>
                <w:sz w:val="32"/>
                <w:szCs w:val="32"/>
              </w:rPr>
              <w:t>34</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基金会公布虚假信息的行为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35</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退役士兵弄虚作假骗取安置待遇的行为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36</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采取虚报、隐瞒、伪造等手段，骗取享受城市居民最低生活保障待遇的行为</w:t>
            </w:r>
          </w:p>
        </w:tc>
        <w:tc>
          <w:tcPr>
            <w:tcW w:w="1610" w:type="dxa"/>
            <w:vAlign w:val="center"/>
          </w:tcPr>
          <w:p>
            <w:pPr>
              <w:jc w:val="center"/>
              <w:rPr>
                <w:rFonts w:ascii="仿宋" w:hAnsi="仿宋" w:eastAsia="仿宋"/>
                <w:sz w:val="32"/>
                <w:szCs w:val="32"/>
              </w:rPr>
            </w:pPr>
            <w:r>
              <w:rPr>
                <w:rFonts w:hint="eastAsia" w:ascii="仿宋" w:hAnsi="仿宋" w:eastAsia="仿宋"/>
                <w:sz w:val="32"/>
                <w:szCs w:val="32"/>
              </w:rPr>
              <w:t>社会救助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37</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在纳入居民最低生活保障期间家庭收入情况好转，不按规定告知审批机关，继续领取最低生活保障金的行为</w:t>
            </w:r>
          </w:p>
        </w:tc>
        <w:tc>
          <w:tcPr>
            <w:tcW w:w="1610" w:type="dxa"/>
            <w:vMerge w:val="restart"/>
            <w:vAlign w:val="center"/>
          </w:tcPr>
          <w:p>
            <w:pPr>
              <w:jc w:val="center"/>
              <w:rPr>
                <w:rFonts w:ascii="仿宋" w:hAnsi="仿宋" w:eastAsia="仿宋"/>
                <w:sz w:val="32"/>
                <w:szCs w:val="32"/>
              </w:rPr>
            </w:pPr>
            <w:r>
              <w:rPr>
                <w:rFonts w:hint="eastAsia" w:ascii="仿宋" w:hAnsi="仿宋" w:eastAsia="仿宋"/>
                <w:sz w:val="32"/>
                <w:szCs w:val="32"/>
              </w:rPr>
              <w:t>社会救助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38</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采取虚报、隐瞒、伪造等手段，骗取最低生活保障、农村五保供养、医疗救助、临时救助等资金、物资或者服务的行为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39</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故意损毁或者擅自移动界桩的行为</w:t>
            </w:r>
          </w:p>
        </w:tc>
        <w:tc>
          <w:tcPr>
            <w:tcW w:w="1610" w:type="dxa"/>
            <w:vMerge w:val="restart"/>
            <w:vAlign w:val="center"/>
          </w:tcPr>
          <w:p>
            <w:pPr>
              <w:jc w:val="center"/>
              <w:rPr>
                <w:rFonts w:ascii="仿宋" w:hAnsi="仿宋" w:eastAsia="仿宋"/>
                <w:sz w:val="32"/>
                <w:szCs w:val="32"/>
              </w:rPr>
            </w:pPr>
            <w:r>
              <w:rPr>
                <w:rFonts w:hint="eastAsia" w:ascii="仿宋" w:hAnsi="仿宋" w:eastAsia="仿宋"/>
                <w:sz w:val="32"/>
                <w:szCs w:val="32"/>
              </w:rPr>
              <w:t>区划地名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40</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故意损毁或者擅自移动其他行政区域界线标志物的行为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41</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擅自编制行政区域界线详图的行为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42</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绘制的地图的行政区域界线画法与行政区域界线详图画法不一致的行为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43</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指使他人故意损毁界桩的行为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44</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未经许可设立养老机构，经责令依法补办相关手续后逾期达不到法定条件的行为</w:t>
            </w:r>
          </w:p>
        </w:tc>
        <w:tc>
          <w:tcPr>
            <w:tcW w:w="1610" w:type="dxa"/>
            <w:vMerge w:val="restart"/>
            <w:vAlign w:val="center"/>
          </w:tcPr>
          <w:p>
            <w:pPr>
              <w:jc w:val="center"/>
              <w:rPr>
                <w:rFonts w:ascii="仿宋" w:hAnsi="仿宋" w:eastAsia="仿宋"/>
                <w:sz w:val="32"/>
                <w:szCs w:val="32"/>
              </w:rPr>
            </w:pPr>
            <w:r>
              <w:rPr>
                <w:rFonts w:hint="eastAsia" w:ascii="仿宋" w:hAnsi="仿宋" w:eastAsia="仿宋"/>
                <w:sz w:val="32"/>
                <w:szCs w:val="32"/>
              </w:rPr>
              <w:t>社会福利和慈善事业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45</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社会福利机构违反国家关于老年人、残疾人和孤儿权益保护的法律法规，侵害服务对象合法权益的行为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46</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社会福利机构未取得《社会福利机构设置批准证书》擅自执业的行为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47</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社会福利机构未办理变更手续，其活动超出许可范围的行为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48</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养老机构未依法履行变更手续的行为</w:t>
            </w:r>
          </w:p>
        </w:tc>
        <w:tc>
          <w:tcPr>
            <w:tcW w:w="1610" w:type="dxa"/>
            <w:vMerge w:val="restart"/>
            <w:vAlign w:val="center"/>
          </w:tcPr>
          <w:p>
            <w:pPr>
              <w:jc w:val="center"/>
              <w:rPr>
                <w:rFonts w:ascii="仿宋" w:hAnsi="仿宋" w:eastAsia="仿宋"/>
                <w:sz w:val="32"/>
                <w:szCs w:val="32"/>
              </w:rPr>
            </w:pPr>
            <w:r>
              <w:rPr>
                <w:rFonts w:hint="eastAsia" w:ascii="仿宋" w:hAnsi="仿宋" w:eastAsia="仿宋"/>
                <w:sz w:val="32"/>
                <w:szCs w:val="32"/>
              </w:rPr>
              <w:t>社会福利和慈善事业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49</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养老机构未依法履行终止手续的行为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50</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养老机构涂改、倒卖、出租、出借、转让设立许可证的行为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51</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养老机构未与老年人或者其代理人签订服务协议的行为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52</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养老机构与老年人或者其代理人签订服务协议不符合规定的行为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53</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养老机构未按照国家有关标准和规定开展服务的行为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54</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养老机构配备人员的资格不符合规定的行为</w:t>
            </w:r>
          </w:p>
        </w:tc>
        <w:tc>
          <w:tcPr>
            <w:tcW w:w="1610" w:type="dxa"/>
            <w:vMerge w:val="continue"/>
            <w:vAlign w:val="center"/>
          </w:tcPr>
          <w:p>
            <w:pPr>
              <w:jc w:val="center"/>
              <w:rPr>
                <w:rFonts w:ascii="仿宋" w:hAnsi="仿宋" w:eastAsia="仿宋"/>
                <w:sz w:val="32"/>
                <w:szCs w:val="32"/>
              </w:rPr>
            </w:pPr>
          </w:p>
        </w:tc>
      </w:tr>
      <w:tr>
        <w:tblPrEx>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55</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养老机构向负责监督检查的民政部门隐瞒有关情况、提供虚假材料或者拒绝提供反映其活动情况真是材料的行为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56</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养老机构利用养老机构的房屋、场地、设施开展与养老服务宗旨无关的活动的行为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57</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养老机构歧视、侮辱、虐待或者遗弃老年人以及其他侵犯老年人合法权益的行为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58</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养老机构擅自暂停或者终止服务的行为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59</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养老机构存在法律、法规、规章规定的其他违法行为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60</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彩票代销者委托他人代销彩票的行为</w:t>
            </w:r>
          </w:p>
        </w:tc>
        <w:tc>
          <w:tcPr>
            <w:tcW w:w="1610" w:type="dxa"/>
            <w:vMerge w:val="restart"/>
            <w:vAlign w:val="center"/>
          </w:tcPr>
          <w:p>
            <w:pPr>
              <w:jc w:val="center"/>
              <w:rPr>
                <w:rFonts w:ascii="仿宋" w:hAnsi="仿宋" w:eastAsia="仿宋"/>
                <w:sz w:val="32"/>
                <w:szCs w:val="32"/>
              </w:rPr>
            </w:pPr>
            <w:r>
              <w:rPr>
                <w:rFonts w:hint="eastAsia" w:ascii="仿宋" w:hAnsi="仿宋" w:eastAsia="仿宋"/>
                <w:sz w:val="32"/>
                <w:szCs w:val="32"/>
              </w:rPr>
              <w:t>社会福利和慈善事业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61</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彩票代销者转借、出租、出售彩票投注专用设备的行为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62</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彩票代销者进行虚假性、误导性宣传的行为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63</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彩票代销者以诋毁同业者等手段进行不正当竞争的行为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64</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彩票代销者向未成年人销售彩票的行为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65</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彩票代销者以赊销或者信用方式销售彩票的行为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66</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未经批准，擅自兴建殡葬设施的行为</w:t>
            </w:r>
          </w:p>
        </w:tc>
        <w:tc>
          <w:tcPr>
            <w:tcW w:w="1610" w:type="dxa"/>
            <w:vMerge w:val="restart"/>
            <w:vAlign w:val="center"/>
          </w:tcPr>
          <w:p>
            <w:pPr>
              <w:jc w:val="center"/>
              <w:rPr>
                <w:rFonts w:ascii="仿宋" w:hAnsi="仿宋" w:eastAsia="仿宋"/>
                <w:sz w:val="32"/>
                <w:szCs w:val="32"/>
              </w:rPr>
            </w:pPr>
            <w:r>
              <w:rPr>
                <w:rFonts w:hint="eastAsia" w:ascii="仿宋" w:hAnsi="仿宋" w:eastAsia="仿宋"/>
                <w:sz w:val="32"/>
                <w:szCs w:val="32"/>
              </w:rPr>
              <w:t>社会事务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67</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墓穴占地面积超过省、自治区、直辖市人民政府规定的标准的行为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68</w:t>
            </w:r>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制造、销售不符合国家技术标准的殡葬设备的行为</w:t>
            </w:r>
          </w:p>
        </w:tc>
        <w:tc>
          <w:tcPr>
            <w:tcW w:w="1610" w:type="dxa"/>
            <w:vMerge w:val="continue"/>
            <w:vAlign w:val="center"/>
          </w:tcPr>
          <w:p>
            <w:pPr>
              <w:jc w:val="cente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val="en-US" w:eastAsia="zh-CN"/>
              </w:rPr>
              <w:t>69</w:t>
            </w:r>
            <w:bookmarkStart w:id="0" w:name="_GoBack"/>
            <w:bookmarkEnd w:id="0"/>
          </w:p>
        </w:tc>
        <w:tc>
          <w:tcPr>
            <w:tcW w:w="5953" w:type="dxa"/>
            <w:vAlign w:val="center"/>
          </w:tcPr>
          <w:p>
            <w:pPr>
              <w:jc w:val="center"/>
              <w:rPr>
                <w:rFonts w:ascii="仿宋" w:hAnsi="仿宋" w:eastAsia="仿宋"/>
                <w:sz w:val="32"/>
                <w:szCs w:val="32"/>
              </w:rPr>
            </w:pPr>
            <w:r>
              <w:rPr>
                <w:rFonts w:hint="eastAsia" w:ascii="仿宋" w:hAnsi="仿宋" w:eastAsia="仿宋"/>
                <w:sz w:val="32"/>
                <w:szCs w:val="32"/>
              </w:rPr>
              <w:t>制造、销售封建迷信殡葬用品的行为</w:t>
            </w:r>
          </w:p>
        </w:tc>
        <w:tc>
          <w:tcPr>
            <w:tcW w:w="1610" w:type="dxa"/>
            <w:vMerge w:val="continue"/>
            <w:vAlign w:val="center"/>
          </w:tcPr>
          <w:p>
            <w:pPr>
              <w:jc w:val="center"/>
              <w:rPr>
                <w:rFonts w:ascii="仿宋" w:hAnsi="仿宋" w:eastAsia="仿宋"/>
                <w:sz w:val="32"/>
                <w:szCs w:val="32"/>
              </w:rPr>
            </w:pPr>
          </w:p>
        </w:tc>
      </w:tr>
    </w:tbl>
    <w:p>
      <w:pPr>
        <w:ind w:firstLine="640"/>
        <w:rPr>
          <w:rFonts w:ascii="仿宋" w:hAnsi="仿宋" w:eastAsia="仿宋"/>
          <w:sz w:val="32"/>
          <w:szCs w:val="32"/>
        </w:rPr>
      </w:pPr>
      <w:r>
        <w:rPr>
          <w:rFonts w:hint="eastAsia" w:ascii="楷体" w:hAnsi="楷体" w:eastAsia="楷体"/>
          <w:sz w:val="32"/>
          <w:szCs w:val="32"/>
        </w:rPr>
        <w:t>2、法定途径：</w:t>
      </w:r>
      <w:r>
        <w:rPr>
          <w:rFonts w:hint="eastAsia" w:ascii="仿宋" w:hAnsi="仿宋" w:eastAsia="仿宋"/>
          <w:sz w:val="32"/>
          <w:szCs w:val="32"/>
        </w:rPr>
        <w:t>行政处罚举报。</w:t>
      </w:r>
    </w:p>
    <w:p>
      <w:pPr>
        <w:ind w:firstLine="640"/>
        <w:rPr>
          <w:rFonts w:ascii="仿宋" w:hAnsi="仿宋" w:eastAsia="仿宋"/>
          <w:sz w:val="32"/>
          <w:szCs w:val="32"/>
        </w:rPr>
      </w:pPr>
      <w:r>
        <w:rPr>
          <w:rFonts w:hint="eastAsia" w:ascii="楷体" w:hAnsi="楷体" w:eastAsia="楷体"/>
          <w:sz w:val="32"/>
          <w:szCs w:val="32"/>
        </w:rPr>
        <w:t>3、主要政策法规依据：</w:t>
      </w:r>
      <w:r>
        <w:rPr>
          <w:rFonts w:hint="eastAsia" w:ascii="仿宋" w:hAnsi="仿宋" w:eastAsia="仿宋"/>
          <w:sz w:val="32"/>
          <w:szCs w:val="32"/>
        </w:rPr>
        <w:t>《社会团体登记管理条例》、《民办非企业单位登记管理暂行条例》、《基金会管理条例》、《基金会信息公布办法》、《社会救助暂行办法》、《城市居民最低生活保障条例》、《行政区域界线管理条例》、《行政区域界线界桩管理办法》、《老年人权益保障法》、《彩票管理条例》、《社会福利机构管理暂行办法》、《养老机构设立许可办法》、《养老机构管理办法》、《殡葬管理条例》等。</w:t>
      </w:r>
    </w:p>
    <w:p>
      <w:pPr>
        <w:ind w:firstLine="640"/>
        <w:rPr>
          <w:rFonts w:ascii="仿宋" w:hAnsi="仿宋" w:eastAsia="仿宋"/>
          <w:sz w:val="32"/>
          <w:szCs w:val="32"/>
        </w:rPr>
      </w:pPr>
      <w:r>
        <w:rPr>
          <w:rFonts w:hint="eastAsia" w:ascii="仿宋" w:hAnsi="仿宋" w:eastAsia="仿宋"/>
          <w:sz w:val="32"/>
          <w:szCs w:val="32"/>
        </w:rPr>
        <w:t>（二）检举民政局及其工作人员违反行政纪律的行为。</w:t>
      </w:r>
    </w:p>
    <w:p>
      <w:pPr>
        <w:ind w:firstLine="640"/>
        <w:rPr>
          <w:rFonts w:ascii="楷体" w:hAnsi="楷体" w:eastAsia="楷体"/>
          <w:sz w:val="32"/>
          <w:szCs w:val="32"/>
        </w:rPr>
      </w:pPr>
      <w:r>
        <w:rPr>
          <w:rFonts w:hint="eastAsia" w:ascii="楷体" w:hAnsi="楷体" w:eastAsia="楷体"/>
          <w:sz w:val="32"/>
          <w:szCs w:val="32"/>
        </w:rPr>
        <w:t>1、具体投诉请求：</w:t>
      </w:r>
    </w:p>
    <w:p>
      <w:pPr>
        <w:ind w:firstLine="640"/>
        <w:rPr>
          <w:rFonts w:ascii="仿宋" w:hAnsi="仿宋" w:eastAsia="仿宋"/>
          <w:sz w:val="32"/>
          <w:szCs w:val="32"/>
        </w:rPr>
      </w:pPr>
      <w:r>
        <w:rPr>
          <w:rFonts w:hint="eastAsia" w:ascii="仿宋" w:hAnsi="仿宋" w:eastAsia="仿宋"/>
          <w:sz w:val="32"/>
          <w:szCs w:val="32"/>
        </w:rPr>
        <w:t>反映民政局工作人员旷工或因公外出逾期不归造成不良影响；违反法定权限实施行政许可；违反规定办理招标投标；违反规定向法人摊派或收取财物等。</w:t>
      </w:r>
    </w:p>
    <w:p>
      <w:pPr>
        <w:ind w:firstLine="640"/>
        <w:rPr>
          <w:rFonts w:ascii="仿宋" w:hAnsi="仿宋" w:eastAsia="仿宋"/>
          <w:sz w:val="32"/>
          <w:szCs w:val="32"/>
        </w:rPr>
      </w:pPr>
      <w:r>
        <w:rPr>
          <w:rFonts w:hint="eastAsia" w:ascii="楷体" w:hAnsi="楷体" w:eastAsia="楷体"/>
          <w:sz w:val="32"/>
          <w:szCs w:val="32"/>
        </w:rPr>
        <w:t>2、法定途径：</w:t>
      </w:r>
      <w:r>
        <w:rPr>
          <w:rFonts w:hint="eastAsia" w:ascii="仿宋" w:hAnsi="仿宋" w:eastAsia="仿宋"/>
          <w:sz w:val="32"/>
          <w:szCs w:val="32"/>
        </w:rPr>
        <w:t>行政监察举报。</w:t>
      </w:r>
    </w:p>
    <w:p>
      <w:pPr>
        <w:ind w:firstLine="640"/>
        <w:rPr>
          <w:rFonts w:ascii="仿宋" w:hAnsi="仿宋" w:eastAsia="仿宋"/>
          <w:sz w:val="32"/>
          <w:szCs w:val="32"/>
        </w:rPr>
      </w:pPr>
      <w:r>
        <w:rPr>
          <w:rFonts w:hint="eastAsia" w:ascii="楷体" w:hAnsi="楷体" w:eastAsia="楷体"/>
          <w:sz w:val="32"/>
          <w:szCs w:val="32"/>
        </w:rPr>
        <w:t>3、主要政策法规依据：</w:t>
      </w:r>
      <w:r>
        <w:rPr>
          <w:rFonts w:hint="eastAsia" w:ascii="仿宋" w:hAnsi="仿宋" w:eastAsia="仿宋"/>
          <w:sz w:val="32"/>
          <w:szCs w:val="32"/>
        </w:rPr>
        <w:t>《中华人民共和国行政监察法》、《行政机关公务员处分条例》等。</w:t>
      </w:r>
    </w:p>
    <w:p>
      <w:pPr>
        <w:ind w:firstLine="640"/>
        <w:rPr>
          <w:rFonts w:ascii="仿宋" w:hAnsi="仿宋" w:eastAsia="仿宋"/>
          <w:sz w:val="32"/>
          <w:szCs w:val="32"/>
        </w:rPr>
      </w:pPr>
      <w:r>
        <w:rPr>
          <w:rFonts w:hint="eastAsia" w:ascii="仿宋" w:hAnsi="仿宋" w:eastAsia="仿宋"/>
          <w:sz w:val="32"/>
          <w:szCs w:val="32"/>
        </w:rPr>
        <w:t>（三）检举民政局党员干部违规违纪问题。</w:t>
      </w:r>
    </w:p>
    <w:p>
      <w:pPr>
        <w:ind w:firstLine="640"/>
        <w:rPr>
          <w:rFonts w:ascii="楷体" w:hAnsi="楷体" w:eastAsia="楷体"/>
          <w:sz w:val="32"/>
          <w:szCs w:val="32"/>
        </w:rPr>
      </w:pPr>
      <w:r>
        <w:rPr>
          <w:rFonts w:hint="eastAsia" w:ascii="楷体" w:hAnsi="楷体" w:eastAsia="楷体"/>
          <w:sz w:val="32"/>
          <w:szCs w:val="32"/>
        </w:rPr>
        <w:t>1、具体投诉请求：</w:t>
      </w:r>
    </w:p>
    <w:p>
      <w:pPr>
        <w:ind w:firstLine="640"/>
        <w:rPr>
          <w:rFonts w:ascii="仿宋" w:hAnsi="仿宋" w:eastAsia="仿宋"/>
          <w:sz w:val="32"/>
          <w:szCs w:val="32"/>
        </w:rPr>
      </w:pPr>
      <w:r>
        <w:rPr>
          <w:rFonts w:hint="eastAsia" w:ascii="仿宋" w:hAnsi="仿宋" w:eastAsia="仿宋"/>
          <w:sz w:val="32"/>
          <w:szCs w:val="32"/>
        </w:rPr>
        <w:t>反映党员干部热衷虚名造政绩、树“形象”，脱离实际，脱离群众；买官卖官，任人唯亲，违规提拔干部；插手工程建设项目，为亲属或关系户谋取利益；多占住房、超标配车，公款吃喝旅游，生活奢靡等。</w:t>
      </w:r>
    </w:p>
    <w:p>
      <w:pPr>
        <w:ind w:firstLine="640"/>
        <w:rPr>
          <w:rFonts w:ascii="仿宋" w:hAnsi="仿宋" w:eastAsia="仿宋"/>
          <w:sz w:val="32"/>
          <w:szCs w:val="32"/>
        </w:rPr>
      </w:pPr>
      <w:r>
        <w:rPr>
          <w:rFonts w:hint="eastAsia" w:ascii="楷体" w:hAnsi="楷体" w:eastAsia="楷体"/>
          <w:sz w:val="32"/>
          <w:szCs w:val="32"/>
        </w:rPr>
        <w:t>2、法定途径：</w:t>
      </w:r>
      <w:r>
        <w:rPr>
          <w:rFonts w:hint="eastAsia" w:ascii="仿宋" w:hAnsi="仿宋" w:eastAsia="仿宋"/>
          <w:sz w:val="32"/>
          <w:szCs w:val="32"/>
        </w:rPr>
        <w:t>纪律检查举报。</w:t>
      </w:r>
    </w:p>
    <w:p>
      <w:pPr>
        <w:ind w:firstLine="640"/>
        <w:rPr>
          <w:rFonts w:ascii="仿宋" w:hAnsi="仿宋" w:eastAsia="仿宋"/>
          <w:sz w:val="32"/>
          <w:szCs w:val="32"/>
        </w:rPr>
      </w:pPr>
      <w:r>
        <w:rPr>
          <w:rFonts w:hint="eastAsia" w:ascii="楷体" w:hAnsi="楷体" w:eastAsia="楷体"/>
          <w:sz w:val="32"/>
          <w:szCs w:val="32"/>
        </w:rPr>
        <w:t>3、主要政策法规依据：</w:t>
      </w:r>
      <w:r>
        <w:rPr>
          <w:rFonts w:hint="eastAsia" w:ascii="仿宋" w:hAnsi="仿宋" w:eastAsia="仿宋"/>
          <w:sz w:val="32"/>
          <w:szCs w:val="32"/>
        </w:rPr>
        <w:t>《中国共产党纪律处分条例》、《中国共产党纪律检查机关控告申诉工作条例》、《党政领导干部选拔任用工作条例》等。</w:t>
      </w:r>
    </w:p>
    <w:p>
      <w:pPr>
        <w:ind w:firstLine="640"/>
        <w:rPr>
          <w:rFonts w:ascii="仿宋" w:hAnsi="仿宋" w:eastAsia="仿宋"/>
          <w:sz w:val="32"/>
          <w:szCs w:val="32"/>
        </w:rPr>
      </w:pPr>
      <w:r>
        <w:rPr>
          <w:rFonts w:hint="eastAsia" w:ascii="仿宋" w:hAnsi="仿宋" w:eastAsia="仿宋"/>
          <w:sz w:val="32"/>
          <w:szCs w:val="32"/>
        </w:rPr>
        <w:t>三、信息公开类投诉请求</w:t>
      </w:r>
    </w:p>
    <w:p>
      <w:pPr>
        <w:ind w:firstLine="640"/>
        <w:rPr>
          <w:rFonts w:ascii="仿宋" w:hAnsi="仿宋" w:eastAsia="仿宋"/>
          <w:sz w:val="32"/>
          <w:szCs w:val="32"/>
        </w:rPr>
      </w:pPr>
      <w:r>
        <w:rPr>
          <w:rFonts w:hint="eastAsia" w:ascii="仿宋" w:hAnsi="仿宋" w:eastAsia="仿宋"/>
          <w:sz w:val="32"/>
          <w:szCs w:val="32"/>
        </w:rPr>
        <w:t>政府信息公开，是指行政机关应公民、法人或其他组织的申请，依法公开由其在履职过程中制定或者获取的，以一定形式记录、保存的信息。</w:t>
      </w:r>
    </w:p>
    <w:p>
      <w:pPr>
        <w:ind w:firstLine="640"/>
        <w:rPr>
          <w:rFonts w:ascii="仿宋" w:hAnsi="仿宋" w:eastAsia="仿宋"/>
          <w:sz w:val="32"/>
          <w:szCs w:val="32"/>
        </w:rPr>
      </w:pPr>
      <w:r>
        <w:rPr>
          <w:rFonts w:hint="eastAsia" w:ascii="仿宋" w:hAnsi="仿宋" w:eastAsia="仿宋"/>
          <w:sz w:val="32"/>
          <w:szCs w:val="32"/>
        </w:rPr>
        <w:t>（一）申请信息公开的，根据《中华人民共和国政府信息公开条例》第4条规定，应向各级人民政府及县级以上人民政府部门信息公开工作机构提出。</w:t>
      </w:r>
    </w:p>
    <w:p>
      <w:pPr>
        <w:ind w:firstLine="640"/>
        <w:rPr>
          <w:rFonts w:ascii="仿宋" w:hAnsi="仿宋" w:eastAsia="仿宋"/>
          <w:sz w:val="32"/>
          <w:szCs w:val="32"/>
        </w:rPr>
      </w:pPr>
      <w:r>
        <w:rPr>
          <w:rFonts w:hint="eastAsia" w:ascii="仿宋" w:hAnsi="仿宋" w:eastAsia="仿宋"/>
          <w:sz w:val="32"/>
          <w:szCs w:val="32"/>
        </w:rPr>
        <w:t>（二）认为行政机关不依法履行政府信息公开义务的，根据《中华人民共和国政府信息公开条例》第33条第1款规定，可以向上级行政机关、监察机关或者政府信息公开工作主管部门举报。</w:t>
      </w:r>
    </w:p>
    <w:p>
      <w:pPr>
        <w:ind w:firstLine="640"/>
      </w:pPr>
      <w:r>
        <w:rPr>
          <w:rFonts w:hint="eastAsia" w:ascii="仿宋" w:hAnsi="仿宋" w:eastAsia="仿宋"/>
          <w:sz w:val="32"/>
          <w:szCs w:val="32"/>
        </w:rPr>
        <w:t>（三）认为行政机关在政府信息公开工作中的具体行政行为侵犯其合法权益的，根据《中华人民共和国政府信息公开条例》第33条第2款规定，可以依法申请行政复议或者行政诉讼。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706B"/>
    <w:rsid w:val="00220756"/>
    <w:rsid w:val="0028763E"/>
    <w:rsid w:val="00432372"/>
    <w:rsid w:val="00484BB0"/>
    <w:rsid w:val="00497609"/>
    <w:rsid w:val="00552B99"/>
    <w:rsid w:val="00566F70"/>
    <w:rsid w:val="005D03F4"/>
    <w:rsid w:val="006A5382"/>
    <w:rsid w:val="007A75F2"/>
    <w:rsid w:val="007D2A12"/>
    <w:rsid w:val="007D67A0"/>
    <w:rsid w:val="008653DA"/>
    <w:rsid w:val="008C2505"/>
    <w:rsid w:val="00956BE9"/>
    <w:rsid w:val="0096706B"/>
    <w:rsid w:val="00A176B8"/>
    <w:rsid w:val="00AD6219"/>
    <w:rsid w:val="00AF28FE"/>
    <w:rsid w:val="00B7203F"/>
    <w:rsid w:val="00B91A74"/>
    <w:rsid w:val="00D02265"/>
    <w:rsid w:val="00D719E5"/>
    <w:rsid w:val="00DD75A6"/>
    <w:rsid w:val="00E418AA"/>
    <w:rsid w:val="00EA5A17"/>
    <w:rsid w:val="00F94F0C"/>
    <w:rsid w:val="00F97197"/>
    <w:rsid w:val="11200BEF"/>
    <w:rsid w:val="367D10BA"/>
    <w:rsid w:val="47032218"/>
    <w:rsid w:val="4E356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886</Words>
  <Characters>5055</Characters>
  <Lines>42</Lines>
  <Paragraphs>11</Paragraphs>
  <TotalTime>387</TotalTime>
  <ScaleCrop>false</ScaleCrop>
  <LinksUpToDate>false</LinksUpToDate>
  <CharactersWithSpaces>5930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2016-03-14T00:54:00Z</dcterms:created>
  <dc:creator>Xinan</dc:creator>
  <cp:lastModifiedBy>贾瑛</cp:lastModifiedBy>
  <dcterms:modified xsi:type="dcterms:W3CDTF">2021-01-23T09:31:12Z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