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adjustRightInd w:val="0"/>
        <w:snapToGrid w:val="0"/>
        <w:jc w:val="center"/>
        <w:outlineLvl w:val="0"/>
        <w:rPr>
          <w:rFonts w:asciiTheme="minorEastAsia" w:hAnsiTheme="minorEastAsia" w:eastAsiaTheme="minorEastAsia"/>
          <w:b/>
          <w:bCs/>
          <w:sz w:val="72"/>
          <w:szCs w:val="72"/>
        </w:rPr>
      </w:pPr>
      <w:r>
        <w:rPr>
          <w:rFonts w:hint="eastAsia" w:asciiTheme="minorEastAsia" w:hAnsiTheme="minorEastAsia" w:eastAsiaTheme="minorEastAsia"/>
          <w:b/>
          <w:bCs/>
          <w:sz w:val="72"/>
          <w:szCs w:val="72"/>
        </w:rPr>
        <w:t>建设项目环境影响报告表</w:t>
      </w:r>
    </w:p>
    <w:p>
      <w:pPr>
        <w:adjustRightInd w:val="0"/>
        <w:snapToGrid w:val="0"/>
        <w:spacing w:before="192" w:beforeLines="80"/>
        <w:jc w:val="center"/>
        <w:rPr>
          <w:rFonts w:asciiTheme="minorEastAsia" w:hAnsiTheme="minorEastAsia" w:eastAsiaTheme="minorEastAsia"/>
          <w:b/>
          <w:bCs/>
          <w:sz w:val="48"/>
          <w:szCs w:val="48"/>
        </w:rPr>
      </w:pPr>
      <w:r>
        <w:rPr>
          <w:rFonts w:hint="eastAsia" w:asciiTheme="minorEastAsia" w:hAnsiTheme="minorEastAsia" w:eastAsiaTheme="minorEastAsia"/>
          <w:b/>
          <w:bCs/>
          <w:sz w:val="48"/>
          <w:szCs w:val="48"/>
        </w:rPr>
        <w:t>(污染影响类)</w:t>
      </w: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项目名称：</w:t>
      </w:r>
      <w:r>
        <w:rPr>
          <w:rFonts w:hint="eastAsia" w:asciiTheme="minorEastAsia" w:hAnsiTheme="minorEastAsia" w:eastAsiaTheme="minorEastAsia"/>
          <w:b/>
          <w:sz w:val="32"/>
          <w:szCs w:val="36"/>
          <w:u w:val="single"/>
        </w:rPr>
        <w:t>临县大禹乡生活污水收集管网和污水处理站建设工程</w:t>
      </w:r>
    </w:p>
    <w:p>
      <w:pPr>
        <w:adjustRightInd w:val="0"/>
        <w:snapToGrid w:val="0"/>
        <w:spacing w:line="900" w:lineRule="exact"/>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建设单位(盖章)：</w:t>
      </w:r>
      <w:r>
        <w:rPr>
          <w:rFonts w:hint="eastAsia" w:asciiTheme="minorEastAsia" w:hAnsiTheme="minorEastAsia" w:eastAsiaTheme="minorEastAsia"/>
          <w:b/>
          <w:sz w:val="32"/>
          <w:szCs w:val="36"/>
          <w:u w:val="single"/>
        </w:rPr>
        <w:t>吕梁市生态环境局临县分局</w:t>
      </w:r>
    </w:p>
    <w:p>
      <w:pPr>
        <w:adjustRightInd w:val="0"/>
        <w:snapToGrid w:val="0"/>
        <w:spacing w:line="900" w:lineRule="exact"/>
        <w:jc w:val="cente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编制日期：</w:t>
      </w:r>
      <w:r>
        <w:rPr>
          <w:rFonts w:hint="eastAsia" w:asciiTheme="minorEastAsia" w:hAnsiTheme="minorEastAsia" w:eastAsiaTheme="minorEastAsia"/>
          <w:b/>
          <w:sz w:val="32"/>
          <w:szCs w:val="36"/>
          <w:u w:val="single"/>
        </w:rPr>
        <w:t>202</w:t>
      </w:r>
      <w:r>
        <w:rPr>
          <w:rFonts w:asciiTheme="minorEastAsia" w:hAnsiTheme="minorEastAsia" w:eastAsiaTheme="minorEastAsia"/>
          <w:b/>
          <w:sz w:val="32"/>
          <w:szCs w:val="36"/>
          <w:u w:val="single"/>
        </w:rPr>
        <w:t>3.02</w:t>
      </w:r>
    </w:p>
    <w:p>
      <w:pPr>
        <w:adjustRightInd w:val="0"/>
        <w:snapToGrid w:val="0"/>
        <w:spacing w:line="600" w:lineRule="exact"/>
        <w:ind w:firstLine="1040"/>
        <w:rPr>
          <w:rFonts w:asciiTheme="minorEastAsia" w:hAnsiTheme="minorEastAsia" w:eastAsiaTheme="minorEastAsia"/>
          <w:b/>
          <w:sz w:val="36"/>
          <w:szCs w:val="36"/>
          <w:u w:val="single"/>
        </w:rPr>
      </w:pPr>
      <w:bookmarkStart w:id="0" w:name="_Hlk57884087"/>
    </w:p>
    <w:bookmarkEnd w:id="0"/>
    <w:p>
      <w:pPr>
        <w:adjustRightInd w:val="0"/>
        <w:snapToGrid w:val="0"/>
        <w:spacing w:line="600" w:lineRule="exact"/>
        <w:jc w:val="center"/>
        <w:rPr>
          <w:rFonts w:hint="eastAsia" w:asciiTheme="minorEastAsia" w:hAnsiTheme="minorEastAsia" w:eastAsiaTheme="minorEastAsia"/>
          <w:b/>
          <w:sz w:val="36"/>
          <w:szCs w:val="36"/>
        </w:rPr>
      </w:pPr>
      <w:r>
        <w:rPr>
          <w:rFonts w:hint="eastAsia" w:asciiTheme="minorEastAsia" w:hAnsiTheme="minorEastAsia" w:eastAsiaTheme="minorEastAsia"/>
          <w:b/>
          <w:sz w:val="36"/>
          <w:szCs w:val="36"/>
        </w:rPr>
        <w:t>中华人民共和国生态环境部制</w:t>
      </w:r>
    </w:p>
    <w:p>
      <w:pPr>
        <w:adjustRightInd w:val="0"/>
        <w:snapToGrid w:val="0"/>
        <w:spacing w:line="600" w:lineRule="exact"/>
        <w:jc w:val="center"/>
        <w:rPr>
          <w:rFonts w:hint="eastAsia" w:asciiTheme="minorEastAsia" w:hAnsiTheme="minorEastAsia" w:eastAsiaTheme="minorEastAsia"/>
          <w:b/>
          <w:sz w:val="36"/>
          <w:szCs w:val="36"/>
        </w:rPr>
      </w:pPr>
    </w:p>
    <w:p>
      <w:pPr>
        <w:adjustRightInd w:val="0"/>
        <w:snapToGrid w:val="0"/>
        <w:spacing w:line="600" w:lineRule="exact"/>
        <w:jc w:val="center"/>
        <w:rPr>
          <w:rFonts w:hint="eastAsia" w:asciiTheme="minorEastAsia" w:hAnsiTheme="minorEastAsia" w:eastAsiaTheme="minorEastAsia"/>
          <w:b/>
          <w:sz w:val="36"/>
          <w:szCs w:val="36"/>
        </w:rPr>
      </w:pPr>
    </w:p>
    <w:p>
      <w:pPr>
        <w:adjustRightInd w:val="0"/>
        <w:snapToGrid w:val="0"/>
        <w:spacing w:line="600" w:lineRule="exact"/>
        <w:jc w:val="center"/>
        <w:rPr>
          <w:rFonts w:hint="eastAsia" w:asciiTheme="minorEastAsia" w:hAnsiTheme="minorEastAsia" w:eastAsiaTheme="minorEastAsia"/>
          <w:b/>
          <w:sz w:val="36"/>
          <w:szCs w:val="36"/>
        </w:rPr>
      </w:pPr>
    </w:p>
    <w:p>
      <w:pPr>
        <w:adjustRightInd w:val="0"/>
        <w:snapToGrid w:val="0"/>
        <w:spacing w:line="600" w:lineRule="exact"/>
        <w:jc w:val="center"/>
        <w:rPr>
          <w:rFonts w:hint="eastAsia" w:asciiTheme="minorEastAsia" w:hAnsiTheme="minorEastAsia" w:eastAsiaTheme="minorEastAsia"/>
          <w:b/>
          <w:sz w:val="36"/>
          <w:szCs w:val="36"/>
        </w:rPr>
      </w:pPr>
    </w:p>
    <w:p>
      <w:pPr>
        <w:adjustRightInd w:val="0"/>
        <w:snapToGrid w:val="0"/>
        <w:spacing w:line="240" w:lineRule="auto"/>
        <w:jc w:val="center"/>
        <w:rPr>
          <w:rFonts w:hint="default" w:asciiTheme="minorEastAsia" w:hAnsiTheme="minorEastAsia" w:eastAsiaTheme="minorEastAsia"/>
          <w:b/>
          <w:sz w:val="36"/>
          <w:szCs w:val="36"/>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r>
        <w:rPr>
          <w:rFonts w:hint="default" w:asciiTheme="minorEastAsia" w:hAnsiTheme="minorEastAsia" w:eastAsiaTheme="minorEastAsia"/>
          <w:b/>
          <w:sz w:val="36"/>
          <w:szCs w:val="36"/>
        </w:rPr>
        <w:drawing>
          <wp:inline distT="0" distB="0" distL="114300" distR="114300">
            <wp:extent cx="5833110" cy="7952105"/>
            <wp:effectExtent l="0" t="0" r="8890" b="23495"/>
            <wp:docPr id="29" name="图片 29" descr="资质-大禹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质-大禹乡"/>
                    <pic:cNvPicPr>
                      <a:picLocks noChangeAspect="1"/>
                    </pic:cNvPicPr>
                  </pic:nvPicPr>
                  <pic:blipFill>
                    <a:blip r:embed="rId14"/>
                    <a:stretch>
                      <a:fillRect/>
                    </a:stretch>
                  </pic:blipFill>
                  <pic:spPr>
                    <a:xfrm>
                      <a:off x="0" y="0"/>
                      <a:ext cx="5833110" cy="7952105"/>
                    </a:xfrm>
                    <a:prstGeom prst="rect">
                      <a:avLst/>
                    </a:prstGeom>
                  </pic:spPr>
                </pic:pic>
              </a:graphicData>
            </a:graphic>
          </wp:inline>
        </w:drawing>
      </w:r>
    </w:p>
    <w:p>
      <w:pPr>
        <w:adjustRightInd w:val="0"/>
        <w:snapToGrid w:val="0"/>
        <w:jc w:val="center"/>
        <w:rPr>
          <w:rFonts w:asciiTheme="minorEastAsia" w:hAnsiTheme="minorEastAsia" w:eastAsiaTheme="minorEastAsia"/>
          <w:b/>
          <w:sz w:val="36"/>
          <w:szCs w:val="36"/>
        </w:rPr>
      </w:pPr>
    </w:p>
    <w:p>
      <w:pPr>
        <w:adjustRightInd w:val="0"/>
        <w:snapToGrid w:val="0"/>
        <w:jc w:val="center"/>
        <w:rPr>
          <w:rFonts w:asciiTheme="minorEastAsia" w:hAnsiTheme="minorEastAsia" w:eastAsiaTheme="minorEastAsia"/>
          <w:b/>
          <w:sz w:val="36"/>
          <w:szCs w:val="36"/>
        </w:rPr>
      </w:pPr>
    </w:p>
    <w:p>
      <w:pPr>
        <w:adjustRightInd w:val="0"/>
        <w:snapToGrid w:val="0"/>
        <w:jc w:val="center"/>
        <w:rPr>
          <w:rFonts w:asciiTheme="minorEastAsia" w:hAnsiTheme="minorEastAsia" w:eastAsiaTheme="minorEastAsia"/>
          <w:b/>
          <w:sz w:val="36"/>
          <w:szCs w:val="36"/>
        </w:rPr>
      </w:pPr>
    </w:p>
    <w:p>
      <w:pPr>
        <w:adjustRightInd w:val="0"/>
        <w:snapToGrid w:val="0"/>
        <w:jc w:val="center"/>
        <w:rPr>
          <w:rFonts w:asciiTheme="minorEastAsia" w:hAnsiTheme="minorEastAsia" w:eastAsiaTheme="minorEastAsia"/>
          <w:b/>
          <w:sz w:val="36"/>
          <w:szCs w:val="36"/>
        </w:rPr>
      </w:pPr>
      <w:r>
        <w:rPr>
          <w:rFonts w:hint="default" w:cs="仿宋_GB2312" w:asciiTheme="minorEastAsia" w:hAnsiTheme="minorEastAsia" w:eastAsiaTheme="minorEastAsia"/>
          <w:color w:val="FF0000"/>
          <w:sz w:val="36"/>
          <w:szCs w:val="36"/>
        </w:rPr>
        <w:drawing>
          <wp:inline distT="0" distB="0" distL="114300" distR="114300">
            <wp:extent cx="5759450" cy="7920990"/>
            <wp:effectExtent l="0" t="0" r="6350" b="3810"/>
            <wp:docPr id="27" name="图片 27" descr="工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工程师"/>
                    <pic:cNvPicPr>
                      <a:picLocks noChangeAspect="1"/>
                    </pic:cNvPicPr>
                  </pic:nvPicPr>
                  <pic:blipFill>
                    <a:blip r:embed="rId15"/>
                    <a:stretch>
                      <a:fillRect/>
                    </a:stretch>
                  </pic:blipFill>
                  <pic:spPr>
                    <a:xfrm>
                      <a:off x="0" y="0"/>
                      <a:ext cx="5759450" cy="7920990"/>
                    </a:xfrm>
                    <a:prstGeom prst="rect">
                      <a:avLst/>
                    </a:prstGeom>
                  </pic:spPr>
                </pic:pic>
              </a:graphicData>
            </a:graphic>
          </wp:inline>
        </w:drawing>
      </w:r>
    </w:p>
    <w:p>
      <w:pPr>
        <w:adjustRightInd w:val="0"/>
        <w:snapToGrid w:val="0"/>
        <w:jc w:val="center"/>
        <w:rPr>
          <w:rFonts w:asciiTheme="minorEastAsia" w:hAnsiTheme="minorEastAsia" w:eastAsiaTheme="minorEastAsia"/>
          <w:b/>
          <w:sz w:val="36"/>
          <w:szCs w:val="36"/>
        </w:rPr>
      </w:pPr>
      <w:r>
        <w:rPr>
          <w:rFonts w:asciiTheme="minorEastAsia" w:hAnsiTheme="minorEastAsia" w:eastAsiaTheme="minorEastAsia"/>
          <w:b/>
          <w:sz w:val="36"/>
          <w:szCs w:val="36"/>
        </w:rPr>
        <w:pict>
          <v:shape id="_x0000_i1025" o:spt="75" type="#_x0000_t75" style="height:640.55pt;width:454.35pt;" filled="f" o:preferrelative="t" stroked="f" coordsize="21600,21600">
            <v:path/>
            <v:fill on="f" focussize="0,0"/>
            <v:stroke on="f" joinstyle="miter"/>
            <v:imagedata r:id="rId16" o:title="02 附图 2.14_页面_1"/>
            <o:lock v:ext="edit" aspectratio="t"/>
            <w10:wrap type="none"/>
            <w10:anchorlock/>
          </v:shape>
        </w:pict>
      </w:r>
    </w:p>
    <w:p>
      <w:pPr>
        <w:adjustRightInd w:val="0"/>
        <w:snapToGrid w:val="0"/>
        <w:jc w:val="center"/>
        <w:rPr>
          <w:rFonts w:asciiTheme="minorEastAsia" w:hAnsiTheme="minorEastAsia" w:eastAsiaTheme="minorEastAsia"/>
          <w:b/>
          <w:sz w:val="36"/>
          <w:szCs w:val="36"/>
        </w:rPr>
        <w:sectPr>
          <w:pgSz w:w="11906" w:h="16838"/>
          <w:pgMar w:top="1418" w:right="1418" w:bottom="1418" w:left="1418" w:header="851" w:footer="1077" w:gutter="0"/>
          <w:pgNumType w:start="3"/>
          <w:cols w:space="720" w:num="1"/>
          <w:docGrid w:linePitch="312" w:charSpace="0"/>
        </w:sectPr>
      </w:pPr>
    </w:p>
    <w:p>
      <w:pPr>
        <w:spacing w:line="600" w:lineRule="exact"/>
        <w:jc w:val="center"/>
        <w:rPr>
          <w:b/>
          <w:sz w:val="28"/>
          <w:szCs w:val="21"/>
        </w:rPr>
      </w:pPr>
      <w:r>
        <w:rPr>
          <w:rFonts w:hint="eastAsia"/>
          <w:b/>
          <w:sz w:val="28"/>
          <w:szCs w:val="21"/>
        </w:rPr>
        <w:t>临县大禹乡生活污水收集管网和污水处理站建设工程</w:t>
      </w:r>
    </w:p>
    <w:p>
      <w:pPr>
        <w:spacing w:line="600" w:lineRule="exact"/>
        <w:jc w:val="center"/>
        <w:rPr>
          <w:b/>
          <w:sz w:val="28"/>
          <w:szCs w:val="21"/>
        </w:rPr>
      </w:pPr>
      <w:r>
        <w:rPr>
          <w:rFonts w:hint="eastAsia"/>
          <w:b/>
          <w:sz w:val="28"/>
          <w:szCs w:val="21"/>
        </w:rPr>
        <w:t>环境影响报告表修改说明</w:t>
      </w:r>
    </w:p>
    <w:p>
      <w:pPr>
        <w:spacing w:line="500" w:lineRule="exact"/>
        <w:ind w:firstLine="480" w:firstLineChars="200"/>
        <w:rPr>
          <w:sz w:val="24"/>
        </w:rPr>
      </w:pPr>
      <w:r>
        <w:rPr>
          <w:rFonts w:hint="eastAsia"/>
          <w:sz w:val="24"/>
        </w:rPr>
        <w:t>202</w:t>
      </w:r>
      <w:r>
        <w:rPr>
          <w:sz w:val="24"/>
        </w:rPr>
        <w:t>3</w:t>
      </w:r>
      <w:r>
        <w:rPr>
          <w:rFonts w:hint="eastAsia"/>
          <w:sz w:val="24"/>
        </w:rPr>
        <w:t>年</w:t>
      </w:r>
      <w:r>
        <w:rPr>
          <w:sz w:val="24"/>
        </w:rPr>
        <w:t>2</w:t>
      </w:r>
      <w:r>
        <w:rPr>
          <w:rFonts w:hint="eastAsia"/>
          <w:sz w:val="24"/>
        </w:rPr>
        <w:t>月</w:t>
      </w:r>
      <w:r>
        <w:rPr>
          <w:sz w:val="24"/>
        </w:rPr>
        <w:t>7</w:t>
      </w:r>
      <w:r>
        <w:rPr>
          <w:rFonts w:hint="eastAsia"/>
          <w:sz w:val="24"/>
        </w:rPr>
        <w:t>日，吕梁市生态环境局临县分局在吕梁市离石区</w:t>
      </w:r>
      <w:r>
        <w:rPr>
          <w:sz w:val="24"/>
        </w:rPr>
        <w:t>组织召开了</w:t>
      </w:r>
      <w:r>
        <w:rPr>
          <w:rFonts w:hint="eastAsia"/>
          <w:sz w:val="24"/>
        </w:rPr>
        <w:t>《</w:t>
      </w:r>
      <w:r>
        <w:rPr>
          <w:rFonts w:hint="eastAsia" w:cs="宋体"/>
          <w:sz w:val="24"/>
        </w:rPr>
        <w:t>临县大禹乡生活污水收集管网和污水处理站建设工程</w:t>
      </w:r>
      <w:r>
        <w:rPr>
          <w:rFonts w:hint="eastAsia"/>
          <w:sz w:val="24"/>
        </w:rPr>
        <w:t>环境影响报告表》技术审查会，会上专家和审查人员对报告表进行了认真的讨论和评审，提出了技术审查意见。会后，我们根据技术审查意见进行了修改，修改情况如下</w:t>
      </w:r>
      <w:r>
        <w:rPr>
          <w:sz w:val="24"/>
        </w:rPr>
        <w:t>：</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887"/>
        <w:gridCol w:w="4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序号</w:t>
            </w:r>
          </w:p>
        </w:tc>
        <w:tc>
          <w:tcPr>
            <w:tcW w:w="2093" w:type="pct"/>
          </w:tcPr>
          <w:p>
            <w:pPr>
              <w:spacing w:line="340" w:lineRule="exact"/>
              <w:jc w:val="center"/>
              <w:rPr>
                <w:szCs w:val="21"/>
              </w:rPr>
            </w:pPr>
            <w:r>
              <w:rPr>
                <w:rFonts w:hint="eastAsia"/>
                <w:szCs w:val="21"/>
              </w:rPr>
              <w:t>专家意见</w:t>
            </w:r>
          </w:p>
        </w:tc>
        <w:tc>
          <w:tcPr>
            <w:tcW w:w="2511" w:type="pct"/>
          </w:tcPr>
          <w:p>
            <w:pPr>
              <w:spacing w:line="340" w:lineRule="exact"/>
              <w:jc w:val="center"/>
              <w:rPr>
                <w:szCs w:val="21"/>
              </w:rPr>
            </w:pPr>
            <w:r>
              <w:rPr>
                <w:rFonts w:hint="eastAsia"/>
                <w:szCs w:val="21"/>
              </w:rPr>
              <w:t>修改情况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1</w:t>
            </w:r>
          </w:p>
        </w:tc>
        <w:tc>
          <w:tcPr>
            <w:tcW w:w="2093" w:type="pct"/>
          </w:tcPr>
          <w:p>
            <w:pPr>
              <w:spacing w:line="340" w:lineRule="exact"/>
              <w:rPr>
                <w:szCs w:val="21"/>
              </w:rPr>
            </w:pPr>
            <w:r>
              <w:rPr>
                <w:rFonts w:hint="eastAsia"/>
                <w:szCs w:val="21"/>
              </w:rPr>
              <w:t>细化环境保护目标，补充环境保护目标与项目的相对位置和距离；结合区域规划和环境敏感特征，论述选址的可行性。</w:t>
            </w:r>
          </w:p>
        </w:tc>
        <w:tc>
          <w:tcPr>
            <w:tcW w:w="2511" w:type="pct"/>
          </w:tcPr>
          <w:p>
            <w:pPr>
              <w:spacing w:line="340" w:lineRule="exact"/>
              <w:rPr>
                <w:szCs w:val="21"/>
              </w:rPr>
            </w:pPr>
            <w:r>
              <w:rPr>
                <w:szCs w:val="21"/>
              </w:rPr>
              <w:t>P51-55</w:t>
            </w:r>
            <w:r>
              <w:rPr>
                <w:rFonts w:hint="eastAsia"/>
                <w:szCs w:val="21"/>
              </w:rPr>
              <w:t>细化环境保护目标，补充环境保护目标与项目的相对位置和距离；</w:t>
            </w:r>
          </w:p>
          <w:p>
            <w:pPr>
              <w:spacing w:line="340" w:lineRule="exact"/>
              <w:rPr>
                <w:szCs w:val="21"/>
              </w:rPr>
            </w:pPr>
            <w:r>
              <w:rPr>
                <w:rFonts w:hint="eastAsia"/>
                <w:szCs w:val="21"/>
              </w:rPr>
              <w:t>P</w:t>
            </w:r>
            <w:r>
              <w:rPr>
                <w:szCs w:val="21"/>
              </w:rPr>
              <w:t>9</w:t>
            </w:r>
            <w:r>
              <w:rPr>
                <w:rFonts w:hint="eastAsia"/>
                <w:szCs w:val="21"/>
              </w:rPr>
              <w:t>结合区域规划和环境敏感特征，论述选址的可行性。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szCs w:val="21"/>
              </w:rPr>
              <w:t>P9</w:t>
            </w:r>
          </w:p>
        </w:tc>
        <w:tc>
          <w:tcPr>
            <w:tcW w:w="2093" w:type="pct"/>
          </w:tcPr>
          <w:p>
            <w:pPr>
              <w:spacing w:line="340" w:lineRule="exact"/>
              <w:rPr>
                <w:szCs w:val="21"/>
              </w:rPr>
            </w:pPr>
            <w:r>
              <w:rPr>
                <w:rFonts w:hint="eastAsia"/>
                <w:szCs w:val="21"/>
              </w:rPr>
              <w:t>细化工程建设内容，核实污水处理工艺流程，给出规范的生产工艺流程图，核实、补充主要生产工艺参数；核实臭气处理工艺和技术参数；完善厂区平面布置。</w:t>
            </w:r>
          </w:p>
        </w:tc>
        <w:tc>
          <w:tcPr>
            <w:tcW w:w="2511" w:type="pct"/>
          </w:tcPr>
          <w:p>
            <w:pPr>
              <w:spacing w:line="340" w:lineRule="exact"/>
              <w:rPr>
                <w:szCs w:val="21"/>
              </w:rPr>
            </w:pPr>
            <w:r>
              <w:rPr>
                <w:rFonts w:hint="eastAsia"/>
                <w:szCs w:val="21"/>
              </w:rPr>
              <w:t>P</w:t>
            </w:r>
            <w:r>
              <w:rPr>
                <w:szCs w:val="21"/>
              </w:rPr>
              <w:t>12-13</w:t>
            </w:r>
            <w:r>
              <w:rPr>
                <w:rFonts w:hint="eastAsia"/>
                <w:szCs w:val="21"/>
              </w:rPr>
              <w:t>细化工程建设内容</w:t>
            </w:r>
          </w:p>
          <w:p>
            <w:pPr>
              <w:spacing w:line="340" w:lineRule="exact"/>
              <w:rPr>
                <w:szCs w:val="21"/>
              </w:rPr>
            </w:pPr>
            <w:r>
              <w:rPr>
                <w:rFonts w:hint="eastAsia"/>
                <w:szCs w:val="21"/>
              </w:rPr>
              <w:t>P</w:t>
            </w:r>
            <w:r>
              <w:rPr>
                <w:szCs w:val="21"/>
              </w:rPr>
              <w:t xml:space="preserve">31 </w:t>
            </w:r>
            <w:r>
              <w:rPr>
                <w:rFonts w:hint="eastAsia"/>
                <w:szCs w:val="21"/>
              </w:rPr>
              <w:t>核实污水处理工艺流程</w:t>
            </w:r>
          </w:p>
          <w:p>
            <w:pPr>
              <w:spacing w:line="340" w:lineRule="exact"/>
              <w:rPr>
                <w:szCs w:val="21"/>
              </w:rPr>
            </w:pPr>
            <w:r>
              <w:rPr>
                <w:rFonts w:hint="eastAsia"/>
                <w:szCs w:val="21"/>
              </w:rPr>
              <w:t>P</w:t>
            </w:r>
            <w:r>
              <w:rPr>
                <w:szCs w:val="21"/>
              </w:rPr>
              <w:t>40-42</w:t>
            </w:r>
            <w:r>
              <w:rPr>
                <w:rFonts w:hint="eastAsia"/>
                <w:szCs w:val="21"/>
              </w:rPr>
              <w:t>给出规范的生产工艺流程图，</w:t>
            </w:r>
          </w:p>
          <w:p>
            <w:pPr>
              <w:spacing w:line="340" w:lineRule="exact"/>
              <w:rPr>
                <w:szCs w:val="21"/>
              </w:rPr>
            </w:pPr>
            <w:r>
              <w:rPr>
                <w:szCs w:val="21"/>
              </w:rPr>
              <w:t>P17-18</w:t>
            </w:r>
            <w:r>
              <w:rPr>
                <w:rFonts w:hint="eastAsia"/>
                <w:szCs w:val="21"/>
              </w:rPr>
              <w:t>、P</w:t>
            </w:r>
            <w:r>
              <w:rPr>
                <w:szCs w:val="21"/>
              </w:rPr>
              <w:t>41</w:t>
            </w:r>
            <w:r>
              <w:rPr>
                <w:rFonts w:hint="eastAsia"/>
                <w:szCs w:val="21"/>
              </w:rPr>
              <w:t>核实、补充主要生产工艺参数</w:t>
            </w:r>
          </w:p>
          <w:p>
            <w:pPr>
              <w:spacing w:line="340" w:lineRule="exact"/>
              <w:rPr>
                <w:szCs w:val="21"/>
              </w:rPr>
            </w:pPr>
            <w:r>
              <w:rPr>
                <w:rFonts w:hint="eastAsia"/>
                <w:szCs w:val="21"/>
              </w:rPr>
              <w:t>P</w:t>
            </w:r>
            <w:r>
              <w:rPr>
                <w:szCs w:val="21"/>
              </w:rPr>
              <w:t>31-63</w:t>
            </w:r>
            <w:r>
              <w:rPr>
                <w:rFonts w:hint="eastAsia"/>
                <w:szCs w:val="21"/>
              </w:rPr>
              <w:t>核实臭气处理工艺和技术参数</w:t>
            </w:r>
          </w:p>
          <w:p>
            <w:pPr>
              <w:spacing w:line="340" w:lineRule="exact"/>
              <w:rPr>
                <w:szCs w:val="21"/>
              </w:rPr>
            </w:pPr>
            <w:r>
              <w:rPr>
                <w:rFonts w:hint="eastAsia"/>
                <w:szCs w:val="21"/>
              </w:rPr>
              <w:t>附图2</w:t>
            </w:r>
            <w:r>
              <w:rPr>
                <w:szCs w:val="21"/>
              </w:rPr>
              <w:t xml:space="preserve">  </w:t>
            </w:r>
            <w:r>
              <w:rPr>
                <w:rFonts w:hint="eastAsia"/>
                <w:szCs w:val="21"/>
              </w:rPr>
              <w:t>完善厂区平面图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3</w:t>
            </w:r>
          </w:p>
        </w:tc>
        <w:tc>
          <w:tcPr>
            <w:tcW w:w="2093" w:type="pct"/>
          </w:tcPr>
          <w:p>
            <w:pPr>
              <w:spacing w:line="340" w:lineRule="exact"/>
              <w:rPr>
                <w:szCs w:val="21"/>
              </w:rPr>
            </w:pPr>
            <w:r>
              <w:rPr>
                <w:rFonts w:hint="eastAsia"/>
                <w:szCs w:val="21"/>
              </w:rPr>
              <w:t>核实水平衡，分析污水处理方案的可靠性；细化分区防渗要求；完善地表水系图。</w:t>
            </w:r>
          </w:p>
        </w:tc>
        <w:tc>
          <w:tcPr>
            <w:tcW w:w="2511" w:type="pct"/>
          </w:tcPr>
          <w:p>
            <w:pPr>
              <w:spacing w:line="340" w:lineRule="exact"/>
              <w:rPr>
                <w:szCs w:val="21"/>
              </w:rPr>
            </w:pPr>
            <w:r>
              <w:rPr>
                <w:rFonts w:hint="eastAsia"/>
                <w:szCs w:val="21"/>
              </w:rPr>
              <w:t>P</w:t>
            </w:r>
            <w:r>
              <w:rPr>
                <w:szCs w:val="21"/>
              </w:rPr>
              <w:t>36-37</w:t>
            </w:r>
            <w:r>
              <w:rPr>
                <w:rFonts w:hint="eastAsia"/>
                <w:szCs w:val="21"/>
              </w:rPr>
              <w:t>核实水平衡</w:t>
            </w:r>
          </w:p>
          <w:p>
            <w:pPr>
              <w:spacing w:line="340" w:lineRule="exact"/>
              <w:rPr>
                <w:szCs w:val="21"/>
              </w:rPr>
            </w:pPr>
            <w:r>
              <w:rPr>
                <w:rFonts w:hint="eastAsia"/>
                <w:szCs w:val="21"/>
              </w:rPr>
              <w:t>P</w:t>
            </w:r>
            <w:r>
              <w:rPr>
                <w:szCs w:val="21"/>
              </w:rPr>
              <w:t>16-18</w:t>
            </w:r>
            <w:r>
              <w:rPr>
                <w:rFonts w:hint="eastAsia"/>
                <w:szCs w:val="21"/>
              </w:rPr>
              <w:t>分析污水处理方案的可靠性</w:t>
            </w:r>
          </w:p>
          <w:p>
            <w:pPr>
              <w:spacing w:line="340" w:lineRule="exact"/>
              <w:rPr>
                <w:szCs w:val="21"/>
              </w:rPr>
            </w:pPr>
            <w:r>
              <w:rPr>
                <w:rFonts w:hint="eastAsia"/>
                <w:szCs w:val="21"/>
              </w:rPr>
              <w:t>P</w:t>
            </w:r>
            <w:r>
              <w:rPr>
                <w:szCs w:val="21"/>
              </w:rPr>
              <w:t>70</w:t>
            </w:r>
            <w:r>
              <w:rPr>
                <w:rFonts w:hint="eastAsia"/>
                <w:szCs w:val="21"/>
              </w:rPr>
              <w:t>细化分区防渗要求</w:t>
            </w:r>
          </w:p>
          <w:p>
            <w:pPr>
              <w:spacing w:line="340" w:lineRule="exact"/>
              <w:rPr>
                <w:szCs w:val="21"/>
              </w:rPr>
            </w:pPr>
            <w:r>
              <w:rPr>
                <w:rFonts w:hint="eastAsia"/>
                <w:szCs w:val="21"/>
              </w:rPr>
              <w:t>附图5</w:t>
            </w:r>
            <w:r>
              <w:rPr>
                <w:szCs w:val="21"/>
              </w:rPr>
              <w:t xml:space="preserve"> </w:t>
            </w:r>
            <w:r>
              <w:rPr>
                <w:rFonts w:hint="eastAsia"/>
                <w:szCs w:val="21"/>
              </w:rPr>
              <w:t>完善地表水系图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4</w:t>
            </w:r>
          </w:p>
        </w:tc>
        <w:tc>
          <w:tcPr>
            <w:tcW w:w="2093" w:type="pct"/>
          </w:tcPr>
          <w:p>
            <w:pPr>
              <w:spacing w:line="340" w:lineRule="exact"/>
              <w:rPr>
                <w:szCs w:val="21"/>
              </w:rPr>
            </w:pPr>
            <w:r>
              <w:rPr>
                <w:rFonts w:hint="eastAsia"/>
                <w:szCs w:val="21"/>
              </w:rPr>
              <w:t>核实固废产生量；明确固废属性，细化固废暂存设施设置要求。</w:t>
            </w:r>
          </w:p>
        </w:tc>
        <w:tc>
          <w:tcPr>
            <w:tcW w:w="2511" w:type="pct"/>
          </w:tcPr>
          <w:p>
            <w:pPr>
              <w:spacing w:line="340" w:lineRule="exact"/>
              <w:rPr>
                <w:szCs w:val="21"/>
              </w:rPr>
            </w:pPr>
            <w:r>
              <w:rPr>
                <w:rFonts w:hint="eastAsia"/>
                <w:szCs w:val="21"/>
              </w:rPr>
              <w:t>P</w:t>
            </w:r>
            <w:r>
              <w:rPr>
                <w:szCs w:val="21"/>
              </w:rPr>
              <w:t xml:space="preserve">65-69 </w:t>
            </w:r>
            <w:r>
              <w:rPr>
                <w:rFonts w:hint="eastAsia"/>
                <w:szCs w:val="21"/>
              </w:rPr>
              <w:t>核实固废产生量；明确固废属性，细化固废暂存设施设置要求。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5</w:t>
            </w:r>
          </w:p>
        </w:tc>
        <w:tc>
          <w:tcPr>
            <w:tcW w:w="2093" w:type="pct"/>
          </w:tcPr>
          <w:p>
            <w:pPr>
              <w:spacing w:line="340" w:lineRule="exact"/>
              <w:rPr>
                <w:szCs w:val="21"/>
              </w:rPr>
            </w:pPr>
            <w:r>
              <w:rPr>
                <w:rFonts w:hint="eastAsia"/>
                <w:szCs w:val="21"/>
              </w:rPr>
              <w:t>细化环境保护措施监督检查清单，明确污染物排放管理要求。</w:t>
            </w:r>
          </w:p>
        </w:tc>
        <w:tc>
          <w:tcPr>
            <w:tcW w:w="2511" w:type="pct"/>
          </w:tcPr>
          <w:p>
            <w:pPr>
              <w:spacing w:line="340" w:lineRule="exact"/>
              <w:rPr>
                <w:szCs w:val="21"/>
              </w:rPr>
            </w:pPr>
            <w:r>
              <w:rPr>
                <w:rFonts w:hint="eastAsia"/>
                <w:szCs w:val="21"/>
              </w:rPr>
              <w:t>P</w:t>
            </w:r>
            <w:r>
              <w:rPr>
                <w:szCs w:val="21"/>
              </w:rPr>
              <w:t xml:space="preserve">72-73 </w:t>
            </w:r>
            <w:r>
              <w:rPr>
                <w:rFonts w:hint="eastAsia"/>
                <w:szCs w:val="21"/>
              </w:rPr>
              <w:t>细化环境保护措施监督检查清单，明确污染物排放管理要求。</w:t>
            </w:r>
          </w:p>
        </w:tc>
      </w:tr>
    </w:tbl>
    <w:p/>
    <w:p>
      <w:pPr>
        <w:adjustRightInd w:val="0"/>
        <w:snapToGrid w:val="0"/>
        <w:jc w:val="center"/>
        <w:rPr>
          <w:rFonts w:asciiTheme="minorEastAsia" w:hAnsiTheme="minorEastAsia" w:eastAsiaTheme="minorEastAsia"/>
          <w:b/>
          <w:sz w:val="36"/>
          <w:szCs w:val="36"/>
        </w:rPr>
      </w:pPr>
    </w:p>
    <w:p>
      <w:pPr>
        <w:adjustRightInd w:val="0"/>
        <w:snapToGrid w:val="0"/>
        <w:jc w:val="center"/>
        <w:rPr>
          <w:rFonts w:asciiTheme="minorEastAsia" w:hAnsiTheme="minorEastAsia" w:eastAsiaTheme="minorEastAsia"/>
          <w:b/>
          <w:sz w:val="36"/>
          <w:szCs w:val="36"/>
        </w:rPr>
      </w:pPr>
    </w:p>
    <w:p>
      <w:pPr>
        <w:adjustRightInd w:val="0"/>
        <w:snapToGrid w:val="0"/>
        <w:spacing w:line="288" w:lineRule="auto"/>
        <w:ind w:firstLine="1040"/>
        <w:rPr>
          <w:rFonts w:asciiTheme="minorEastAsia" w:hAnsiTheme="minorEastAsia" w:eastAsiaTheme="minorEastAsia"/>
          <w:color w:val="FF0000"/>
          <w:sz w:val="36"/>
          <w:szCs w:val="36"/>
        </w:rPr>
        <w:sectPr>
          <w:pgSz w:w="11906" w:h="16838"/>
          <w:pgMar w:top="1418" w:right="1418" w:bottom="1418" w:left="1418" w:header="851" w:footer="1077" w:gutter="0"/>
          <w:pgNumType w:start="3"/>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一、建设项目基本情况</w:t>
      </w:r>
    </w:p>
    <w:tbl>
      <w:tblPr>
        <w:tblStyle w:val="2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1276"/>
        <w:gridCol w:w="1843"/>
        <w:gridCol w:w="1276"/>
        <w:gridCol w:w="7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建设项目名称</w:t>
            </w:r>
          </w:p>
        </w:tc>
        <w:tc>
          <w:tcPr>
            <w:tcW w:w="6470" w:type="dxa"/>
            <w:gridSpan w:val="4"/>
            <w:vAlign w:val="center"/>
          </w:tcPr>
          <w:p>
            <w:pPr>
              <w:adjustRightInd w:val="0"/>
              <w:snapToGrid w:val="0"/>
              <w:spacing w:line="440" w:lineRule="exact"/>
              <w:jc w:val="center"/>
              <w:rPr>
                <w:rFonts w:asciiTheme="minorEastAsia" w:hAnsiTheme="minorEastAsia" w:eastAsiaTheme="minorEastAsia"/>
                <w:szCs w:val="21"/>
              </w:rPr>
            </w:pPr>
            <w:r>
              <w:rPr>
                <w:rFonts w:hint="eastAsia" w:cs="宋体" w:asciiTheme="minorEastAsia" w:hAnsiTheme="minorEastAsia" w:eastAsiaTheme="minorEastAsia"/>
                <w:szCs w:val="21"/>
              </w:rPr>
              <w:t>临县大禹乡生活污水收集管网和污水处理站建设工程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项目代码</w:t>
            </w:r>
          </w:p>
        </w:tc>
        <w:tc>
          <w:tcPr>
            <w:tcW w:w="6470" w:type="dxa"/>
            <w:gridSpan w:val="4"/>
            <w:vAlign w:val="center"/>
          </w:tcPr>
          <w:p>
            <w:pPr>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建设单位联系人</w:t>
            </w:r>
          </w:p>
        </w:tc>
        <w:tc>
          <w:tcPr>
            <w:tcW w:w="1843" w:type="dxa"/>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高国平</w:t>
            </w:r>
          </w:p>
        </w:tc>
        <w:tc>
          <w:tcPr>
            <w:tcW w:w="1988" w:type="dxa"/>
            <w:gridSpan w:val="2"/>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联系方式</w:t>
            </w:r>
          </w:p>
        </w:tc>
        <w:tc>
          <w:tcPr>
            <w:tcW w:w="2639" w:type="dxa"/>
            <w:vAlign w:val="center"/>
          </w:tcPr>
          <w:p>
            <w:pPr>
              <w:adjustRightInd w:val="0"/>
              <w:snapToGrid w:val="0"/>
              <w:spacing w:line="440" w:lineRule="exact"/>
              <w:jc w:val="center"/>
              <w:rPr>
                <w:rFonts w:asciiTheme="minorEastAsia" w:hAnsiTheme="minorEastAsia" w:eastAsiaTheme="minorEastAsia"/>
                <w:szCs w:val="21"/>
              </w:rPr>
            </w:pPr>
            <w:r>
              <w:rPr>
                <w:rFonts w:asciiTheme="minorEastAsia" w:hAnsiTheme="minorEastAsia" w:eastAsiaTheme="minorEastAsia"/>
                <w:szCs w:val="21"/>
              </w:rPr>
              <w:t>13935837081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建设地点</w:t>
            </w:r>
          </w:p>
        </w:tc>
        <w:tc>
          <w:tcPr>
            <w:tcW w:w="6470" w:type="dxa"/>
            <w:gridSpan w:val="4"/>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污水处理站位于大禹乡歧道村西南侧空地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地理坐标</w:t>
            </w:r>
          </w:p>
        </w:tc>
        <w:tc>
          <w:tcPr>
            <w:tcW w:w="6470" w:type="dxa"/>
            <w:gridSpan w:val="4"/>
            <w:vAlign w:val="center"/>
          </w:tcPr>
          <w:p>
            <w:pPr>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污水处理站N </w:t>
            </w:r>
            <w:r>
              <w:rPr>
                <w:rFonts w:cs="宋体" w:asciiTheme="minorEastAsia" w:hAnsiTheme="minorEastAsia" w:eastAsiaTheme="minorEastAsia"/>
                <w:szCs w:val="21"/>
                <w:u w:val="single"/>
              </w:rPr>
              <w:t>37</w:t>
            </w:r>
            <w:r>
              <w:rPr>
                <w:rFonts w:hint="eastAsia" w:cs="宋体" w:asciiTheme="minorEastAsia" w:hAnsiTheme="minorEastAsia" w:eastAsiaTheme="minorEastAsia"/>
                <w:szCs w:val="21"/>
              </w:rPr>
              <w:t>度</w:t>
            </w:r>
            <w:r>
              <w:rPr>
                <w:rFonts w:cs="宋体" w:asciiTheme="minorEastAsia" w:hAnsiTheme="minorEastAsia" w:eastAsiaTheme="minorEastAsia"/>
                <w:szCs w:val="21"/>
                <w:u w:val="single"/>
              </w:rPr>
              <w:t>50</w:t>
            </w:r>
            <w:r>
              <w:rPr>
                <w:rFonts w:hint="eastAsia" w:cs="宋体" w:asciiTheme="minorEastAsia" w:hAnsiTheme="minorEastAsia" w:eastAsiaTheme="minorEastAsia"/>
                <w:szCs w:val="21"/>
              </w:rPr>
              <w:t>分</w:t>
            </w:r>
            <w:r>
              <w:rPr>
                <w:rFonts w:cs="宋体" w:asciiTheme="minorEastAsia" w:hAnsiTheme="minorEastAsia" w:eastAsiaTheme="minorEastAsia"/>
                <w:szCs w:val="21"/>
                <w:u w:val="single"/>
              </w:rPr>
              <w:t>33.331</w:t>
            </w:r>
            <w:r>
              <w:rPr>
                <w:rFonts w:hint="eastAsia" w:cs="宋体" w:asciiTheme="minorEastAsia" w:hAnsiTheme="minorEastAsia" w:eastAsiaTheme="minorEastAsia"/>
                <w:szCs w:val="21"/>
              </w:rPr>
              <w:t>秒，E</w:t>
            </w:r>
            <w:r>
              <w:rPr>
                <w:rFonts w:hint="eastAsia" w:cs="宋体" w:asciiTheme="minorEastAsia" w:hAnsiTheme="minorEastAsia" w:eastAsiaTheme="minorEastAsia"/>
                <w:szCs w:val="21"/>
                <w:u w:val="single"/>
              </w:rPr>
              <w:t>11</w:t>
            </w:r>
            <w:r>
              <w:rPr>
                <w:rFonts w:cs="宋体" w:asciiTheme="minorEastAsia" w:hAnsiTheme="minorEastAsia" w:eastAsiaTheme="minorEastAsia"/>
                <w:szCs w:val="21"/>
                <w:u w:val="single"/>
              </w:rPr>
              <w:t>0</w:t>
            </w:r>
            <w:r>
              <w:rPr>
                <w:rFonts w:hint="eastAsia" w:cs="宋体" w:asciiTheme="minorEastAsia" w:hAnsiTheme="minorEastAsia" w:eastAsiaTheme="minorEastAsia"/>
                <w:szCs w:val="21"/>
              </w:rPr>
              <w:t>度</w:t>
            </w:r>
            <w:r>
              <w:rPr>
                <w:rFonts w:cs="宋体" w:asciiTheme="minorEastAsia" w:hAnsiTheme="minorEastAsia" w:eastAsiaTheme="minorEastAsia"/>
                <w:szCs w:val="21"/>
                <w:u w:val="single"/>
              </w:rPr>
              <w:t>58</w:t>
            </w:r>
            <w:r>
              <w:rPr>
                <w:rFonts w:hint="eastAsia" w:cs="宋体" w:asciiTheme="minorEastAsia" w:hAnsiTheme="minorEastAsia" w:eastAsiaTheme="minorEastAsia"/>
                <w:szCs w:val="21"/>
              </w:rPr>
              <w:t>分</w:t>
            </w:r>
            <w:r>
              <w:rPr>
                <w:rFonts w:cs="宋体" w:asciiTheme="minorEastAsia" w:hAnsiTheme="minorEastAsia" w:eastAsiaTheme="minorEastAsia"/>
                <w:szCs w:val="21"/>
                <w:u w:val="single"/>
              </w:rPr>
              <w:t>48.868</w:t>
            </w:r>
            <w:r>
              <w:rPr>
                <w:rFonts w:hint="eastAsia" w:cs="宋体" w:asciiTheme="minorEastAsia" w:hAnsiTheme="minorEastAsia" w:eastAsiaTheme="minorEastAsia"/>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国民经济</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D</w:t>
            </w:r>
            <w:r>
              <w:rPr>
                <w:rFonts w:cs="宋体" w:asciiTheme="minorEastAsia" w:hAnsiTheme="minorEastAsia" w:eastAsiaTheme="minorEastAsia"/>
                <w:szCs w:val="21"/>
              </w:rPr>
              <w:t xml:space="preserve">4620 </w:t>
            </w:r>
            <w:r>
              <w:rPr>
                <w:rFonts w:hint="eastAsia" w:cs="宋体" w:asciiTheme="minorEastAsia" w:hAnsiTheme="minorEastAsia" w:eastAsiaTheme="minorEastAsia"/>
                <w:szCs w:val="21"/>
              </w:rPr>
              <w:t>污水处理及其再生利用</w:t>
            </w:r>
          </w:p>
        </w:tc>
        <w:tc>
          <w:tcPr>
            <w:tcW w:w="1276" w:type="dxa"/>
            <w:vAlign w:val="center"/>
          </w:tcPr>
          <w:p>
            <w:pPr>
              <w:adjustRightInd w:val="0"/>
              <w:snapToGrid w:val="0"/>
              <w:jc w:val="center"/>
              <w:rPr>
                <w:rFonts w:cs="宋体" w:asciiTheme="minorEastAsia" w:hAnsiTheme="minorEastAsia" w:eastAsiaTheme="minorEastAsia"/>
                <w:szCs w:val="21"/>
              </w:rPr>
            </w:pPr>
            <w:bookmarkStart w:id="1" w:name="_Hlk49843745"/>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bookmarkEnd w:id="1"/>
          </w:p>
        </w:tc>
        <w:tc>
          <w:tcPr>
            <w:tcW w:w="3351" w:type="dxa"/>
            <w:gridSpan w:val="2"/>
            <w:vAlign w:val="center"/>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四十三、水的生产和供应业</w:t>
            </w:r>
            <w:r>
              <w:rPr>
                <w:rFonts w:cs="宋体" w:asciiTheme="minorEastAsia" w:hAnsiTheme="minorEastAsia" w:eastAsiaTheme="minorEastAsia"/>
                <w:szCs w:val="21"/>
              </w:rPr>
              <w:t>—</w:t>
            </w:r>
            <w:r>
              <w:rPr>
                <w:rFonts w:hint="eastAsia" w:cs="宋体" w:asciiTheme="minorEastAsia" w:hAnsiTheme="minorEastAsia" w:eastAsiaTheme="minorEastAsia"/>
                <w:szCs w:val="21"/>
              </w:rPr>
              <w:t>95污水处理及其再生利用--新建、扩建日处理10万吨以下500吨及以上城乡污水处理的；新建、扩建其他工业废水处理的(不含建设单位自建自用仅处理生活污水的；不含出水间接排入地表水体且不排放重金属的)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建设性质</w:t>
            </w:r>
          </w:p>
        </w:tc>
        <w:tc>
          <w:tcPr>
            <w:tcW w:w="1843"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√新建(迁建)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□改建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□扩建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□技术改造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申报情形</w:t>
            </w:r>
          </w:p>
        </w:tc>
        <w:tc>
          <w:tcPr>
            <w:tcW w:w="2639"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√首次申报项目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□不予批准后再次申报项目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sym w:font="Wingdings 2" w:char="00A3"/>
            </w:r>
            <w:r>
              <w:rPr>
                <w:rFonts w:hint="eastAsia" w:cs="宋体" w:asciiTheme="minorEastAsia" w:hAnsiTheme="minorEastAsia" w:eastAsiaTheme="minorEastAsia"/>
                <w:szCs w:val="21"/>
              </w:rPr>
              <w:t>超五年重新审核项目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备案)部门(选填)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备案)文号(选填)</w:t>
            </w:r>
          </w:p>
        </w:tc>
        <w:tc>
          <w:tcPr>
            <w:tcW w:w="2639"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总投资(万元)</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3420.6443</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环保投资(万元)</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780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环保投资占比(</w:t>
            </w:r>
            <w:r>
              <w:rPr>
                <w:rFonts w:cs="宋体" w:asciiTheme="minorEastAsia" w:hAnsiTheme="minorEastAsia" w:eastAsiaTheme="minorEastAsia"/>
                <w:szCs w:val="21"/>
              </w:rPr>
              <w:t>%</w:t>
            </w:r>
            <w:r>
              <w:rPr>
                <w:rFonts w:hint="eastAsia" w:cs="宋体" w:asciiTheme="minorEastAsia" w:hAnsiTheme="minorEastAsia" w:eastAsiaTheme="minorEastAsia"/>
                <w:szCs w:val="21"/>
              </w:rPr>
              <w:t>)</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22.8%</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施工工期</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10</w:t>
            </w:r>
            <w:r>
              <w:rPr>
                <w:rFonts w:hint="eastAsia" w:cs="宋体" w:asciiTheme="minorEastAsia" w:hAnsiTheme="minorEastAsia" w:eastAsiaTheme="minor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是否开工建设</w:t>
            </w:r>
          </w:p>
        </w:tc>
        <w:tc>
          <w:tcPr>
            <w:tcW w:w="1843" w:type="dxa"/>
            <w:vAlign w:val="center"/>
          </w:tcPr>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√否</w:t>
            </w:r>
          </w:p>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□是：</w:t>
            </w:r>
            <w:r>
              <w:rPr>
                <w:rFonts w:hint="eastAsia" w:cs="宋体" w:asciiTheme="minorEastAsia" w:hAnsiTheme="minorEastAsia" w:eastAsiaTheme="minorEastAsia"/>
                <w:szCs w:val="21"/>
                <w:u w:val="single"/>
              </w:rPr>
              <w:t xml:space="preserve">         </w:t>
            </w:r>
          </w:p>
        </w:tc>
        <w:tc>
          <w:tcPr>
            <w:tcW w:w="1988"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pacing w:val="-6"/>
                <w:szCs w:val="21"/>
              </w:rPr>
              <w:t>用地(用海)</w:t>
            </w:r>
          </w:p>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pacing w:val="-6"/>
                <w:szCs w:val="21"/>
              </w:rPr>
              <w:t>面积(</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r>
              <w:rPr>
                <w:rFonts w:hint="eastAsia" w:cs="宋体" w:asciiTheme="minorEastAsia" w:hAnsiTheme="minorEastAsia" w:eastAsiaTheme="minorEastAsia"/>
                <w:spacing w:val="-6"/>
                <w:szCs w:val="21"/>
              </w:rPr>
              <w:t>)</w:t>
            </w:r>
          </w:p>
        </w:tc>
        <w:tc>
          <w:tcPr>
            <w:tcW w:w="2639" w:type="dxa"/>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zCs w:val="21"/>
              </w:rPr>
              <w:t>污水处理厂永久占地</w:t>
            </w:r>
            <w:r>
              <w:rPr>
                <w:rFonts w:cs="宋体" w:asciiTheme="minorEastAsia" w:hAnsiTheme="minorEastAsia" w:eastAsiaTheme="minorEastAsia"/>
                <w:szCs w:val="21"/>
              </w:rPr>
              <w:t>4000</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p>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pacing w:val="-6"/>
                <w:szCs w:val="21"/>
              </w:rPr>
              <w:t>临时占地</w:t>
            </w:r>
            <w:r>
              <w:rPr>
                <w:rFonts w:cs="宋体" w:asciiTheme="minorEastAsia" w:hAnsiTheme="minorEastAsia" w:eastAsiaTheme="minorEastAsia"/>
                <w:spacing w:val="-6"/>
                <w:szCs w:val="21"/>
              </w:rPr>
              <w:t>600m</w:t>
            </w:r>
            <w:r>
              <w:rPr>
                <w:rFonts w:cs="宋体" w:asciiTheme="minorEastAsia" w:hAnsiTheme="minorEastAsia" w:eastAsiaTheme="minorEastAsia"/>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专项评价设置情况</w:t>
            </w:r>
          </w:p>
        </w:tc>
        <w:tc>
          <w:tcPr>
            <w:tcW w:w="6470" w:type="dxa"/>
            <w:gridSpan w:val="4"/>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项目污水处理厂尾水排放至西</w:t>
            </w:r>
            <w:r>
              <w:rPr>
                <w:rFonts w:hint="eastAsia" w:ascii="宋体" w:cs="宋体"/>
                <w:kern w:val="0"/>
                <w:szCs w:val="21"/>
              </w:rPr>
              <w:t>侧湫水河，最终汇入湫水河</w:t>
            </w:r>
            <w:r>
              <w:rPr>
                <w:rFonts w:hint="eastAsia" w:cs="宋体" w:asciiTheme="minorEastAsia" w:hAnsiTheme="minorEastAsia" w:eastAsiaTheme="minorEastAsia"/>
                <w:kern w:val="0"/>
                <w:szCs w:val="21"/>
              </w:rPr>
              <w:t>，设置地表水评价专题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规划情况</w:t>
            </w:r>
          </w:p>
        </w:tc>
        <w:tc>
          <w:tcPr>
            <w:tcW w:w="6470" w:type="dxa"/>
            <w:gridSpan w:val="4"/>
            <w:vAlign w:val="center"/>
          </w:tcPr>
          <w:p>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400" w:type="dxa"/>
            <w:gridSpan w:val="2"/>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规划环境影响</w:t>
            </w:r>
          </w:p>
          <w:p>
            <w:pPr>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评价情况</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规划及规划环境</w:t>
            </w:r>
          </w:p>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影响评价符合性分析</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其他符合性分析</w:t>
            </w:r>
          </w:p>
        </w:tc>
        <w:tc>
          <w:tcPr>
            <w:tcW w:w="7746" w:type="dxa"/>
            <w:gridSpan w:val="5"/>
            <w:vAlign w:val="center"/>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kern w:val="10"/>
                <w:sz w:val="24"/>
              </w:rPr>
              <w:t>一、</w:t>
            </w:r>
            <w:r>
              <w:rPr>
                <w:rFonts w:hint="eastAsia" w:ascii="宋体" w:hAnsi="宋体" w:cs="宋体"/>
                <w:kern w:val="0"/>
                <w:sz w:val="24"/>
              </w:rPr>
              <w:t>《临县县城总体规划》（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）相关内容</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ascii="宋体" w:hAnsi="宋体" w:cs="宋体"/>
                <w:kern w:val="0"/>
                <w:sz w:val="24"/>
              </w:rPr>
              <w:t>根据《临县县城总体规划》（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），至</w:t>
            </w:r>
            <w:r>
              <w:rPr>
                <w:rFonts w:ascii="宋体" w:hAnsi="宋体" w:cs="TimesNewRomanPSMT"/>
                <w:kern w:val="0"/>
                <w:sz w:val="24"/>
              </w:rPr>
              <w:t>2015</w:t>
            </w:r>
            <w:r>
              <w:rPr>
                <w:rFonts w:hint="eastAsia" w:ascii="宋体" w:hAnsi="宋体" w:cs="宋体"/>
                <w:kern w:val="0"/>
                <w:sz w:val="24"/>
              </w:rPr>
              <w:t>年，在临县县城和污染程度较严重的城镇建设污水处理厂，污水处理厂应布置在靠近水体的下游，并与居住区保持一定距离。使城镇污水处理率达到</w:t>
            </w:r>
            <w:r>
              <w:rPr>
                <w:rFonts w:ascii="宋体" w:hAnsi="宋体" w:cs="TimesNewRomanPSMT"/>
                <w:kern w:val="0"/>
                <w:sz w:val="24"/>
              </w:rPr>
              <w:t>70%</w:t>
            </w:r>
            <w:r>
              <w:rPr>
                <w:rFonts w:hint="eastAsia" w:ascii="宋体" w:hAnsi="宋体" w:cs="宋体"/>
                <w:kern w:val="0"/>
                <w:sz w:val="24"/>
              </w:rPr>
              <w:t>，处理深度为一级。至</w:t>
            </w:r>
            <w:r>
              <w:rPr>
                <w:rFonts w:ascii="宋体" w:hAnsi="宋体" w:cs="TimesNewRomanPSMT"/>
                <w:kern w:val="0"/>
                <w:sz w:val="24"/>
              </w:rPr>
              <w:t>2030</w:t>
            </w:r>
            <w:r>
              <w:rPr>
                <w:rFonts w:hint="eastAsia" w:ascii="宋体" w:hAnsi="宋体" w:cs="宋体"/>
                <w:kern w:val="0"/>
                <w:sz w:val="24"/>
              </w:rPr>
              <w:t>年，普遍将各镇污水收集处理，使污水处理率达到</w:t>
            </w:r>
            <w:r>
              <w:rPr>
                <w:rFonts w:ascii="宋体" w:hAnsi="宋体" w:cs="TimesNewRomanPSMT"/>
                <w:kern w:val="0"/>
                <w:sz w:val="24"/>
              </w:rPr>
              <w:t>100%</w:t>
            </w:r>
            <w:r>
              <w:rPr>
                <w:rFonts w:hint="eastAsia" w:ascii="宋体" w:hAnsi="宋体" w:cs="宋体"/>
                <w:kern w:val="0"/>
                <w:sz w:val="24"/>
              </w:rPr>
              <w:t>，处理深度达到二级。县城及工业比较发达的乡镇排水采取截流式雨、</w:t>
            </w:r>
            <w:r>
              <w:rPr>
                <w:rFonts w:hint="eastAsia" w:cs="宋体" w:asciiTheme="minorEastAsia" w:hAnsiTheme="minorEastAsia" w:eastAsiaTheme="minorEastAsia"/>
                <w:kern w:val="0"/>
                <w:sz w:val="24"/>
              </w:rPr>
              <w:t>污合流制，雨、污水经收集后就近排放，污水经污水处理厂处理后排放。在沿黄旅游区的一些中心村和基层村可采用一些成套生活污水处理装置，不设置集中污水处理厂。中心村一般不设污水排放严重污染的村级企业。</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0"/>
                <w:sz w:val="24"/>
              </w:rPr>
              <w:t>《临县县城总体规划（</w:t>
            </w:r>
            <w:r>
              <w:rPr>
                <w:rFonts w:cs="TimesNewRomanPSMT" w:asciiTheme="minorEastAsia" w:hAnsiTheme="minorEastAsia" w:eastAsiaTheme="minorEastAsia"/>
                <w:kern w:val="0"/>
                <w:sz w:val="24"/>
              </w:rPr>
              <w:t>2010</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）》提出，至</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年，普遍将各镇污水收集处理，使污水处理率达到</w:t>
            </w:r>
            <w:r>
              <w:rPr>
                <w:rFonts w:cs="TimesNewRomanPSMT" w:asciiTheme="minorEastAsia" w:hAnsiTheme="minorEastAsia" w:eastAsiaTheme="minorEastAsia"/>
                <w:kern w:val="0"/>
                <w:sz w:val="24"/>
              </w:rPr>
              <w:t>100%</w:t>
            </w:r>
            <w:r>
              <w:rPr>
                <w:rFonts w:hint="eastAsia" w:cs="宋体" w:asciiTheme="minorEastAsia" w:hAnsiTheme="minorEastAsia" w:eastAsiaTheme="minorEastAsia"/>
                <w:kern w:val="0"/>
                <w:sz w:val="24"/>
              </w:rPr>
              <w:t>，处理深度达到二级，本项目建设与符合</w:t>
            </w:r>
            <w:r>
              <w:rPr>
                <w:rFonts w:hint="eastAsia" w:ascii="宋体" w:hAnsi="宋体" w:cs="宋体"/>
                <w:kern w:val="0"/>
                <w:sz w:val="24"/>
              </w:rPr>
              <w:t>《临县县城总体规划》（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w:t>
            </w:r>
            <w:r>
              <w:rPr>
                <w:rFonts w:hint="eastAsia" w:cs="宋体" w:asciiTheme="minorEastAsia" w:hAnsiTheme="minorEastAsia" w:eastAsiaTheme="minorEastAsia"/>
                <w:kern w:val="0"/>
                <w:sz w:val="24"/>
              </w:rPr>
              <w:t>规划在污水治理要求。</w:t>
            </w:r>
          </w:p>
          <w:p>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二、产业政策</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019本</w:t>
            </w:r>
            <w:r>
              <w:rPr>
                <w:rFonts w:asciiTheme="minorEastAsia" w:hAnsiTheme="minorEastAsia" w:eastAsiaTheme="minorEastAsia"/>
                <w:kern w:val="10"/>
                <w:sz w:val="24"/>
              </w:rPr>
              <w:t>)》</w:t>
            </w:r>
            <w:r>
              <w:rPr>
                <w:rFonts w:hint="eastAsia" w:asciiTheme="minorEastAsia" w:hAnsiTheme="minorEastAsia" w:eastAsiaTheme="minorEastAsia"/>
                <w:kern w:val="10"/>
                <w:sz w:val="24"/>
              </w:rPr>
              <w:t>(</w:t>
            </w:r>
            <w:r>
              <w:rPr>
                <w:rFonts w:asciiTheme="minorEastAsia" w:hAnsiTheme="minorEastAsia" w:eastAsiaTheme="minorEastAsia"/>
                <w:kern w:val="10"/>
                <w:sz w:val="24"/>
              </w:rPr>
              <w:t>2021</w:t>
            </w:r>
            <w:r>
              <w:rPr>
                <w:rFonts w:hint="eastAsia" w:asciiTheme="minorEastAsia" w:hAnsiTheme="minorEastAsia" w:eastAsiaTheme="minorEastAsia"/>
                <w:kern w:val="10"/>
                <w:sz w:val="24"/>
              </w:rPr>
              <w:t>年修编</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w:t>
            </w:r>
            <w:r>
              <w:rPr>
                <w:rFonts w:asciiTheme="minorEastAsia" w:hAnsiTheme="minorEastAsia" w:eastAsiaTheme="minorEastAsia"/>
                <w:kern w:val="10"/>
                <w:sz w:val="24"/>
              </w:rPr>
              <w:t>因此，本项目符合当前国家产业政策。</w:t>
            </w:r>
          </w:p>
          <w:p>
            <w:pPr>
              <w:autoSpaceDE w:val="0"/>
              <w:autoSpaceDN w:val="0"/>
              <w:adjustRightInd w:val="0"/>
              <w:spacing w:line="480" w:lineRule="exact"/>
              <w:ind w:firstLine="480" w:firstLineChars="200"/>
              <w:rPr>
                <w:rFonts w:asciiTheme="minorEastAsia" w:hAnsiTheme="minorEastAsia" w:eastAsiaTheme="minorEastAsia"/>
                <w:bCs/>
                <w:spacing w:val="6"/>
                <w:sz w:val="24"/>
              </w:rPr>
            </w:pPr>
            <w:r>
              <w:rPr>
                <w:rFonts w:hint="eastAsia" w:asciiTheme="minorEastAsia" w:hAnsiTheme="minorEastAsia" w:eastAsiaTheme="minorEastAsia"/>
                <w:sz w:val="24"/>
                <w:szCs w:val="20"/>
              </w:rPr>
              <w:t>三、</w:t>
            </w:r>
            <w:r>
              <w:rPr>
                <w:rFonts w:hint="eastAsia" w:asciiTheme="minorEastAsia" w:hAnsiTheme="minorEastAsia" w:eastAsiaTheme="minorEastAsia"/>
                <w:bCs/>
                <w:spacing w:val="6"/>
                <w:sz w:val="24"/>
              </w:rPr>
              <w:t>三线一单分析</w:t>
            </w:r>
          </w:p>
          <w:p>
            <w:pPr>
              <w:spacing w:line="48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sz w:val="24"/>
              </w:rPr>
              <w:t>根据环境保护部文《关于以改善环境质量为核心加强环境影响评价管理的通知》(环环评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号)，三线一清单中的三线是指“生态保护红线、环境质量底线、资源利用上线”，一清单，就是规划环境准入负面清单。</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1</w:t>
            </w:r>
            <w:r>
              <w:rPr>
                <w:rFonts w:hint="eastAsia" w:cs="宋体" w:asciiTheme="minorEastAsia" w:hAnsiTheme="minorEastAsia" w:eastAsiaTheme="minorEastAsia"/>
                <w:sz w:val="24"/>
              </w:rPr>
              <w:t>) 环境质量底线符合性分析</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(1) 环境空气：</w:t>
            </w:r>
          </w:p>
          <w:p>
            <w:pPr>
              <w:spacing w:line="500" w:lineRule="exact"/>
              <w:ind w:firstLine="480" w:firstLineChars="200"/>
              <w:rPr>
                <w:rFonts w:asciiTheme="minorEastAsia" w:hAnsiTheme="minorEastAsia" w:eastAsiaTheme="minorEastAsia" w:cstheme="majorEastAsia"/>
                <w:sz w:val="24"/>
              </w:rPr>
            </w:pPr>
            <w:r>
              <w:rPr>
                <w:rFonts w:hint="eastAsia" w:asciiTheme="minorEastAsia" w:hAnsiTheme="minorEastAsia" w:eastAsiaTheme="minorEastAsia"/>
                <w:bCs/>
                <w:kern w:val="10"/>
                <w:sz w:val="24"/>
              </w:rPr>
              <w:t>本次环境影响评价工作收集临县</w:t>
            </w:r>
            <w:r>
              <w:rPr>
                <w:rFonts w:asciiTheme="minorEastAsia" w:hAnsiTheme="minorEastAsia" w:eastAsiaTheme="minorEastAsia"/>
                <w:sz w:val="24"/>
              </w:rPr>
              <w:t>2021年环境空气质量例行监测年均值数据进行</w:t>
            </w:r>
            <w:r>
              <w:rPr>
                <w:rFonts w:asciiTheme="minorEastAsia" w:hAnsiTheme="minorEastAsia" w:eastAsiaTheme="minorEastAsia"/>
                <w:bCs/>
                <w:kern w:val="10"/>
                <w:sz w:val="24"/>
              </w:rPr>
              <w:t>分析。</w:t>
            </w:r>
            <w:r>
              <w:rPr>
                <w:rFonts w:hint="eastAsia" w:asciiTheme="minorEastAsia" w:hAnsiTheme="minorEastAsia" w:eastAsiaTheme="minorEastAsia" w:cstheme="majorEastAsia"/>
                <w:sz w:val="24"/>
              </w:rPr>
              <w:t>本项目所在区域属于不达标区域。</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lang w:bidi="ar"/>
              </w:rPr>
              <w:t>为了解本项目所在地特征污染物环境本底现状，建设单位委托</w:t>
            </w:r>
            <w:r>
              <w:rPr>
                <w:rFonts w:hint="eastAsia" w:asciiTheme="minorEastAsia" w:hAnsiTheme="minorEastAsia" w:eastAsiaTheme="minorEastAsia"/>
                <w:sz w:val="24"/>
                <w:lang w:bidi="ar"/>
              </w:rPr>
              <w:t>山西博枫检测技术有限公司</w:t>
            </w:r>
            <w:r>
              <w:rPr>
                <w:rFonts w:asciiTheme="minorEastAsia" w:hAnsiTheme="minorEastAsia" w:eastAsiaTheme="minorEastAsia"/>
                <w:sz w:val="24"/>
                <w:lang w:bidi="ar"/>
              </w:rPr>
              <w:t>进行了监测和采样，监测采样时间为2022年9月20日～9月</w:t>
            </w:r>
            <w:r>
              <w:rPr>
                <w:rFonts w:hint="eastAsia" w:asciiTheme="minorEastAsia" w:hAnsiTheme="minorEastAsia" w:eastAsiaTheme="minorEastAsia"/>
                <w:sz w:val="24"/>
                <w:lang w:bidi="ar"/>
              </w:rPr>
              <w:t>2</w:t>
            </w:r>
            <w:r>
              <w:rPr>
                <w:rFonts w:asciiTheme="minorEastAsia" w:hAnsiTheme="minorEastAsia" w:eastAsiaTheme="minorEastAsia"/>
                <w:sz w:val="24"/>
                <w:lang w:bidi="ar"/>
              </w:rPr>
              <w:t>2日。</w:t>
            </w:r>
            <w:r>
              <w:rPr>
                <w:rFonts w:asciiTheme="minorEastAsia" w:hAnsiTheme="minorEastAsia" w:eastAsiaTheme="minorEastAsia"/>
                <w:bCs/>
                <w:kern w:val="10"/>
                <w:sz w:val="24"/>
              </w:rPr>
              <w:t>本次环境空气现状补充监测特征因子</w:t>
            </w:r>
            <w:r>
              <w:rPr>
                <w:rFonts w:asciiTheme="minorEastAsia" w:hAnsiTheme="minorEastAsia" w:eastAsiaTheme="minorEastAsia"/>
                <w:sz w:val="24"/>
                <w:lang w:bidi="ar"/>
              </w:rPr>
              <w:t>氨、硫化氢</w:t>
            </w:r>
            <w:r>
              <w:rPr>
                <w:rFonts w:asciiTheme="minorEastAsia" w:hAnsiTheme="minorEastAsia" w:eastAsiaTheme="minorEastAsia"/>
                <w:bCs/>
                <w:kern w:val="10"/>
                <w:sz w:val="24"/>
              </w:rPr>
              <w:t>，共布设了站区1个监测点。</w:t>
            </w:r>
            <w:r>
              <w:rPr>
                <w:rFonts w:asciiTheme="minorEastAsia" w:hAnsiTheme="minorEastAsia" w:eastAsiaTheme="minorEastAsia"/>
                <w:sz w:val="24"/>
              </w:rPr>
              <w:t>由监测数据可知，本项目区域氨、硫化氢满足《环境影响评价技术导则 大气环境》（HJ2.2-2018）附录D中的标准。</w:t>
            </w:r>
          </w:p>
          <w:p>
            <w:pPr>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cstheme="majorEastAsia"/>
                <w:sz w:val="24"/>
              </w:rPr>
              <w:t>(</w:t>
            </w:r>
            <w:r>
              <w:rPr>
                <w:rFonts w:asciiTheme="minorEastAsia" w:hAnsiTheme="minorEastAsia" w:eastAsiaTheme="minorEastAsia" w:cstheme="majorEastAsia"/>
                <w:sz w:val="24"/>
              </w:rPr>
              <w:t xml:space="preserve">2) </w:t>
            </w:r>
            <w:r>
              <w:rPr>
                <w:rFonts w:hint="eastAsia" w:asciiTheme="minorEastAsia" w:hAnsiTheme="minorEastAsia" w:eastAsiaTheme="minorEastAsia"/>
                <w:sz w:val="24"/>
              </w:rPr>
              <w:t>地表水环境质量现状</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据现场调查了解，本项目评价区地表水体为湫水河，根据《山西省地表水环境功能区划》(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)，项目所在地地表河属湫水河东会村-碛口段，该河段规划主导功能为农业与一般景观水保护，水质保护目标为《地表水环境质量标准》(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)中Ⅳ类标准。</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w:t>
            </w:r>
            <w:r>
              <w:rPr>
                <w:rFonts w:ascii="宋体" w:hAnsi="宋体"/>
                <w:sz w:val="24"/>
                <w:lang w:bidi="ar"/>
              </w:rPr>
              <w:t>2022年9月20日～9月22日</w:t>
            </w:r>
            <w:r>
              <w:rPr>
                <w:rFonts w:hint="eastAsia" w:asciiTheme="minorEastAsia" w:hAnsiTheme="minorEastAsia" w:eastAsiaTheme="minorEastAsia"/>
                <w:kern w:val="10"/>
                <w:sz w:val="24"/>
              </w:rPr>
              <w:t>对排放口河道湫水河设置3个监测断面了解地表水现状。</w:t>
            </w:r>
          </w:p>
          <w:p>
            <w:pPr>
              <w:widowControl/>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经分析，</w:t>
            </w:r>
            <w:r>
              <w:rPr>
                <w:rFonts w:asciiTheme="minorEastAsia" w:hAnsiTheme="minorEastAsia" w:eastAsiaTheme="minorEastAsia"/>
                <w:kern w:val="10"/>
                <w:sz w:val="24"/>
              </w:rPr>
              <w:t>在地表水体</w:t>
            </w:r>
            <w:r>
              <w:rPr>
                <w:rFonts w:hint="eastAsia" w:asciiTheme="minorEastAsia" w:hAnsiTheme="minorEastAsia" w:eastAsiaTheme="minorEastAsia"/>
                <w:kern w:val="10"/>
                <w:sz w:val="24"/>
              </w:rPr>
              <w:t>湫水</w:t>
            </w:r>
            <w:r>
              <w:rPr>
                <w:rFonts w:asciiTheme="minorEastAsia" w:hAnsiTheme="minorEastAsia" w:eastAsiaTheme="minorEastAsia"/>
                <w:kern w:val="10"/>
                <w:sz w:val="24"/>
              </w:rPr>
              <w:t>河的</w:t>
            </w:r>
            <w:r>
              <w:rPr>
                <w:rFonts w:hint="eastAsia" w:asciiTheme="minorEastAsia" w:hAnsiTheme="minorEastAsia" w:eastAsiaTheme="minorEastAsia"/>
                <w:kern w:val="10"/>
                <w:sz w:val="24"/>
              </w:rPr>
              <w:t>3</w:t>
            </w:r>
            <w:r>
              <w:rPr>
                <w:rFonts w:asciiTheme="minorEastAsia" w:hAnsiTheme="minorEastAsia" w:eastAsiaTheme="minorEastAsia"/>
                <w:kern w:val="10"/>
                <w:sz w:val="24"/>
              </w:rPr>
              <w:t>个监测断面中，</w:t>
            </w:r>
            <w:r>
              <w:rPr>
                <w:rFonts w:hint="eastAsia" w:asciiTheme="minorEastAsia" w:hAnsiTheme="minorEastAsia" w:eastAsiaTheme="minorEastAsia"/>
                <w:kern w:val="10"/>
                <w:sz w:val="24"/>
              </w:rPr>
              <w:t>除</w:t>
            </w:r>
            <w:r>
              <w:rPr>
                <w:rFonts w:asciiTheme="minorEastAsia" w:hAnsiTheme="minorEastAsia" w:eastAsiaTheme="minorEastAsia"/>
                <w:sz w:val="24"/>
              </w:rPr>
              <w:t>总氮</w:t>
            </w:r>
            <w:r>
              <w:rPr>
                <w:rFonts w:hint="eastAsia" w:asciiTheme="minorEastAsia" w:hAnsiTheme="minorEastAsia" w:eastAsiaTheme="minorEastAsia"/>
                <w:sz w:val="24"/>
              </w:rPr>
              <w:t>指标超过</w:t>
            </w:r>
            <w:r>
              <w:rPr>
                <w:rFonts w:asciiTheme="minorEastAsia" w:hAnsiTheme="minorEastAsia" w:eastAsiaTheme="minorEastAsia"/>
                <w:kern w:val="10"/>
                <w:sz w:val="24"/>
              </w:rPr>
              <w:t>满足《地表水环境质量标准》(GB3838-2002)中IV类标准要求</w:t>
            </w:r>
            <w:r>
              <w:rPr>
                <w:rFonts w:hint="eastAsia" w:asciiTheme="minorEastAsia" w:hAnsiTheme="minorEastAsia" w:eastAsiaTheme="minorEastAsia"/>
                <w:kern w:val="10"/>
                <w:sz w:val="24"/>
              </w:rPr>
              <w:t>，其余</w:t>
            </w:r>
            <w:r>
              <w:rPr>
                <w:rFonts w:asciiTheme="minorEastAsia" w:hAnsiTheme="minorEastAsia" w:eastAsiaTheme="minorEastAsia"/>
                <w:kern w:val="10"/>
                <w:sz w:val="24"/>
              </w:rPr>
              <w:t>各项监测指标均满足《地表水环境质量标准》(GB3838-2002)中IV类标准要求。</w:t>
            </w:r>
            <w:r>
              <w:rPr>
                <w:rFonts w:hint="eastAsia" w:asciiTheme="minorEastAsia" w:hAnsiTheme="minorEastAsia" w:eastAsiaTheme="minorEastAsia"/>
                <w:kern w:val="10"/>
                <w:sz w:val="24"/>
              </w:rPr>
              <w:t>超标原因为上游未处理的生活污水直接排入湫水河造成的。</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3</w:t>
            </w:r>
            <w:r>
              <w:rPr>
                <w:rFonts w:hint="eastAsia" w:asciiTheme="minorEastAsia" w:hAnsiTheme="minorEastAsia" w:eastAsiaTheme="minorEastAsia"/>
                <w:bCs/>
                <w:kern w:val="10"/>
                <w:sz w:val="24"/>
              </w:rPr>
              <w:t>) 声环境现状</w:t>
            </w:r>
          </w:p>
          <w:p>
            <w:pPr>
              <w:spacing w:line="500" w:lineRule="exact"/>
              <w:ind w:firstLine="480" w:firstLineChars="200"/>
              <w:rPr>
                <w:rFonts w:asciiTheme="minorEastAsia" w:hAnsiTheme="minorEastAsia" w:eastAsiaTheme="minorEastAsia"/>
                <w:kern w:val="10"/>
                <w:sz w:val="24"/>
                <w:highlight w:val="yellow"/>
              </w:rPr>
            </w:pPr>
            <w:r>
              <w:rPr>
                <w:rFonts w:asciiTheme="minorEastAsia" w:hAnsiTheme="minorEastAsia" w:eastAsiaTheme="minorEastAsia"/>
                <w:kern w:val="10"/>
                <w:sz w:val="24"/>
              </w:rPr>
              <w:t>为</w:t>
            </w:r>
            <w:r>
              <w:rPr>
                <w:rFonts w:hint="eastAsia" w:asciiTheme="minorEastAsia" w:hAnsiTheme="minorEastAsia" w:eastAsiaTheme="minorEastAsia"/>
                <w:kern w:val="10"/>
                <w:sz w:val="24"/>
              </w:rPr>
              <w:t>了解</w:t>
            </w:r>
            <w:r>
              <w:rPr>
                <w:rFonts w:asciiTheme="minorEastAsia" w:hAnsiTheme="minorEastAsia" w:eastAsiaTheme="minorEastAsia"/>
                <w:kern w:val="10"/>
                <w:sz w:val="24"/>
              </w:rPr>
              <w:t>本项目所在地声环境本底状况，准确预测分析本项目投产后可能造成的噪声影响程度</w:t>
            </w: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有限公司于2022年9</w:t>
            </w:r>
            <w:r>
              <w:rPr>
                <w:rFonts w:hint="eastAsia" w:asciiTheme="minorEastAsia" w:hAnsiTheme="minorEastAsia" w:eastAsiaTheme="minorEastAsia"/>
                <w:kern w:val="10"/>
                <w:sz w:val="24"/>
              </w:rPr>
              <w:t>月</w:t>
            </w:r>
            <w:r>
              <w:rPr>
                <w:rFonts w:asciiTheme="minorEastAsia" w:hAnsiTheme="minorEastAsia" w:eastAsiaTheme="minorEastAsia"/>
                <w:kern w:val="10"/>
                <w:sz w:val="24"/>
              </w:rPr>
              <w:t>21</w:t>
            </w:r>
            <w:r>
              <w:rPr>
                <w:rFonts w:hint="eastAsia" w:asciiTheme="minorEastAsia" w:hAnsiTheme="minorEastAsia" w:eastAsiaTheme="minorEastAsia"/>
                <w:kern w:val="10"/>
                <w:sz w:val="24"/>
              </w:rPr>
              <w:t>日</w:t>
            </w:r>
            <w:r>
              <w:rPr>
                <w:rFonts w:asciiTheme="minorEastAsia" w:hAnsiTheme="minorEastAsia" w:eastAsiaTheme="minorEastAsia"/>
                <w:kern w:val="10"/>
                <w:sz w:val="24"/>
              </w:rPr>
              <w:t>对</w:t>
            </w:r>
            <w:r>
              <w:rPr>
                <w:rFonts w:hint="eastAsia" w:asciiTheme="minorEastAsia" w:hAnsiTheme="minorEastAsia" w:eastAsiaTheme="minorEastAsia"/>
                <w:kern w:val="10"/>
                <w:sz w:val="24"/>
              </w:rPr>
              <w:t>污水处理厂</w:t>
            </w:r>
            <w:r>
              <w:rPr>
                <w:rFonts w:asciiTheme="minorEastAsia" w:hAnsiTheme="minorEastAsia" w:eastAsiaTheme="minorEastAsia"/>
                <w:kern w:val="10"/>
                <w:sz w:val="24"/>
              </w:rPr>
              <w:t>所在地场界四周进行了噪声现状监测</w:t>
            </w:r>
            <w:r>
              <w:rPr>
                <w:rFonts w:hint="eastAsia" w:asciiTheme="minorEastAsia" w:hAnsiTheme="minorEastAsia" w:eastAsiaTheme="minorEastAsia"/>
                <w:kern w:val="10"/>
                <w:sz w:val="24"/>
              </w:rPr>
              <w:t>。污水处理厂周边5</w:t>
            </w:r>
            <w:r>
              <w:rPr>
                <w:rFonts w:asciiTheme="minorEastAsia" w:hAnsiTheme="minorEastAsia" w:eastAsiaTheme="minorEastAsia"/>
                <w:kern w:val="10"/>
                <w:sz w:val="24"/>
              </w:rPr>
              <w:t>0m</w:t>
            </w:r>
            <w:r>
              <w:rPr>
                <w:rFonts w:hint="eastAsia" w:asciiTheme="minorEastAsia" w:hAnsiTheme="minorEastAsia" w:eastAsiaTheme="minorEastAsia"/>
                <w:kern w:val="10"/>
                <w:sz w:val="24"/>
              </w:rPr>
              <w:t>范围内没有敏感点存在，故仅在污水处理厂四周各设1个监测点，共设4个监测点。</w:t>
            </w:r>
          </w:p>
          <w:p>
            <w:pPr>
              <w:tabs>
                <w:tab w:val="left" w:pos="900"/>
              </w:tabs>
              <w:spacing w:line="50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kern w:val="10"/>
                <w:sz w:val="24"/>
              </w:rPr>
              <w:t>经分析，</w:t>
            </w:r>
            <w:r>
              <w:rPr>
                <w:rFonts w:asciiTheme="minorEastAsia" w:hAnsiTheme="minorEastAsia" w:eastAsiaTheme="minorEastAsia"/>
                <w:spacing w:val="4"/>
                <w:sz w:val="24"/>
              </w:rPr>
              <w:t>污水处理厂四周</w:t>
            </w:r>
            <w:r>
              <w:rPr>
                <w:rFonts w:hint="eastAsia" w:asciiTheme="minorEastAsia" w:hAnsiTheme="minorEastAsia" w:eastAsiaTheme="minorEastAsia"/>
                <w:spacing w:val="4"/>
                <w:sz w:val="24"/>
              </w:rPr>
              <w:t>1#-</w:t>
            </w: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监测点满足《声环境质量标准》(GB3096-2008)2类区标准限值要求，项目所在地声环境质量较好。</w:t>
            </w:r>
          </w:p>
          <w:p>
            <w:pPr>
              <w:autoSpaceDE w:val="0"/>
              <w:autoSpaceDN w:val="0"/>
              <w:adjustRightInd w:val="0"/>
              <w:spacing w:line="48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kern w:val="10"/>
                <w:sz w:val="24"/>
              </w:rPr>
              <w:t>本项目严格落实环评提出的各项环保措施，各项污染物做到连续稳定达标排放，本项目建成后不会对区域环境质量造成较大的影响，本项目建设不会突破区域环境质量底线。</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cs="TimesNewRomanPSMT" w:asciiTheme="minorEastAsia" w:hAnsiTheme="minorEastAsia" w:eastAsiaTheme="minorEastAsia"/>
                <w:sz w:val="24"/>
              </w:rPr>
              <w:t>2</w:t>
            </w:r>
            <w:r>
              <w:rPr>
                <w:rFonts w:hint="eastAsia" w:cs="宋体" w:asciiTheme="minorEastAsia" w:hAnsiTheme="minorEastAsia" w:eastAsiaTheme="minorEastAsia"/>
                <w:sz w:val="24"/>
              </w:rPr>
              <w:t>)</w:t>
            </w:r>
            <w:r>
              <w:rPr>
                <w:rFonts w:hint="eastAsia" w:cs="TimesNewRomanPSMT" w:asciiTheme="minorEastAsia" w:hAnsiTheme="minorEastAsia" w:eastAsiaTheme="minorEastAsia"/>
                <w:kern w:val="10"/>
                <w:sz w:val="24"/>
              </w:rPr>
              <w:t>与吕梁市人民政府关于印发吕梁市“三线一单”生态环境分区管控实施方案的通知符合性分析</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hint="eastAsia" w:cs="TimesNewRomanPSMT" w:asciiTheme="minorEastAsia" w:hAnsiTheme="minorEastAsia" w:eastAsiaTheme="minorEastAsia"/>
                <w:kern w:val="10"/>
                <w:sz w:val="24"/>
              </w:rPr>
              <w:t>根据《关于印发吕梁市“三线一单”生态环境分区管控实施方案的通知》(吕政发〔2021〕5号)，项目所在地位于临县一般管控单元，本项目依据《关于印发吕梁市“三线一单”生态环境分区管控实施方案的通知》准入清单符合性分析见表1-1，吕梁市生态环境管控单元分布图见附图</w:t>
            </w:r>
            <w:r>
              <w:rPr>
                <w:rFonts w:cs="TimesNewRomanPSMT" w:asciiTheme="minorEastAsia" w:hAnsiTheme="minorEastAsia" w:eastAsiaTheme="minorEastAsia"/>
                <w:kern w:val="10"/>
                <w:sz w:val="24"/>
              </w:rPr>
              <w:t>4</w:t>
            </w:r>
            <w:r>
              <w:rPr>
                <w:rFonts w:hint="eastAsia" w:cs="TimesNewRomanPSMT" w:asciiTheme="minorEastAsia" w:hAnsiTheme="minorEastAsia" w:eastAsiaTheme="minorEastAsia"/>
                <w:kern w:val="10"/>
                <w:sz w:val="24"/>
              </w:rPr>
              <w:t>。</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3</w:t>
            </w:r>
            <w:r>
              <w:rPr>
                <w:rFonts w:hint="eastAsia" w:cs="宋体" w:asciiTheme="minorEastAsia" w:hAnsiTheme="minorEastAsia" w:eastAsiaTheme="minorEastAsia"/>
                <w:sz w:val="24"/>
              </w:rPr>
              <w:t>)资源利用上线符合性分析</w:t>
            </w:r>
          </w:p>
          <w:p>
            <w:pPr>
              <w:autoSpaceDE w:val="0"/>
              <w:autoSpaceDN w:val="0"/>
              <w:adjustRightInd w:val="0"/>
              <w:spacing w:line="500" w:lineRule="exact"/>
              <w:ind w:firstLine="504" w:firstLineChars="200"/>
              <w:rPr>
                <w:rFonts w:cs="宋体" w:asciiTheme="minorEastAsia" w:hAnsiTheme="minorEastAsia" w:eastAsiaTheme="minorEastAsia"/>
                <w:sz w:val="24"/>
              </w:rPr>
            </w:pPr>
            <w:r>
              <w:rPr>
                <w:rFonts w:hint="eastAsia" w:asciiTheme="minorEastAsia" w:hAnsiTheme="minorEastAsia" w:eastAsiaTheme="minorEastAsia"/>
                <w:spacing w:val="6"/>
                <w:sz w:val="24"/>
              </w:rPr>
              <w:t>本项目运营过程中消耗少量的电源资源等，项目资源消耗量相对于可利用资源总量较小，符合资源利用上线要求。</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4</w:t>
            </w:r>
            <w:r>
              <w:rPr>
                <w:rFonts w:hint="eastAsia" w:cs="宋体" w:asciiTheme="minorEastAsia" w:hAnsiTheme="minorEastAsia" w:eastAsiaTheme="minorEastAsia"/>
                <w:sz w:val="24"/>
              </w:rPr>
              <w:t>)与环境准入负面清单的对照</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项目所在地没有环境准入负责清单，</w:t>
            </w:r>
            <w:r>
              <w:rPr>
                <w:rFonts w:hint="eastAsia" w:asciiTheme="minorEastAsia" w:hAnsiTheme="minorEastAsia" w:eastAsiaTheme="minorEastAsia"/>
                <w:kern w:val="10"/>
                <w:sz w:val="24"/>
              </w:rPr>
              <w:t>本次环评对照国家产业政策说明。</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本项目为大禹乡污水处理厂及配套管网建设项目，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本项目属于鼓励类“四十三、环境保护与资源节约综合利用”中的“20、城镇垃圾、农村生活垃圾、农村生活污水、污泥及其他固体废弃物减量化、资源化、无害化处理和综合利用工程”，不在负面清单内。</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因此，本项目符合《关于以改善环境质量为核心加强环境影响评价管理的通知》(环环评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号)中“三线一单”的要求。</w:t>
            </w: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napToGrid w:val="0"/>
              <w:jc w:val="center"/>
              <w:rPr>
                <w:rFonts w:cs="宋体" w:asciiTheme="minorEastAsia" w:hAnsiTheme="minorEastAsia" w:eastAsiaTheme="minorEastAsia"/>
                <w:color w:val="FF0000"/>
                <w:kern w:val="0"/>
                <w:szCs w:val="21"/>
              </w:rPr>
            </w:pPr>
          </w:p>
        </w:tc>
      </w:tr>
    </w:tbl>
    <w:p>
      <w:pPr>
        <w:spacing w:line="360" w:lineRule="auto"/>
        <w:outlineLvl w:val="0"/>
        <w:rPr>
          <w:rFonts w:asciiTheme="minorEastAsia" w:hAnsiTheme="minorEastAsia" w:eastAsiaTheme="minorEastAsia"/>
          <w:color w:val="FF0000"/>
          <w:sz w:val="30"/>
        </w:rPr>
        <w:sectPr>
          <w:headerReference r:id="rId5" w:type="default"/>
          <w:footerReference r:id="rId6" w:type="default"/>
          <w:pgSz w:w="11906" w:h="16838"/>
          <w:pgMar w:top="1418" w:right="1418" w:bottom="1418" w:left="1418" w:header="851" w:footer="1077" w:gutter="0"/>
          <w:pgNumType w:start="1"/>
          <w:cols w:space="720" w:num="1"/>
          <w:docGrid w:linePitch="312" w:charSpace="0"/>
        </w:sectPr>
      </w:pPr>
    </w:p>
    <w:p>
      <w:pPr>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表1-1    吕梁市生态环境总体准入清单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049"/>
        <w:gridCol w:w="8556"/>
        <w:gridCol w:w="255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管控类别</w:t>
            </w:r>
          </w:p>
        </w:tc>
        <w:tc>
          <w:tcPr>
            <w:tcW w:w="3009" w:type="pct"/>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w:t>
            </w:r>
          </w:p>
        </w:tc>
        <w:tc>
          <w:tcPr>
            <w:tcW w:w="409"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369" w:type="pct"/>
            <w:vMerge w:val="restar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吕梁市总体要求</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1、涉及国家、省管控要求执行“山西省生态环境准入清单”。</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本项目为当地建设污水厂及配套管网建设项目</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continue"/>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3、积极推进黄河流域生态功能保护和修复，强化流域水资源、水环境和水生态系统的统筹管理，衔接和落实“山西省黄河流域生态保护</w:t>
            </w:r>
            <w:r>
              <w:rPr>
                <w:rFonts w:hint="eastAsia" w:asciiTheme="minorEastAsia" w:hAnsiTheme="minorEastAsia" w:eastAsiaTheme="minorEastAsia"/>
                <w:kern w:val="10"/>
                <w:szCs w:val="21"/>
                <w:lang w:eastAsia="zh-CN"/>
              </w:rPr>
              <w:t>和</w:t>
            </w:r>
            <w:r>
              <w:rPr>
                <w:rFonts w:asciiTheme="minorEastAsia" w:hAnsiTheme="minorEastAsia" w:eastAsiaTheme="minorEastAsia"/>
                <w:kern w:val="10"/>
                <w:szCs w:val="21"/>
              </w:rPr>
              <w:t>高质量发展规划”相关要求。</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本项目为生活污水处理</w:t>
            </w:r>
            <w:r>
              <w:rPr>
                <w:rFonts w:asciiTheme="minorEastAsia" w:hAnsiTheme="minorEastAsia" w:eastAsiaTheme="minorEastAsia"/>
                <w:kern w:val="10"/>
                <w:szCs w:val="21"/>
              </w:rPr>
              <w:t>项目</w:t>
            </w:r>
            <w:r>
              <w:rPr>
                <w:rFonts w:hint="eastAsia" w:asciiTheme="minorEastAsia" w:hAnsiTheme="minorEastAsia" w:eastAsiaTheme="minorEastAsia"/>
                <w:kern w:val="10"/>
                <w:szCs w:val="21"/>
              </w:rPr>
              <w:t>，非两高企业。项目管网在大禹乡内</w:t>
            </w:r>
            <w:r>
              <w:rPr>
                <w:rFonts w:hint="eastAsia" w:asciiTheme="minorEastAsia" w:hAnsiTheme="minorEastAsia" w:eastAsiaTheme="minorEastAsia"/>
              </w:rPr>
              <w:t>，设计污水干管沿湫水河两岸由北向南敷设收集沿途污水，经污水加压泵站加压后通过压力污水管送至污水处理厂。污水处理厂位于大禹镇歧道村西南侧空地，项目建设中</w:t>
            </w:r>
            <w:r>
              <w:rPr>
                <w:rFonts w:hint="eastAsia" w:asciiTheme="minorEastAsia" w:hAnsiTheme="minorEastAsia" w:eastAsiaTheme="minorEastAsia"/>
                <w:kern w:val="10"/>
                <w:szCs w:val="21"/>
              </w:rPr>
              <w:t>完善环保设施，满足达标排放的要求。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FF0000"/>
                <w:kern w:val="10"/>
                <w:szCs w:val="21"/>
              </w:rPr>
            </w:pPr>
          </w:p>
        </w:tc>
        <w:tc>
          <w:tcPr>
            <w:tcW w:w="369" w:type="pct"/>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项目依据相关要求建设，符合相关要求，项目所用工艺、设备均不是淘汰工艺和设备。处理达标后，外排湫水河。</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厂区范围内全部进行硬化。</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项目占地不在</w:t>
            </w:r>
            <w:r>
              <w:rPr>
                <w:rFonts w:asciiTheme="minorEastAsia" w:hAnsiTheme="minorEastAsia" w:eastAsiaTheme="minorEastAsia"/>
                <w:kern w:val="10"/>
                <w:szCs w:val="21"/>
              </w:rPr>
              <w:t>自然保护区、风景名胜区、森林公园、湿地公园、地质公园、饮用水水源保护区、泉域等各类保护地</w:t>
            </w:r>
            <w:r>
              <w:rPr>
                <w:rFonts w:hint="eastAsia" w:asciiTheme="minorEastAsia" w:hAnsiTheme="minorEastAsia" w:eastAsiaTheme="minorEastAsia"/>
                <w:kern w:val="10"/>
                <w:szCs w:val="21"/>
              </w:rPr>
              <w:t>范围内</w:t>
            </w:r>
            <w:r>
              <w:rPr>
                <w:rFonts w:asciiTheme="minorEastAsia" w:hAnsiTheme="minorEastAsia" w:eastAsiaTheme="minorEastAsia"/>
                <w:kern w:val="10"/>
                <w:szCs w:val="21"/>
              </w:rPr>
              <w:t>。</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污染物排放管控</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1、工业企业按照有关规定设置大气污染物排放口及其标志、永久性监测点位、采样监测平台，安装和使用自动监测设备，配合生态环境主管部门的实时监督监测。</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2、重点污染企业采用清洁生产工艺，配套建设除尘、脱硫、脱硝等装置，或者采取技术改造等其他控制大气污染物排放的措施。</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3、在市、县(市、区)人民政府启动重污染天气应急预案后，工业企业及时启动重污染天气应急响应操作方案，落实应急减排措施。</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4、在重污染天气集中出现的季节，严格执行市、县(市、区)人民政府组织实施的错峰生产、施工、运输的规定。</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5、储油储气库、加油加气站及油罐车、气罐车应当安装油气回收设施并保持正常运行，每年向生态环境主管部门报送油气排放检测报告。</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6、排放油烟的餐饮服务业经营者和企事业单位食堂应当安装油烟净化设施，保持正常使用，定期清洗、维护并保存记录，实现油烟达标排放。</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w:t>
            </w:r>
            <w:r>
              <w:rPr>
                <w:rFonts w:asciiTheme="minorEastAsia" w:hAnsiTheme="minorEastAsia" w:eastAsiaTheme="minorEastAsia"/>
                <w:kern w:val="10"/>
                <w:szCs w:val="21"/>
              </w:rPr>
              <w:t>按照有关规定设置大气污染物排放口及其标志、永久性监测点位、采样监测平台，配合生态环境主管部门的实时监督监测。</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企业采用清洁生产工艺，配套建设</w:t>
            </w:r>
            <w:r>
              <w:rPr>
                <w:rFonts w:hint="eastAsia" w:asciiTheme="minorEastAsia" w:hAnsiTheme="minorEastAsia" w:eastAsiaTheme="minorEastAsia"/>
                <w:kern w:val="10"/>
                <w:szCs w:val="21"/>
              </w:rPr>
              <w:t>臭气处理设施等</w:t>
            </w:r>
            <w:r>
              <w:rPr>
                <w:rFonts w:asciiTheme="minorEastAsia" w:hAnsiTheme="minorEastAsia" w:eastAsiaTheme="minorEastAsia"/>
                <w:kern w:val="10"/>
                <w:szCs w:val="21"/>
              </w:rPr>
              <w:t>装置</w:t>
            </w:r>
            <w:r>
              <w:rPr>
                <w:rFonts w:hint="eastAsia" w:asciiTheme="minorEastAsia" w:hAnsiTheme="minorEastAsia" w:eastAsiaTheme="minorEastAsia"/>
                <w:kern w:val="10"/>
                <w:szCs w:val="21"/>
              </w:rPr>
              <w:t>。按当地</w:t>
            </w:r>
            <w:r>
              <w:rPr>
                <w:rFonts w:asciiTheme="minorEastAsia" w:hAnsiTheme="minorEastAsia" w:eastAsiaTheme="minorEastAsia"/>
                <w:kern w:val="10"/>
                <w:szCs w:val="21"/>
              </w:rPr>
              <w:t>县人民政府</w:t>
            </w:r>
            <w:r>
              <w:rPr>
                <w:rFonts w:hint="eastAsia" w:asciiTheme="minorEastAsia" w:hAnsiTheme="minorEastAsia" w:eastAsiaTheme="minorEastAsia"/>
                <w:kern w:val="10"/>
                <w:szCs w:val="21"/>
              </w:rPr>
              <w:t>相关要求建设。</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1、实施重点水污染物排放总量控制。在本市行政区域内，排放的水污染物不得超过国家、省规定的污染物排放标准和重点水污染物排放总量控制指标。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2、工业污水进行预处理后，达到行业水污染排放标准的，方可向集中处理设施排放。</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3、不得通过篡改、伪造、毁灭监测数据或者不正常运行防治污染设施等逃避监管的方式排放水污染物。</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4、工业企业、工业集聚区外排废水达到水污染物综合排放地方标准。</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5、城镇污水集中处理设施的运营单位应当保障污水集中处理设施的正常运行，对出水水质负责，外排水污染物应当达到水污染物综合排放地方标准。</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项目按工艺要求用水，生活污水经排入污水处理厂一并处理，保障处理水后达标排放。</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1、在饮用水水源二级保护区内从事网箱养殖、畜禽养殖、旅游等活动的，应当按照规定采取措施，防止污染饮用水水体。</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2、符合保护区、准保护区内新建、改建、扩建条件的建设项目，应当进行水源水环境影响评价。</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3、市、县人民政府应当加强水环境综合治理，推进城乡污水、垃圾集中收集和无害化处置设施建设，防治工业点源污染和农业面源污染，保障水源水环境安全。</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本项目严格执行相关规定，满足达标排放要求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tcPr>
          <w:p>
            <w:pPr>
              <w:spacing w:line="300" w:lineRule="exact"/>
              <w:jc w:val="center"/>
              <w:rPr>
                <w:rFonts w:asciiTheme="minorEastAsia" w:hAnsiTheme="minorEastAsia" w:eastAsiaTheme="minorEastAsia"/>
                <w:color w:val="FF0000"/>
                <w:kern w:val="10"/>
                <w:szCs w:val="21"/>
              </w:rPr>
            </w:pPr>
            <w:r>
              <w:rPr>
                <w:rFonts w:asciiTheme="minorEastAsia" w:hAnsiTheme="minorEastAsia" w:eastAsiaTheme="minorEastAsia"/>
                <w:kern w:val="10"/>
                <w:szCs w:val="21"/>
              </w:rPr>
              <w:t>环境风险防控</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1、政府有关部门应当对过境的危险化学品运输车辆采取必要安全防护措施，防止污染饮用水水源。</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2、生态环境主管部门应当定期对保护区、准保护区的环境状况和污染风险进行调查评估，筛查可能存在的污染风险因素，制定相应的风险防范措施并督促落实。</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3、市、县人民政府应当组织制定水源污染事故应急处置方案，发生或者可能发生造成饮用水水源污染的突发性事故时，应当依法启动相应的应急方案，做好应急供水准备。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4、保护区、准保护区内可能发生水污染事故的企业事业单位、供水单位应当制定水污染事故应急方案，落实预警、预防机制和保障措施，提高水污染事故防范和处置能力。</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建设单位应完善相关的应急预案，并定期进行演练。</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2、土地使用权已经被地方人民政府收回，土壤污染责任人为原土地使用权人的，由地方人民政府组织实施土壤污染风险管控和修复。</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建设单位严格执行各项制度，厂区范围内全部硬化，减少对土壤环境的污染，并对运行期产生的污染进行风管及修复。</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36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水资源利用</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1、2025、2035年吕梁市水资源利用上线执行水利部门关于水资源开发利用总量、强度、效率等相关管控要求。</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项目用水接自歧道村，可以满足项目用水要求。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restar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能源利用</w:t>
            </w:r>
          </w:p>
        </w:tc>
        <w:tc>
          <w:tcPr>
            <w:tcW w:w="3009" w:type="pct"/>
            <w:vAlign w:val="center"/>
          </w:tcPr>
          <w:p>
            <w:pPr>
              <w:tabs>
                <w:tab w:val="left" w:pos="2865"/>
                <w:tab w:val="center" w:pos="3719"/>
              </w:tabs>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1、2025、2035年吕梁市能源利用上线执行吕梁市“十四五”及中长期能源发展规划相关管控要求。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项目执行相关要求。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continue"/>
            <w:vAlign w:val="center"/>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1、禁煤区内，禁止新建、扩建燃用高污染燃料设施；除燃煤电厂、集中供热站和原料生产使用企业外，禁止销售、储存、运输、燃用煤炭及其制品。</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项目使用清洁能源电。不涉及煤炭消费。</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土地资源</w:t>
            </w:r>
          </w:p>
        </w:tc>
        <w:tc>
          <w:tcPr>
            <w:tcW w:w="3009" w:type="pct"/>
            <w:vAlign w:val="center"/>
          </w:tcPr>
          <w:p>
            <w:pPr>
              <w:tabs>
                <w:tab w:val="left" w:pos="2865"/>
                <w:tab w:val="center" w:pos="3719"/>
              </w:tabs>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1、2025、2035年吕梁市土地资源利用上线执行自然资源部门关于土地资源开发利用总量及强度相关管控要求。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项目用地符合当地土地要求。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bl>
    <w:p>
      <w:pPr>
        <w:spacing w:line="500" w:lineRule="exact"/>
        <w:jc w:val="center"/>
        <w:rPr>
          <w:rFonts w:asciiTheme="minorEastAsia" w:hAnsiTheme="minorEastAsia" w:eastAsiaTheme="minorEastAsia"/>
          <w:color w:val="FF0000"/>
          <w:sz w:val="24"/>
        </w:rPr>
        <w:sectPr>
          <w:pgSz w:w="16838" w:h="11906" w:orient="landscape"/>
          <w:pgMar w:top="1418" w:right="1418" w:bottom="1418" w:left="1418" w:header="851" w:footer="1077"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spacing w:line="500" w:lineRule="exact"/>
              <w:jc w:val="center"/>
              <w:rPr>
                <w:rFonts w:asciiTheme="minorEastAsia" w:hAnsiTheme="minorEastAsia" w:eastAsiaTheme="minorEastAsia"/>
                <w:color w:val="FF0000"/>
                <w:sz w:val="24"/>
              </w:rPr>
            </w:pPr>
            <w:r>
              <w:rPr>
                <w:rFonts w:hint="eastAsia" w:cs="宋体" w:asciiTheme="minorEastAsia" w:hAnsiTheme="minorEastAsia" w:eastAsiaTheme="minorEastAsia"/>
                <w:kern w:val="0"/>
                <w:sz w:val="24"/>
                <w:szCs w:val="21"/>
              </w:rPr>
              <w:t>其他符合性分析</w:t>
            </w:r>
          </w:p>
        </w:tc>
        <w:tc>
          <w:tcPr>
            <w:tcW w:w="7931" w:type="dxa"/>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bCs/>
                <w:sz w:val="24"/>
              </w:rPr>
              <w:t>四、</w:t>
            </w: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年）》（以下简称专项规划）由山西中联创投生态环境工程有限公司于</w:t>
            </w:r>
            <w:r>
              <w:rPr>
                <w:rFonts w:ascii="宋体" w:hAnsi="宋体" w:cs="TimesNewRomanPSMT"/>
                <w:kern w:val="0"/>
                <w:sz w:val="24"/>
              </w:rPr>
              <w:t>2020</w:t>
            </w:r>
            <w:r>
              <w:rPr>
                <w:rFonts w:hint="eastAsia" w:ascii="宋体" w:hAnsi="宋体" w:cs="宋体"/>
                <w:kern w:val="0"/>
                <w:sz w:val="24"/>
              </w:rPr>
              <w:t>年</w:t>
            </w:r>
            <w:r>
              <w:rPr>
                <w:rFonts w:ascii="宋体" w:hAnsi="宋体" w:cs="TimesNewRomanPSMT"/>
                <w:kern w:val="0"/>
                <w:sz w:val="24"/>
              </w:rPr>
              <w:t>3</w:t>
            </w:r>
            <w:r>
              <w:rPr>
                <w:rFonts w:hint="eastAsia" w:ascii="宋体" w:hAnsi="宋体" w:cs="宋体"/>
                <w:kern w:val="0"/>
                <w:sz w:val="24"/>
              </w:rPr>
              <w:t>月编制完成。相关内容如下：</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①规划期限</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2020-2025</w:t>
            </w:r>
            <w:r>
              <w:rPr>
                <w:rFonts w:hint="eastAsia" w:ascii="宋体" w:hAnsi="宋体" w:cs="宋体"/>
                <w:kern w:val="0"/>
                <w:sz w:val="24"/>
              </w:rPr>
              <w:t>年）以</w:t>
            </w:r>
            <w:r>
              <w:rPr>
                <w:rFonts w:ascii="宋体" w:hAnsi="宋体" w:cs="TimesNewRomanPSMT"/>
                <w:kern w:val="0"/>
                <w:sz w:val="24"/>
              </w:rPr>
              <w:t>2019</w:t>
            </w:r>
            <w:r>
              <w:rPr>
                <w:rFonts w:hint="eastAsia" w:ascii="宋体" w:hAnsi="宋体" w:cs="宋体"/>
                <w:kern w:val="0"/>
                <w:sz w:val="24"/>
              </w:rPr>
              <w:t>年为基准年，规划期限为</w:t>
            </w:r>
            <w:r>
              <w:rPr>
                <w:rFonts w:ascii="宋体" w:hAnsi="宋体" w:cs="TimesNewRomanPSMT"/>
                <w:kern w:val="0"/>
                <w:sz w:val="24"/>
              </w:rPr>
              <w:t>2020-2025</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②规划范围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临县白文镇、城庄镇、兔坂镇、克虎镇、曲峪镇、丛罗峪镇、刘家会镇、碛口镇、林家坪镇、招贤镇、三交镇、湍水头镇镇区及大禹乡、安业乡建成区共计</w:t>
            </w:r>
            <w:r>
              <w:rPr>
                <w:rFonts w:ascii="宋体" w:hAnsi="宋体" w:cs="TimesNewRomanPSMT"/>
                <w:kern w:val="0"/>
                <w:sz w:val="24"/>
              </w:rPr>
              <w:t>14</w:t>
            </w:r>
            <w:r>
              <w:rPr>
                <w:rFonts w:hint="eastAsia" w:ascii="宋体" w:hAnsi="宋体" w:cs="宋体"/>
                <w:kern w:val="0"/>
                <w:sz w:val="24"/>
              </w:rPr>
              <w:t>个乡镇的现状建成区及周边部分邻近村庄。</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③规划目标</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④规划人口</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大禹乡地处临县南部，乡镇所在地歧道村距县城14k</w:t>
            </w:r>
            <w:r>
              <w:rPr>
                <w:rFonts w:asciiTheme="minorEastAsia" w:hAnsiTheme="minorEastAsia" w:eastAsiaTheme="minorEastAsia"/>
                <w:bCs/>
                <w:sz w:val="24"/>
              </w:rPr>
              <w:t>m</w:t>
            </w:r>
            <w:r>
              <w:rPr>
                <w:rFonts w:hint="eastAsia" w:asciiTheme="minorEastAsia" w:hAnsiTheme="minorEastAsia" w:eastAsiaTheme="minorEastAsia"/>
                <w:bCs/>
                <w:sz w:val="24"/>
              </w:rPr>
              <w:t>，湫水河沿南北走向将全乡土地分为东西两部分，大禹乡共有9651户，39560人，全乡总土地面积126k</w:t>
            </w:r>
            <w:r>
              <w:rPr>
                <w:rFonts w:asciiTheme="minorEastAsia" w:hAnsiTheme="minorEastAsia" w:eastAsiaTheme="minorEastAsia"/>
                <w:bCs/>
                <w:sz w:val="24"/>
              </w:rPr>
              <w:t>m</w:t>
            </w:r>
            <w:r>
              <w:rPr>
                <w:rFonts w:asciiTheme="minorEastAsia" w:hAnsiTheme="minorEastAsia" w:eastAsiaTheme="minorEastAsia"/>
                <w:bCs/>
                <w:sz w:val="24"/>
                <w:vertAlign w:val="superscript"/>
              </w:rPr>
              <w:t>2</w:t>
            </w:r>
            <w:r>
              <w:rPr>
                <w:rFonts w:hint="eastAsia" w:asciiTheme="minorEastAsia" w:hAnsiTheme="minorEastAsia" w:eastAsiaTheme="minorEastAsia"/>
                <w:bCs/>
                <w:sz w:val="24"/>
              </w:rPr>
              <w:t>。</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⑤规划建设内容</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大禹乡内无污水处理设施，本次规划在大禹乡新建一座污水处理厂并配套污水主管网和支管网。</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《吕梁市临县建制镇生活污水处理设施建设专项规划(</w:t>
            </w:r>
            <w:r>
              <w:rPr>
                <w:rFonts w:asciiTheme="minorEastAsia" w:hAnsiTheme="minorEastAsia" w:eastAsiaTheme="minorEastAsia"/>
                <w:bCs/>
                <w:sz w:val="24"/>
              </w:rPr>
              <w:t>2020-2025</w:t>
            </w:r>
            <w:r>
              <w:rPr>
                <w:rFonts w:hint="eastAsia" w:asciiTheme="minorEastAsia" w:hAnsiTheme="minorEastAsia" w:eastAsiaTheme="minorEastAsia"/>
                <w:bCs/>
                <w:sz w:val="24"/>
              </w:rPr>
              <w:t>年)》规划目标为“到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本项目为大禹乡建设的生活污水处理厂及收集管网的项目，工程设计要求进行深度处理，故本项目建设符合《吕梁市临县建制镇生活污水处理设施建设专项规划》(</w:t>
            </w:r>
            <w:r>
              <w:rPr>
                <w:rFonts w:asciiTheme="minorEastAsia" w:hAnsiTheme="minorEastAsia" w:eastAsiaTheme="minorEastAsia"/>
                <w:bCs/>
                <w:sz w:val="24"/>
              </w:rPr>
              <w:t>2020-2025</w:t>
            </w:r>
            <w:r>
              <w:rPr>
                <w:rFonts w:hint="eastAsia" w:asciiTheme="minorEastAsia" w:hAnsiTheme="minorEastAsia" w:eastAsiaTheme="minorEastAsia"/>
                <w:bCs/>
                <w:sz w:val="24"/>
              </w:rPr>
              <w:t>年)要求。</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五、选址可行性分析</w:t>
            </w:r>
          </w:p>
          <w:p>
            <w:pPr>
              <w:spacing w:line="52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区域规划符合性分析</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本项目污水处理厂位于临县大禹乡歧道村西南侧空地内，占地面积为</w:t>
            </w:r>
            <w:r>
              <w:rPr>
                <w:rFonts w:cs="宋体" w:asciiTheme="minorEastAsia" w:hAnsiTheme="minorEastAsia" w:eastAsiaTheme="minorEastAsia"/>
                <w:sz w:val="24"/>
              </w:rPr>
              <w:t>4000</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占地为村集体用地，现正办理占地手续。污水收集管网埋于大禹乡内各村至污水处理站，沿公路路边西侧地下0.7m处地下，施工期为临时占地，施工结束后恢复为原使用功能。项目的建设符合当地土地规划要求。</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本项目的建设有可效减少了COD、NH</w:t>
            </w:r>
            <w:r>
              <w:rPr>
                <w:rFonts w:hint="eastAsia" w:asciiTheme="minorEastAsia" w:hAnsiTheme="minorEastAsia" w:eastAsiaTheme="minorEastAsia"/>
                <w:sz w:val="24"/>
                <w:vertAlign w:val="subscript"/>
              </w:rPr>
              <w:t>3</w:t>
            </w:r>
            <w:r>
              <w:rPr>
                <w:rFonts w:hint="eastAsia" w:asciiTheme="minorEastAsia" w:hAnsiTheme="minorEastAsia" w:eastAsiaTheme="minorEastAsia"/>
                <w:sz w:val="24"/>
              </w:rPr>
              <w:t>-N、BOD、TN、TP等排放量，项目</w:t>
            </w:r>
            <w:r>
              <w:rPr>
                <w:rFonts w:hint="eastAsia" w:ascii="宋体" w:hAnsi="宋体"/>
                <w:kern w:val="10"/>
                <w:sz w:val="24"/>
              </w:rPr>
              <w:t>生活污水处理厂及收集管网属社会公益事业及民生工程，项目建成运行以后，可收集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w:t>
            </w:r>
            <w:r>
              <w:rPr>
                <w:rFonts w:ascii="宋体" w:hAnsi="宋体"/>
                <w:kern w:val="10"/>
                <w:sz w:val="24"/>
              </w:rPr>
              <w:t>水环境免受污染。</w:t>
            </w:r>
            <w:r>
              <w:rPr>
                <w:rFonts w:hint="eastAsia" w:ascii="宋体" w:hAnsi="宋体"/>
                <w:kern w:val="10"/>
                <w:sz w:val="24"/>
              </w:rPr>
              <w:t>将在很大程度上改善大禹乡水环境质量，美化城市市容环境，环境效益显著。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szCs w:val="20"/>
              </w:rPr>
              <w:t>(2</w:t>
            </w:r>
            <w:r>
              <w:rPr>
                <w:rFonts w:hint="eastAsia" w:asciiTheme="minorEastAsia" w:hAnsiTheme="minorEastAsia" w:eastAsiaTheme="minorEastAsia"/>
                <w:sz w:val="24"/>
                <w:szCs w:val="20"/>
              </w:rPr>
              <w:t>)</w:t>
            </w:r>
            <w:r>
              <w:rPr>
                <w:rFonts w:hint="eastAsia" w:asciiTheme="minorEastAsia" w:hAnsiTheme="minorEastAsia" w:eastAsiaTheme="minorEastAsia"/>
                <w:sz w:val="24"/>
              </w:rPr>
              <w:t>环境敏感区</w:t>
            </w:r>
          </w:p>
          <w:p>
            <w:pPr>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根据《建设项目环境环境影响评价分类管理目录》(</w:t>
            </w:r>
            <w:r>
              <w:rPr>
                <w:rFonts w:cs="宋体" w:asciiTheme="minorEastAsia" w:hAnsiTheme="minorEastAsia" w:eastAsiaTheme="minorEastAsia"/>
                <w:sz w:val="24"/>
              </w:rPr>
              <w:t>2021)</w:t>
            </w:r>
            <w:r>
              <w:rPr>
                <w:rFonts w:hint="eastAsia" w:cs="宋体" w:asciiTheme="minorEastAsia" w:hAnsiTheme="minorEastAsia" w:eastAsiaTheme="minorEastAsia"/>
                <w:sz w:val="24"/>
              </w:rPr>
              <w:t>——“本名录所称环境敏感区，是具有下列特征的区域”中规定的内容进行分析，本项目所在地的环境特征不在自然保护区、风景名胜区、世界文化和自然遗产地、饮用水水源保护区规定的地区内，因此项目区域不属于环境敏感区。</w:t>
            </w:r>
          </w:p>
          <w:p>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w:t>
            </w:r>
            <w:r>
              <w:rPr>
                <w:rFonts w:hint="eastAsia" w:asciiTheme="minorEastAsia" w:hAnsiTheme="minorEastAsia" w:eastAsiaTheme="minorEastAsia"/>
                <w:sz w:val="24"/>
              </w:rPr>
              <w:t>污水处理厂位于临县大禹乡歧道村西南侧处拟建空地，占地为村集体耕地(现正办理土地相关手续</w:t>
            </w:r>
            <w:r>
              <w:rPr>
                <w:rFonts w:asciiTheme="minorEastAsia" w:hAnsiTheme="minorEastAsia" w:eastAsiaTheme="minorEastAsia"/>
                <w:sz w:val="24"/>
              </w:rPr>
              <w:t>)</w:t>
            </w:r>
            <w:r>
              <w:rPr>
                <w:rFonts w:hint="eastAsia" w:asciiTheme="minorEastAsia" w:hAnsiTheme="minorEastAsia" w:eastAsiaTheme="minorEastAsia"/>
                <w:sz w:val="24"/>
              </w:rPr>
              <w:t>，</w:t>
            </w:r>
            <w:r>
              <w:rPr>
                <w:rFonts w:asciiTheme="minorEastAsia" w:hAnsiTheme="minorEastAsia" w:eastAsiaTheme="minorEastAsia"/>
                <w:sz w:val="24"/>
              </w:rPr>
              <w:t>距</w:t>
            </w:r>
            <w:r>
              <w:rPr>
                <w:rFonts w:hint="eastAsia" w:asciiTheme="minorEastAsia" w:hAnsiTheme="minorEastAsia" w:eastAsiaTheme="minorEastAsia"/>
                <w:sz w:val="24"/>
              </w:rPr>
              <w:t>临</w:t>
            </w:r>
            <w:r>
              <w:rPr>
                <w:rFonts w:asciiTheme="minorEastAsia" w:hAnsiTheme="minorEastAsia" w:eastAsiaTheme="minorEastAsia"/>
                <w:sz w:val="24"/>
              </w:rPr>
              <w:t>县县城约14km，不在</w:t>
            </w:r>
            <w:r>
              <w:rPr>
                <w:rFonts w:hint="eastAsia" w:asciiTheme="minorEastAsia" w:hAnsiTheme="minorEastAsia" w:eastAsiaTheme="minorEastAsia"/>
                <w:sz w:val="24"/>
              </w:rPr>
              <w:t>临</w:t>
            </w:r>
            <w:r>
              <w:rPr>
                <w:rFonts w:asciiTheme="minorEastAsia" w:hAnsiTheme="minorEastAsia" w:eastAsiaTheme="minorEastAsia"/>
                <w:sz w:val="24"/>
              </w:rPr>
              <w:t>县</w:t>
            </w:r>
            <w:r>
              <w:rPr>
                <w:rFonts w:hint="eastAsia" w:asciiTheme="minorEastAsia" w:hAnsiTheme="minorEastAsia" w:eastAsiaTheme="minorEastAsia"/>
                <w:sz w:val="24"/>
              </w:rPr>
              <w:t>县城</w:t>
            </w:r>
            <w:r>
              <w:rPr>
                <w:rFonts w:asciiTheme="minorEastAsia" w:hAnsiTheme="minorEastAsia" w:eastAsiaTheme="minorEastAsia"/>
                <w:sz w:val="24"/>
              </w:rPr>
              <w:t>规划范围内。</w:t>
            </w:r>
            <w:r>
              <w:rPr>
                <w:rFonts w:hint="eastAsia" w:asciiTheme="minorEastAsia" w:hAnsiTheme="minorEastAsia" w:eastAsiaTheme="minorEastAsia"/>
                <w:color w:val="000000" w:themeColor="text1"/>
                <w:sz w:val="24"/>
                <w14:textFill>
                  <w14:solidFill>
                    <w14:schemeClr w14:val="tx1"/>
                  </w14:solidFill>
                </w14:textFill>
              </w:rPr>
              <w:t>项目污水收集管网沿湫水河两岸就近污水收集村庄、小区的外侧2</w:t>
            </w:r>
            <w:r>
              <w:rPr>
                <w:rFonts w:asciiTheme="minorEastAsia" w:hAnsiTheme="minorEastAsia" w:eastAsiaTheme="minorEastAsia"/>
                <w:color w:val="000000" w:themeColor="text1"/>
                <w:sz w:val="24"/>
                <w14:textFill>
                  <w14:solidFill>
                    <w14:schemeClr w14:val="tx1"/>
                  </w14:solidFill>
                </w14:textFill>
              </w:rPr>
              <w:t>0-30m</w:t>
            </w:r>
            <w:r>
              <w:rPr>
                <w:rFonts w:hint="eastAsia" w:asciiTheme="minorEastAsia" w:hAnsiTheme="minorEastAsia" w:eastAsiaTheme="minorEastAsia"/>
                <w:color w:val="000000" w:themeColor="text1"/>
                <w:sz w:val="24"/>
                <w14:textFill>
                  <w14:solidFill>
                    <w14:schemeClr w14:val="tx1"/>
                  </w14:solidFill>
                </w14:textFill>
              </w:rPr>
              <w:t>布设，便于污水就近汇集，故</w:t>
            </w:r>
            <w:r>
              <w:rPr>
                <w:rFonts w:asciiTheme="minorEastAsia" w:hAnsiTheme="minorEastAsia" w:eastAsiaTheme="minorEastAsia"/>
                <w:sz w:val="24"/>
              </w:rPr>
              <w:t>项目</w:t>
            </w:r>
            <w:r>
              <w:rPr>
                <w:rFonts w:hint="eastAsia" w:asciiTheme="minorEastAsia" w:hAnsiTheme="minorEastAsia" w:eastAsiaTheme="minorEastAsia"/>
                <w:sz w:val="24"/>
              </w:rPr>
              <w:t>建设</w:t>
            </w:r>
            <w:r>
              <w:rPr>
                <w:rFonts w:asciiTheme="minorEastAsia" w:hAnsiTheme="minorEastAsia" w:eastAsiaTheme="minorEastAsia"/>
                <w:sz w:val="24"/>
              </w:rPr>
              <w:t>不违背</w:t>
            </w:r>
            <w:r>
              <w:rPr>
                <w:rFonts w:hint="eastAsia" w:asciiTheme="minorEastAsia" w:hAnsiTheme="minorEastAsia" w:eastAsiaTheme="minorEastAsia"/>
                <w:sz w:val="24"/>
              </w:rPr>
              <w:t>临县县城</w:t>
            </w:r>
            <w:r>
              <w:rPr>
                <w:rFonts w:asciiTheme="minorEastAsia" w:hAnsiTheme="minorEastAsia" w:eastAsiaTheme="minorEastAsia"/>
                <w:sz w:val="24"/>
              </w:rPr>
              <w:t>总体规划，故项目选址可行。</w:t>
            </w: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tc>
      </w:tr>
    </w:tbl>
    <w:p>
      <w:pPr>
        <w:spacing w:line="500" w:lineRule="exact"/>
        <w:jc w:val="center"/>
        <w:rPr>
          <w:rFonts w:asciiTheme="minorEastAsia" w:hAnsiTheme="minorEastAsia" w:eastAsiaTheme="minorEastAsia"/>
          <w:color w:val="FF0000"/>
          <w:sz w:val="24"/>
        </w:rPr>
      </w:pPr>
    </w:p>
    <w:p>
      <w:pPr>
        <w:spacing w:line="360" w:lineRule="auto"/>
        <w:rPr>
          <w:rFonts w:asciiTheme="minorEastAsia" w:hAnsiTheme="minorEastAsia" w:eastAsiaTheme="minorEastAsia"/>
          <w:color w:val="FF0000"/>
          <w:sz w:val="30"/>
        </w:rPr>
        <w:sectPr>
          <w:pgSz w:w="11906" w:h="16838"/>
          <w:pgMar w:top="1418" w:right="1418" w:bottom="1418" w:left="1418" w:header="851" w:footer="1077"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2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建设</w:t>
            </w: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sz w:val="21"/>
                <w:szCs w:val="21"/>
              </w:rPr>
              <w:t>内容</w:t>
            </w:r>
          </w:p>
        </w:tc>
        <w:tc>
          <w:tcPr>
            <w:tcW w:w="8161" w:type="dxa"/>
          </w:tcPr>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一、项目简介</w:t>
            </w:r>
          </w:p>
          <w:p>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项目名称</w:t>
            </w:r>
            <w:r>
              <w:rPr>
                <w:rFonts w:hint="eastAsia" w:asciiTheme="minorEastAsia" w:hAnsiTheme="minorEastAsia" w:eastAsiaTheme="minorEastAsia"/>
                <w:sz w:val="24"/>
              </w:rPr>
              <w:t>：</w:t>
            </w:r>
            <w:r>
              <w:rPr>
                <w:rFonts w:hint="eastAsia" w:ascii="宋体" w:cs="宋体"/>
                <w:kern w:val="0"/>
                <w:sz w:val="24"/>
              </w:rPr>
              <w:t>临县大禹镇生活污水收集管网和污水处理站建设工程</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建设单位</w:t>
            </w:r>
            <w:r>
              <w:rPr>
                <w:rFonts w:hint="eastAsia" w:asciiTheme="minorEastAsia" w:hAnsiTheme="minorEastAsia" w:eastAsiaTheme="minorEastAsia"/>
                <w:kern w:val="10"/>
                <w:sz w:val="24"/>
              </w:rPr>
              <w:t>：吕梁市生态环境局临县分局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建设性质</w:t>
            </w:r>
            <w:r>
              <w:rPr>
                <w:rFonts w:hint="eastAsia" w:asciiTheme="minorEastAsia" w:hAnsiTheme="minorEastAsia" w:eastAsiaTheme="minorEastAsia"/>
                <w:kern w:val="10"/>
                <w:sz w:val="24"/>
              </w:rPr>
              <w:t>：新建</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4、项目投资：工程总</w:t>
            </w:r>
            <w:r>
              <w:rPr>
                <w:rFonts w:hint="eastAsia" w:asciiTheme="minorEastAsia" w:hAnsiTheme="minorEastAsia" w:eastAsiaTheme="minorEastAsia"/>
                <w:kern w:val="10"/>
                <w:sz w:val="24"/>
              </w:rPr>
              <w:t>投资</w:t>
            </w:r>
            <w:r>
              <w:rPr>
                <w:rFonts w:asciiTheme="minorEastAsia" w:hAnsiTheme="minorEastAsia" w:eastAsiaTheme="minorEastAsia"/>
                <w:kern w:val="10"/>
                <w:sz w:val="24"/>
              </w:rPr>
              <w:t>3420.6443</w:t>
            </w:r>
            <w:r>
              <w:rPr>
                <w:rFonts w:hint="eastAsia" w:asciiTheme="minorEastAsia" w:hAnsiTheme="minorEastAsia" w:eastAsiaTheme="minorEastAsia"/>
                <w:kern w:val="10"/>
                <w:sz w:val="24"/>
              </w:rPr>
              <w:t>万元，资金</w:t>
            </w:r>
            <w:r>
              <w:rPr>
                <w:rFonts w:hint="eastAsia" w:asciiTheme="minorEastAsia" w:hAnsiTheme="minorEastAsia" w:eastAsiaTheme="minorEastAsia"/>
                <w:kern w:val="10"/>
                <w:sz w:val="24"/>
                <w:szCs w:val="28"/>
              </w:rPr>
              <w:t>来源为：本项目建设资金其中</w:t>
            </w:r>
            <w:r>
              <w:rPr>
                <w:rFonts w:asciiTheme="minorEastAsia" w:hAnsiTheme="minorEastAsia" w:eastAsiaTheme="minorEastAsia"/>
                <w:kern w:val="10"/>
                <w:sz w:val="24"/>
                <w:szCs w:val="28"/>
              </w:rPr>
              <w:t>80%</w:t>
            </w:r>
            <w:r>
              <w:rPr>
                <w:rFonts w:hint="eastAsia" w:asciiTheme="minorEastAsia" w:hAnsiTheme="minorEastAsia" w:eastAsiaTheme="minorEastAsia"/>
                <w:kern w:val="10"/>
                <w:sz w:val="24"/>
                <w:szCs w:val="28"/>
              </w:rPr>
              <w:t>申请国家环保专项资金，剩余</w:t>
            </w:r>
            <w:r>
              <w:rPr>
                <w:rFonts w:asciiTheme="minorEastAsia" w:hAnsiTheme="minorEastAsia" w:eastAsiaTheme="minorEastAsia"/>
                <w:kern w:val="10"/>
                <w:sz w:val="24"/>
                <w:szCs w:val="28"/>
              </w:rPr>
              <w:t>20%</w:t>
            </w:r>
            <w:r>
              <w:rPr>
                <w:rFonts w:hint="eastAsia" w:asciiTheme="minorEastAsia" w:hAnsiTheme="minorEastAsia" w:eastAsiaTheme="minorEastAsia"/>
                <w:kern w:val="10"/>
                <w:sz w:val="24"/>
                <w:szCs w:val="28"/>
              </w:rPr>
              <w:t>部分由地方财政配套解决。</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asciiTheme="minorEastAsia" w:hAnsiTheme="minorEastAsia" w:eastAsiaTheme="minorEastAsia"/>
                <w:kern w:val="10"/>
                <w:sz w:val="24"/>
              </w:rPr>
              <w:t>5、建设规模：设计年限至</w:t>
            </w:r>
            <w:r>
              <w:rPr>
                <w:rFonts w:asciiTheme="minorEastAsia" w:hAnsiTheme="minorEastAsia" w:eastAsiaTheme="minorEastAsia"/>
                <w:kern w:val="10"/>
                <w:sz w:val="24"/>
              </w:rPr>
              <w:t>2025</w:t>
            </w:r>
            <w:r>
              <w:rPr>
                <w:rFonts w:hint="eastAsia" w:asciiTheme="minorEastAsia" w:hAnsiTheme="minorEastAsia" w:eastAsiaTheme="minorEastAsia"/>
                <w:kern w:val="10"/>
                <w:sz w:val="24"/>
              </w:rPr>
              <w:t>年，生活污水处理厂设计规模为</w:t>
            </w:r>
            <w:r>
              <w:rPr>
                <w:rFonts w:asciiTheme="minorEastAsia" w:hAnsiTheme="minorEastAsia" w:eastAsiaTheme="minorEastAsia"/>
                <w:kern w:val="10"/>
                <w:sz w:val="24"/>
              </w:rPr>
              <w:t>1000m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r>
              <w:rPr>
                <w:rFonts w:hint="eastAsia" w:asciiTheme="minorEastAsia" w:hAnsiTheme="minorEastAsia" w:eastAsiaTheme="minorEastAsia"/>
                <w:kern w:val="10"/>
                <w:sz w:val="24"/>
              </w:rPr>
              <w:t>，拟建</w:t>
            </w:r>
            <w:r>
              <w:rPr>
                <w:rFonts w:hint="eastAsia" w:cs="宋体" w:asciiTheme="minorEastAsia" w:hAnsiTheme="minorEastAsia" w:eastAsiaTheme="minorEastAsia"/>
                <w:kern w:val="0"/>
                <w:sz w:val="24"/>
              </w:rPr>
              <w:t>拟建管网干管总长度</w:t>
            </w:r>
            <w:r>
              <w:rPr>
                <w:rFonts w:cs="TimesNewRomanPSMT" w:asciiTheme="minorEastAsia" w:hAnsiTheme="minorEastAsia" w:eastAsiaTheme="minorEastAsia"/>
                <w:kern w:val="0"/>
                <w:sz w:val="24"/>
              </w:rPr>
              <w:t>8814m</w:t>
            </w:r>
            <w:r>
              <w:rPr>
                <w:rFonts w:hint="eastAsia" w:cs="宋体" w:asciiTheme="minorEastAsia" w:hAnsiTheme="minorEastAsia" w:eastAsiaTheme="minorEastAsia"/>
                <w:kern w:val="0"/>
                <w:sz w:val="24"/>
              </w:rPr>
              <w:t>，入户管总长度</w:t>
            </w:r>
            <w:r>
              <w:rPr>
                <w:rFonts w:cs="TimesNewRomanPSMT" w:asciiTheme="minorEastAsia" w:hAnsiTheme="minorEastAsia" w:eastAsiaTheme="minorEastAsia"/>
                <w:kern w:val="0"/>
                <w:sz w:val="24"/>
              </w:rPr>
              <w:t>5880m</w:t>
            </w:r>
            <w:r>
              <w:rPr>
                <w:rFonts w:hint="eastAsia" w:cs="宋体" w:asciiTheme="minorEastAsia" w:hAnsiTheme="minorEastAsia" w:eastAsiaTheme="minorEastAsia"/>
                <w:kern w:val="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6</w:t>
            </w:r>
            <w:r>
              <w:rPr>
                <w:rFonts w:hint="eastAsia" w:asciiTheme="minorEastAsia" w:hAnsiTheme="minorEastAsia" w:eastAsiaTheme="minorEastAsia"/>
                <w:kern w:val="10"/>
                <w:sz w:val="24"/>
              </w:rPr>
              <w:t>、项目服务范围：</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本项目服务范</w:t>
            </w:r>
            <w:r>
              <w:rPr>
                <w:rFonts w:hint="eastAsia" w:asciiTheme="minorEastAsia" w:hAnsiTheme="minorEastAsia" w:eastAsiaTheme="minorEastAsia"/>
                <w:kern w:val="10"/>
                <w:sz w:val="24"/>
              </w:rPr>
              <w:t>围为包括湫水河及支流大峪沟、小峪沟沿岸共</w:t>
            </w:r>
            <w:r>
              <w:rPr>
                <w:rFonts w:asciiTheme="minorEastAsia" w:hAnsiTheme="minorEastAsia" w:eastAsiaTheme="minorEastAsia"/>
                <w:kern w:val="10"/>
                <w:sz w:val="24"/>
              </w:rPr>
              <w:t>8</w:t>
            </w:r>
            <w:r>
              <w:rPr>
                <w:rFonts w:hint="eastAsia" w:asciiTheme="minorEastAsia" w:hAnsiTheme="minorEastAsia" w:eastAsiaTheme="minorEastAsia"/>
                <w:kern w:val="10"/>
                <w:sz w:val="24"/>
              </w:rPr>
              <w:t>个村庄的生活污水收集与处理，总服务人口约</w:t>
            </w:r>
            <w:r>
              <w:rPr>
                <w:rFonts w:asciiTheme="minorEastAsia" w:hAnsiTheme="minorEastAsia" w:eastAsiaTheme="minorEastAsia"/>
                <w:kern w:val="10"/>
                <w:sz w:val="24"/>
              </w:rPr>
              <w:t>1.3</w:t>
            </w:r>
            <w:r>
              <w:rPr>
                <w:rFonts w:hint="eastAsia" w:asciiTheme="minorEastAsia" w:hAnsiTheme="minorEastAsia" w:eastAsiaTheme="minorEastAsia"/>
                <w:kern w:val="10"/>
                <w:sz w:val="24"/>
              </w:rPr>
              <w:t>万人。具体见下表：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本项目服务范围清单</w:t>
            </w:r>
          </w:p>
          <w:tbl>
            <w:tblPr>
              <w:tblStyle w:val="28"/>
              <w:tblW w:w="0" w:type="auto"/>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1846"/>
              <w:gridCol w:w="1405"/>
              <w:gridCol w:w="1350"/>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序</w:t>
                  </w:r>
                  <w:bookmarkStart w:id="2" w:name="4.1_设计年限及工程服务范围"/>
                  <w:bookmarkEnd w:id="2"/>
                  <w:r>
                    <w:rPr>
                      <w:rFonts w:hint="eastAsia" w:ascii="宋体" w:hAnsi="宋体" w:cs="宋体"/>
                      <w:kern w:val="0"/>
                      <w:szCs w:val="21"/>
                    </w:rPr>
                    <w:t>号</w:t>
                  </w:r>
                </w:p>
              </w:tc>
              <w:tc>
                <w:tcPr>
                  <w:tcW w:w="1847" w:type="dxa"/>
                </w:tcPr>
                <w:p>
                  <w:pPr>
                    <w:kinsoku w:val="0"/>
                    <w:overflowPunct w:val="0"/>
                    <w:autoSpaceDE w:val="0"/>
                    <w:autoSpaceDN w:val="0"/>
                    <w:adjustRightInd w:val="0"/>
                    <w:spacing w:line="400" w:lineRule="exact"/>
                    <w:jc w:val="center"/>
                    <w:rPr>
                      <w:rFonts w:ascii="宋体" w:hAnsi="宋体"/>
                      <w:kern w:val="0"/>
                      <w:szCs w:val="21"/>
                    </w:rPr>
                  </w:pPr>
                  <w:bookmarkStart w:id="3" w:name="4.1.2_工程服务范围"/>
                  <w:bookmarkEnd w:id="3"/>
                  <w:bookmarkStart w:id="4" w:name="4.1.1_设计年限"/>
                  <w:bookmarkEnd w:id="4"/>
                  <w:bookmarkStart w:id="5" w:name="bookmark2"/>
                  <w:bookmarkEnd w:id="5"/>
                  <w:r>
                    <w:rPr>
                      <w:rFonts w:hint="eastAsia" w:ascii="宋体" w:hAnsi="宋体" w:cs="宋体"/>
                      <w:spacing w:val="2"/>
                      <w:kern w:val="0"/>
                      <w:szCs w:val="21"/>
                    </w:rPr>
                    <w:t>村庄</w:t>
                  </w:r>
                  <w:r>
                    <w:rPr>
                      <w:rFonts w:hint="eastAsia" w:ascii="宋体" w:hAnsi="宋体" w:cs="宋体"/>
                      <w:kern w:val="0"/>
                      <w:szCs w:val="21"/>
                    </w:rPr>
                    <w:t>/</w:t>
                  </w:r>
                  <w:r>
                    <w:rPr>
                      <w:rFonts w:hint="eastAsia" w:ascii="宋体" w:hAnsi="宋体" w:cs="宋体"/>
                      <w:spacing w:val="2"/>
                      <w:kern w:val="0"/>
                      <w:szCs w:val="21"/>
                    </w:rPr>
                    <w:t>小区名称</w:t>
                  </w:r>
                </w:p>
              </w:tc>
              <w:tc>
                <w:tcPr>
                  <w:tcW w:w="1406" w:type="dxa"/>
                </w:tcPr>
                <w:p>
                  <w:pPr>
                    <w:kinsoku w:val="0"/>
                    <w:overflowPunct w:val="0"/>
                    <w:autoSpaceDE w:val="0"/>
                    <w:autoSpaceDN w:val="0"/>
                    <w:adjustRightInd w:val="0"/>
                    <w:spacing w:line="400" w:lineRule="exact"/>
                    <w:jc w:val="center"/>
                    <w:rPr>
                      <w:rFonts w:ascii="宋体" w:hAnsi="宋体"/>
                      <w:kern w:val="0"/>
                      <w:szCs w:val="21"/>
                    </w:rPr>
                  </w:pPr>
                  <w:bookmarkStart w:id="6" w:name="bookmark3"/>
                  <w:bookmarkEnd w:id="6"/>
                  <w:bookmarkStart w:id="7" w:name="第4章__工程建设规模、水质及厂址"/>
                  <w:bookmarkEnd w:id="7"/>
                  <w:r>
                    <w:rPr>
                      <w:rFonts w:hint="eastAsia" w:ascii="宋体" w:hAnsi="宋体" w:cs="宋体"/>
                      <w:kern w:val="0"/>
                      <w:szCs w:val="21"/>
                    </w:rPr>
                    <w:t>户数</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spacing w:val="2"/>
                      <w:kern w:val="0"/>
                      <w:szCs w:val="21"/>
                    </w:rPr>
                    <w:t>人口数</w:t>
                  </w:r>
                </w:p>
              </w:tc>
              <w:tc>
                <w:tcPr>
                  <w:tcW w:w="2585"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spacing w:val="3"/>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1</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大峪沟村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650</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1915</w:t>
                  </w:r>
                </w:p>
              </w:tc>
              <w:tc>
                <w:tcPr>
                  <w:tcW w:w="2585"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兴峪家园</w:t>
                  </w:r>
                  <w:r>
                    <w:rPr>
                      <w:rFonts w:ascii="宋体" w:hAnsi="宋体"/>
                      <w:kern w:val="0"/>
                      <w:szCs w:val="21"/>
                    </w:rPr>
                    <w:t>181</w:t>
                  </w:r>
                  <w:r>
                    <w:rPr>
                      <w:rFonts w:hint="eastAsia" w:ascii="宋体" w:hAnsi="宋体" w:cs="宋体"/>
                      <w:kern w:val="0"/>
                      <w:szCs w:val="21"/>
                    </w:rPr>
                    <w:t>户，约</w:t>
                  </w:r>
                  <w:r>
                    <w:rPr>
                      <w:rFonts w:ascii="宋体" w:hAnsi="宋体"/>
                      <w:kern w:val="0"/>
                      <w:szCs w:val="21"/>
                    </w:rPr>
                    <w:t>800</w:t>
                  </w:r>
                  <w:r>
                    <w:rPr>
                      <w:rFonts w:hint="eastAsia" w:ascii="宋体" w:hAnsi="宋体" w:cs="宋体"/>
                      <w:kern w:val="0"/>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2</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歧道村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602</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1877</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3</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府底村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398</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1058</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4</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前刘家庄村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866</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2349</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5</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后刘家庄村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659</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1913</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6</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善庆峪村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528</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1566</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7</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西沟村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27</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735</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8</w:t>
                  </w:r>
                </w:p>
              </w:tc>
              <w:tc>
                <w:tcPr>
                  <w:tcW w:w="1847"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刘家圪垯村</w:t>
                  </w: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561</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1615</w:t>
                  </w:r>
                </w:p>
              </w:tc>
              <w:tc>
                <w:tcPr>
                  <w:tcW w:w="2585" w:type="dxa"/>
                </w:tcPr>
                <w:p>
                  <w:pPr>
                    <w:autoSpaceDE w:val="0"/>
                    <w:autoSpaceDN w:val="0"/>
                    <w:adjustRightInd w:val="0"/>
                    <w:spacing w:line="400" w:lineRule="exact"/>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85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合计</w:t>
                  </w:r>
                </w:p>
              </w:tc>
              <w:tc>
                <w:tcPr>
                  <w:tcW w:w="1847" w:type="dxa"/>
                </w:tcPr>
                <w:p>
                  <w:pPr>
                    <w:autoSpaceDE w:val="0"/>
                    <w:autoSpaceDN w:val="0"/>
                    <w:adjustRightInd w:val="0"/>
                    <w:spacing w:line="400" w:lineRule="exact"/>
                    <w:jc w:val="center"/>
                    <w:rPr>
                      <w:rFonts w:ascii="宋体" w:hAnsi="宋体"/>
                      <w:kern w:val="0"/>
                      <w:szCs w:val="21"/>
                    </w:rPr>
                  </w:pPr>
                </w:p>
              </w:tc>
              <w:tc>
                <w:tcPr>
                  <w:tcW w:w="140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4291</w:t>
                  </w:r>
                </w:p>
              </w:tc>
              <w:tc>
                <w:tcPr>
                  <w:tcW w:w="1351"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13028</w:t>
                  </w:r>
                </w:p>
              </w:tc>
              <w:tc>
                <w:tcPr>
                  <w:tcW w:w="2585" w:type="dxa"/>
                </w:tcPr>
                <w:p>
                  <w:pPr>
                    <w:autoSpaceDE w:val="0"/>
                    <w:autoSpaceDN w:val="0"/>
                    <w:adjustRightInd w:val="0"/>
                    <w:spacing w:line="400" w:lineRule="exact"/>
                    <w:jc w:val="center"/>
                    <w:rPr>
                      <w:rFonts w:ascii="宋体" w:hAnsi="宋体"/>
                      <w:kern w:val="0"/>
                      <w:szCs w:val="21"/>
                    </w:rPr>
                  </w:pPr>
                </w:p>
              </w:tc>
            </w:tr>
          </w:tbl>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根据实地勘察了解，该地区村民人口规模、生活水平、用水习惯和经济条件，农村污水主要来源为厨房用水、洗衣和洗浴用水等。</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建设地沿岸村庄大部分已建成生活污水管网，排污口设在湫水河沿岸，生活污水未经处理直接排入湫水河。</w:t>
            </w:r>
          </w:p>
          <w:p>
            <w:pPr>
              <w:tabs>
                <w:tab w:val="left" w:pos="1710"/>
              </w:tabs>
              <w:autoSpaceDE w:val="0"/>
              <w:autoSpaceDN w:val="0"/>
              <w:adjustRightInd w:val="0"/>
              <w:spacing w:line="500" w:lineRule="exact"/>
              <w:ind w:firstLine="480" w:firstLineChars="200"/>
              <w:rPr>
                <w:rFonts w:ascii="宋体" w:hAnsi="宋体"/>
                <w:kern w:val="10"/>
                <w:sz w:val="24"/>
              </w:rPr>
            </w:pPr>
            <w:r>
              <w:rPr>
                <w:rFonts w:ascii="宋体" w:hAnsi="宋体"/>
                <w:kern w:val="10"/>
                <w:sz w:val="24"/>
              </w:rPr>
              <w:t>7</w:t>
            </w:r>
            <w:r>
              <w:rPr>
                <w:rFonts w:hint="eastAsia" w:ascii="宋体" w:hAnsi="宋体"/>
                <w:kern w:val="10"/>
                <w:sz w:val="24"/>
              </w:rPr>
              <w:t>、建设地点及平面布置：</w:t>
            </w:r>
          </w:p>
          <w:p>
            <w:pPr>
              <w:tabs>
                <w:tab w:val="left" w:pos="1710"/>
              </w:tabs>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污水处理站位于大禹乡歧道村西南角，占地面积</w:t>
            </w:r>
            <w:r>
              <w:rPr>
                <w:rFonts w:ascii="宋体" w:hAnsi="宋体" w:cs="宋体"/>
                <w:sz w:val="24"/>
              </w:rPr>
              <w:t>4000m</w:t>
            </w:r>
            <w:r>
              <w:rPr>
                <w:rFonts w:ascii="宋体" w:hAnsi="宋体" w:cs="宋体"/>
                <w:sz w:val="24"/>
                <w:vertAlign w:val="superscript"/>
              </w:rPr>
              <w:t>2</w:t>
            </w:r>
            <w:r>
              <w:rPr>
                <w:rFonts w:hint="eastAsia" w:ascii="宋体" w:hAnsi="宋体" w:cs="宋体"/>
                <w:sz w:val="24"/>
              </w:rPr>
              <w:t>，为歧道村集地耕地。正办理土地相关</w:t>
            </w:r>
            <w:bookmarkStart w:id="41" w:name="_GoBack"/>
            <w:bookmarkEnd w:id="41"/>
            <w:r>
              <w:rPr>
                <w:rFonts w:hint="eastAsia" w:ascii="宋体" w:hAnsi="宋体" w:cs="宋体"/>
                <w:sz w:val="24"/>
              </w:rPr>
              <w:t>手续。</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污水处理厂总平面设计按照进出水水流方向和处理工艺要求，按功能分为五大区域，分别为预处理区、污泥处理区、生化处理区、深度处理区及生产辅助区，具体如下：</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1</w:t>
            </w:r>
            <w:r>
              <w:rPr>
                <w:rFonts w:hint="eastAsia" w:ascii="宋体" w:hAnsi="宋体" w:cs="宋体"/>
                <w:kern w:val="0"/>
                <w:sz w:val="24"/>
              </w:rPr>
              <w:t>）预处理区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预处理区位于厂区最北侧，将生产环境较为恶劣、气味较差的预处理区远离厂前管理区，布置有粗格栅、细格栅，粗、细格栅置于车间内，房间外设生物除臭系统，对格栅间进行除臭，防止恶臭污染环境。</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2</w:t>
            </w:r>
            <w:r>
              <w:rPr>
                <w:rFonts w:hint="eastAsia" w:ascii="宋体" w:hAnsi="宋体" w:cs="宋体"/>
                <w:kern w:val="0"/>
                <w:sz w:val="24"/>
              </w:rPr>
              <w:t>）生化处理区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生化处理区是整个厂区的核心区域，位于厂区中部，主要构筑物有：巴顿甫五段生化池及二沉池等。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3</w:t>
            </w:r>
            <w:r>
              <w:rPr>
                <w:rFonts w:hint="eastAsia" w:ascii="宋体" w:hAnsi="宋体" w:cs="宋体"/>
                <w:kern w:val="0"/>
                <w:sz w:val="24"/>
              </w:rPr>
              <w:t>）深度处理区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深度处理区位于厂区南部，紧邻生产辅助区，主要构筑物有：净水车间、风机房、加（储）药间、在线监测间、碳源间及消毒间、综合水池等等。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4</w:t>
            </w:r>
            <w:r>
              <w:rPr>
                <w:rFonts w:hint="eastAsia" w:ascii="宋体" w:hAnsi="宋体" w:cs="宋体"/>
                <w:kern w:val="0"/>
                <w:sz w:val="24"/>
              </w:rPr>
              <w:t>）生产辅助区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生产辅助区位于厂区南侧，主要包括配电室、值班室、中控室、餐厅，靠近厂区用电负荷最大之处。</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厂区设主入口</w:t>
            </w:r>
            <w:r>
              <w:rPr>
                <w:rFonts w:ascii="宋体" w:hAnsi="宋体" w:cs="TimesNewRomanPSMT"/>
                <w:kern w:val="0"/>
                <w:sz w:val="24"/>
              </w:rPr>
              <w:t>1</w:t>
            </w:r>
            <w:r>
              <w:rPr>
                <w:rFonts w:hint="eastAsia" w:ascii="宋体" w:hAnsi="宋体" w:cs="宋体"/>
                <w:kern w:val="0"/>
                <w:sz w:val="24"/>
              </w:rPr>
              <w:t>个，次入口</w:t>
            </w:r>
            <w:r>
              <w:rPr>
                <w:rFonts w:ascii="宋体" w:hAnsi="宋体" w:cs="TimesNewRomanPSMT"/>
                <w:kern w:val="0"/>
                <w:sz w:val="24"/>
              </w:rPr>
              <w:t>1</w:t>
            </w:r>
            <w:r>
              <w:rPr>
                <w:rFonts w:hint="eastAsia" w:ascii="宋体" w:hAnsi="宋体" w:cs="宋体"/>
                <w:kern w:val="0"/>
                <w:sz w:val="24"/>
              </w:rPr>
              <w:t>个。主入口紧邻生产辅助区，为办公、生产人员进出口通道；厂区生产所需药剂，滤后污泥，均由次入口运出场外。</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厂内道路按《城市污水处理工程项目建设标准》（建标</w:t>
            </w:r>
            <w:r>
              <w:rPr>
                <w:rFonts w:ascii="宋体" w:hAnsi="宋体" w:cs="TimesNewRomanPSMT"/>
                <w:kern w:val="0"/>
                <w:sz w:val="24"/>
              </w:rPr>
              <w:t>77-2001</w:t>
            </w:r>
            <w:r>
              <w:rPr>
                <w:rFonts w:hint="eastAsia" w:ascii="宋体" w:hAnsi="宋体" w:cs="宋体"/>
                <w:kern w:val="0"/>
                <w:sz w:val="24"/>
              </w:rPr>
              <w:t>）之规定，双车道宽</w:t>
            </w:r>
            <w:r>
              <w:rPr>
                <w:rFonts w:ascii="宋体" w:hAnsi="宋体" w:cs="TimesNewRomanPSMT"/>
                <w:kern w:val="0"/>
                <w:sz w:val="24"/>
              </w:rPr>
              <w:t>6m</w:t>
            </w:r>
            <w:r>
              <w:rPr>
                <w:rFonts w:hint="eastAsia" w:ascii="宋体" w:hAnsi="宋体" w:cs="宋体"/>
                <w:kern w:val="0"/>
                <w:sz w:val="24"/>
              </w:rPr>
              <w:t>，单车道宽</w:t>
            </w:r>
            <w:r>
              <w:rPr>
                <w:rFonts w:ascii="宋体" w:hAnsi="宋体" w:cs="TimesNewRomanPSMT"/>
                <w:kern w:val="0"/>
                <w:sz w:val="24"/>
              </w:rPr>
              <w:t>4m</w:t>
            </w:r>
            <w:r>
              <w:rPr>
                <w:rFonts w:hint="eastAsia" w:ascii="宋体" w:hAnsi="宋体" w:cs="宋体"/>
                <w:kern w:val="0"/>
                <w:sz w:val="24"/>
              </w:rPr>
              <w:t>，转弯半径</w:t>
            </w:r>
            <w:r>
              <w:rPr>
                <w:rFonts w:ascii="宋体" w:hAnsi="宋体" w:cs="TimesNewRomanPSMT"/>
                <w:kern w:val="0"/>
                <w:sz w:val="24"/>
              </w:rPr>
              <w:t>6m</w:t>
            </w:r>
            <w:r>
              <w:rPr>
                <w:rFonts w:hint="eastAsia" w:ascii="宋体" w:hAnsi="宋体" w:cs="宋体"/>
                <w:kern w:val="0"/>
                <w:sz w:val="24"/>
              </w:rPr>
              <w:t>。人行步道宽1</w:t>
            </w:r>
            <w:r>
              <w:rPr>
                <w:rFonts w:ascii="宋体" w:hAnsi="宋体" w:cs="宋体"/>
                <w:kern w:val="0"/>
                <w:sz w:val="24"/>
              </w:rPr>
              <w:t>.5m</w:t>
            </w:r>
            <w:r>
              <w:rPr>
                <w:rFonts w:hint="eastAsia" w:ascii="宋体" w:hAnsi="宋体" w:cs="宋体"/>
                <w:kern w:val="0"/>
                <w:sz w:val="24"/>
              </w:rPr>
              <w:t>。</w:t>
            </w:r>
          </w:p>
          <w:p>
            <w:pPr>
              <w:tabs>
                <w:tab w:val="left" w:pos="1710"/>
              </w:tabs>
              <w:autoSpaceDE w:val="0"/>
              <w:autoSpaceDN w:val="0"/>
              <w:adjustRightInd w:val="0"/>
              <w:spacing w:line="500" w:lineRule="exact"/>
              <w:ind w:firstLine="480" w:firstLineChars="200"/>
              <w:rPr>
                <w:rFonts w:ascii="宋体" w:hAnsi="宋体"/>
                <w:kern w:val="10"/>
                <w:sz w:val="24"/>
              </w:rPr>
            </w:pPr>
            <w:r>
              <w:rPr>
                <w:rFonts w:hint="eastAsia" w:ascii="宋体" w:hAnsi="宋体"/>
                <w:kern w:val="10"/>
                <w:sz w:val="24"/>
              </w:rPr>
              <w:t>管网布设情况为：包含湫水河及支流大峪沟、小峪沟沿岸共</w:t>
            </w:r>
            <w:r>
              <w:rPr>
                <w:rFonts w:ascii="宋体" w:hAnsi="宋体"/>
                <w:kern w:val="10"/>
                <w:sz w:val="24"/>
              </w:rPr>
              <w:t>8</w:t>
            </w:r>
            <w:r>
              <w:rPr>
                <w:rFonts w:hint="eastAsia" w:ascii="宋体" w:hAnsi="宋体"/>
                <w:kern w:val="10"/>
                <w:sz w:val="24"/>
              </w:rPr>
              <w:t>个村庄的生活污水收集与处理。污水管网</w:t>
            </w:r>
            <w:r>
              <w:rPr>
                <w:rFonts w:hint="eastAsia" w:ascii="宋体" w:hAnsi="宋体" w:cs="宋体"/>
                <w:kern w:val="0"/>
                <w:sz w:val="24"/>
              </w:rPr>
              <w:t>干管管网干管总长度</w:t>
            </w:r>
            <w:r>
              <w:rPr>
                <w:rFonts w:ascii="宋体" w:hAnsi="宋体" w:cs="TimesNewRomanPSMT"/>
                <w:kern w:val="0"/>
                <w:sz w:val="24"/>
              </w:rPr>
              <w:t>8814m</w:t>
            </w:r>
            <w:r>
              <w:rPr>
                <w:rFonts w:hint="eastAsia" w:ascii="宋体" w:hAnsi="宋体" w:cs="宋体"/>
                <w:kern w:val="0"/>
                <w:sz w:val="24"/>
              </w:rPr>
              <w:t>，入户管总长度</w:t>
            </w:r>
            <w:r>
              <w:rPr>
                <w:rFonts w:ascii="宋体" w:hAnsi="宋体" w:cs="TimesNewRomanPSMT"/>
                <w:kern w:val="0"/>
                <w:sz w:val="24"/>
              </w:rPr>
              <w:t>5880m</w:t>
            </w:r>
            <w:r>
              <w:rPr>
                <w:rFonts w:hint="eastAsia" w:ascii="宋体" w:hAnsi="宋体" w:cs="宋体"/>
                <w:kern w:val="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项目所在地地理位置图见附图1，污水处理厂平面布置图见附图2，管网布设走向图见附图</w:t>
            </w: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8</w:t>
            </w:r>
            <w:r>
              <w:rPr>
                <w:rFonts w:hint="eastAsia" w:asciiTheme="minorEastAsia" w:hAnsiTheme="minorEastAsia" w:eastAsiaTheme="minorEastAsia"/>
                <w:kern w:val="10"/>
                <w:sz w:val="24"/>
              </w:rPr>
              <w:t>、劳动定员与工作制度</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本项目定员</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人，污水处理厂全年365天运行。</w:t>
            </w:r>
          </w:p>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二、工程规模与内容</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工程建设内容见下表：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2</w:t>
            </w:r>
            <w:r>
              <w:rPr>
                <w:rFonts w:hint="eastAsia" w:asciiTheme="minorEastAsia" w:hAnsiTheme="minorEastAsia" w:eastAsiaTheme="minorEastAsia"/>
                <w:kern w:val="10"/>
                <w:sz w:val="24"/>
              </w:rPr>
              <w:t xml:space="preserve">    工程建设内容表</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90"/>
              <w:gridCol w:w="801"/>
              <w:gridCol w:w="1054"/>
              <w:gridCol w:w="4774"/>
              <w:gridCol w:w="8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类别</w:t>
                  </w:r>
                </w:p>
              </w:tc>
              <w:tc>
                <w:tcPr>
                  <w:tcW w:w="1135" w:type="pct"/>
                  <w:gridSpan w:val="2"/>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内容</w:t>
                  </w:r>
                </w:p>
              </w:tc>
              <w:tc>
                <w:tcPr>
                  <w:tcW w:w="2920" w:type="pc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工程建设内容</w:t>
                  </w:r>
                </w:p>
              </w:tc>
              <w:tc>
                <w:tcPr>
                  <w:tcW w:w="523" w:type="pct"/>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restar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主体</w:t>
                  </w:r>
                </w:p>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w:t>
                  </w: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污水处理厂</w:t>
                  </w:r>
                </w:p>
              </w:tc>
              <w:tc>
                <w:tcPr>
                  <w:tcW w:w="2920" w:type="pct"/>
                  <w:tcBorders>
                    <w:bottom w:val="single" w:color="auto" w:sz="4" w:space="0"/>
                  </w:tcBorders>
                  <w:shd w:val="clear" w:color="auto" w:fill="auto"/>
                  <w:vAlign w:val="center"/>
                </w:tcPr>
                <w:p>
                  <w:pPr>
                    <w:tabs>
                      <w:tab w:val="left" w:pos="1710"/>
                    </w:tabs>
                    <w:autoSpaceDE w:val="0"/>
                    <w:autoSpaceDN w:val="0"/>
                    <w:adjustRightInd w:val="0"/>
                    <w:spacing w:line="300" w:lineRule="exact"/>
                    <w:rPr>
                      <w:rFonts w:asciiTheme="minorEastAsia" w:hAnsiTheme="minorEastAsia" w:eastAsiaTheme="minorEastAsia"/>
                      <w:kern w:val="10"/>
                      <w:szCs w:val="21"/>
                    </w:rPr>
                  </w:pPr>
                  <w:r>
                    <w:rPr>
                      <w:rFonts w:hint="eastAsia" w:asciiTheme="minorEastAsia" w:hAnsiTheme="minorEastAsia" w:eastAsiaTheme="minorEastAsia"/>
                      <w:bCs/>
                      <w:szCs w:val="21"/>
                    </w:rPr>
                    <w:t>占地面积</w:t>
                  </w:r>
                  <w:r>
                    <w:rPr>
                      <w:rFonts w:asciiTheme="minorEastAsia" w:hAnsiTheme="minorEastAsia" w:eastAsiaTheme="minorEastAsia"/>
                      <w:bCs/>
                      <w:szCs w:val="21"/>
                    </w:rPr>
                    <w:t>400</w:t>
                  </w:r>
                  <w:r>
                    <w:rPr>
                      <w:rFonts w:hint="eastAsia" w:asciiTheme="minorEastAsia" w:hAnsiTheme="minorEastAsia" w:eastAsiaTheme="minorEastAsia"/>
                      <w:bCs/>
                      <w:szCs w:val="21"/>
                    </w:rPr>
                    <w:t>0m</w:t>
                  </w:r>
                  <w:r>
                    <w:rPr>
                      <w:rFonts w:hint="eastAsia" w:asciiTheme="minorEastAsia" w:hAnsiTheme="minorEastAsia" w:eastAsiaTheme="minorEastAsia"/>
                      <w:bCs/>
                      <w:szCs w:val="21"/>
                      <w:vertAlign w:val="superscript"/>
                    </w:rPr>
                    <w:t>2</w:t>
                  </w:r>
                  <w:r>
                    <w:rPr>
                      <w:rFonts w:hint="eastAsia" w:asciiTheme="minorEastAsia" w:hAnsiTheme="minorEastAsia" w:eastAsiaTheme="minorEastAsia"/>
                      <w:bCs/>
                      <w:szCs w:val="21"/>
                    </w:rPr>
                    <w:t>，建设设施包括：</w:t>
                  </w:r>
                  <w:r>
                    <w:rPr>
                      <w:rFonts w:hint="eastAsia" w:asciiTheme="minorEastAsia" w:hAnsiTheme="minorEastAsia" w:eastAsiaTheme="minorEastAsia"/>
                      <w:kern w:val="10"/>
                      <w:szCs w:val="21"/>
                    </w:rPr>
                    <w:t>进水井、粗、细格栅间、调节池及提升泵房、沉砂池、精细格栅间、接触消毒池、贮泥池、污泥脱水机房、变配电间及鼓风机房、办公楼等。</w:t>
                  </w:r>
                </w:p>
                <w:p>
                  <w:pPr>
                    <w:tabs>
                      <w:tab w:val="left" w:pos="1710"/>
                    </w:tabs>
                    <w:autoSpaceDE w:val="0"/>
                    <w:autoSpaceDN w:val="0"/>
                    <w:adjustRightInd w:val="0"/>
                    <w:spacing w:line="300" w:lineRule="exact"/>
                    <w:rPr>
                      <w:rFonts w:asciiTheme="minorEastAsia" w:hAnsiTheme="minorEastAsia" w:eastAsiaTheme="minorEastAsia"/>
                      <w:bCs/>
                      <w:szCs w:val="21"/>
                    </w:rPr>
                  </w:pPr>
                  <w:r>
                    <w:rPr>
                      <w:rFonts w:hint="eastAsia" w:asciiTheme="minorEastAsia" w:hAnsiTheme="minorEastAsia" w:eastAsiaTheme="minorEastAsia"/>
                      <w:kern w:val="10"/>
                      <w:szCs w:val="21"/>
                    </w:rPr>
                    <w:t>设计</w:t>
                  </w:r>
                  <w:r>
                    <w:rPr>
                      <w:rFonts w:hint="eastAsia" w:asciiTheme="minorEastAsia" w:hAnsiTheme="minorEastAsia" w:eastAsiaTheme="minorEastAsia"/>
                      <w:kern w:val="10"/>
                    </w:rPr>
                    <w:t>污水处理厂规模为</w:t>
                  </w:r>
                  <w:r>
                    <w:rPr>
                      <w:rFonts w:asciiTheme="minorEastAsia" w:hAnsiTheme="minorEastAsia" w:eastAsiaTheme="minorEastAsia"/>
                      <w:kern w:val="10"/>
                    </w:rPr>
                    <w:t>10</w:t>
                  </w:r>
                  <w:r>
                    <w:rPr>
                      <w:rFonts w:hint="eastAsia" w:asciiTheme="minorEastAsia" w:hAnsiTheme="minorEastAsia" w:eastAsiaTheme="minorEastAsia"/>
                      <w:kern w:val="10"/>
                    </w:rPr>
                    <w:t>00m</w:t>
                  </w:r>
                  <w:r>
                    <w:rPr>
                      <w:rFonts w:hint="eastAsia" w:asciiTheme="minorEastAsia" w:hAnsiTheme="minorEastAsia" w:eastAsiaTheme="minorEastAsia"/>
                      <w:kern w:val="10"/>
                      <w:vertAlign w:val="superscript"/>
                    </w:rPr>
                    <w:t>3</w:t>
                  </w:r>
                  <w:r>
                    <w:rPr>
                      <w:rFonts w:hint="eastAsia" w:asciiTheme="minorEastAsia" w:hAnsiTheme="minorEastAsia" w:eastAsiaTheme="minorEastAsia"/>
                      <w:kern w:val="10"/>
                    </w:rPr>
                    <w:t>/d。污水处理厂处理工艺：污水处理采用</w:t>
                  </w:r>
                  <w:r>
                    <w:rPr>
                      <w:rFonts w:hint="eastAsia" w:cs="宋体" w:asciiTheme="minorEastAsia" w:hAnsiTheme="minorEastAsia" w:eastAsiaTheme="minorEastAsia"/>
                      <w:kern w:val="0"/>
                    </w:rPr>
                    <w:t>“进水井</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粗格栅</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微滤机</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调节池</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巴顿甫五段生化</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二沉池</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絮凝沉淀过滤</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消毒”</w:t>
                  </w:r>
                  <w:r>
                    <w:rPr>
                      <w:rFonts w:hint="eastAsia" w:asciiTheme="minorEastAsia" w:hAnsiTheme="minorEastAsia" w:eastAsiaTheme="minorEastAsia"/>
                      <w:kern w:val="10"/>
                    </w:rPr>
                    <w:t>工艺；污泥采用机械浓缩脱水后外运处置，消毒采用</w:t>
                  </w:r>
                  <w:r>
                    <w:rPr>
                      <w:rFonts w:hint="eastAsia" w:cs="宋体" w:asciiTheme="minorEastAsia" w:hAnsiTheme="minorEastAsia" w:eastAsiaTheme="minorEastAsia"/>
                      <w:kern w:val="0"/>
                    </w:rPr>
                    <w:t>“紫外消毒</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次氯酸钠”</w:t>
                  </w:r>
                  <w:r>
                    <w:rPr>
                      <w:rFonts w:asciiTheme="minorEastAsia" w:hAnsiTheme="minorEastAsia" w:eastAsiaTheme="minorEastAsia"/>
                      <w:kern w:val="10"/>
                    </w:rPr>
                    <w:t>消毒</w:t>
                  </w:r>
                  <w:r>
                    <w:rPr>
                      <w:rFonts w:hint="eastAsia" w:asciiTheme="minorEastAsia" w:hAnsiTheme="minorEastAsia" w:eastAsiaTheme="minorEastAsia"/>
                      <w:kern w:val="10"/>
                    </w:rPr>
                    <w:t>。采用生物除臭工艺除臭。</w:t>
                  </w:r>
                </w:p>
              </w:tc>
              <w:tc>
                <w:tcPr>
                  <w:tcW w:w="523" w:type="pct"/>
                  <w:tcBorders>
                    <w:bottom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shd w:val="clear" w:color="auto" w:fill="auto"/>
                  <w:vAlign w:val="center"/>
                </w:tcPr>
                <w:p>
                  <w:pPr>
                    <w:snapToGrid w:val="0"/>
                    <w:jc w:val="center"/>
                    <w:rPr>
                      <w:rFonts w:asciiTheme="minorEastAsia" w:hAnsiTheme="minorEastAsia" w:eastAsiaTheme="minorEastAsia"/>
                      <w:bCs/>
                      <w:color w:val="FF0000"/>
                      <w:szCs w:val="21"/>
                    </w:rPr>
                  </w:pP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管网工程</w:t>
                  </w:r>
                </w:p>
              </w:tc>
              <w:tc>
                <w:tcPr>
                  <w:tcW w:w="2920" w:type="pct"/>
                  <w:tcBorders>
                    <w:bottom w:val="single" w:color="auto" w:sz="4" w:space="0"/>
                  </w:tcBorders>
                  <w:shd w:val="clear" w:color="auto" w:fill="auto"/>
                  <w:vAlign w:val="center"/>
                </w:tcPr>
                <w:p>
                  <w:pPr>
                    <w:autoSpaceDE w:val="0"/>
                    <w:autoSpaceDN w:val="0"/>
                    <w:adjustRightInd w:val="0"/>
                    <w:rPr>
                      <w:rFonts w:asciiTheme="minorEastAsia" w:hAnsiTheme="minorEastAsia" w:eastAsiaTheme="minorEastAsia"/>
                      <w:bCs/>
                      <w:szCs w:val="21"/>
                    </w:rPr>
                  </w:pPr>
                  <w:r>
                    <w:rPr>
                      <w:rFonts w:hint="eastAsia" w:ascii="宋体" w:hAnsi="宋体"/>
                      <w:kern w:val="10"/>
                      <w:szCs w:val="21"/>
                    </w:rPr>
                    <w:t>项目污水收集管网包含湫水河及支流大峪沟、小峪沟沿岸共</w:t>
                  </w:r>
                  <w:r>
                    <w:rPr>
                      <w:rFonts w:ascii="宋体" w:hAnsi="宋体"/>
                      <w:kern w:val="10"/>
                      <w:szCs w:val="21"/>
                    </w:rPr>
                    <w:t>8</w:t>
                  </w:r>
                  <w:r>
                    <w:rPr>
                      <w:rFonts w:hint="eastAsia" w:ascii="宋体" w:hAnsi="宋体"/>
                      <w:kern w:val="10"/>
                      <w:szCs w:val="21"/>
                    </w:rPr>
                    <w:t>个村庄的生活污水收集与处理。污水管网</w:t>
                  </w:r>
                  <w:r>
                    <w:rPr>
                      <w:rFonts w:hint="eastAsia" w:ascii="宋体" w:hAnsi="宋体" w:cs="宋体"/>
                      <w:kern w:val="0"/>
                      <w:szCs w:val="21"/>
                    </w:rPr>
                    <w:t>干管管网干管总长度</w:t>
                  </w:r>
                  <w:r>
                    <w:rPr>
                      <w:rFonts w:ascii="宋体" w:hAnsi="宋体" w:cs="TimesNewRomanPSMT"/>
                      <w:kern w:val="0"/>
                      <w:szCs w:val="21"/>
                    </w:rPr>
                    <w:t>8814m</w:t>
                  </w:r>
                  <w:r>
                    <w:rPr>
                      <w:rFonts w:hint="eastAsia" w:ascii="宋体" w:hAnsi="宋体" w:cs="宋体"/>
                      <w:kern w:val="0"/>
                      <w:szCs w:val="21"/>
                    </w:rPr>
                    <w:t>，入户管总长度</w:t>
                  </w:r>
                  <w:r>
                    <w:rPr>
                      <w:rFonts w:ascii="宋体" w:hAnsi="宋体" w:cs="TimesNewRomanPSMT"/>
                      <w:kern w:val="0"/>
                      <w:szCs w:val="21"/>
                    </w:rPr>
                    <w:t>5880m</w:t>
                  </w:r>
                </w:p>
              </w:tc>
              <w:tc>
                <w:tcPr>
                  <w:tcW w:w="523" w:type="pct"/>
                  <w:tcBorders>
                    <w:bottom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restart"/>
                  <w:tcBorders>
                    <w:top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公用</w:t>
                  </w:r>
                </w:p>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w:t>
                  </w: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供水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由</w:t>
                  </w:r>
                  <w:r>
                    <w:rPr>
                      <w:rFonts w:hint="eastAsia" w:asciiTheme="minorEastAsia" w:hAnsiTheme="minorEastAsia" w:eastAsiaTheme="minorEastAsia"/>
                      <w:bCs/>
                      <w:szCs w:val="21"/>
                    </w:rPr>
                    <w:t>歧道</w:t>
                  </w:r>
                  <w:r>
                    <w:rPr>
                      <w:rFonts w:asciiTheme="minorEastAsia" w:hAnsiTheme="minorEastAsia" w:eastAsiaTheme="minorEastAsia"/>
                      <w:bCs/>
                      <w:szCs w:val="21"/>
                    </w:rPr>
                    <w:t>村庄供水</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供电</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由</w:t>
                  </w:r>
                  <w:r>
                    <w:rPr>
                      <w:rFonts w:hint="eastAsia" w:asciiTheme="minorEastAsia" w:hAnsiTheme="minorEastAsia" w:eastAsiaTheme="minorEastAsia"/>
                      <w:bCs/>
                      <w:szCs w:val="21"/>
                    </w:rPr>
                    <w:t>歧道村</w:t>
                  </w:r>
                  <w:r>
                    <w:rPr>
                      <w:rFonts w:asciiTheme="minorEastAsia" w:hAnsiTheme="minorEastAsia" w:eastAsiaTheme="minorEastAsia"/>
                      <w:bCs/>
                      <w:szCs w:val="21"/>
                    </w:rPr>
                    <w:t>变电站提供，场内设变压器。</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采暖</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采用</w:t>
                  </w:r>
                  <w:r>
                    <w:rPr>
                      <w:rFonts w:hint="eastAsia" w:asciiTheme="minorEastAsia" w:hAnsiTheme="minorEastAsia" w:eastAsiaTheme="minorEastAsia"/>
                      <w:bCs/>
                      <w:szCs w:val="21"/>
                    </w:rPr>
                    <w:t>空气能热泵进行</w:t>
                  </w:r>
                  <w:r>
                    <w:rPr>
                      <w:rFonts w:asciiTheme="minorEastAsia" w:hAnsiTheme="minorEastAsia" w:eastAsiaTheme="minorEastAsia"/>
                      <w:bCs/>
                      <w:szCs w:val="21"/>
                    </w:rPr>
                    <w:t>采暖</w:t>
                  </w:r>
                  <w:r>
                    <w:rPr>
                      <w:rFonts w:hint="eastAsia" w:asciiTheme="minorEastAsia" w:hAnsiTheme="minorEastAsia" w:eastAsiaTheme="minorEastAsia"/>
                      <w:bCs/>
                      <w:szCs w:val="21"/>
                    </w:rPr>
                    <w:t>。</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排水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员工产生的</w:t>
                  </w:r>
                  <w:r>
                    <w:rPr>
                      <w:rFonts w:asciiTheme="minorEastAsia" w:hAnsiTheme="minorEastAsia" w:eastAsiaTheme="minorEastAsia"/>
                      <w:bCs/>
                      <w:szCs w:val="21"/>
                    </w:rPr>
                    <w:t>生活污水排入</w:t>
                  </w:r>
                  <w:r>
                    <w:rPr>
                      <w:rFonts w:hint="eastAsia" w:asciiTheme="minorEastAsia" w:hAnsiTheme="minorEastAsia" w:eastAsiaTheme="minorEastAsia"/>
                      <w:bCs/>
                      <w:szCs w:val="21"/>
                    </w:rPr>
                    <w:t>污水处理厂处理，</w:t>
                  </w:r>
                  <w:r>
                    <w:rPr>
                      <w:rFonts w:asciiTheme="minorEastAsia" w:hAnsiTheme="minorEastAsia" w:eastAsiaTheme="minorEastAsia"/>
                      <w:bCs/>
                      <w:szCs w:val="21"/>
                    </w:rPr>
                    <w:t>不外排。</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restart"/>
                  <w:tcBorders>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辅助</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永久占地</w:t>
                  </w:r>
                </w:p>
              </w:tc>
              <w:tc>
                <w:tcPr>
                  <w:tcW w:w="2920" w:type="pct"/>
                  <w:tcBorders>
                    <w:top w:val="single" w:color="auto" w:sz="4" w:space="0"/>
                    <w:left w:val="single" w:color="auto" w:sz="4" w:space="0"/>
                  </w:tcBorders>
                  <w:shd w:val="clear" w:color="auto" w:fill="auto"/>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污水处理厂永久占地面积</w:t>
                  </w:r>
                  <w:r>
                    <w:rPr>
                      <w:rFonts w:asciiTheme="minorEastAsia" w:hAnsiTheme="minorEastAsia" w:eastAsiaTheme="minorEastAsia"/>
                      <w:szCs w:val="21"/>
                    </w:rPr>
                    <w:t>400</w:t>
                  </w:r>
                  <w:r>
                    <w:rPr>
                      <w:rFonts w:hint="eastAsia" w:asciiTheme="minorEastAsia" w:hAnsiTheme="minorEastAsia" w:eastAsiaTheme="minorEastAsia"/>
                      <w:szCs w:val="21"/>
                    </w:rPr>
                    <w:t>0m</w:t>
                  </w:r>
                  <w:r>
                    <w:rPr>
                      <w:rFonts w:hint="eastAsia" w:asciiTheme="minorEastAsia" w:hAnsiTheme="minorEastAsia" w:eastAsiaTheme="minorEastAsia"/>
                      <w:szCs w:val="21"/>
                      <w:vertAlign w:val="superscript"/>
                    </w:rPr>
                    <w:t>2</w:t>
                  </w:r>
                  <w:r>
                    <w:rPr>
                      <w:rFonts w:hint="eastAsia" w:asciiTheme="minorEastAsia" w:hAnsiTheme="minorEastAsia" w:eastAsiaTheme="minorEastAsia"/>
                      <w:bCs/>
                      <w:szCs w:val="21"/>
                    </w:rPr>
                    <w:t>。</w:t>
                  </w:r>
                </w:p>
                <w:p>
                  <w:pPr>
                    <w:spacing w:line="360" w:lineRule="exact"/>
                    <w:rPr>
                      <w:rFonts w:asciiTheme="minorEastAsia" w:hAnsiTheme="minorEastAsia" w:eastAsiaTheme="minorEastAsia"/>
                      <w:szCs w:val="21"/>
                    </w:rPr>
                  </w:pPr>
                  <w:r>
                    <w:rPr>
                      <w:rFonts w:asciiTheme="minorEastAsia" w:hAnsiTheme="minorEastAsia" w:eastAsiaTheme="minorEastAsia"/>
                      <w:szCs w:val="21"/>
                    </w:rPr>
                    <w:t>本项目为地埋式管线施工，</w:t>
                  </w:r>
                  <w:r>
                    <w:rPr>
                      <w:rFonts w:hint="eastAsia" w:asciiTheme="minorEastAsia" w:hAnsiTheme="minorEastAsia" w:eastAsiaTheme="minorEastAsia"/>
                      <w:szCs w:val="21"/>
                    </w:rPr>
                    <w:t>施工完毕后，进行恢复，</w:t>
                  </w:r>
                  <w:r>
                    <w:rPr>
                      <w:rFonts w:asciiTheme="minorEastAsia" w:hAnsiTheme="minorEastAsia" w:eastAsiaTheme="minorEastAsia"/>
                      <w:szCs w:val="21"/>
                    </w:rPr>
                    <w:t>不会永久占地。</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办公室</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砖混结构。</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门房</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砖混结构。</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rPr>
                  </w:pPr>
                  <w:r>
                    <w:rPr>
                      <w:rFonts w:asciiTheme="minorEastAsia" w:hAnsiTheme="minorEastAsia" w:eastAsiaTheme="minorEastAsia"/>
                      <w:szCs w:val="21"/>
                    </w:rPr>
                    <w:t>施工期开挖土方量13</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，回填土方量为13</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w:t>
                  </w:r>
                  <w:r>
                    <w:rPr>
                      <w:rFonts w:hint="eastAsia" w:asciiTheme="minorEastAsia" w:hAnsiTheme="minorEastAsia" w:eastAsiaTheme="minorEastAsia"/>
                      <w:szCs w:val="21"/>
                    </w:rPr>
                    <w:t>挖填平衡，无弃方。</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FF0000"/>
                      <w:szCs w:val="21"/>
                    </w:rPr>
                  </w:pPr>
                  <w:r>
                    <w:rPr>
                      <w:rFonts w:asciiTheme="minorEastAsia" w:hAnsiTheme="minorEastAsia" w:eastAsiaTheme="minorEastAsia"/>
                      <w:bCs/>
                      <w:color w:val="FF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施工营地</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rPr>
                  </w:pPr>
                  <w:r>
                    <w:rPr>
                      <w:rFonts w:asciiTheme="minorEastAsia" w:hAnsiTheme="minorEastAsia" w:eastAsiaTheme="minorEastAsia"/>
                      <w:szCs w:val="21"/>
                    </w:rPr>
                    <w:t>项目不设施工营地，施工人员均安排到附近村庄空闲房屋居住。</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利旧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szCs w:val="21"/>
                    </w:rPr>
                    <w:t>堆放施工材料场地</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szCs w:val="21"/>
                    </w:rPr>
                    <w:t>施工材料场位于污水处理厂占地范围内，不涉及拆迁。</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临时道路</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利用现有现有道路运输，部分距离</w:t>
                  </w:r>
                  <w:r>
                    <w:rPr>
                      <w:rFonts w:hint="eastAsia" w:asciiTheme="minorEastAsia" w:hAnsiTheme="minorEastAsia" w:eastAsiaTheme="minorEastAsia"/>
                      <w:szCs w:val="21"/>
                    </w:rPr>
                    <w:t>与有</w:t>
                  </w:r>
                  <w:r>
                    <w:rPr>
                      <w:rFonts w:asciiTheme="minorEastAsia" w:hAnsiTheme="minorEastAsia" w:eastAsiaTheme="minorEastAsia"/>
                      <w:szCs w:val="21"/>
                    </w:rPr>
                    <w:t>道路较远路，设20-30m临时道路，宽度在6m范围内，用于施工时运输材料，其中新建临时道路长0.1km，利用现有道路10km，新建临时道路占地面积600m</w:t>
                  </w:r>
                  <w:r>
                    <w:rPr>
                      <w:rFonts w:asciiTheme="minorEastAsia" w:hAnsiTheme="minorEastAsia" w:eastAsiaTheme="minorEastAsia"/>
                      <w:szCs w:val="21"/>
                      <w:vertAlign w:val="superscript"/>
                    </w:rPr>
                    <w:t>2</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highlight w:val="yellow"/>
                    </w:rPr>
                  </w:pPr>
                  <w:r>
                    <w:rPr>
                      <w:rFonts w:asciiTheme="minorEastAsia" w:hAnsiTheme="minorEastAsia" w:eastAsiaTheme="minorEastAsia"/>
                      <w:szCs w:val="21"/>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highlight w:val="yellow"/>
                    </w:rPr>
                  </w:pPr>
                  <w:r>
                    <w:rPr>
                      <w:rFonts w:asciiTheme="minorEastAsia" w:hAnsiTheme="minorEastAsia" w:eastAsiaTheme="minorEastAsia"/>
                      <w:szCs w:val="21"/>
                    </w:rPr>
                    <w:t>施工期开挖土方量38</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，回填土方量为380</w:t>
                  </w:r>
                  <w:r>
                    <w:rPr>
                      <w:rFonts w:hint="eastAsia" w:asciiTheme="minorEastAsia" w:hAnsiTheme="minorEastAsia" w:eastAsiaTheme="minorEastAsia"/>
                      <w:szCs w:val="21"/>
                    </w:rPr>
                    <w:t>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w:t>
                  </w:r>
                  <w:r>
                    <w:rPr>
                      <w:rFonts w:hint="eastAsia" w:asciiTheme="minorEastAsia" w:hAnsiTheme="minorEastAsia" w:eastAsiaTheme="minorEastAsia"/>
                      <w:szCs w:val="21"/>
                    </w:rPr>
                    <w:t>挖填平衡</w:t>
                  </w:r>
                  <w:r>
                    <w:rPr>
                      <w:rFonts w:asciiTheme="minorEastAsia" w:hAnsiTheme="minorEastAsia" w:eastAsiaTheme="minorEastAsia"/>
                      <w:szCs w:val="21"/>
                    </w:rPr>
                    <w:t>，</w:t>
                  </w:r>
                  <w:r>
                    <w:rPr>
                      <w:rFonts w:hint="eastAsia" w:asciiTheme="minorEastAsia" w:hAnsiTheme="minorEastAsia" w:eastAsiaTheme="minorEastAsia"/>
                      <w:szCs w:val="21"/>
                    </w:rPr>
                    <w:t>无弃方。</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color w:val="FF0000"/>
                      <w:szCs w:val="21"/>
                    </w:rPr>
                  </w:pPr>
                  <w:r>
                    <w:rPr>
                      <w:rFonts w:hint="eastAsia" w:asciiTheme="minorEastAsia" w:hAnsiTheme="minorEastAsia" w:eastAsiaTheme="minorEastAsia"/>
                      <w:bCs/>
                      <w:color w:val="FF000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07" w:hRule="atLeast"/>
              </w:trPr>
              <w:tc>
                <w:tcPr>
                  <w:tcW w:w="422" w:type="pct"/>
                  <w:vMerge w:val="restart"/>
                  <w:tcBorders>
                    <w:top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环保</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废气</w:t>
                  </w: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污水处理厂</w:t>
                  </w:r>
                  <w:r>
                    <w:rPr>
                      <w:rFonts w:asciiTheme="minorEastAsia" w:hAnsiTheme="minorEastAsia" w:eastAsiaTheme="minorEastAsia"/>
                      <w:bCs/>
                      <w:szCs w:val="21"/>
                    </w:rPr>
                    <w:t>恶臭气体</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hint="eastAsia" w:asciiTheme="minorEastAsia" w:hAnsiTheme="minorEastAsia" w:eastAsiaTheme="minorEastAsia"/>
                      <w:bCs/>
                      <w:szCs w:val="21"/>
                    </w:rPr>
                    <w:t>各污水处理单元经加盖密闭处理，并在各污水处理单元上设置排气口，在排气孔处安装离子除臭装置(风机风量12000m³/h)，恶臭气体经处理后通过15m高排气筒排放，污水处理厂四周加强植树绿化，进行绿化隔离、种植乔灌木，以最大限度地减少恶臭对周边环境的影响；在污水处理厂的运行操作中加强管理，格栅拦截的废弃物要及时清运，减少废弃物堆存，以减少恶臭影响。</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573"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hint="eastAsia" w:asciiTheme="minorEastAsia" w:hAnsiTheme="minorEastAsia" w:eastAsiaTheme="minorEastAsia"/>
                      <w:bCs/>
                      <w:szCs w:val="21"/>
                    </w:rPr>
                    <w:t>管网敷设</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施工期加强施工期扬尘污染治理，采用湿法施工，路经村庄及污水处理厂段设1.8m高围挡(长约100m路段)，其余路段定时洒水降尘，防止扬尘扩散</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asciiTheme="minorEastAsia" w:hAnsiTheme="minorEastAsia" w:eastAsiaTheme="minorEastAsia"/>
                      <w:bCs/>
                      <w:szCs w:val="21"/>
                    </w:rPr>
                    <w:t>废水</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职工生活污水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运营期厂内生活污水与污水处理厂来水一并排入项目污水处理系统处理；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污水处理厂排水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运营期处理达标后，考虑周边利用，余者排入湫水河。</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p>
              </w:tc>
              <w:tc>
                <w:tcPr>
                  <w:tcW w:w="645" w:type="pct"/>
                  <w:tcBorders>
                    <w:left w:val="single" w:color="auto" w:sz="4" w:space="0"/>
                    <w:right w:val="single" w:color="auto" w:sz="4" w:space="0"/>
                  </w:tcBorders>
                  <w:shd w:val="clear" w:color="auto" w:fill="auto"/>
                  <w:vAlign w:val="center"/>
                </w:tcPr>
                <w:p>
                  <w:pPr>
                    <w:snapToGrid w:val="0"/>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2920" w:type="pct"/>
                  <w:tcBorders>
                    <w:left w:val="single" w:color="auto" w:sz="4" w:space="0"/>
                  </w:tcBorders>
                  <w:shd w:val="clear" w:color="auto" w:fill="auto"/>
                  <w:vAlign w:val="center"/>
                </w:tcPr>
                <w:p>
                  <w:pPr>
                    <w:spacing w:line="300" w:lineRule="exact"/>
                    <w:rPr>
                      <w:rFonts w:asciiTheme="minorEastAsia" w:hAnsiTheme="minorEastAsia" w:eastAsiaTheme="minorEastAsia"/>
                      <w:bCs/>
                      <w:szCs w:val="21"/>
                      <w:highlight w:val="yellow"/>
                    </w:rPr>
                  </w:pPr>
                  <w:r>
                    <w:rPr>
                      <w:rFonts w:hint="eastAsia" w:asciiTheme="minorEastAsia" w:hAnsiTheme="minorEastAsia" w:eastAsiaTheme="minorEastAsia"/>
                      <w:szCs w:val="21"/>
                    </w:rPr>
                    <w:t>施工时</w:t>
                  </w:r>
                  <w:r>
                    <w:rPr>
                      <w:rFonts w:asciiTheme="minorEastAsia" w:hAnsiTheme="minorEastAsia" w:eastAsiaTheme="minorEastAsia"/>
                      <w:szCs w:val="21"/>
                    </w:rPr>
                    <w:t>清管废水以SS污染物为主，就近下游排水渠排放施工营地设在周围村庄，生活污水纳入当地污水处理系统处理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噪声</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各类水泵</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选用低噪声设备，基础减震、厂房隔声、风机安装消声器等</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加强施工期管理，运营期周围30m范围无办公区，居民等设施，对周围环境的影响微小</w:t>
                  </w:r>
                  <w:r>
                    <w:rPr>
                      <w:rFonts w:hint="eastAsia" w:asciiTheme="minorEastAsia" w:hAnsiTheme="minorEastAsia" w:eastAsiaTheme="minorEastAsia"/>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4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固体废物</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生活垃圾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场内收集，交环卫部门处理。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64"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格栅渣</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经收集装置收集后委托环卫部门统一处理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2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污泥</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压滤、干化后，</w:t>
                  </w:r>
                  <w:r>
                    <w:rPr>
                      <w:rFonts w:hint="eastAsia" w:asciiTheme="minorEastAsia" w:hAnsiTheme="minorEastAsia" w:eastAsiaTheme="minorEastAsia"/>
                      <w:bCs/>
                      <w:szCs w:val="21"/>
                    </w:rPr>
                    <w:t>送垃圾填埋场填埋处理</w:t>
                  </w:r>
                  <w:r>
                    <w:rPr>
                      <w:rFonts w:asciiTheme="minorEastAsia" w:hAnsiTheme="minorEastAsia" w:eastAsiaTheme="minorEastAsia"/>
                      <w:bCs/>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1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监测废液</w:t>
                  </w:r>
                </w:p>
              </w:tc>
              <w:tc>
                <w:tcPr>
                  <w:tcW w:w="2920" w:type="pct"/>
                  <w:vMerge w:val="restar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暂存于</w:t>
                  </w:r>
                  <w:r>
                    <w:rPr>
                      <w:rFonts w:asciiTheme="minorEastAsia" w:hAnsiTheme="minorEastAsia" w:eastAsiaTheme="minorEastAsia"/>
                    </w:rPr>
                    <w:t>厂区危废间内</w:t>
                  </w:r>
                  <w:r>
                    <w:rPr>
                      <w:rFonts w:asciiTheme="minorEastAsia" w:hAnsiTheme="minorEastAsia" w:eastAsiaTheme="minorEastAsia"/>
                      <w:szCs w:val="21"/>
                    </w:rPr>
                    <w:t>，面积10m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w:t>
                  </w:r>
                  <w:r>
                    <w:rPr>
                      <w:rFonts w:asciiTheme="minorEastAsia" w:hAnsiTheme="minorEastAsia" w:eastAsiaTheme="minorEastAsia"/>
                    </w:rPr>
                    <w:t>高密度聚乙烯塑料桶</w:t>
                  </w:r>
                  <w:r>
                    <w:rPr>
                      <w:rFonts w:asciiTheme="minorEastAsia" w:hAnsiTheme="minorEastAsia" w:eastAsiaTheme="minorEastAsia"/>
                      <w:szCs w:val="21"/>
                    </w:rPr>
                    <w:t>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bCs/>
                      <w:kern w:val="10"/>
                      <w:szCs w:val="21"/>
                    </w:rPr>
                    <w:t>有资质的单位回收处理。</w:t>
                  </w:r>
                </w:p>
              </w:tc>
              <w:tc>
                <w:tcPr>
                  <w:tcW w:w="523" w:type="pct"/>
                  <w:vMerge w:val="restar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废机油</w:t>
                  </w:r>
                </w:p>
              </w:tc>
              <w:tc>
                <w:tcPr>
                  <w:tcW w:w="2920" w:type="pct"/>
                  <w:vMerge w:val="continue"/>
                  <w:tcBorders>
                    <w:left w:val="single" w:color="auto" w:sz="4" w:space="0"/>
                  </w:tcBorders>
                  <w:shd w:val="clear" w:color="auto" w:fill="auto"/>
                  <w:vAlign w:val="center"/>
                </w:tcPr>
                <w:p>
                  <w:pPr>
                    <w:snapToGrid w:val="0"/>
                    <w:rPr>
                      <w:rFonts w:asciiTheme="minorEastAsia" w:hAnsiTheme="minorEastAsia" w:eastAsiaTheme="minorEastAsia"/>
                      <w:bCs/>
                      <w:szCs w:val="21"/>
                    </w:rPr>
                  </w:pPr>
                </w:p>
              </w:tc>
              <w:tc>
                <w:tcPr>
                  <w:tcW w:w="523" w:type="pct"/>
                  <w:vMerge w:val="continue"/>
                  <w:tcBorders>
                    <w:left w:val="single" w:color="auto" w:sz="4" w:space="0"/>
                  </w:tcBorders>
                  <w:vAlign w:val="center"/>
                </w:tcPr>
                <w:p>
                  <w:pPr>
                    <w:snapToGrid w:val="0"/>
                    <w:rPr>
                      <w:rFonts w:asciiTheme="minorEastAsia" w:hAnsiTheme="minorEastAsia" w:eastAsiaTheme="minorEastAsia"/>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绿化</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vertAlign w:val="superscript"/>
                    </w:rPr>
                  </w:pPr>
                  <w:r>
                    <w:rPr>
                      <w:rFonts w:hint="eastAsia" w:asciiTheme="minorEastAsia" w:hAnsiTheme="minorEastAsia" w:eastAsiaTheme="minorEastAsia"/>
                      <w:bCs/>
                      <w:szCs w:val="21"/>
                    </w:rPr>
                    <w:t>污水处理厂绿化面积</w:t>
                  </w:r>
                  <w:r>
                    <w:rPr>
                      <w:rFonts w:asciiTheme="minorEastAsia" w:hAnsiTheme="minorEastAsia" w:eastAsiaTheme="minorEastAsia"/>
                      <w:bCs/>
                      <w:szCs w:val="21"/>
                    </w:rPr>
                    <w:t>132</w:t>
                  </w:r>
                  <w:r>
                    <w:rPr>
                      <w:rFonts w:hint="eastAsia" w:asciiTheme="minorEastAsia" w:hAnsiTheme="minorEastAsia" w:eastAsiaTheme="minorEastAsia"/>
                      <w:bCs/>
                      <w:szCs w:val="21"/>
                    </w:rPr>
                    <w:t>0m</w:t>
                  </w:r>
                  <w:r>
                    <w:rPr>
                      <w:rFonts w:hint="eastAsia" w:asciiTheme="minorEastAsia" w:hAnsiTheme="minorEastAsia" w:eastAsiaTheme="minorEastAsia"/>
                      <w:bCs/>
                      <w:szCs w:val="21"/>
                      <w:vertAlign w:val="superscript"/>
                    </w:rPr>
                    <w:t>2</w:t>
                  </w:r>
                </w:p>
                <w:p>
                  <w:pPr>
                    <w:snapToGrid w:val="0"/>
                    <w:rPr>
                      <w:rFonts w:asciiTheme="minorEastAsia" w:hAnsiTheme="minorEastAsia" w:eastAsiaTheme="minorEastAsia"/>
                      <w:bCs/>
                      <w:szCs w:val="21"/>
                    </w:rPr>
                  </w:pPr>
                  <w:r>
                    <w:rPr>
                      <w:rFonts w:hint="eastAsia" w:asciiTheme="minorEastAsia" w:hAnsiTheme="minorEastAsia" w:eastAsiaTheme="minorEastAsia"/>
                      <w:bCs/>
                      <w:szCs w:val="21"/>
                    </w:rPr>
                    <w:t>管网全部地下，不涉及绿化</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管网敷设</w:t>
                  </w:r>
                  <w:r>
                    <w:rPr>
                      <w:rFonts w:asciiTheme="minorEastAsia" w:hAnsiTheme="minorEastAsia" w:eastAsiaTheme="minorEastAsia"/>
                      <w:szCs w:val="21"/>
                    </w:rPr>
                    <w:t>临时占地</w:t>
                  </w:r>
                </w:p>
              </w:tc>
              <w:tc>
                <w:tcPr>
                  <w:tcW w:w="2920" w:type="pct"/>
                  <w:tcBorders>
                    <w:left w:val="single" w:color="auto" w:sz="4" w:space="0"/>
                  </w:tcBorders>
                  <w:shd w:val="clear" w:color="auto" w:fill="auto"/>
                  <w:vAlign w:val="center"/>
                </w:tcPr>
                <w:p>
                  <w:pPr>
                    <w:spacing w:line="360" w:lineRule="exact"/>
                    <w:rPr>
                      <w:rFonts w:asciiTheme="minorEastAsia" w:hAnsiTheme="minorEastAsia" w:eastAsiaTheme="minorEastAsia"/>
                      <w:szCs w:val="21"/>
                    </w:rPr>
                  </w:pPr>
                  <w:r>
                    <w:rPr>
                      <w:rFonts w:asciiTheme="minorEastAsia" w:hAnsiTheme="minorEastAsia" w:eastAsiaTheme="minorEastAsia"/>
                      <w:szCs w:val="21"/>
                    </w:rPr>
                    <w:t>工程结束后，临时场地全部恢复为原有功能</w:t>
                  </w:r>
                </w:p>
              </w:tc>
              <w:tc>
                <w:tcPr>
                  <w:tcW w:w="523" w:type="pct"/>
                  <w:tcBorders>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生态恢复</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二、污水处理规模确定</w:t>
            </w:r>
          </w:p>
          <w:p>
            <w:pPr>
              <w:autoSpaceDE w:val="0"/>
              <w:autoSpaceDN w:val="0"/>
              <w:adjustRightInd w:val="0"/>
              <w:spacing w:line="500" w:lineRule="exact"/>
              <w:ind w:firstLine="480" w:firstLineChars="200"/>
              <w:jc w:val="left"/>
              <w:rPr>
                <w:rFonts w:ascii="宋体" w:hAnsi="宋体"/>
                <w:sz w:val="22"/>
              </w:rPr>
            </w:pPr>
            <w:r>
              <w:rPr>
                <w:rFonts w:hint="eastAsia" w:ascii="宋体" w:hAnsi="宋体" w:cs="宋体"/>
                <w:kern w:val="0"/>
                <w:sz w:val="24"/>
                <w:szCs w:val="28"/>
              </w:rPr>
              <w:t>依据《山西省农村生活污水处理技术指南》（</w:t>
            </w:r>
            <w:r>
              <w:rPr>
                <w:rFonts w:ascii="宋体" w:hAnsi="宋体" w:cs="TimesNewRomanPSMT"/>
                <w:kern w:val="0"/>
                <w:sz w:val="24"/>
                <w:szCs w:val="28"/>
              </w:rPr>
              <w:t>DB14/T727-2020</w:t>
            </w:r>
            <w:r>
              <w:rPr>
                <w:rFonts w:hint="eastAsia" w:ascii="宋体" w:hAnsi="宋体" w:cs="宋体"/>
                <w:kern w:val="0"/>
                <w:sz w:val="24"/>
                <w:szCs w:val="28"/>
              </w:rPr>
              <w:t>），并结合临县当地的经济发展水平，同时依据现场实地勘察确定大禹乡大部分住户安装了洗浴装置、洗衣机，厨房安装了下水管，同时部分用户已将旱厕改为水冲厕，故本项目设计农村自建房居民生活污水排放定额按</w:t>
            </w:r>
            <w:r>
              <w:rPr>
                <w:rFonts w:ascii="宋体" w:hAnsi="宋体" w:cs="TimesNewRomanPSMT"/>
                <w:kern w:val="0"/>
                <w:sz w:val="24"/>
                <w:szCs w:val="28"/>
              </w:rPr>
              <w:t>70L/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）取值，居民小区生活污水排放定额按</w:t>
            </w:r>
            <w:r>
              <w:rPr>
                <w:rFonts w:ascii="宋体" w:hAnsi="宋体" w:cs="TimesNewRomanPSMT"/>
                <w:kern w:val="0"/>
                <w:sz w:val="24"/>
                <w:szCs w:val="28"/>
              </w:rPr>
              <w:t>80L/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则本项目污水服务范围内污水排放量为：</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表2</w:t>
            </w:r>
            <w:r>
              <w:rPr>
                <w:rFonts w:ascii="宋体" w:hAnsi="宋体"/>
                <w:sz w:val="24"/>
              </w:rPr>
              <w:t xml:space="preserve">-3    </w:t>
            </w:r>
            <w:r>
              <w:rPr>
                <w:rFonts w:hint="eastAsia" w:ascii="宋体" w:hAnsi="宋体"/>
                <w:sz w:val="24"/>
              </w:rPr>
              <w:t>生活污水排放量统计表</w:t>
            </w:r>
          </w:p>
          <w:p>
            <w:pPr>
              <w:kinsoku w:val="0"/>
              <w:overflowPunct w:val="0"/>
              <w:autoSpaceDE w:val="0"/>
              <w:autoSpaceDN w:val="0"/>
              <w:adjustRightInd w:val="0"/>
              <w:jc w:val="left"/>
              <w:rPr>
                <w:kern w:val="0"/>
                <w:sz w:val="3"/>
                <w:szCs w:val="3"/>
              </w:rPr>
            </w:pPr>
            <w:bookmarkStart w:id="8" w:name="4.2.2_入渗地下水量"/>
            <w:bookmarkEnd w:id="8"/>
          </w:p>
          <w:tbl>
            <w:tblPr>
              <w:tblStyle w:val="28"/>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1"/>
              <w:gridCol w:w="2320"/>
              <w:gridCol w:w="1125"/>
              <w:gridCol w:w="1867"/>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7" w:hRule="exact"/>
              </w:trPr>
              <w:tc>
                <w:tcPr>
                  <w:tcW w:w="754" w:type="dxa"/>
                  <w:vAlign w:val="center"/>
                </w:tcPr>
                <w:p>
                  <w:pPr>
                    <w:kinsoku w:val="0"/>
                    <w:overflowPunct w:val="0"/>
                    <w:autoSpaceDE w:val="0"/>
                    <w:autoSpaceDN w:val="0"/>
                    <w:adjustRightInd w:val="0"/>
                    <w:spacing w:line="400" w:lineRule="exact"/>
                    <w:jc w:val="center"/>
                    <w:rPr>
                      <w:kern w:val="0"/>
                      <w:sz w:val="24"/>
                    </w:rPr>
                  </w:pPr>
                  <w:r>
                    <w:rPr>
                      <w:rFonts w:hint="eastAsia" w:ascii="宋体" w:cs="宋体"/>
                      <w:kern w:val="0"/>
                      <w:sz w:val="24"/>
                    </w:rPr>
                    <w:t>序号</w:t>
                  </w:r>
                </w:p>
              </w:tc>
              <w:tc>
                <w:tcPr>
                  <w:tcW w:w="2334" w:type="dxa"/>
                  <w:vAlign w:val="center"/>
                </w:tcPr>
                <w:p>
                  <w:pPr>
                    <w:kinsoku w:val="0"/>
                    <w:overflowPunct w:val="0"/>
                    <w:autoSpaceDE w:val="0"/>
                    <w:autoSpaceDN w:val="0"/>
                    <w:adjustRightInd w:val="0"/>
                    <w:spacing w:line="400" w:lineRule="exact"/>
                    <w:jc w:val="center"/>
                    <w:rPr>
                      <w:kern w:val="0"/>
                      <w:sz w:val="24"/>
                    </w:rPr>
                  </w:pPr>
                  <w:bookmarkStart w:id="9" w:name="4.2.1_生活污水产生量"/>
                  <w:bookmarkEnd w:id="9"/>
                  <w:r>
                    <w:rPr>
                      <w:rFonts w:hint="eastAsia" w:ascii="宋体" w:cs="宋体"/>
                      <w:kern w:val="0"/>
                      <w:sz w:val="24"/>
                    </w:rPr>
                    <w:t>村庄</w:t>
                  </w:r>
                  <w:r>
                    <w:rPr>
                      <w:b/>
                      <w:bCs/>
                      <w:i/>
                      <w:iCs/>
                      <w:kern w:val="0"/>
                      <w:sz w:val="24"/>
                    </w:rPr>
                    <w:t>/</w:t>
                  </w:r>
                  <w:r>
                    <w:rPr>
                      <w:rFonts w:hint="eastAsia" w:ascii="宋体" w:cs="宋体"/>
                      <w:kern w:val="0"/>
                      <w:sz w:val="24"/>
                    </w:rPr>
                    <w:t>小区名称</w:t>
                  </w:r>
                </w:p>
              </w:tc>
              <w:tc>
                <w:tcPr>
                  <w:tcW w:w="1130" w:type="dxa"/>
                  <w:vAlign w:val="center"/>
                </w:tcPr>
                <w:p>
                  <w:pPr>
                    <w:kinsoku w:val="0"/>
                    <w:overflowPunct w:val="0"/>
                    <w:autoSpaceDE w:val="0"/>
                    <w:autoSpaceDN w:val="0"/>
                    <w:adjustRightInd w:val="0"/>
                    <w:spacing w:line="400" w:lineRule="exact"/>
                    <w:jc w:val="center"/>
                    <w:rPr>
                      <w:kern w:val="0"/>
                      <w:sz w:val="24"/>
                    </w:rPr>
                  </w:pPr>
                  <w:r>
                    <w:rPr>
                      <w:rFonts w:hint="eastAsia" w:ascii="宋体" w:cs="宋体"/>
                      <w:spacing w:val="2"/>
                      <w:kern w:val="0"/>
                      <w:sz w:val="24"/>
                    </w:rPr>
                    <w:t>人口数</w:t>
                  </w:r>
                </w:p>
              </w:tc>
              <w:tc>
                <w:tcPr>
                  <w:tcW w:w="1874" w:type="dxa"/>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hint="eastAsia" w:cs="宋体" w:asciiTheme="minorEastAsia" w:hAnsiTheme="minorEastAsia" w:eastAsiaTheme="minorEastAsia"/>
                      <w:spacing w:val="2"/>
                      <w:kern w:val="0"/>
                      <w:szCs w:val="21"/>
                    </w:rPr>
                    <w:t>污水产生量</w:t>
                  </w:r>
                </w:p>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m</w:t>
                  </w:r>
                  <w:r>
                    <w:rPr>
                      <w:rFonts w:cs="宋体" w:asciiTheme="minorEastAsia" w:hAnsiTheme="minorEastAsia" w:eastAsiaTheme="minorEastAsia"/>
                      <w:spacing w:val="2"/>
                      <w:kern w:val="0"/>
                      <w:szCs w:val="21"/>
                      <w:vertAlign w:val="superscript"/>
                    </w:rPr>
                    <w:t>3</w:t>
                  </w:r>
                  <w:r>
                    <w:rPr>
                      <w:rFonts w:cs="宋体" w:asciiTheme="minorEastAsia" w:hAnsiTheme="minorEastAsia" w:eastAsiaTheme="minorEastAsia"/>
                      <w:spacing w:val="2"/>
                      <w:kern w:val="0"/>
                      <w:szCs w:val="21"/>
                    </w:rPr>
                    <w:t>/d</w:t>
                  </w:r>
                  <w:r>
                    <w:rPr>
                      <w:rFonts w:hint="eastAsia" w:cs="宋体" w:asciiTheme="minorEastAsia" w:hAnsiTheme="minorEastAsia" w:eastAsiaTheme="minorEastAsia"/>
                      <w:spacing w:val="2"/>
                      <w:kern w:val="0"/>
                      <w:szCs w:val="21"/>
                    </w:rPr>
                    <w:t>）</w:t>
                  </w:r>
                </w:p>
              </w:tc>
              <w:tc>
                <w:tcPr>
                  <w:tcW w:w="2045" w:type="dxa"/>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hint="eastAsia" w:cs="宋体" w:asciiTheme="minorEastAsia" w:hAnsiTheme="minorEastAsia" w:eastAsiaTheme="minorEastAsia"/>
                      <w:spacing w:val="2"/>
                      <w:kern w:val="0"/>
                      <w:szCs w:val="21"/>
                    </w:rPr>
                    <w:t>污水排放定额</w:t>
                  </w:r>
                </w:p>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cs="宋体" w:asciiTheme="minorEastAsia" w:hAnsiTheme="minorEastAsia" w:eastAsiaTheme="minorEastAsia"/>
                      <w:spacing w:val="2"/>
                      <w:kern w:val="0"/>
                      <w:szCs w:val="21"/>
                    </w:rPr>
                    <w:t>L/</w:t>
                  </w:r>
                  <w:r>
                    <w:rPr>
                      <w:rFonts w:hint="eastAsia" w:cs="宋体" w:asciiTheme="minorEastAsia" w:hAnsiTheme="minorEastAsia" w:eastAsiaTheme="minorEastAsia"/>
                      <w:spacing w:val="2"/>
                      <w:kern w:val="0"/>
                      <w:szCs w:val="21"/>
                    </w:rPr>
                    <w:t>（人</w:t>
                  </w:r>
                  <w:r>
                    <w:rPr>
                      <w:rFonts w:cs="宋体" w:asciiTheme="minorEastAsia" w:hAnsiTheme="minorEastAsia" w:eastAsiaTheme="minorEastAsia"/>
                      <w:spacing w:val="2"/>
                      <w:kern w:val="0"/>
                      <w:szCs w:val="21"/>
                    </w:rPr>
                    <w:t>•d</w:t>
                  </w:r>
                  <w:r>
                    <w:rPr>
                      <w:rFonts w:hint="eastAsia" w:cs="宋体" w:asciiTheme="minorEastAsia" w:hAnsiTheme="minorEastAsia" w:eastAsiaTheme="minorEastAsia"/>
                      <w:spacing w:val="2"/>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大峪沟村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1915</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134.05</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岐道村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1877</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131.39</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府底村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1058</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74.06</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前刘家庄村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2349</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164.43</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后刘家庄村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1913</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133.91</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善庆峪村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1566</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109.62</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西沟村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735</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36.75</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75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233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刘家圪垯村</w:t>
                  </w:r>
                </w:p>
              </w:tc>
              <w:tc>
                <w:tcPr>
                  <w:tcW w:w="113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1615</w:t>
                  </w:r>
                </w:p>
              </w:tc>
              <w:tc>
                <w:tcPr>
                  <w:tcW w:w="1874"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113.05</w:t>
                  </w:r>
                </w:p>
              </w:tc>
              <w:tc>
                <w:tcPr>
                  <w:tcW w:w="204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3088"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合计</w:t>
                  </w:r>
                </w:p>
              </w:tc>
              <w:tc>
                <w:tcPr>
                  <w:tcW w:w="5049" w:type="dxa"/>
                  <w:gridSpan w:val="3"/>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897.26m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/d</w:t>
                  </w:r>
                </w:p>
              </w:tc>
            </w:tr>
          </w:tbl>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由于本段地下水位较高，根据《室外排水设计标准》（</w:t>
            </w:r>
            <w:r>
              <w:rPr>
                <w:rFonts w:ascii="宋体" w:hAnsi="宋体" w:cs="TimesNewRomanPSMT"/>
                <w:kern w:val="0"/>
                <w:sz w:val="24"/>
              </w:rPr>
              <w:t>GB50014-2021</w:t>
            </w:r>
            <w:r>
              <w:rPr>
                <w:rFonts w:hint="eastAsia" w:ascii="宋体" w:hAnsi="宋体" w:cs="宋体"/>
                <w:kern w:val="0"/>
                <w:sz w:val="24"/>
              </w:rPr>
              <w:t>），入渗地下水量可按平均日综合生活污水量的</w:t>
            </w:r>
            <w:r>
              <w:rPr>
                <w:rFonts w:ascii="宋体" w:hAnsi="宋体" w:cs="TimesNewRomanPSMT"/>
                <w:kern w:val="0"/>
                <w:sz w:val="24"/>
              </w:rPr>
              <w:t>10</w:t>
            </w:r>
            <w:r>
              <w:rPr>
                <w:rFonts w:hint="eastAsia" w:ascii="宋体" w:hAnsi="宋体" w:cs="宋体"/>
                <w:kern w:val="0"/>
                <w:sz w:val="24"/>
              </w:rPr>
              <w:t>％</w:t>
            </w:r>
            <w:r>
              <w:rPr>
                <w:rFonts w:ascii="宋体" w:hAnsi="宋体" w:cs="TimesNewRomanPSMT"/>
                <w:kern w:val="0"/>
                <w:sz w:val="24"/>
              </w:rPr>
              <w:t>-15</w:t>
            </w:r>
            <w:r>
              <w:rPr>
                <w:rFonts w:hint="eastAsia" w:ascii="宋体" w:hAnsi="宋体" w:cs="宋体"/>
                <w:kern w:val="0"/>
                <w:sz w:val="24"/>
              </w:rPr>
              <w:t>％计。本工程入滲量按平均日生活污水排放量的</w:t>
            </w:r>
            <w:r>
              <w:rPr>
                <w:rFonts w:ascii="宋体" w:hAnsi="宋体" w:cs="TimesNewRomanPSMT"/>
                <w:kern w:val="0"/>
                <w:sz w:val="24"/>
              </w:rPr>
              <w:t>15</w:t>
            </w:r>
            <w:r>
              <w:rPr>
                <w:rFonts w:hint="eastAsia" w:ascii="宋体" w:hAnsi="宋体" w:cs="宋体"/>
                <w:kern w:val="0"/>
                <w:sz w:val="24"/>
              </w:rPr>
              <w:t>％测量，入渗量为</w:t>
            </w:r>
            <w:r>
              <w:rPr>
                <w:rFonts w:ascii="宋体" w:hAnsi="宋体" w:cs="TimesNewRomanPSMT"/>
                <w:kern w:val="0"/>
                <w:sz w:val="24"/>
              </w:rPr>
              <w:t>131.889m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考虑地形及村道宽度，本项目设计考虑污水收集率为</w:t>
            </w:r>
            <w:r>
              <w:rPr>
                <w:rFonts w:ascii="宋体" w:hAnsi="宋体" w:cs="宋体"/>
                <w:kern w:val="0"/>
                <w:sz w:val="24"/>
              </w:rPr>
              <w:t>85%</w:t>
            </w:r>
            <w:r>
              <w:rPr>
                <w:rFonts w:hint="eastAsia" w:ascii="宋体" w:hAnsi="宋体" w:cs="宋体"/>
                <w:kern w:val="0"/>
                <w:sz w:val="24"/>
              </w:rPr>
              <w:t>，</w:t>
            </w:r>
          </w:p>
          <w:p>
            <w:pPr>
              <w:autoSpaceDE w:val="0"/>
              <w:autoSpaceDN w:val="0"/>
              <w:adjustRightIn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生活污水排放量与地下水渗入量之和：</w:t>
            </w:r>
            <w:r>
              <w:rPr>
                <w:rFonts w:ascii="宋体" w:hAnsi="宋体" w:cs="宋体"/>
                <w:kern w:val="0"/>
                <w:sz w:val="24"/>
              </w:rPr>
              <w:t>762.671+131.889=894.56</w:t>
            </w:r>
            <w:r>
              <w:rPr>
                <w:rFonts w:ascii="宋体" w:hAnsi="宋体" w:cs="TimesNewRomanPSMT"/>
                <w:kern w:val="0"/>
                <w:sz w:val="24"/>
              </w:rPr>
              <w:t>m</w:t>
            </w:r>
            <w:r>
              <w:rPr>
                <w:rFonts w:ascii="宋体" w:hAnsi="宋体" w:cs="TimesNewRomanPSMT"/>
                <w:kern w:val="0"/>
                <w:sz w:val="24"/>
                <w:vertAlign w:val="superscript"/>
              </w:rPr>
              <w:t>3</w:t>
            </w:r>
            <w:r>
              <w:rPr>
                <w:rFonts w:ascii="宋体" w:hAnsi="宋体" w:cs="TimesNewRomanPSMT"/>
                <w:kern w:val="0"/>
                <w:sz w:val="24"/>
              </w:rPr>
              <w:t>/d</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w:t>
            </w:r>
            <w:r>
              <w:rPr>
                <w:rFonts w:ascii="宋体" w:hAnsi="宋体"/>
                <w:sz w:val="24"/>
              </w:rPr>
              <w:t xml:space="preserve">2-4     </w:t>
            </w:r>
            <w:r>
              <w:rPr>
                <w:rFonts w:hint="eastAsia" w:ascii="宋体" w:hAnsi="宋体"/>
                <w:sz w:val="24"/>
              </w:rPr>
              <w:t>污水总量预测表</w:t>
            </w:r>
          </w:p>
          <w:tbl>
            <w:tblPr>
              <w:tblStyle w:val="28"/>
              <w:tblW w:w="0" w:type="auto"/>
              <w:tblInd w:w="104" w:type="dxa"/>
              <w:tblLayout w:type="autofit"/>
              <w:tblCellMar>
                <w:top w:w="0" w:type="dxa"/>
                <w:left w:w="0" w:type="dxa"/>
                <w:bottom w:w="0" w:type="dxa"/>
                <w:right w:w="0" w:type="dxa"/>
              </w:tblCellMar>
            </w:tblPr>
            <w:tblGrid>
              <w:gridCol w:w="767"/>
              <w:gridCol w:w="2760"/>
              <w:gridCol w:w="1417"/>
              <w:gridCol w:w="3128"/>
            </w:tblGrid>
            <w:tr>
              <w:tblPrEx>
                <w:tblCellMar>
                  <w:top w:w="0" w:type="dxa"/>
                  <w:left w:w="0" w:type="dxa"/>
                  <w:bottom w:w="0" w:type="dxa"/>
                  <w:right w:w="0" w:type="dxa"/>
                </w:tblCellMar>
              </w:tblPrEx>
              <w:trPr>
                <w:trHeight w:val="417" w:hRule="atLeast"/>
              </w:trPr>
              <w:tc>
                <w:tcPr>
                  <w:tcW w:w="767" w:type="dxa"/>
                  <w:tcBorders>
                    <w:top w:val="single" w:color="000000" w:sz="10"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2760"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名称</w:t>
                  </w:r>
                </w:p>
              </w:tc>
              <w:tc>
                <w:tcPr>
                  <w:tcW w:w="1417"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污水量</w:t>
                  </w: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/d)</w:t>
                  </w:r>
                </w:p>
              </w:tc>
              <w:tc>
                <w:tcPr>
                  <w:tcW w:w="3128" w:type="dxa"/>
                  <w:tcBorders>
                    <w:top w:val="single" w:color="000000" w:sz="10"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CellMar>
                  <w:top w:w="0" w:type="dxa"/>
                  <w:left w:w="0" w:type="dxa"/>
                  <w:bottom w:w="0" w:type="dxa"/>
                  <w:right w:w="0" w:type="dxa"/>
                </w:tblCellMar>
              </w:tblPrEx>
              <w:trPr>
                <w:trHeight w:val="417"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平均日综合生活污水产生量</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897.26</w:t>
                  </w:r>
                </w:p>
              </w:tc>
              <w:tc>
                <w:tcPr>
                  <w:tcW w:w="3128"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依据污水排放定额计算</w:t>
                  </w:r>
                </w:p>
              </w:tc>
            </w:tr>
            <w:tr>
              <w:tblPrEx>
                <w:tblCellMar>
                  <w:top w:w="0" w:type="dxa"/>
                  <w:left w:w="0" w:type="dxa"/>
                  <w:bottom w:w="0" w:type="dxa"/>
                  <w:right w:w="0" w:type="dxa"/>
                </w:tblCellMar>
              </w:tblPrEx>
              <w:trPr>
                <w:trHeight w:val="417"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污水收集率</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762.671</w:t>
                  </w:r>
                </w:p>
              </w:tc>
              <w:tc>
                <w:tcPr>
                  <w:tcW w:w="3128"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85%</w:t>
                  </w:r>
                </w:p>
              </w:tc>
            </w:tr>
            <w:tr>
              <w:tblPrEx>
                <w:tblCellMar>
                  <w:top w:w="0" w:type="dxa"/>
                  <w:left w:w="0" w:type="dxa"/>
                  <w:bottom w:w="0" w:type="dxa"/>
                  <w:right w:w="0" w:type="dxa"/>
                </w:tblCellMar>
              </w:tblPrEx>
              <w:trPr>
                <w:trHeight w:val="417"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入渗地下水量</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131.889</w:t>
                  </w:r>
                </w:p>
              </w:tc>
              <w:tc>
                <w:tcPr>
                  <w:tcW w:w="3128"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均日综合生活污水产生量的</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15%</w:t>
                  </w:r>
                </w:p>
              </w:tc>
            </w:tr>
            <w:tr>
              <w:tblPrEx>
                <w:tblCellMar>
                  <w:top w:w="0" w:type="dxa"/>
                  <w:left w:w="0" w:type="dxa"/>
                  <w:bottom w:w="0" w:type="dxa"/>
                  <w:right w:w="0" w:type="dxa"/>
                </w:tblCellMar>
              </w:tblPrEx>
              <w:trPr>
                <w:trHeight w:val="417"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污水量合计</w:t>
                  </w:r>
                </w:p>
              </w:tc>
              <w:tc>
                <w:tcPr>
                  <w:tcW w:w="1417"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894.56</w:t>
                  </w:r>
                </w:p>
              </w:tc>
              <w:tc>
                <w:tcPr>
                  <w:tcW w:w="3128" w:type="dxa"/>
                  <w:tcBorders>
                    <w:top w:val="single" w:color="000000" w:sz="4" w:space="0"/>
                    <w:left w:val="single" w:color="000000" w:sz="4" w:space="0"/>
                    <w:bottom w:val="single" w:color="000000" w:sz="4" w:space="0"/>
                    <w:right w:val="single" w:color="000000" w:sz="10" w:space="0"/>
                  </w:tcBorders>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宋体" w:cs="宋体"/>
                      <w:kern w:val="0"/>
                      <w:szCs w:val="21"/>
                    </w:rPr>
                    <w:t>综合生活污水</w:t>
                  </w:r>
                  <w:r>
                    <w:rPr>
                      <w:rFonts w:ascii="TimesNewRomanPSMT" w:hAnsi="TimesNewRomanPSMT" w:cs="TimesNewRomanPSMT"/>
                      <w:kern w:val="0"/>
                      <w:szCs w:val="21"/>
                    </w:rPr>
                    <w:t>+</w:t>
                  </w:r>
                  <w:r>
                    <w:rPr>
                      <w:rFonts w:hint="eastAsia" w:ascii="宋体" w:cs="宋体"/>
                      <w:kern w:val="0"/>
                      <w:szCs w:val="21"/>
                    </w:rPr>
                    <w:t>入渗地下水量</w:t>
                  </w:r>
                </w:p>
              </w:tc>
            </w:tr>
          </w:tbl>
          <w:p>
            <w:pPr>
              <w:autoSpaceDE w:val="0"/>
              <w:autoSpaceDN w:val="0"/>
              <w:adjustRightInd w:val="0"/>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根据以上分析，至</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年，大禹乡污水站服务范围内的污水量为</w:t>
            </w:r>
            <w:r>
              <w:rPr>
                <w:rFonts w:asciiTheme="minorEastAsia" w:hAnsiTheme="minorEastAsia" w:eastAsiaTheme="minorEastAsia"/>
                <w:kern w:val="0"/>
                <w:sz w:val="24"/>
              </w:rPr>
              <w:t>894.56</w:t>
            </w:r>
            <w:r>
              <w:rPr>
                <w:rFonts w:cs="TimesNewRomanPSMT" w:asciiTheme="minorEastAsia" w:hAnsiTheme="minorEastAsia" w:eastAsiaTheme="minorEastAsia"/>
                <w:kern w:val="0"/>
                <w:sz w:val="24"/>
              </w:rPr>
              <w:t>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，考虑一定的未预见水量及安全系数，以及居民生活水平的提高，本项目设计水量考虑一定的富裕量，确定大禹乡污水处理站设计处理规模为</w:t>
            </w:r>
            <w:r>
              <w:rPr>
                <w:rFonts w:cs="TimesNewRomanPSMT" w:asciiTheme="minorEastAsia" w:hAnsiTheme="minorEastAsia" w:eastAsiaTheme="minorEastAsia"/>
                <w:kern w:val="0"/>
                <w:sz w:val="24"/>
              </w:rPr>
              <w:t>1000m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，一次性建成。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三、污水处理厂设计进出水质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污水处理厂设计水质的确定对污水处理工艺的选择，工程投资、运行成本有着直接的影响。</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设计进水水质：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设计进水水质的合理确定，是保证污水处理厂正常运行的前提条件之一。进水水质的确定既要依据现有的水质分析情况，又要着眼于未来的发展，留有一定的发展空间。</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为了较合理确定本工程进水水质，本次设计特意收集临县的污水处理厂原设计进水水质和三交镇现状污水厂进水水质报告，对数据进行了数理分析，合理确定进水水质。</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5</w:t>
            </w:r>
            <w:r>
              <w:rPr>
                <w:rFonts w:hint="eastAsia" w:asciiTheme="minorEastAsia" w:hAnsiTheme="minorEastAsia" w:eastAsiaTheme="minorEastAsia"/>
                <w:kern w:val="10"/>
                <w:sz w:val="24"/>
              </w:rPr>
              <w:t xml:space="preserve">    临县污水处理厂设计进水水质(mg/L)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300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180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70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6</w:t>
            </w:r>
            <w:r>
              <w:rPr>
                <w:rFonts w:hint="eastAsia" w:asciiTheme="minorEastAsia" w:hAnsiTheme="minorEastAsia" w:eastAsiaTheme="minorEastAsia"/>
                <w:kern w:val="10"/>
                <w:sz w:val="24"/>
              </w:rPr>
              <w:t xml:space="preserve">      临县三交镇现有污水厂进水水质(mg/L)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时间</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BOD</w:t>
                  </w:r>
                  <w:r>
                    <w:rPr>
                      <w:rFonts w:hint="eastAsia" w:asciiTheme="minorEastAsia" w:hAnsiTheme="minorEastAsia" w:eastAsiaTheme="minorEastAsia"/>
                      <w:kern w:val="10"/>
                      <w:szCs w:val="21"/>
                      <w:vertAlign w:val="subscript"/>
                    </w:rPr>
                    <w:t>5</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SS</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氨氮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80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本次项目污水处理厂服务范围内的污水主要是城镇生活污水。由临县污水处理厂和三交镇现有污水处理厂进水水质结果可以看出，COD、SS、NH</w:t>
            </w:r>
            <w:r>
              <w:rPr>
                <w:rFonts w:hint="eastAsia" w:asciiTheme="minorEastAsia" w:hAnsiTheme="minorEastAsia" w:eastAsiaTheme="minorEastAsia"/>
                <w:kern w:val="10"/>
                <w:sz w:val="24"/>
                <w:vertAlign w:val="subscript"/>
              </w:rPr>
              <w:t>3</w:t>
            </w:r>
            <w:r>
              <w:rPr>
                <w:rFonts w:hint="eastAsia" w:asciiTheme="minorEastAsia" w:hAnsiTheme="minorEastAsia" w:eastAsiaTheme="minorEastAsia"/>
                <w:kern w:val="10"/>
                <w:sz w:val="24"/>
              </w:rPr>
              <w:t>-N的数值接近城市典型污水水质。综合根据《室外排水设计规范》(GB50014-2006)(2016年版)中对设计水质的规定，考虑到远期发展以及居民生活水平的提高，污水管网的配套和完善，定大禹乡污水处理厂设计进水水质如下：</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7</w:t>
            </w:r>
            <w:r>
              <w:rPr>
                <w:rFonts w:hint="eastAsia" w:asciiTheme="minorEastAsia" w:hAnsiTheme="minorEastAsia" w:eastAsiaTheme="minorEastAsia"/>
                <w:kern w:val="10"/>
                <w:sz w:val="24"/>
              </w:rPr>
              <w:t xml:space="preserve">    设计进水水质主要指标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065"/>
              <w:gridCol w:w="1065"/>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平均值(mg/L)</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45</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2</w:t>
            </w:r>
            <w:r>
              <w:rPr>
                <w:rFonts w:hint="eastAsia" w:asciiTheme="minorEastAsia" w:hAnsiTheme="minorEastAsia" w:eastAsiaTheme="minorEastAsia"/>
                <w:kern w:val="10"/>
                <w:sz w:val="24"/>
              </w:rPr>
              <w:t>)设计出水水质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依据《山西省地表水环境功能区划》（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）中表</w:t>
            </w:r>
            <w:r>
              <w:rPr>
                <w:rFonts w:asciiTheme="minorEastAsia" w:hAnsiTheme="minorEastAsia" w:eastAsiaTheme="minorEastAsia"/>
                <w:kern w:val="10"/>
                <w:sz w:val="24"/>
              </w:rPr>
              <w:t>1</w:t>
            </w:r>
            <w:r>
              <w:rPr>
                <w:rFonts w:hint="eastAsia" w:asciiTheme="minorEastAsia" w:hAnsiTheme="minorEastAsia" w:eastAsiaTheme="minorEastAsia"/>
                <w:kern w:val="10"/>
                <w:sz w:val="24"/>
              </w:rPr>
              <w:t>可知临县湫水河范围为东会村至黄河段，该段水环境功能属于农业与一般景观水保护，水质要求为《地表水环境质量标准》（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）中的</w:t>
            </w:r>
            <w:r>
              <w:rPr>
                <w:rFonts w:asciiTheme="minorEastAsia" w:hAnsiTheme="minorEastAsia" w:eastAsiaTheme="minorEastAsia"/>
                <w:kern w:val="10"/>
                <w:sz w:val="24"/>
              </w:rPr>
              <w:t>V</w:t>
            </w:r>
            <w:r>
              <w:rPr>
                <w:rFonts w:hint="eastAsia" w:asciiTheme="minorEastAsia" w:hAnsiTheme="minorEastAsia" w:eastAsiaTheme="minorEastAsia"/>
                <w:kern w:val="10"/>
                <w:sz w:val="24"/>
              </w:rPr>
              <w:t>类水标准，同时依据《污水综合排放标准》（</w:t>
            </w:r>
            <w:r>
              <w:rPr>
                <w:rFonts w:asciiTheme="minorEastAsia" w:hAnsiTheme="minorEastAsia" w:eastAsiaTheme="minorEastAsia"/>
                <w:kern w:val="10"/>
                <w:sz w:val="24"/>
              </w:rPr>
              <w:t>DB14/1928-2019</w:t>
            </w:r>
            <w:r>
              <w:rPr>
                <w:rFonts w:hint="eastAsia" w:asciiTheme="minorEastAsia" w:hAnsiTheme="minorEastAsia" w:eastAsiaTheme="minorEastAsia"/>
                <w:kern w:val="10"/>
                <w:sz w:val="24"/>
              </w:rPr>
              <w:t>）中</w:t>
            </w:r>
            <w:r>
              <w:rPr>
                <w:rFonts w:asciiTheme="minorEastAsia" w:hAnsiTheme="minorEastAsia" w:eastAsiaTheme="minorEastAsia"/>
                <w:kern w:val="10"/>
                <w:sz w:val="24"/>
              </w:rPr>
              <w:t>4.1</w:t>
            </w:r>
            <w:r>
              <w:rPr>
                <w:rFonts w:hint="eastAsia" w:asciiTheme="minorEastAsia" w:hAnsiTheme="minorEastAsia" w:eastAsiaTheme="minorEastAsia"/>
                <w:kern w:val="10"/>
                <w:sz w:val="24"/>
              </w:rPr>
              <w:t>要求，生活污水排入</w:t>
            </w:r>
            <w:r>
              <w:rPr>
                <w:rFonts w:asciiTheme="minorEastAsia" w:hAnsiTheme="minorEastAsia" w:eastAsiaTheme="minorEastAsia"/>
                <w:kern w:val="10"/>
                <w:sz w:val="24"/>
              </w:rPr>
              <w:t>II-V</w:t>
            </w:r>
            <w:r>
              <w:rPr>
                <w:rFonts w:hint="eastAsia" w:asciiTheme="minorEastAsia" w:hAnsiTheme="minorEastAsia" w:eastAsiaTheme="minorEastAsia"/>
                <w:kern w:val="10"/>
                <w:sz w:val="24"/>
              </w:rPr>
              <w:t>类水环境功能区，其水污染物排放执行表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中的限值。故本项目设计出水水质标准为：化学需氧量、氨氮、总磷三项主要污染物指标稳定达到</w:t>
            </w:r>
            <w:r>
              <w:rPr>
                <w:rFonts w:hint="eastAsia" w:asciiTheme="minorEastAsia" w:hAnsiTheme="minorEastAsia" w:eastAsiaTheme="minorEastAsia"/>
                <w:sz w:val="24"/>
              </w:rPr>
              <w:t>《山西省污水综合排放标准》(</w:t>
            </w:r>
            <w:r>
              <w:rPr>
                <w:rFonts w:asciiTheme="minorEastAsia" w:hAnsiTheme="minorEastAsia" w:eastAsiaTheme="minorEastAsia"/>
                <w:sz w:val="24"/>
              </w:rPr>
              <w:t>DB14/1928-2019)表2</w:t>
            </w:r>
            <w:r>
              <w:rPr>
                <w:rFonts w:hint="eastAsia" w:asciiTheme="minorEastAsia" w:hAnsiTheme="minorEastAsia" w:eastAsiaTheme="minorEastAsia"/>
                <w:sz w:val="24"/>
              </w:rPr>
              <w:t>要求</w:t>
            </w:r>
            <w:r>
              <w:rPr>
                <w:rFonts w:asciiTheme="minorEastAsia" w:hAnsiTheme="minorEastAsia" w:eastAsiaTheme="minorEastAsia"/>
                <w:sz w:val="24"/>
              </w:rPr>
              <w:t>，水污染物排放限值为化学需氧量(COD)40mg/L，氨氮(NH</w:t>
            </w:r>
            <w:r>
              <w:rPr>
                <w:rFonts w:asciiTheme="minorEastAsia" w:hAnsiTheme="minorEastAsia" w:eastAsiaTheme="minorEastAsia"/>
                <w:sz w:val="24"/>
                <w:vertAlign w:val="subscript"/>
              </w:rPr>
              <w:t>3</w:t>
            </w:r>
            <w:r>
              <w:rPr>
                <w:rFonts w:asciiTheme="minorEastAsia" w:hAnsiTheme="minorEastAsia" w:eastAsiaTheme="minorEastAsia"/>
                <w:sz w:val="24"/>
              </w:rPr>
              <w:t>-N)2.0mg/L，总磷(TP)0.4mg/L，其余未指</w:t>
            </w:r>
            <w:r>
              <w:rPr>
                <w:rFonts w:hint="eastAsia" w:asciiTheme="minorEastAsia" w:hAnsiTheme="minorEastAsia" w:eastAsiaTheme="minorEastAsia"/>
                <w:sz w:val="24"/>
              </w:rPr>
              <w:t>定的出水水质指标执行《城镇污水处理厂污染物排放标准》(</w:t>
            </w:r>
            <w:r>
              <w:rPr>
                <w:rFonts w:asciiTheme="minorEastAsia" w:hAnsiTheme="minorEastAsia" w:eastAsiaTheme="minorEastAsia"/>
                <w:sz w:val="24"/>
              </w:rPr>
              <w:t>GB3838-2002)中的一级A标准。确定本次污水厂设计出水水质如</w:t>
            </w:r>
            <w:r>
              <w:rPr>
                <w:rFonts w:hint="eastAsia" w:asciiTheme="minorEastAsia" w:hAnsiTheme="minorEastAsia" w:eastAsiaTheme="minorEastAsia"/>
                <w:sz w:val="24"/>
              </w:rPr>
              <w:t>下：</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具体水质指标如下：</w:t>
            </w:r>
          </w:p>
          <w:p>
            <w:pPr>
              <w:spacing w:line="500" w:lineRule="exact"/>
              <w:ind w:firstLine="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8    设计出水水质主要指</w:t>
            </w:r>
            <w:r>
              <w:rPr>
                <w:rFonts w:asciiTheme="minorEastAsia" w:hAnsiTheme="minorEastAsia" w:eastAsiaTheme="minorEastAsia"/>
                <w:kern w:val="10"/>
                <w:sz w:val="24"/>
              </w:rPr>
              <w:t>标</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w:t>
            </w:r>
            <w:r>
              <w:rPr>
                <w:rFonts w:asciiTheme="minorEastAsia" w:hAnsiTheme="minorEastAsia" w:eastAsiaTheme="minorEastAsia"/>
                <w:kern w:val="10"/>
                <w:sz w:val="24"/>
              </w:rPr>
              <w:t>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959"/>
              <w:gridCol w:w="970"/>
              <w:gridCol w:w="944"/>
              <w:gridCol w:w="944"/>
              <w:gridCol w:w="944"/>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宋体" w:hAnsi="宋体"/>
                      <w:kern w:val="10"/>
                    </w:rPr>
                  </w:pPr>
                  <w:r>
                    <w:rPr>
                      <w:rFonts w:hint="eastAsia" w:ascii="宋体" w:hAnsi="宋体"/>
                      <w:kern w:val="10"/>
                    </w:rPr>
                    <w:t>项目</w:t>
                  </w:r>
                </w:p>
              </w:tc>
              <w:tc>
                <w:tcPr>
                  <w:tcW w:w="1065" w:type="dxa"/>
                  <w:vAlign w:val="center"/>
                </w:tcPr>
                <w:p>
                  <w:pPr>
                    <w:spacing w:line="400" w:lineRule="exact"/>
                    <w:jc w:val="center"/>
                    <w:rPr>
                      <w:rFonts w:ascii="宋体" w:hAnsi="宋体"/>
                      <w:kern w:val="10"/>
                    </w:rPr>
                  </w:pPr>
                  <w:r>
                    <w:rPr>
                      <w:rFonts w:hint="eastAsia" w:ascii="宋体" w:hAnsi="宋体"/>
                      <w:kern w:val="10"/>
                    </w:rPr>
                    <w:t>COD</w:t>
                  </w:r>
                </w:p>
              </w:tc>
              <w:tc>
                <w:tcPr>
                  <w:tcW w:w="1065" w:type="dxa"/>
                  <w:vAlign w:val="center"/>
                </w:tcPr>
                <w:p>
                  <w:pPr>
                    <w:spacing w:line="400" w:lineRule="exact"/>
                    <w:jc w:val="center"/>
                    <w:rPr>
                      <w:rFonts w:ascii="宋体" w:hAnsi="宋体"/>
                      <w:kern w:val="10"/>
                    </w:rPr>
                  </w:pPr>
                  <w:r>
                    <w:rPr>
                      <w:rFonts w:hint="eastAsia" w:ascii="宋体" w:hAnsi="宋体"/>
                      <w:kern w:val="10"/>
                    </w:rPr>
                    <w:t>BOD</w:t>
                  </w:r>
                  <w:r>
                    <w:rPr>
                      <w:rFonts w:hint="eastAsia" w:ascii="宋体" w:hAnsi="宋体"/>
                      <w:kern w:val="10"/>
                      <w:vertAlign w:val="subscript"/>
                    </w:rPr>
                    <w:t>5</w:t>
                  </w:r>
                </w:p>
              </w:tc>
              <w:tc>
                <w:tcPr>
                  <w:tcW w:w="1065" w:type="dxa"/>
                  <w:vAlign w:val="center"/>
                </w:tcPr>
                <w:p>
                  <w:pPr>
                    <w:spacing w:line="400" w:lineRule="exact"/>
                    <w:jc w:val="center"/>
                    <w:rPr>
                      <w:rFonts w:ascii="宋体" w:hAnsi="宋体"/>
                      <w:kern w:val="10"/>
                    </w:rPr>
                  </w:pPr>
                  <w:r>
                    <w:rPr>
                      <w:rFonts w:hint="eastAsia" w:ascii="宋体" w:hAnsi="宋体"/>
                      <w:kern w:val="10"/>
                    </w:rPr>
                    <w:t>SS</w:t>
                  </w:r>
                </w:p>
              </w:tc>
              <w:tc>
                <w:tcPr>
                  <w:tcW w:w="1065" w:type="dxa"/>
                  <w:vAlign w:val="center"/>
                </w:tcPr>
                <w:p>
                  <w:pPr>
                    <w:spacing w:line="400" w:lineRule="exact"/>
                    <w:jc w:val="center"/>
                    <w:rPr>
                      <w:rFonts w:ascii="宋体" w:hAnsi="宋体"/>
                      <w:kern w:val="10"/>
                    </w:rPr>
                  </w:pPr>
                  <w:r>
                    <w:rPr>
                      <w:rFonts w:hint="eastAsia" w:ascii="宋体" w:hAnsi="宋体"/>
                      <w:kern w:val="10"/>
                    </w:rPr>
                    <w:t>氨氮</w:t>
                  </w:r>
                </w:p>
              </w:tc>
              <w:tc>
                <w:tcPr>
                  <w:tcW w:w="1065" w:type="dxa"/>
                  <w:vAlign w:val="center"/>
                </w:tcPr>
                <w:p>
                  <w:pPr>
                    <w:spacing w:line="400" w:lineRule="exact"/>
                    <w:jc w:val="center"/>
                    <w:rPr>
                      <w:rFonts w:ascii="宋体" w:hAnsi="宋体"/>
                      <w:kern w:val="10"/>
                    </w:rPr>
                  </w:pPr>
                  <w:r>
                    <w:rPr>
                      <w:rFonts w:hint="eastAsia" w:ascii="宋体" w:hAnsi="宋体"/>
                      <w:kern w:val="10"/>
                    </w:rPr>
                    <w:t>总氮</w:t>
                  </w:r>
                </w:p>
              </w:tc>
              <w:tc>
                <w:tcPr>
                  <w:tcW w:w="1065" w:type="dxa"/>
                  <w:vAlign w:val="center"/>
                </w:tcPr>
                <w:p>
                  <w:pPr>
                    <w:spacing w:line="400" w:lineRule="exact"/>
                    <w:jc w:val="center"/>
                    <w:rPr>
                      <w:rFonts w:ascii="宋体" w:hAnsi="宋体"/>
                      <w:kern w:val="10"/>
                    </w:rPr>
                  </w:pPr>
                  <w:r>
                    <w:rPr>
                      <w:rFonts w:hint="eastAsia" w:ascii="宋体" w:hAnsi="宋体"/>
                      <w:kern w:val="10"/>
                    </w:rPr>
                    <w:t>总磷</w:t>
                  </w:r>
                </w:p>
              </w:tc>
              <w:tc>
                <w:tcPr>
                  <w:tcW w:w="1065" w:type="dxa"/>
                </w:tcPr>
                <w:p>
                  <w:pPr>
                    <w:spacing w:line="400" w:lineRule="exact"/>
                    <w:jc w:val="center"/>
                    <w:rPr>
                      <w:rFonts w:ascii="宋体" w:hAnsi="宋体"/>
                      <w:kern w:val="10"/>
                    </w:rPr>
                  </w:pPr>
                  <w:r>
                    <w:rPr>
                      <w:rFonts w:hint="eastAsia" w:ascii="宋体" w:hAnsi="宋体"/>
                      <w:kern w:val="10"/>
                    </w:rPr>
                    <w:t>P</w:t>
                  </w:r>
                  <w:r>
                    <w:rPr>
                      <w:rFonts w:ascii="宋体" w:hAnsi="宋体"/>
                      <w:kern w:val="1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宋体" w:hAnsi="宋体"/>
                      <w:kern w:val="10"/>
                    </w:rPr>
                  </w:pPr>
                  <w:r>
                    <w:rPr>
                      <w:rFonts w:hint="eastAsia" w:ascii="宋体" w:hAnsi="宋体"/>
                      <w:kern w:val="10"/>
                    </w:rPr>
                    <w:t>出水水质</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40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0.4</w:t>
                  </w:r>
                </w:p>
              </w:tc>
              <w:tc>
                <w:tcPr>
                  <w:tcW w:w="1065" w:type="dxa"/>
                </w:tcPr>
                <w:p>
                  <w:pPr>
                    <w:spacing w:line="400" w:lineRule="exact"/>
                    <w:jc w:val="center"/>
                    <w:rPr>
                      <w:rFonts w:ascii="宋体" w:hAnsi="宋体"/>
                      <w:kern w:val="10"/>
                    </w:rPr>
                  </w:pPr>
                  <w:r>
                    <w:rPr>
                      <w:rFonts w:hint="eastAsia" w:ascii="宋体" w:hAnsi="宋体"/>
                      <w:kern w:val="10"/>
                    </w:rPr>
                    <w:t>6</w:t>
                  </w:r>
                  <w:r>
                    <w:rPr>
                      <w:rFonts w:ascii="宋体" w:hAnsi="宋体"/>
                      <w:kern w:val="10"/>
                    </w:rPr>
                    <w:t>-9</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五、污水处理厂厂址选择</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根据上述选址原则并结合本工程服务范围的排水现状、总体规划及地形条件等因素，经建设单位与规划、城建、国土、环保等部门协商，大禹乡污水处理站厂址最终确定在大禹乡歧道村西南角空地。该厂址具有以下特点：</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1</w:t>
            </w:r>
            <w:r>
              <w:rPr>
                <w:rFonts w:hint="eastAsia" w:cs="宋体" w:asciiTheme="minorEastAsia" w:hAnsiTheme="minorEastAsia" w:eastAsiaTheme="minorEastAsia"/>
                <w:kern w:val="0"/>
                <w:sz w:val="24"/>
              </w:rPr>
              <w:t>）符合《吕梁市临县建制镇生活污水处理设施建设专项规划（沿湫水河）》（</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年）、《吕梁市临县县辖乡生活污水处理设施建设专项规划》（</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年）总体规划；</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2</w:t>
            </w:r>
            <w:r>
              <w:rPr>
                <w:rFonts w:hint="eastAsia" w:cs="宋体" w:asciiTheme="minorEastAsia" w:hAnsiTheme="minorEastAsia" w:eastAsiaTheme="minorEastAsia"/>
                <w:kern w:val="0"/>
                <w:sz w:val="24"/>
              </w:rPr>
              <w:t>）场地地形地貌简单，可利用项目实际地形，相对高差不高，土方量较小，可降低投资；</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3</w:t>
            </w:r>
            <w:r>
              <w:rPr>
                <w:rFonts w:hint="eastAsia" w:cs="宋体" w:asciiTheme="minorEastAsia" w:hAnsiTheme="minorEastAsia" w:eastAsiaTheme="minorEastAsia"/>
                <w:kern w:val="0"/>
                <w:sz w:val="24"/>
              </w:rPr>
              <w:t>）厂区内地势平坦，无建筑物，因此无拆迁量，且征地方便；</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4</w:t>
            </w:r>
            <w:r>
              <w:rPr>
                <w:rFonts w:hint="eastAsia" w:cs="宋体" w:asciiTheme="minorEastAsia" w:hAnsiTheme="minorEastAsia" w:eastAsiaTheme="minorEastAsia"/>
                <w:kern w:val="0"/>
                <w:sz w:val="24"/>
              </w:rPr>
              <w:t>）该位置便于污水处理后的排放；</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5</w:t>
            </w:r>
            <w:r>
              <w:rPr>
                <w:rFonts w:hint="eastAsia" w:cs="宋体" w:asciiTheme="minorEastAsia" w:hAnsiTheme="minorEastAsia" w:eastAsiaTheme="minorEastAsia"/>
                <w:kern w:val="0"/>
                <w:sz w:val="24"/>
              </w:rPr>
              <w:t>）该厂址交通便利且不影响周围区域的连片开发；</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6</w:t>
            </w:r>
            <w:r>
              <w:rPr>
                <w:rFonts w:hint="eastAsia" w:cs="宋体" w:asciiTheme="minorEastAsia" w:hAnsiTheme="minorEastAsia" w:eastAsiaTheme="minorEastAsia"/>
                <w:kern w:val="0"/>
                <w:sz w:val="24"/>
              </w:rPr>
              <w:t>）该厂址处于地势较低处，便于污水自流收集，节省污水收集管网的投资。</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综上所述，根据《小城镇污水处理工程建设标准》中有关规定，污水处理厂处理规模</w:t>
            </w:r>
            <w:r>
              <w:rPr>
                <w:rFonts w:asciiTheme="minorEastAsia" w:hAnsiTheme="minorEastAsia" w:eastAsiaTheme="minorEastAsia"/>
                <w:sz w:val="24"/>
              </w:rPr>
              <w:t>1000～3000m</w:t>
            </w:r>
            <w:r>
              <w:rPr>
                <w:rFonts w:asciiTheme="minorEastAsia" w:hAnsiTheme="minorEastAsia" w:eastAsiaTheme="minorEastAsia"/>
                <w:sz w:val="24"/>
                <w:vertAlign w:val="superscript"/>
              </w:rPr>
              <w:t>3</w:t>
            </w:r>
            <w:r>
              <w:rPr>
                <w:rFonts w:asciiTheme="minorEastAsia" w:hAnsiTheme="minorEastAsia" w:eastAsiaTheme="minorEastAsia"/>
                <w:sz w:val="24"/>
              </w:rPr>
              <w:t>/d的属于Ⅲ类，二级处理建设用地指标为2500-5000m</w:t>
            </w:r>
            <w:r>
              <w:rPr>
                <w:rFonts w:asciiTheme="minorEastAsia" w:hAnsiTheme="minorEastAsia" w:eastAsiaTheme="minorEastAsia"/>
                <w:sz w:val="24"/>
                <w:vertAlign w:val="superscript"/>
              </w:rPr>
              <w:t>2</w:t>
            </w:r>
            <w:r>
              <w:rPr>
                <w:rFonts w:asciiTheme="minorEastAsia" w:hAnsiTheme="minorEastAsia" w:eastAsiaTheme="minorEastAsia"/>
                <w:sz w:val="24"/>
              </w:rPr>
              <w:t>。</w:t>
            </w:r>
            <w:r>
              <w:rPr>
                <w:rFonts w:hint="eastAsia" w:asciiTheme="minorEastAsia" w:hAnsiTheme="minorEastAsia" w:eastAsiaTheme="minorEastAsia"/>
                <w:sz w:val="24"/>
              </w:rPr>
              <w:t>本项目</w:t>
            </w:r>
            <w:r>
              <w:rPr>
                <w:rFonts w:asciiTheme="minorEastAsia" w:hAnsiTheme="minorEastAsia" w:eastAsiaTheme="minorEastAsia"/>
                <w:sz w:val="24"/>
              </w:rPr>
              <w:t>污水处理厂设计规模1000m</w:t>
            </w:r>
            <w:r>
              <w:rPr>
                <w:rFonts w:asciiTheme="minorEastAsia" w:hAnsiTheme="minorEastAsia" w:eastAsiaTheme="minorEastAsia"/>
                <w:sz w:val="24"/>
                <w:vertAlign w:val="superscript"/>
              </w:rPr>
              <w:t>3</w:t>
            </w:r>
            <w:r>
              <w:rPr>
                <w:rFonts w:asciiTheme="minorEastAsia" w:hAnsiTheme="minorEastAsia" w:eastAsiaTheme="minorEastAsia"/>
                <w:sz w:val="24"/>
              </w:rPr>
              <w:t>/d，考虑到厂区防洪</w:t>
            </w:r>
            <w:r>
              <w:rPr>
                <w:rFonts w:hint="eastAsia" w:asciiTheme="minorEastAsia" w:hAnsiTheme="minorEastAsia" w:eastAsiaTheme="minorEastAsia"/>
                <w:sz w:val="24"/>
              </w:rPr>
              <w:t>的要求，需新建防洪涵和防洪坝，结合厂区地形规整布局，本次总占地面积约</w:t>
            </w:r>
            <w:r>
              <w:rPr>
                <w:rFonts w:asciiTheme="minorEastAsia" w:hAnsiTheme="minorEastAsia" w:eastAsiaTheme="minorEastAsia"/>
                <w:sz w:val="24"/>
              </w:rPr>
              <w:t>4000m</w:t>
            </w:r>
            <w:r>
              <w:rPr>
                <w:rFonts w:asciiTheme="minorEastAsia" w:hAnsiTheme="minorEastAsia" w:eastAsiaTheme="minorEastAsia"/>
                <w:sz w:val="24"/>
                <w:vertAlign w:val="superscript"/>
              </w:rPr>
              <w:t>2</w:t>
            </w:r>
            <w:r>
              <w:rPr>
                <w:rFonts w:asciiTheme="minorEastAsia" w:hAnsiTheme="minorEastAsia" w:eastAsiaTheme="minorEastAsia"/>
                <w:sz w:val="24"/>
              </w:rPr>
              <w:t>。</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六、污水处理方案比选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污水处理工艺是污水处理厂的关键，处理工艺的选择是否得当，直接关系到处理厂出水水质、运转是否稳定、运转成本的高低和管理的难易。因此，必须结合实际情况慎重地选择适当的工艺，以达到最佳效果。</w:t>
            </w:r>
          </w:p>
          <w:p>
            <w:pPr>
              <w:spacing w:line="500" w:lineRule="exact"/>
              <w:ind w:firstLine="480" w:firstLineChars="200"/>
              <w:rPr>
                <w:rFonts w:ascii="宋体" w:hAnsi="宋体" w:cs="宋体"/>
                <w:kern w:val="0"/>
                <w:sz w:val="24"/>
                <w:szCs w:val="21"/>
              </w:rPr>
            </w:pPr>
            <w:r>
              <w:rPr>
                <w:rFonts w:hint="eastAsia" w:ascii="宋体" w:hAnsi="宋体"/>
                <w:sz w:val="24"/>
                <w:szCs w:val="21"/>
              </w:rPr>
              <w:t>1、</w:t>
            </w:r>
            <w:r>
              <w:rPr>
                <w:rFonts w:hint="eastAsia" w:ascii="宋体" w:hAnsi="宋体" w:cs="宋体"/>
                <w:kern w:val="0"/>
                <w:sz w:val="24"/>
                <w:szCs w:val="21"/>
              </w:rPr>
              <w:t>污水生物处理可行性分析（</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衡量指标）</w:t>
            </w:r>
          </w:p>
          <w:p>
            <w:pPr>
              <w:spacing w:line="500" w:lineRule="exact"/>
              <w:ind w:firstLine="480" w:firstLineChars="200"/>
              <w:rPr>
                <w:rFonts w:ascii="宋体" w:hAnsi="宋体"/>
                <w:sz w:val="24"/>
                <w:szCs w:val="21"/>
              </w:rPr>
            </w:pPr>
            <w:r>
              <w:rPr>
                <w:rFonts w:ascii="宋体" w:hAnsi="宋体" w:cs="TimesNewRomanPSMT"/>
                <w:kern w:val="0"/>
                <w:sz w:val="24"/>
                <w:szCs w:val="21"/>
              </w:rPr>
              <w:t>BOD</w:t>
            </w:r>
            <w:r>
              <w:rPr>
                <w:rFonts w:ascii="宋体" w:hAnsi="宋体" w:cs="TimesNewRomanPSMT"/>
                <w:kern w:val="0"/>
                <w:sz w:val="24"/>
                <w:szCs w:val="21"/>
                <w:vertAlign w:val="subscript"/>
              </w:rPr>
              <w:t>5</w:t>
            </w:r>
            <w:r>
              <w:rPr>
                <w:rFonts w:hint="eastAsia" w:ascii="宋体" w:hAnsi="宋体" w:cs="宋体"/>
                <w:kern w:val="0"/>
                <w:sz w:val="24"/>
                <w:szCs w:val="21"/>
              </w:rPr>
              <w:t>和</w:t>
            </w:r>
            <w:r>
              <w:rPr>
                <w:rFonts w:ascii="宋体" w:hAnsi="宋体" w:cs="TimesNewRomanPSMT"/>
                <w:kern w:val="0"/>
                <w:sz w:val="24"/>
                <w:szCs w:val="21"/>
              </w:rPr>
              <w:t>CODcr</w:t>
            </w:r>
            <w:r>
              <w:rPr>
                <w:rFonts w:hint="eastAsia" w:ascii="宋体" w:hAnsi="宋体" w:cs="宋体"/>
                <w:kern w:val="0"/>
                <w:sz w:val="24"/>
                <w:szCs w:val="21"/>
              </w:rPr>
              <w:t>是污水生物处理过程中常用的两个水质指标，用</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值评价污水的可生化性是广泛采用的一种最为简易的方法，一般情况下，</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值越大，说明污水可生物处理性越好，综合国内外的研究成果，可参照下表中所列的数据来评价污水的可生物降解性能。</w:t>
            </w:r>
          </w:p>
          <w:p>
            <w:pPr>
              <w:spacing w:line="500" w:lineRule="exact"/>
              <w:ind w:firstLine="480" w:firstLineChars="200"/>
              <w:rPr>
                <w:rFonts w:ascii="宋体" w:hAnsi="宋体"/>
                <w:sz w:val="24"/>
              </w:rPr>
            </w:pPr>
            <w:r>
              <w:rPr>
                <w:rFonts w:hint="eastAsia" w:ascii="宋体" w:hAnsi="宋体" w:cs="宋体"/>
                <w:kern w:val="0"/>
                <w:sz w:val="24"/>
              </w:rPr>
              <w:t>本工程污水处理厂进水水质</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/CODcr=0.67</w:t>
            </w:r>
            <w:r>
              <w:rPr>
                <w:rFonts w:hint="eastAsia" w:ascii="宋体" w:hAnsi="宋体" w:cs="宋体"/>
                <w:kern w:val="0"/>
                <w:sz w:val="24"/>
              </w:rPr>
              <w:t>，适合于生物降解。</w:t>
            </w:r>
          </w:p>
          <w:p>
            <w:pPr>
              <w:spacing w:line="500" w:lineRule="exact"/>
              <w:ind w:firstLine="480" w:firstLineChars="200"/>
              <w:rPr>
                <w:rFonts w:ascii="宋体" w:hAnsi="宋体" w:cs="宋体"/>
                <w:kern w:val="0"/>
                <w:sz w:val="24"/>
              </w:rPr>
            </w:pPr>
            <w:r>
              <w:rPr>
                <w:rFonts w:hint="eastAsia" w:ascii="宋体" w:hAnsi="宋体"/>
                <w:sz w:val="24"/>
              </w:rPr>
              <w:t>2、</w:t>
            </w:r>
            <w:r>
              <w:rPr>
                <w:rFonts w:hint="eastAsia" w:ascii="宋体" w:hAnsi="宋体" w:cs="宋体"/>
                <w:kern w:val="0"/>
                <w:sz w:val="24"/>
              </w:rPr>
              <w:t>污水生物脱氮可行性分析（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脱氮的主要指标，由于反硝化细菌是在分解有机物的过程中进行反硝化脱氮的，在不投加外部碳源条件下，污水中必须有足够的有机物（碳源），才能保证反硝化的顺利进行。一般认为，</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TimesNewRomanPSMT"/>
                <w:kern w:val="0"/>
                <w:sz w:val="24"/>
              </w:rPr>
              <w:t>≥</w:t>
            </w:r>
            <w:r>
              <w:rPr>
                <w:rFonts w:ascii="宋体" w:hAnsi="宋体" w:cs="TimesNewRomanPSMT"/>
                <w:kern w:val="0"/>
                <w:sz w:val="24"/>
              </w:rPr>
              <w:t>4</w:t>
            </w:r>
            <w:r>
              <w:rPr>
                <w:rFonts w:hint="eastAsia" w:ascii="宋体" w:hAnsi="宋体" w:cs="宋体"/>
                <w:kern w:val="0"/>
                <w:sz w:val="24"/>
              </w:rPr>
              <w:t>，即可认为污水有足够的碳源供反硝化菌利用，本工程</w:t>
            </w:r>
            <w:r>
              <w:rPr>
                <w:rFonts w:ascii="宋体" w:hAnsi="宋体" w:cs="TimesNewRomanPSMT"/>
                <w:kern w:val="0"/>
                <w:sz w:val="24"/>
              </w:rPr>
              <w:t>TN</w:t>
            </w:r>
            <w:r>
              <w:rPr>
                <w:rFonts w:hint="eastAsia" w:ascii="宋体" w:hAnsi="宋体" w:cs="宋体"/>
                <w:kern w:val="0"/>
                <w:sz w:val="24"/>
              </w:rPr>
              <w:t>为</w:t>
            </w:r>
            <w:r>
              <w:rPr>
                <w:rFonts w:ascii="宋体" w:hAnsi="宋体" w:cs="TimesNewRomanPSMT"/>
                <w:kern w:val="0"/>
                <w:sz w:val="24"/>
              </w:rPr>
              <w:t>45mg/L</w:t>
            </w:r>
            <w:r>
              <w:rPr>
                <w:rFonts w:hint="eastAsia" w:ascii="宋体" w:hAnsi="宋体" w:cs="宋体"/>
                <w:kern w:val="0"/>
                <w:sz w:val="24"/>
              </w:rPr>
              <w:t>，</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为</w:t>
            </w:r>
            <w:r>
              <w:rPr>
                <w:rFonts w:ascii="宋体" w:hAnsi="宋体" w:cs="TimesNewRomanPSMT"/>
                <w:kern w:val="0"/>
                <w:sz w:val="24"/>
              </w:rPr>
              <w:t>200mg/L</w:t>
            </w:r>
            <w:r>
              <w:rPr>
                <w:rFonts w:hint="eastAsia" w:ascii="宋体" w:hAnsi="宋体" w:cs="宋体"/>
                <w:kern w:val="0"/>
                <w:sz w:val="24"/>
              </w:rPr>
              <w:t>，</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/TN=4.44</w:t>
            </w:r>
            <w:r>
              <w:rPr>
                <w:rFonts w:hint="eastAsia" w:ascii="宋体" w:hAnsi="宋体" w:cs="宋体"/>
                <w:kern w:val="0"/>
                <w:sz w:val="24"/>
              </w:rPr>
              <w:t>，进水碳源满足反硝化作用的需求，但本项目设计采用五段生化工艺，为保证后段生化系统的稳定运行，本项目设计考虑外加碳源系统。</w:t>
            </w:r>
          </w:p>
          <w:p>
            <w:pPr>
              <w:spacing w:line="500" w:lineRule="exact"/>
              <w:ind w:firstLine="480" w:firstLineChars="200"/>
              <w:rPr>
                <w:rFonts w:ascii="宋体" w:hAnsi="宋体" w:cs="宋体"/>
                <w:kern w:val="0"/>
                <w:sz w:val="24"/>
              </w:rPr>
            </w:pPr>
            <w:r>
              <w:rPr>
                <w:rFonts w:ascii="宋体" w:hAnsi="宋体" w:cs="TimesNewRomanPSMT"/>
                <w:kern w:val="0"/>
                <w:sz w:val="24"/>
              </w:rPr>
              <w:t>3</w:t>
            </w:r>
            <w:r>
              <w:rPr>
                <w:rFonts w:hint="eastAsia" w:ascii="宋体" w:hAnsi="宋体" w:cs="宋体"/>
                <w:kern w:val="0"/>
                <w:sz w:val="24"/>
              </w:rPr>
              <w:t>、污水生物除磷可行性分析（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该指标是鉴别能否采用生物除磷的主要指标，一般认为，较高的</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负荷可以取得较好的除磷效果，进行生物除磷的低限是</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/TP=17</w:t>
            </w:r>
            <w:r>
              <w:rPr>
                <w:rFonts w:hint="eastAsia" w:ascii="宋体" w:hAnsi="宋体" w:cs="宋体"/>
                <w:kern w:val="0"/>
                <w:sz w:val="24"/>
              </w:rPr>
              <w:t>，有机基质不同对除磷也有影响。而磷释放得越充分，其摄取量也就越大，本工程</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为</w:t>
            </w:r>
            <w:r>
              <w:rPr>
                <w:rFonts w:ascii="宋体" w:hAnsi="宋体" w:cs="TimesNewRomanPSMT"/>
                <w:kern w:val="0"/>
                <w:sz w:val="24"/>
              </w:rPr>
              <w:t>50</w:t>
            </w:r>
            <w:r>
              <w:rPr>
                <w:rFonts w:hint="eastAsia" w:ascii="宋体" w:hAnsi="宋体" w:cs="宋体"/>
                <w:kern w:val="0"/>
                <w:sz w:val="24"/>
              </w:rPr>
              <w:t>，满足生物除磷对碳源的要求。因此在生物段中设置厌氧池，可以有效进行磷的充分释放，并在曝气段中完成磷的过量吸收，从而保证系统磷的去除率。</w:t>
            </w:r>
          </w:p>
          <w:p>
            <w:pPr>
              <w:spacing w:line="500" w:lineRule="exact"/>
              <w:ind w:firstLine="480" w:firstLineChars="200"/>
              <w:rPr>
                <w:rFonts w:ascii="宋体" w:hAnsi="宋体"/>
                <w:sz w:val="24"/>
              </w:rPr>
            </w:pPr>
            <w:r>
              <w:rPr>
                <w:rFonts w:hint="eastAsia" w:ascii="宋体" w:hAnsi="宋体" w:cs="宋体"/>
                <w:kern w:val="0"/>
                <w:sz w:val="24"/>
              </w:rPr>
              <w:t>根据以上分析，本工程污水处理厂在正常设计工况时，在采用脱氮除磷生物法作为核心工艺的基础上，需要特殊考虑在脱氮除磷时外加碳源。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综合上述，本项目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消毒”。污水处理达标后，直接排放至污水处理站南侧湫水河，最终汇入黄河，脱水后的泥饼外运至临县垃圾填埋场处置。</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污染物去除率要求</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根据污水厂原则及已确定的工程设计进、出水水质，本工程污染物处理程度见下表：</w:t>
            </w:r>
          </w:p>
          <w:p>
            <w:pPr>
              <w:spacing w:line="500" w:lineRule="exact"/>
              <w:ind w:firstLine="480" w:firstLineChars="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9</w:t>
            </w:r>
            <w:r>
              <w:rPr>
                <w:rFonts w:hint="eastAsia" w:asciiTheme="minorEastAsia" w:hAnsiTheme="minorEastAsia" w:eastAsiaTheme="minorEastAsia"/>
                <w:sz w:val="24"/>
              </w:rPr>
              <w:t xml:space="preserve">    </w:t>
            </w:r>
            <w:r>
              <w:rPr>
                <w:rFonts w:asciiTheme="minorEastAsia" w:hAnsiTheme="minorEastAsia" w:eastAsiaTheme="minorEastAsia"/>
                <w:sz w:val="24"/>
              </w:rPr>
              <w:t>污水处理程度表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95"/>
              <w:gridCol w:w="996"/>
              <w:gridCol w:w="995"/>
              <w:gridCol w:w="996"/>
              <w:gridCol w:w="99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项目</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COD</w:t>
                  </w:r>
                  <w:r>
                    <w:rPr>
                      <w:rFonts w:ascii="宋体" w:hAnsi="宋体"/>
                      <w:kern w:val="0"/>
                      <w:szCs w:val="21"/>
                    </w:rPr>
                    <w:t>cr</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BOD</w:t>
                  </w:r>
                  <w:r>
                    <w:rPr>
                      <w:rFonts w:ascii="宋体" w:hAnsi="宋体"/>
                      <w:kern w:val="0"/>
                      <w:szCs w:val="21"/>
                      <w:vertAlign w:val="subscript"/>
                    </w:rPr>
                    <w:t>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SS</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TN</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NH</w:t>
                  </w:r>
                  <w:r>
                    <w:rPr>
                      <w:rFonts w:ascii="宋体" w:hAnsi="宋体"/>
                      <w:kern w:val="0"/>
                      <w:szCs w:val="21"/>
                      <w:vertAlign w:val="subscript"/>
                    </w:rPr>
                    <w:t>3</w:t>
                  </w:r>
                  <w:r>
                    <w:rPr>
                      <w:rFonts w:ascii="宋体" w:hAnsi="宋体"/>
                      <w:kern w:val="0"/>
                      <w:position w:val="2"/>
                      <w:szCs w:val="21"/>
                    </w:rPr>
                    <w:t>-N</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进水水质</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11.11</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总处理率（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86.67</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90.00</w:t>
                  </w:r>
                </w:p>
              </w:tc>
            </w:tr>
          </w:tbl>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sz w:val="24"/>
              </w:rPr>
              <w:t>从上表可见，本工程不仅对常规的有机污染物</w:t>
            </w:r>
            <w:r>
              <w:rPr>
                <w:rFonts w:asciiTheme="minorEastAsia" w:hAnsiTheme="minorEastAsia" w:eastAsiaTheme="minorEastAsia"/>
                <w:sz w:val="24"/>
              </w:rPr>
              <w:t>CODCr、BOD</w:t>
            </w:r>
            <w:r>
              <w:rPr>
                <w:rFonts w:asciiTheme="minorEastAsia" w:hAnsiTheme="minorEastAsia" w:eastAsiaTheme="minorEastAsia"/>
                <w:sz w:val="24"/>
                <w:vertAlign w:val="subscript"/>
              </w:rPr>
              <w:t>5</w:t>
            </w:r>
            <w:r>
              <w:rPr>
                <w:rFonts w:asciiTheme="minorEastAsia" w:hAnsiTheme="minorEastAsia" w:eastAsiaTheme="minorEastAsia"/>
                <w:sz w:val="24"/>
              </w:rPr>
              <w:t>、SS</w:t>
            </w:r>
            <w:r>
              <w:rPr>
                <w:rFonts w:hint="eastAsia" w:asciiTheme="minorEastAsia" w:hAnsiTheme="minorEastAsia" w:eastAsiaTheme="minorEastAsia"/>
                <w:sz w:val="24"/>
              </w:rPr>
              <w:t>的去除要求较高，对</w:t>
            </w:r>
            <w:r>
              <w:rPr>
                <w:rFonts w:asciiTheme="minorEastAsia" w:hAnsiTheme="minorEastAsia" w:eastAsiaTheme="minorEastAsia"/>
                <w:sz w:val="24"/>
              </w:rPr>
              <w:t>TN、NH</w:t>
            </w:r>
            <w:r>
              <w:rPr>
                <w:rFonts w:asciiTheme="minorEastAsia" w:hAnsiTheme="minorEastAsia" w:eastAsiaTheme="minorEastAsia"/>
                <w:sz w:val="24"/>
                <w:vertAlign w:val="subscript"/>
              </w:rPr>
              <w:t>3</w:t>
            </w:r>
            <w:r>
              <w:rPr>
                <w:rFonts w:asciiTheme="minorEastAsia" w:hAnsiTheme="minorEastAsia" w:eastAsiaTheme="minorEastAsia"/>
                <w:sz w:val="24"/>
              </w:rPr>
              <w:t>-N、TP的去除要求也很高。</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、污水处理工艺方案</w:t>
            </w:r>
          </w:p>
          <w:p>
            <w:pPr>
              <w:spacing w:line="500" w:lineRule="exact"/>
              <w:ind w:firstLine="480" w:firstLineChars="200"/>
              <w:rPr>
                <w:rFonts w:cs="宋体" w:asciiTheme="minorEastAsia" w:hAnsiTheme="minorEastAsia" w:eastAsiaTheme="minorEastAsia"/>
                <w:kern w:val="0"/>
                <w:sz w:val="24"/>
              </w:rPr>
            </w:pPr>
            <w:r>
              <w:rPr>
                <w:rFonts w:hint="eastAsia" w:asciiTheme="minorEastAsia" w:hAnsiTheme="minorEastAsia" w:eastAsiaTheme="minorEastAsia"/>
                <w:sz w:val="24"/>
              </w:rPr>
              <w:t>经工艺比选，本次污水处理厂处理工艺选用</w:t>
            </w:r>
            <w:r>
              <w:rPr>
                <w:rFonts w:hint="eastAsia" w:cs="宋体" w:asciiTheme="minorEastAsia" w:hAnsiTheme="minorEastAsia" w:eastAsiaTheme="minorEastAsia"/>
                <w:kern w:val="0"/>
                <w:sz w:val="24"/>
              </w:rPr>
              <w:t>“进水井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p>
          <w:p>
            <w:pPr>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kern w:val="0"/>
                <w:sz w:val="24"/>
              </w:rPr>
              <w:t>依据工程分析和收集的资料进行分析，</w:t>
            </w:r>
            <w:r>
              <w:rPr>
                <w:rFonts w:hint="eastAsia" w:asciiTheme="minorEastAsia" w:hAnsiTheme="minorEastAsia" w:eastAsiaTheme="minorEastAsia"/>
                <w:sz w:val="24"/>
              </w:rPr>
              <w:t>氨氮在整个系统中的去除率为</w:t>
            </w:r>
            <w:r>
              <w:rPr>
                <w:rFonts w:asciiTheme="minorEastAsia" w:hAnsiTheme="minorEastAsia" w:eastAsiaTheme="minorEastAsia"/>
                <w:sz w:val="24"/>
              </w:rPr>
              <w:t>93.33%</w:t>
            </w:r>
            <w:r>
              <w:rPr>
                <w:rFonts w:hint="eastAsia" w:asciiTheme="minorEastAsia" w:hAnsiTheme="minorEastAsia" w:eastAsiaTheme="minorEastAsia"/>
                <w:sz w:val="24"/>
              </w:rPr>
              <w:t>。一方面：冬季随着气温降低水温随之有一定降低，使得时代时间较长的硝化菌的生长速度和活性相对较低，此时，通过延长水力停留时间、延长曝气时间、适当提高污泥浓度、增加污泥龄等工艺运行方式，来保障出水氨氮指标的运行稳定；另一方面：临县污水收集采用地埋式管道进行收集，所以在冬季气温变化的情况下水温变化影响较小；第三：现状新民污水厂和三交镇污水厂污水收集管道部分为暗渠，冬季水温降低幅度较大（污水收集点末端水温</w:t>
            </w:r>
            <w:r>
              <w:rPr>
                <w:rFonts w:asciiTheme="minorEastAsia" w:hAnsiTheme="minorEastAsia" w:eastAsiaTheme="minorEastAsia"/>
                <w:sz w:val="24"/>
              </w:rPr>
              <w:t>11</w:t>
            </w:r>
            <w:r>
              <w:rPr>
                <w:rFonts w:hint="eastAsia" w:asciiTheme="minorEastAsia" w:hAnsiTheme="minorEastAsia" w:eastAsiaTheme="minorEastAsia"/>
                <w:sz w:val="24"/>
              </w:rPr>
              <w:t>℃，经</w:t>
            </w:r>
            <w:r>
              <w:rPr>
                <w:rFonts w:asciiTheme="minorEastAsia" w:hAnsiTheme="minorEastAsia" w:eastAsiaTheme="minorEastAsia"/>
                <w:sz w:val="24"/>
              </w:rPr>
              <w:t>4</w:t>
            </w:r>
            <w:r>
              <w:rPr>
                <w:rFonts w:hint="eastAsia" w:asciiTheme="minorEastAsia" w:hAnsiTheme="minorEastAsia" w:eastAsiaTheme="minorEastAsia"/>
                <w:sz w:val="24"/>
              </w:rPr>
              <w:t>公里管网输送至污水厂水温降低至</w:t>
            </w:r>
            <w:r>
              <w:rPr>
                <w:rFonts w:asciiTheme="minorEastAsia" w:hAnsiTheme="minorEastAsia" w:eastAsiaTheme="minorEastAsia"/>
                <w:sz w:val="24"/>
              </w:rPr>
              <w:t>4</w:t>
            </w:r>
            <w:r>
              <w:rPr>
                <w:rFonts w:hint="eastAsia" w:asciiTheme="minorEastAsia" w:hAnsiTheme="minorEastAsia" w:eastAsiaTheme="minorEastAsia"/>
                <w:sz w:val="24"/>
              </w:rPr>
              <w:t>℃），经厂区内水源热泵对出水换热后将生化池水温提升至</w:t>
            </w:r>
            <w:r>
              <w:rPr>
                <w:rFonts w:asciiTheme="minorEastAsia" w:hAnsiTheme="minorEastAsia" w:eastAsiaTheme="minorEastAsia"/>
                <w:sz w:val="24"/>
              </w:rPr>
              <w:t>12</w:t>
            </w:r>
            <w:r>
              <w:rPr>
                <w:rFonts w:hint="eastAsia" w:asciiTheme="minorEastAsia" w:hAnsiTheme="minorEastAsia" w:eastAsiaTheme="minorEastAsia"/>
                <w:sz w:val="24"/>
              </w:rPr>
              <w:t>℃，目前实际出水氨氮指标满足出水要求。综上，本项目采用巴顿甫五段生化法能够确保冬季氨氮指标。</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预处理工艺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预处理主要目的是去除水中较大的漂浮物、砂粒及其它无机物，以避免损害后序机械设备，确保二级生化处理安全稳定运行。预处理主要包括粗格栅、细格栅、调节池等。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①粗格栅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粗格栅用于拦截污水处理厂进水中含有的较大杂质及悬浮固体，以保证水泵提升系统正常运行。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②细格栅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细格栅主要是拦截较小杂物和污水中的分散性悬浮固体，以减少后续处理构筑物的运行负荷。</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设计预处理细格栅采用微滤机，微滤机为全地上设备，具有人员操作方便，清渣方便，设备检修方便，对运行人员操作能力要求低，节能降耗同时具有精度高等优点，回转式细格栅需要增加格栅渠，增加投资，运行人员检修不方便、不安全，维修更换困难，故本项目设计采用微滤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③调节池</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）提高有机负荷缓冲能力，防止系统负荷急剧变化；</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）减少污水流量波动，稳定污水处理中使用的化学进料速率，适用于进料设备的能力，同时减少水泵的频繁启动；</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）不同污水本身的中和能力可用于控制污水</w:t>
            </w:r>
            <w:r>
              <w:rPr>
                <w:rFonts w:asciiTheme="minorEastAsia" w:hAnsiTheme="minorEastAsia" w:eastAsiaTheme="minorEastAsia"/>
                <w:sz w:val="24"/>
              </w:rPr>
              <w:t>pH</w:t>
            </w:r>
            <w:r>
              <w:rPr>
                <w:rFonts w:hint="eastAsia" w:asciiTheme="minorEastAsia" w:hAnsiTheme="minorEastAsia" w:eastAsiaTheme="minorEastAsia"/>
                <w:sz w:val="24"/>
              </w:rPr>
              <w:t>值，稳定水质，减少中和化学品的消耗；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）防止高浓度有毒物质直接进入生化处理系统；</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）当夜间污水量急剧减少时，处理系统可以继续输入污水，以确保系统的正常运行。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④预处理方案的确定</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根据上述内容分析，本工程预处理部分工艺确定为：粗格栅、一级提升泵、微滤机和调节池。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szCs w:val="20"/>
              </w:rPr>
              <w:t>(</w:t>
            </w:r>
            <w:r>
              <w:rPr>
                <w:rFonts w:asciiTheme="minorEastAsia" w:hAnsiTheme="minorEastAsia" w:eastAsiaTheme="minorEastAsia"/>
                <w:sz w:val="24"/>
                <w:szCs w:val="20"/>
              </w:rPr>
              <w:t>2)生化处理工艺方案</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一般小型乡镇污水处理均采用生化处理，生化处理常用的技术</w:t>
            </w:r>
            <w:r>
              <w:rPr>
                <w:rFonts w:hint="eastAsia" w:asciiTheme="minorEastAsia" w:hAnsiTheme="minorEastAsia" w:eastAsiaTheme="minorEastAsia"/>
                <w:bCs/>
                <w:kern w:val="0"/>
                <w:sz w:val="24"/>
              </w:rPr>
              <w:t>如下：</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asciiTheme="minorEastAsia" w:hAnsiTheme="minorEastAsia" w:eastAsiaTheme="minorEastAsia"/>
                <w:kern w:val="0"/>
                <w:sz w:val="24"/>
              </w:rPr>
              <w:t>1</w:t>
            </w:r>
            <w:r>
              <w:rPr>
                <w:rFonts w:asciiTheme="minorEastAsia" w:hAnsiTheme="minorEastAsia" w:eastAsiaTheme="minorEastAsia"/>
                <w:sz w:val="24"/>
                <w:szCs w:val="20"/>
              </w:rPr>
              <w:t>)</w:t>
            </w:r>
            <w:r>
              <w:rPr>
                <w:rFonts w:asciiTheme="minorEastAsia" w:hAnsiTheme="minorEastAsia" w:eastAsiaTheme="minorEastAsia"/>
                <w:kern w:val="0"/>
                <w:sz w:val="24"/>
              </w:rPr>
              <w:t xml:space="preserve"> A</w:t>
            </w:r>
            <w:r>
              <w:rPr>
                <w:rFonts w:asciiTheme="minorEastAsia" w:hAnsiTheme="minorEastAsia" w:eastAsiaTheme="minorEastAsia"/>
                <w:kern w:val="0"/>
                <w:sz w:val="24"/>
                <w:vertAlign w:val="superscript"/>
              </w:rPr>
              <w:t>2</w:t>
            </w:r>
            <w:r>
              <w:rPr>
                <w:rFonts w:asciiTheme="minorEastAsia" w:hAnsiTheme="minorEastAsia" w:eastAsiaTheme="minorEastAsia"/>
                <w:kern w:val="0"/>
                <w:sz w:val="24"/>
              </w:rPr>
              <w:t>/O工艺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0"/>
              </w:rPr>
            </w:pPr>
            <w:r>
              <w:rPr>
                <w:rFonts w:asciiTheme="minorEastAsia" w:hAnsiTheme="minorEastAsia" w:eastAsiaTheme="minorEastAsia"/>
                <w:sz w:val="24"/>
                <w:szCs w:val="20"/>
              </w:rPr>
              <w:t>A</w:t>
            </w:r>
            <w:r>
              <w:rPr>
                <w:rFonts w:asciiTheme="minorEastAsia" w:hAnsiTheme="minorEastAsia" w:eastAsiaTheme="minorEastAsia"/>
                <w:sz w:val="24"/>
                <w:szCs w:val="20"/>
                <w:vertAlign w:val="superscript"/>
              </w:rPr>
              <w:t>2</w:t>
            </w:r>
            <w:r>
              <w:rPr>
                <w:rFonts w:asciiTheme="minorEastAsia" w:hAnsiTheme="minorEastAsia" w:eastAsiaTheme="minorEastAsia"/>
                <w:sz w:val="24"/>
                <w:szCs w:val="20"/>
              </w:rPr>
              <w:t>/O</w:t>
            </w:r>
            <w:r>
              <w:rPr>
                <w:rFonts w:hint="eastAsia" w:asciiTheme="minorEastAsia" w:hAnsiTheme="minorEastAsia" w:eastAsiaTheme="minorEastAsia"/>
                <w:sz w:val="24"/>
                <w:szCs w:val="20"/>
              </w:rPr>
              <w:t>工艺是</w:t>
            </w:r>
            <w:r>
              <w:rPr>
                <w:rFonts w:asciiTheme="minorEastAsia" w:hAnsiTheme="minorEastAsia" w:eastAsiaTheme="minorEastAsia"/>
                <w:sz w:val="24"/>
                <w:szCs w:val="20"/>
              </w:rPr>
              <w:t>Anaerobic-Anoxic-Oxic</w:t>
            </w:r>
            <w:r>
              <w:rPr>
                <w:rFonts w:hint="eastAsia" w:asciiTheme="minorEastAsia" w:hAnsiTheme="minorEastAsia" w:eastAsiaTheme="minorEastAsia"/>
                <w:sz w:val="24"/>
                <w:szCs w:val="20"/>
              </w:rPr>
              <w:t>的英文缩写，也是厌氧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缺氧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好氧生物脱氮除磷工艺的简称，是在厌氧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好氧除磷工艺（</w:t>
            </w:r>
            <w:r>
              <w:rPr>
                <w:rFonts w:asciiTheme="minorEastAsia" w:hAnsiTheme="minorEastAsia" w:eastAsiaTheme="minorEastAsia"/>
                <w:sz w:val="24"/>
                <w:szCs w:val="20"/>
              </w:rPr>
              <w:t>A/O</w:t>
            </w:r>
            <w:r>
              <w:rPr>
                <w:rFonts w:hint="eastAsia" w:asciiTheme="minorEastAsia" w:hAnsiTheme="minorEastAsia" w:eastAsiaTheme="minorEastAsia"/>
                <w:sz w:val="24"/>
                <w:szCs w:val="20"/>
              </w:rPr>
              <w:t>）的基础上开发出来的工艺，具有脱氮除磷的功能。</w:t>
            </w:r>
          </w:p>
          <w:p>
            <w:pPr>
              <w:autoSpaceDE w:val="0"/>
              <w:autoSpaceDN w:val="0"/>
              <w:adjustRightInd w:val="0"/>
              <w:spacing w:line="500" w:lineRule="exact"/>
              <w:ind w:firstLine="480" w:firstLineChars="200"/>
              <w:jc w:val="left"/>
              <w:rPr>
                <w:rFonts w:ascii="宋体" w:cs="宋体"/>
                <w:kern w:val="0"/>
                <w:sz w:val="24"/>
              </w:rPr>
            </w:pPr>
            <w:r>
              <w:rPr>
                <w:rFonts w:hint="eastAsia" w:ascii="宋体" w:cs="宋体"/>
                <w:kern w:val="0"/>
                <w:sz w:val="24"/>
              </w:rPr>
              <w:t>该工艺在厌氧</w:t>
            </w:r>
            <w:r>
              <w:rPr>
                <w:rFonts w:ascii="TimesNewRomanPSMT" w:eastAsia="TimesNewRomanPSMT" w:cs="TimesNewRomanPSMT"/>
                <w:kern w:val="0"/>
                <w:sz w:val="24"/>
              </w:rPr>
              <w:t>-</w:t>
            </w:r>
            <w:r>
              <w:rPr>
                <w:rFonts w:hint="eastAsia" w:ascii="宋体" w:cs="宋体"/>
                <w:kern w:val="0"/>
                <w:sz w:val="24"/>
              </w:rPr>
              <w:t>好氧除磷工艺（</w:t>
            </w:r>
            <w:r>
              <w:rPr>
                <w:rFonts w:ascii="TimesNewRomanPSMT" w:eastAsia="TimesNewRomanPSMT" w:cs="TimesNewRomanPSMT"/>
                <w:kern w:val="0"/>
                <w:sz w:val="24"/>
              </w:rPr>
              <w:t>A/O</w:t>
            </w:r>
            <w:r>
              <w:rPr>
                <w:rFonts w:hint="eastAsia" w:ascii="宋体" w:cs="宋体"/>
                <w:kern w:val="0"/>
                <w:sz w:val="24"/>
              </w:rPr>
              <w:t>）中加一缺氧池，将好氧池流出的一部分混合液回流至缺氧池前端，以达到反硝化脱氮的目的。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p>
          <w:p>
            <w:pPr>
              <w:tabs>
                <w:tab w:val="center" w:pos="4153"/>
                <w:tab w:val="right" w:pos="8306"/>
              </w:tabs>
              <w:autoSpaceDE w:val="0"/>
              <w:autoSpaceDN w:val="0"/>
              <w:adjustRightInd w:val="0"/>
              <w:snapToGrid w:val="0"/>
              <w:spacing w:line="360" w:lineRule="auto"/>
              <w:jc w:val="left"/>
              <w:rPr>
                <w:rFonts w:asciiTheme="minorEastAsia" w:hAnsiTheme="minorEastAsia" w:eastAsiaTheme="minorEastAsia"/>
                <w:bCs/>
                <w:kern w:val="0"/>
                <w:sz w:val="24"/>
              </w:rPr>
            </w:pPr>
            <w:r>
              <w:rPr>
                <w:rFonts w:asciiTheme="minorEastAsia" w:hAnsiTheme="minorEastAsia" w:eastAsiaTheme="minorEastAsia"/>
                <w:sz w:val="24"/>
                <w:szCs w:val="20"/>
              </w:rPr>
              <w:object>
                <v:shape id="_x0000_i1026" o:spt="75" type="#_x0000_t75" style="height:131.6pt;width:397.25pt;" o:ole="t" filled="f" o:preferrelative="t" stroked="f" coordsize="21600,21600">
                  <v:path/>
                  <v:fill on="f" focussize="0,0"/>
                  <v:stroke on="f" joinstyle="miter"/>
                  <v:imagedata r:id="rId18" o:title=""/>
                  <o:lock v:ext="edit" aspectratio="t"/>
                  <w10:wrap type="none"/>
                  <w10:anchorlock/>
                </v:shape>
                <o:OLEObject Type="Embed" ProgID="AutoCAD.Drawing.14" ShapeID="_x0000_i1026" DrawAspect="Content" ObjectID="_1468075725" r:id="rId17">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图2-1   传统</w:t>
            </w:r>
            <w:r>
              <w:rPr>
                <w:rFonts w:asciiTheme="minorEastAsia" w:hAnsiTheme="minorEastAsia" w:eastAsiaTheme="minorEastAsia"/>
                <w:kern w:val="0"/>
                <w:sz w:val="24"/>
                <w:szCs w:val="21"/>
              </w:rPr>
              <w:t>A</w:t>
            </w:r>
            <w:r>
              <w:rPr>
                <w:rFonts w:asciiTheme="minorEastAsia" w:hAnsiTheme="minorEastAsia" w:eastAsiaTheme="minorEastAsia"/>
                <w:kern w:val="0"/>
                <w:sz w:val="24"/>
                <w:szCs w:val="21"/>
                <w:vertAlign w:val="superscript"/>
              </w:rPr>
              <w:t>2</w:t>
            </w:r>
            <w:r>
              <w:rPr>
                <w:rFonts w:asciiTheme="minorEastAsia" w:hAnsiTheme="minorEastAsia" w:eastAsiaTheme="minorEastAsia"/>
                <w:kern w:val="0"/>
                <w:sz w:val="24"/>
                <w:szCs w:val="21"/>
              </w:rPr>
              <w:t>/O工艺流程图</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工艺原理：</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首段厌氧池，原污水及回流污泥同时进入本段，其主要功能是聚磷菌进行磷的释放，为在好氧段进行磷的超量吸收实现生物除磷创造条件。在缺氧池中，反硝化菌利用污水中的有机物做碳源，将回流混合液中带入的大量</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还原为</w:t>
            </w:r>
            <w:r>
              <w:rPr>
                <w:rFonts w:ascii="宋体" w:hAnsi="宋体" w:cs="TimesNewRomanPSMT"/>
                <w:kern w:val="0"/>
                <w:sz w:val="24"/>
              </w:rPr>
              <w:t>N</w:t>
            </w:r>
            <w:r>
              <w:rPr>
                <w:rFonts w:ascii="宋体" w:hAnsi="宋体" w:cs="TimesNewRomanPSMT"/>
                <w:kern w:val="0"/>
                <w:sz w:val="24"/>
                <w:vertAlign w:val="subscript"/>
              </w:rPr>
              <w:t>2</w:t>
            </w:r>
            <w:r>
              <w:rPr>
                <w:rFonts w:hint="eastAsia" w:ascii="宋体" w:hAnsi="宋体" w:cs="宋体"/>
                <w:kern w:val="0"/>
                <w:sz w:val="24"/>
              </w:rPr>
              <w:t>释放至空气，达到脱氮的目的并使</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浓度有所下降。</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在好氧池中，有机物被微生物生化降解，氨氮被氧化成</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。同时聚磷菌进行磷的超量吸收，在排除剩余污泥的过程中被除去，完成生物除磷。所以，</w:t>
            </w:r>
            <w:r>
              <w:rPr>
                <w:rFonts w:ascii="宋体" w:hAnsi="宋体" w:cs="TimesNewRomanPSMT"/>
                <w:kern w:val="0"/>
                <w:sz w:val="24"/>
              </w:rPr>
              <w:t>A</w:t>
            </w:r>
            <w:r>
              <w:rPr>
                <w:rFonts w:ascii="宋体" w:hAnsi="宋体" w:cs="TimesNewRomanPSMT"/>
                <w:kern w:val="0"/>
                <w:sz w:val="24"/>
                <w:vertAlign w:val="subscript"/>
              </w:rPr>
              <w:t>2</w:t>
            </w:r>
            <w:r>
              <w:rPr>
                <w:rFonts w:ascii="宋体" w:hAnsi="宋体" w:cs="TimesNewRomanPSMT"/>
                <w:kern w:val="0"/>
                <w:sz w:val="24"/>
              </w:rPr>
              <w:t>/O</w:t>
            </w:r>
            <w:r>
              <w:rPr>
                <w:rFonts w:hint="eastAsia" w:ascii="宋体" w:hAnsi="宋体" w:cs="宋体"/>
                <w:kern w:val="0"/>
                <w:sz w:val="24"/>
              </w:rPr>
              <w:t>工艺可以同时完成去除有机物、除磷和脱氮等功能。好氧池进行有机物的氧化和氨氮的硝化，缺氧池则完成脱氮功能，厌氧池和好氧池联合完成除磷功能。</w:t>
            </w:r>
          </w:p>
          <w:p>
            <w:pPr>
              <w:autoSpaceDE w:val="0"/>
              <w:autoSpaceDN w:val="0"/>
              <w:adjustRightInd w:val="0"/>
              <w:spacing w:line="500" w:lineRule="exact"/>
              <w:ind w:firstLine="480" w:firstLineChars="200"/>
              <w:rPr>
                <w:rFonts w:ascii="宋体" w:hAnsi="宋体"/>
                <w:bCs/>
                <w:kern w:val="0"/>
                <w:sz w:val="24"/>
              </w:rPr>
            </w:pPr>
            <w:r>
              <w:rPr>
                <w:rFonts w:ascii="宋体" w:hAnsi="宋体" w:cs="TimesNewRomanPSMT"/>
                <w:kern w:val="0"/>
                <w:sz w:val="24"/>
              </w:rPr>
              <w:t>A</w:t>
            </w:r>
            <w:r>
              <w:rPr>
                <w:rFonts w:ascii="宋体" w:hAnsi="宋体" w:cs="TimesNewRomanPSMT"/>
                <w:kern w:val="0"/>
                <w:sz w:val="24"/>
                <w:vertAlign w:val="subscript"/>
              </w:rPr>
              <w:t>2</w:t>
            </w:r>
            <w:r>
              <w:rPr>
                <w:rFonts w:ascii="宋体" w:hAnsi="宋体" w:cs="TimesNewRomanPSMT"/>
                <w:kern w:val="0"/>
                <w:sz w:val="24"/>
              </w:rPr>
              <w:t>O</w:t>
            </w:r>
            <w:r>
              <w:rPr>
                <w:rFonts w:hint="eastAsia" w:ascii="宋体" w:hAnsi="宋体" w:cs="宋体"/>
                <w:kern w:val="0"/>
                <w:sz w:val="24"/>
              </w:rPr>
              <w:t>工艺是一种典型的除磷脱氮工艺，其特点是厌氧、缺氧和好氧三段功能明确，界线分明，可根据进水条件和出水要求，人为地创造和控制三段的时空比例和运转条件，比较便于生产操作。</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2</w:t>
            </w:r>
            <w:r>
              <w:rPr>
                <w:rFonts w:asciiTheme="minorEastAsia" w:hAnsiTheme="minorEastAsia" w:eastAsiaTheme="minorEastAsia"/>
                <w:sz w:val="24"/>
                <w:szCs w:val="20"/>
              </w:rPr>
              <w:t xml:space="preserve">) </w:t>
            </w:r>
            <w:r>
              <w:rPr>
                <w:rFonts w:asciiTheme="minorEastAsia" w:hAnsiTheme="minorEastAsia" w:eastAsiaTheme="minorEastAsia"/>
                <w:b/>
                <w:kern w:val="0"/>
                <w:sz w:val="24"/>
              </w:rPr>
              <w:t>改良A</w:t>
            </w:r>
            <w:r>
              <w:rPr>
                <w:rFonts w:asciiTheme="minorEastAsia" w:hAnsiTheme="minorEastAsia" w:eastAsiaTheme="minorEastAsia"/>
                <w:b/>
                <w:kern w:val="0"/>
                <w:sz w:val="24"/>
                <w:vertAlign w:val="superscript"/>
              </w:rPr>
              <w:t>2</w:t>
            </w:r>
            <w:r>
              <w:rPr>
                <w:rFonts w:asciiTheme="minorEastAsia" w:hAnsiTheme="minorEastAsia" w:eastAsiaTheme="minorEastAsia"/>
                <w:b/>
                <w:kern w:val="0"/>
                <w:sz w:val="24"/>
              </w:rPr>
              <w:t>/O工艺</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为了解决A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/O工艺的第一个缺点，即由于厌氧区居前，回流污泥中的硝酸盐对厌氧区产生不利影响，改良A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/O工艺在厌氧池之前增设缺氧调节池，改良A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/O工艺工艺流程如下图所示。</w:t>
            </w:r>
          </w:p>
          <w:p>
            <w:pPr>
              <w:tabs>
                <w:tab w:val="center" w:pos="4153"/>
                <w:tab w:val="right" w:pos="8306"/>
              </w:tabs>
              <w:autoSpaceDE w:val="0"/>
              <w:autoSpaceDN w:val="0"/>
              <w:adjustRightInd w:val="0"/>
              <w:snapToGrid w:val="0"/>
              <w:jc w:val="left"/>
              <w:rPr>
                <w:rFonts w:asciiTheme="minorEastAsia" w:hAnsiTheme="minorEastAsia" w:eastAsiaTheme="minorEastAsia"/>
                <w:bCs/>
                <w:kern w:val="0"/>
                <w:sz w:val="24"/>
              </w:rPr>
            </w:pPr>
            <w:r>
              <w:rPr>
                <w:rFonts w:asciiTheme="minorEastAsia" w:hAnsiTheme="minorEastAsia" w:eastAsiaTheme="minorEastAsia"/>
                <w:sz w:val="24"/>
                <w:szCs w:val="20"/>
              </w:rPr>
              <w:object>
                <v:shape id="_x0000_i1027" o:spt="75" type="#_x0000_t75" style="height:136.55pt;width:399.7pt;" o:ole="t" filled="f" o:preferrelative="t" stroked="f" coordsize="21600,21600">
                  <v:path/>
                  <v:fill on="f" focussize="0,0"/>
                  <v:stroke on="f" joinstyle="miter"/>
                  <v:imagedata r:id="rId20" o:title=""/>
                  <o:lock v:ext="edit" aspectratio="t"/>
                  <w10:wrap type="none"/>
                  <w10:anchorlock/>
                </v:shape>
                <o:OLEObject Type="Embed" ProgID="AutoCAD.Drawing.14" ShapeID="_x0000_i1027" DrawAspect="Content" ObjectID="_1468075726" r:id="rId19">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kern w:val="0"/>
                <w:sz w:val="24"/>
              </w:rPr>
            </w:pPr>
            <w:r>
              <w:rPr>
                <w:rFonts w:hint="eastAsia" w:asciiTheme="minorEastAsia" w:hAnsiTheme="minorEastAsia" w:eastAsiaTheme="minorEastAsia"/>
                <w:kern w:val="0"/>
                <w:sz w:val="24"/>
              </w:rPr>
              <w:t>图2-</w:t>
            </w:r>
            <w:r>
              <w:rPr>
                <w:rFonts w:asciiTheme="minorEastAsia" w:hAnsiTheme="minorEastAsia" w:eastAsiaTheme="minorEastAsia"/>
                <w:kern w:val="0"/>
                <w:sz w:val="24"/>
              </w:rPr>
              <w:t>2</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改良A</w:t>
            </w:r>
            <w:r>
              <w:rPr>
                <w:rFonts w:asciiTheme="minorEastAsia" w:hAnsiTheme="minorEastAsia" w:eastAsiaTheme="minorEastAsia"/>
                <w:kern w:val="0"/>
                <w:sz w:val="24"/>
                <w:vertAlign w:val="superscript"/>
              </w:rPr>
              <w:t>2</w:t>
            </w:r>
            <w:r>
              <w:rPr>
                <w:rFonts w:asciiTheme="minorEastAsia" w:hAnsiTheme="minorEastAsia" w:eastAsiaTheme="minorEastAsia"/>
                <w:kern w:val="0"/>
                <w:sz w:val="24"/>
              </w:rPr>
              <w:t>/O工艺流程图</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来自二沉池的回流污泥和10%左右的进水进入调节池，停留时间为20～30min，微生物利用约10%进水中有机物去除回流硝态氮，消除硝态氮对厌氧池的不利影响，从而保证厌氧池的稳定性，保证除磷效果。</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该工艺简便易行，在厌氧池中分出一格作回流污泥反硝化池即可。</w:t>
            </w:r>
          </w:p>
          <w:p>
            <w:pPr>
              <w:autoSpaceDE w:val="0"/>
              <w:autoSpaceDN w:val="0"/>
              <w:adjustRightInd w:val="0"/>
              <w:spacing w:line="500" w:lineRule="exact"/>
              <w:ind w:firstLine="480" w:firstLineChars="200"/>
              <w:jc w:val="left"/>
              <w:rPr>
                <w:rFonts w:ascii="宋体" w:hAnsi="宋体" w:cs="宋体"/>
                <w:kern w:val="0"/>
                <w:sz w:val="24"/>
              </w:rPr>
            </w:pPr>
            <w:r>
              <w:rPr>
                <w:rFonts w:ascii="宋体" w:hAnsi="宋体"/>
                <w:kern w:val="0"/>
                <w:sz w:val="24"/>
              </w:rPr>
              <w:t>3）</w:t>
            </w:r>
            <w:r>
              <w:rPr>
                <w:rFonts w:hint="eastAsia" w:ascii="宋体" w:hAnsi="宋体" w:cs="宋体"/>
                <w:kern w:val="0"/>
                <w:sz w:val="24"/>
              </w:rPr>
              <w:t>巴顿甫五段生化工艺</w:t>
            </w:r>
          </w:p>
          <w:p>
            <w:pPr>
              <w:autoSpaceDE w:val="0"/>
              <w:autoSpaceDN w:val="0"/>
              <w:adjustRightInd w:val="0"/>
              <w:spacing w:line="500" w:lineRule="exact"/>
              <w:ind w:firstLine="480" w:firstLineChars="200"/>
              <w:rPr>
                <w:rFonts w:ascii="宋体" w:hAnsi="宋体"/>
                <w:b/>
                <w:kern w:val="0"/>
                <w:sz w:val="24"/>
              </w:rPr>
            </w:pPr>
            <w:r>
              <w:rPr>
                <w:rFonts w:hint="eastAsia" w:ascii="宋体" w:hAnsi="宋体" w:cs="宋体"/>
                <w:kern w:val="0"/>
                <w:sz w:val="24"/>
              </w:rPr>
              <w:t>为了克服</w:t>
            </w:r>
            <w:r>
              <w:rPr>
                <w:rFonts w:ascii="宋体" w:hAnsi="宋体" w:cs="TimesNewRomanPSMT"/>
                <w:kern w:val="0"/>
                <w:sz w:val="24"/>
              </w:rPr>
              <w:t>A/O</w:t>
            </w:r>
            <w:r>
              <w:rPr>
                <w:rFonts w:hint="eastAsia" w:ascii="宋体" w:hAnsi="宋体" w:cs="宋体"/>
                <w:kern w:val="0"/>
                <w:sz w:val="24"/>
              </w:rPr>
              <w:t>工艺不完全脱氮的不足，</w:t>
            </w:r>
            <w:r>
              <w:rPr>
                <w:rFonts w:ascii="宋体" w:hAnsi="宋体" w:cs="TimesNewRomanPSMT"/>
                <w:kern w:val="0"/>
                <w:sz w:val="24"/>
              </w:rPr>
              <w:t>1973</w:t>
            </w:r>
            <w:r>
              <w:rPr>
                <w:rFonts w:hint="eastAsia" w:ascii="宋体" w:hAnsi="宋体" w:cs="宋体"/>
                <w:kern w:val="0"/>
                <w:sz w:val="24"/>
              </w:rPr>
              <w:t>年</w:t>
            </w:r>
            <w:r>
              <w:rPr>
                <w:rFonts w:ascii="宋体" w:hAnsi="宋体" w:cs="TimesNewRomanPSMT"/>
                <w:kern w:val="0"/>
                <w:sz w:val="24"/>
              </w:rPr>
              <w:t>Barnard</w:t>
            </w:r>
            <w:r>
              <w:rPr>
                <w:rFonts w:hint="eastAsia" w:ascii="宋体" w:hAnsi="宋体" w:cs="宋体"/>
                <w:kern w:val="0"/>
                <w:sz w:val="24"/>
              </w:rPr>
              <w:t>提出把此工艺与</w:t>
            </w:r>
            <w:r>
              <w:rPr>
                <w:rFonts w:ascii="宋体" w:hAnsi="宋体" w:cs="TimesNewRomanPSMT"/>
                <w:kern w:val="0"/>
                <w:sz w:val="24"/>
              </w:rPr>
              <w:t>Wuhrmann</w:t>
            </w:r>
            <w:r>
              <w:rPr>
                <w:rFonts w:hint="eastAsia" w:ascii="宋体" w:hAnsi="宋体" w:cs="宋体"/>
                <w:kern w:val="0"/>
                <w:sz w:val="24"/>
              </w:rPr>
              <w:t>工艺联合，并称之为</w:t>
            </w:r>
            <w:r>
              <w:rPr>
                <w:rFonts w:ascii="宋体" w:hAnsi="宋体" w:cs="TimesNewRomanPSMT"/>
                <w:kern w:val="0"/>
                <w:sz w:val="24"/>
              </w:rPr>
              <w:t>Bardenpho</w:t>
            </w:r>
            <w:r>
              <w:rPr>
                <w:rFonts w:hint="eastAsia" w:ascii="宋体" w:hAnsi="宋体" w:cs="宋体"/>
                <w:kern w:val="0"/>
                <w:sz w:val="24"/>
              </w:rPr>
              <w:t>工艺。</w:t>
            </w:r>
            <w:r>
              <w:rPr>
                <w:rFonts w:ascii="宋体" w:hAnsi="宋体" w:cs="TimesNewRomanPSMT"/>
                <w:kern w:val="0"/>
                <w:sz w:val="24"/>
              </w:rPr>
              <w:t>1976</w:t>
            </w:r>
            <w:r>
              <w:rPr>
                <w:rFonts w:hint="eastAsia" w:ascii="宋体" w:hAnsi="宋体" w:cs="宋体"/>
                <w:kern w:val="0"/>
                <w:sz w:val="24"/>
              </w:rPr>
              <w:t>年，</w:t>
            </w:r>
            <w:r>
              <w:rPr>
                <w:rFonts w:ascii="宋体" w:hAnsi="宋体" w:cs="TimesNewRomanPSMT"/>
                <w:kern w:val="0"/>
                <w:sz w:val="24"/>
              </w:rPr>
              <w:t>Barnard</w:t>
            </w:r>
            <w:r>
              <w:rPr>
                <w:rFonts w:hint="eastAsia" w:ascii="宋体" w:hAnsi="宋体" w:cs="宋体"/>
                <w:kern w:val="0"/>
                <w:sz w:val="24"/>
              </w:rPr>
              <w:t>通过对</w:t>
            </w:r>
            <w:r>
              <w:rPr>
                <w:rFonts w:ascii="宋体" w:hAnsi="宋体" w:cs="TimesNewRomanPSMT"/>
                <w:kern w:val="0"/>
                <w:sz w:val="24"/>
              </w:rPr>
              <w:t>Bardenpho</w:t>
            </w:r>
            <w:r>
              <w:rPr>
                <w:rFonts w:hint="eastAsia" w:ascii="宋体" w:hAnsi="宋体" w:cs="宋体"/>
                <w:kern w:val="0"/>
                <w:sz w:val="24"/>
              </w:rPr>
              <w:t>工艺进行中试研究后提出：在</w:t>
            </w:r>
            <w:r>
              <w:rPr>
                <w:rFonts w:ascii="宋体" w:hAnsi="宋体" w:cs="TimesNewRomanPSMT"/>
                <w:kern w:val="0"/>
                <w:sz w:val="24"/>
              </w:rPr>
              <w:t>Bardenpho</w:t>
            </w:r>
            <w:r>
              <w:rPr>
                <w:rFonts w:hint="eastAsia" w:ascii="宋体" w:hAnsi="宋体" w:cs="宋体"/>
                <w:kern w:val="0"/>
                <w:sz w:val="24"/>
              </w:rPr>
              <w:t>工艺的初级缺氧反应器前加一厌氧反应器就能有效除磷。该工艺在南非称</w:t>
            </w:r>
            <w:r>
              <w:rPr>
                <w:rFonts w:ascii="宋体" w:hAnsi="宋体" w:cs="TimesNewRomanPSMT"/>
                <w:kern w:val="0"/>
                <w:sz w:val="24"/>
              </w:rPr>
              <w:t>5</w:t>
            </w:r>
            <w:r>
              <w:rPr>
                <w:rFonts w:hint="eastAsia" w:ascii="宋体" w:hAnsi="宋体" w:cs="宋体"/>
                <w:kern w:val="0"/>
                <w:sz w:val="24"/>
              </w:rPr>
              <w:t>阶段</w:t>
            </w:r>
            <w:r>
              <w:rPr>
                <w:rFonts w:ascii="宋体" w:hAnsi="宋体" w:cs="TimesNewRomanPSMT"/>
                <w:kern w:val="0"/>
                <w:sz w:val="24"/>
              </w:rPr>
              <w:t>Phoredox</w:t>
            </w:r>
            <w:r>
              <w:rPr>
                <w:rFonts w:hint="eastAsia" w:ascii="宋体" w:hAnsi="宋体" w:cs="宋体"/>
                <w:kern w:val="0"/>
                <w:sz w:val="24"/>
              </w:rPr>
              <w:t>工艺，或简称</w:t>
            </w:r>
            <w:r>
              <w:rPr>
                <w:rFonts w:ascii="宋体" w:hAnsi="宋体" w:cs="TimesNewRomanPSMT"/>
                <w:kern w:val="0"/>
                <w:sz w:val="24"/>
              </w:rPr>
              <w:t>Phoredox</w:t>
            </w:r>
            <w:r>
              <w:rPr>
                <w:rFonts w:hint="eastAsia" w:ascii="宋体" w:hAnsi="宋体" w:cs="宋体"/>
                <w:kern w:val="0"/>
                <w:sz w:val="24"/>
              </w:rPr>
              <w:t>工艺，在美国称之为改良型</w:t>
            </w:r>
            <w:r>
              <w:rPr>
                <w:rFonts w:ascii="宋体" w:hAnsi="宋体" w:cs="TimesNewRomanPSMT"/>
                <w:kern w:val="0"/>
                <w:sz w:val="24"/>
              </w:rPr>
              <w:t>Bardenpho</w:t>
            </w:r>
            <w:r>
              <w:rPr>
                <w:rFonts w:hint="eastAsia" w:ascii="宋体" w:hAnsi="宋体" w:cs="宋体"/>
                <w:kern w:val="0"/>
                <w:sz w:val="24"/>
              </w:rPr>
              <w:t>工艺。</w:t>
            </w:r>
          </w:p>
          <w:p>
            <w:pPr>
              <w:tabs>
                <w:tab w:val="center" w:pos="4153"/>
                <w:tab w:val="right" w:pos="8306"/>
              </w:tabs>
              <w:autoSpaceDE w:val="0"/>
              <w:autoSpaceDN w:val="0"/>
              <w:adjustRightInd w:val="0"/>
              <w:snapToGrid w:val="0"/>
              <w:jc w:val="left"/>
              <w:rPr>
                <w:rFonts w:asciiTheme="minorEastAsia" w:hAnsiTheme="minorEastAsia" w:eastAsiaTheme="minorEastAsia"/>
                <w:b/>
                <w:kern w:val="0"/>
                <w:sz w:val="24"/>
              </w:rPr>
            </w:pPr>
            <w:r>
              <w:drawing>
                <wp:inline distT="0" distB="0" distL="0" distR="0">
                  <wp:extent cx="5209540"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09953" cy="1371600"/>
                          </a:xfrm>
                          <a:prstGeom prst="rect">
                            <a:avLst/>
                          </a:prstGeom>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
                <w:kern w:val="0"/>
                <w:sz w:val="24"/>
              </w:rPr>
            </w:pPr>
            <w:r>
              <w:rPr>
                <w:rFonts w:hint="eastAsia" w:asciiTheme="minorEastAsia" w:hAnsiTheme="minorEastAsia" w:eastAsiaTheme="minorEastAsia"/>
                <w:kern w:val="0"/>
                <w:sz w:val="24"/>
              </w:rPr>
              <w:t>图2</w:t>
            </w:r>
            <w:r>
              <w:rPr>
                <w:rFonts w:asciiTheme="minorEastAsia" w:hAnsiTheme="minorEastAsia" w:eastAsiaTheme="minorEastAsia"/>
                <w:kern w:val="0"/>
                <w:sz w:val="24"/>
              </w:rPr>
              <w:t>-3</w:t>
            </w:r>
            <w:r>
              <w:rPr>
                <w:rFonts w:asciiTheme="minorEastAsia" w:hAnsiTheme="minorEastAsia" w:eastAsiaTheme="minorEastAsia"/>
                <w:b/>
                <w:kern w:val="0"/>
                <w:sz w:val="24"/>
              </w:rPr>
              <w:t xml:space="preserve">    </w:t>
            </w:r>
            <w:r>
              <w:rPr>
                <w:rFonts w:hint="eastAsia" w:ascii="宋体" w:cs="宋体"/>
                <w:kern w:val="0"/>
                <w:sz w:val="24"/>
              </w:rPr>
              <w:t>巴顿甫五段生化工艺图</w:t>
            </w:r>
          </w:p>
          <w:p>
            <w:pPr>
              <w:autoSpaceDE w:val="0"/>
              <w:autoSpaceDN w:val="0"/>
              <w:adjustRightInd w:val="0"/>
              <w:spacing w:line="500" w:lineRule="exact"/>
              <w:ind w:firstLine="480" w:firstLineChars="200"/>
              <w:jc w:val="left"/>
              <w:rPr>
                <w:rFonts w:asciiTheme="minorEastAsia" w:hAnsiTheme="minorEastAsia" w:eastAsiaTheme="minorEastAsia"/>
                <w:b/>
                <w:kern w:val="0"/>
                <w:sz w:val="22"/>
              </w:rPr>
            </w:pPr>
            <w:r>
              <w:rPr>
                <w:rFonts w:hint="eastAsia" w:ascii="宋体" w:hAnsi="宋体" w:cs="宋体"/>
                <w:kern w:val="0"/>
                <w:sz w:val="24"/>
              </w:rPr>
              <w:t>巴顿甫五段生化工艺</w:t>
            </w:r>
            <w:r>
              <w:rPr>
                <w:rFonts w:hint="eastAsia" w:ascii="宋体" w:cs="宋体"/>
                <w:kern w:val="0"/>
                <w:sz w:val="24"/>
                <w:szCs w:val="28"/>
              </w:rPr>
              <w:t>具备在生物处理阶段实现较为彻底的脱氮除磷功能的条件，所以推荐适合排放标准要求、应用较为广泛、工艺可控性强、可以保证出水水质稳定达标、运行成本较低。</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hint="eastAsia" w:asciiTheme="minorEastAsia" w:hAnsiTheme="minorEastAsia" w:eastAsiaTheme="minorEastAsia"/>
                <w:b/>
                <w:kern w:val="0"/>
                <w:sz w:val="24"/>
              </w:rPr>
              <w:t>4</w:t>
            </w:r>
            <w:r>
              <w:rPr>
                <w:rFonts w:asciiTheme="minorEastAsia" w:hAnsiTheme="minorEastAsia" w:eastAsiaTheme="minorEastAsia"/>
                <w:b/>
                <w:kern w:val="0"/>
                <w:sz w:val="24"/>
              </w:rPr>
              <w:t>)生物膜法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膜法是与活性污泥法平行发展起来的生物处理工艺，是一大类生物处理法的统称。生物接触氧化是生物膜法的一种。其特征是池中填充填料，污水浸没全部填料，通过曝气使氧气、污水和填料三相接触充分接触，填料上附着生长的微生物可有效地去除污水中的悬浮物、有机物、氨氮、总氮等污染物。</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接触氧化的技术优点：结构简单，占地面积小；污泥产量少，无污泥回流，无污泥膨胀；生物膜内微生物量稳定，生物相丰富，对水质、水量波动的适应性强；操作简便、较活性污泥法的动力消耗少；对污染物去除效果好。</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生物接触氧化技术不足：曝气充氧耗电能较高；加入生物填料导致建设费用增高；可调控性差；生物接触氧化池对磷的处理效果较差，对总磷指标要求较高的农村地区应配套建设除磷单元。</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5）膜技术</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膜-生物反应器（Membrane-Bioreactor，简称MBR）是一种将膜分离技术与传统污水生物处理工艺有机结合的新型高效污水处理与回用工艺，这种集成式组合新工艺把生物反应器的生物降解作用和膜的高效分离技术溶于一体，具有出水水质好且稳定、处理负荷高、装置占地面积小、产泥量小、操作管理简单等特点。在全球水资源紧缺、受污染日益严重的今天，膜技术作为一种新型的再生水回用技术，近年来在国际水处理技术领域日益得到广泛关注，在国内再生水处理工程中也得到了较大的推广和应用。</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hint="eastAsia" w:asciiTheme="minorEastAsia" w:hAnsiTheme="minorEastAsia" w:eastAsiaTheme="minorEastAsia"/>
                <w:bCs/>
                <w:kern w:val="0"/>
                <w:sz w:val="24"/>
              </w:rPr>
              <w:t>以上几种</w:t>
            </w:r>
            <w:r>
              <w:rPr>
                <w:rFonts w:hint="eastAsia" w:ascii="宋体" w:cs="宋体"/>
                <w:kern w:val="0"/>
                <w:sz w:val="24"/>
              </w:rPr>
              <w:t>处理工艺各有特点，在国内外均有工程案例，从处理效果上看，均可满足处理要求，具有稳定的处理效果，但每种工艺均有侧重，在基建投资、运行成本、占地、运行管理等方面存在一定的差异。具体到本工程项目，污水处理工艺的选择应充分考虑技术的可行性，经济的合理性，处理重点的针对性，对污水水质水量的适应性，运行的稳定性等多种因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hint="eastAsia" w:asciiTheme="minorEastAsia" w:hAnsiTheme="minorEastAsia" w:eastAsiaTheme="minorEastAsia"/>
                <w:bCs/>
                <w:kern w:val="0"/>
                <w:sz w:val="24"/>
              </w:rPr>
              <w:t>上述述处理工艺的特点对比如下：</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Cs/>
                <w:kern w:val="0"/>
                <w:sz w:val="24"/>
              </w:rPr>
            </w:pPr>
            <w:r>
              <w:rPr>
                <w:rFonts w:hint="eastAsia" w:asciiTheme="minorEastAsia" w:hAnsiTheme="minorEastAsia" w:eastAsiaTheme="minorEastAsia"/>
                <w:bCs/>
                <w:kern w:val="0"/>
                <w:sz w:val="24"/>
              </w:rPr>
              <w:t>表2</w:t>
            </w:r>
            <w:r>
              <w:rPr>
                <w:rFonts w:asciiTheme="minorEastAsia" w:hAnsiTheme="minorEastAsia" w:eastAsiaTheme="minorEastAsia"/>
                <w:bCs/>
                <w:kern w:val="0"/>
                <w:sz w:val="24"/>
              </w:rPr>
              <w:t xml:space="preserve">-10    </w:t>
            </w:r>
            <w:r>
              <w:rPr>
                <w:rFonts w:hint="eastAsia" w:asciiTheme="minorEastAsia" w:hAnsiTheme="minorEastAsia" w:eastAsiaTheme="minorEastAsia"/>
                <w:bCs/>
                <w:kern w:val="0"/>
                <w:sz w:val="24"/>
              </w:rPr>
              <w:t>处理工艺对比表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05"/>
              <w:gridCol w:w="2079"/>
              <w:gridCol w:w="2079"/>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项目</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bCs/>
                      <w:kern w:val="0"/>
                      <w:szCs w:val="21"/>
                    </w:rPr>
                    <w:t>A</w:t>
                  </w:r>
                  <w:r>
                    <w:rPr>
                      <w:rFonts w:asciiTheme="minorEastAsia" w:hAnsiTheme="minorEastAsia" w:eastAsiaTheme="minorEastAsia"/>
                      <w:bCs/>
                      <w:kern w:val="0"/>
                      <w:position w:val="8"/>
                      <w:szCs w:val="21"/>
                    </w:rPr>
                    <w:t>2</w:t>
                  </w:r>
                  <w:r>
                    <w:rPr>
                      <w:rFonts w:asciiTheme="minorEastAsia" w:hAnsiTheme="minorEastAsia" w:eastAsiaTheme="minorEastAsia"/>
                      <w:bCs/>
                      <w:kern w:val="0"/>
                      <w:szCs w:val="21"/>
                    </w:rPr>
                    <w:t>O</w:t>
                  </w:r>
                  <w:r>
                    <w:rPr>
                      <w:rFonts w:hint="eastAsia" w:cs="宋体" w:asciiTheme="minorEastAsia" w:hAnsiTheme="minorEastAsia" w:eastAsiaTheme="minorEastAsia"/>
                      <w:bCs/>
                      <w:kern w:val="0"/>
                      <w:szCs w:val="21"/>
                    </w:rPr>
                    <w:t>工艺</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bCs/>
                      <w:kern w:val="0"/>
                      <w:szCs w:val="21"/>
                    </w:rPr>
                    <w:t>MBR</w:t>
                  </w:r>
                  <w:r>
                    <w:rPr>
                      <w:rFonts w:hint="eastAsia" w:cs="宋体" w:asciiTheme="minorEastAsia" w:hAnsiTheme="minorEastAsia" w:eastAsiaTheme="minorEastAsia"/>
                      <w:bCs/>
                      <w:kern w:val="0"/>
                      <w:szCs w:val="21"/>
                    </w:rPr>
                    <w:t>工艺</w:t>
                  </w:r>
                </w:p>
              </w:tc>
              <w:tc>
                <w:tcPr>
                  <w:tcW w:w="2080"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巴顿甫五段生化工艺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占地</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vAlign w:val="center"/>
                </w:tcPr>
                <w:p>
                  <w:pPr>
                    <w:overflowPunct w:val="0"/>
                    <w:topLinePunct/>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大水量时，占地较小；中小水量时，若考虑膜池和膜车间占地后，总体占地优势并不明显。</w:t>
                  </w:r>
                </w:p>
              </w:tc>
              <w:tc>
                <w:tcPr>
                  <w:tcW w:w="2080"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生化反应区与沉淀区合建，占地面积小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单位污水耗电</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较高</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工程总投资</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直接运行成本</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剩余污泥量</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小</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药耗</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出水达标</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079"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08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kern w:val="0"/>
                      <w:szCs w:val="21"/>
                    </w:rPr>
                  </w:pPr>
                  <w:r>
                    <w:rPr>
                      <w:rFonts w:hint="eastAsia" w:cs="宋体" w:asciiTheme="minorEastAsia" w:hAnsiTheme="minorEastAsia" w:eastAsiaTheme="minorEastAsia"/>
                      <w:kern w:val="0"/>
                      <w:szCs w:val="21"/>
                    </w:rPr>
                    <w:t>技术评价</w:t>
                  </w: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优点</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污泥沉降性好，无污泥膨胀问题，出水水质</w:t>
                  </w:r>
                  <w:r>
                    <w:rPr>
                      <w:rFonts w:hint="eastAsia" w:cs="宋体" w:asciiTheme="minorEastAsia" w:hAnsiTheme="minorEastAsia" w:eastAsiaTheme="minorEastAsia"/>
                      <w:spacing w:val="-16"/>
                      <w:kern w:val="0"/>
                      <w:szCs w:val="21"/>
                    </w:rPr>
                    <w:t>好，并具有一定</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的耐冲击负荷能力，运行稳定，管理简便，运行管理经验</w:t>
                  </w:r>
                  <w:r>
                    <w:rPr>
                      <w:rFonts w:hint="eastAsia" w:cs="宋体" w:asciiTheme="minorEastAsia" w:hAnsiTheme="minorEastAsia" w:eastAsiaTheme="minorEastAsia"/>
                      <w:spacing w:val="-16"/>
                      <w:kern w:val="0"/>
                      <w:szCs w:val="21"/>
                    </w:rPr>
                    <w:t>成熟，系统可操</w:t>
                  </w:r>
                  <w:r>
                    <w:rPr>
                      <w:rFonts w:hint="eastAsia" w:cs="宋体" w:asciiTheme="minorEastAsia" w:hAnsiTheme="minorEastAsia" w:eastAsiaTheme="minorEastAsia"/>
                      <w:kern w:val="0"/>
                      <w:szCs w:val="21"/>
                    </w:rPr>
                    <w:t>作性强。</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固液分离效果好，出水水质稳定。占地面积小，无需二沉池，工艺设备集中。膜系统的自动控制水平高。适用于地下式污水厂建设。</w:t>
                  </w:r>
                </w:p>
              </w:tc>
              <w:tc>
                <w:tcPr>
                  <w:tcW w:w="2080"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工艺流程短，管理简</w:t>
                  </w:r>
                  <w:r>
                    <w:rPr>
                      <w:rFonts w:hint="eastAsia" w:cs="宋体" w:asciiTheme="minorEastAsia" w:hAnsiTheme="minorEastAsia" w:eastAsiaTheme="minorEastAsia"/>
                      <w:spacing w:val="-6"/>
                      <w:kern w:val="0"/>
                      <w:szCs w:val="21"/>
                    </w:rPr>
                    <w:t>便，运行稳定，曝气效率高，曝气装置维护简</w:t>
                  </w:r>
                  <w:r>
                    <w:rPr>
                      <w:rFonts w:hint="eastAsia" w:cs="宋体" w:asciiTheme="minorEastAsia" w:hAnsiTheme="minorEastAsia" w:eastAsiaTheme="minorEastAsia"/>
                      <w:kern w:val="0"/>
                      <w:szCs w:val="21"/>
                    </w:rPr>
                    <w:t>便，可实现不停水更</w:t>
                  </w:r>
                  <w:r>
                    <w:rPr>
                      <w:rFonts w:hint="eastAsia" w:cs="宋体" w:asciiTheme="minorEastAsia" w:hAnsiTheme="minorEastAsia" w:eastAsiaTheme="minorEastAsia"/>
                      <w:spacing w:val="-6"/>
                      <w:kern w:val="0"/>
                      <w:szCs w:val="21"/>
                    </w:rPr>
                    <w:t>换。电耗低。池型集成</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spacing w:val="-6"/>
                      <w:kern w:val="0"/>
                      <w:szCs w:val="21"/>
                    </w:rPr>
                    <w:t>程度高，二沉池与生化</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池采用模块组合方式，系统总体占地和基建费用小于需要单独设置辐流式二沉池的传统工艺。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kern w:val="0"/>
                      <w:szCs w:val="21"/>
                    </w:rPr>
                  </w:pP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缺点</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生化系统总体占地面积大，</w:t>
                  </w:r>
                  <w:r>
                    <w:rPr>
                      <w:rFonts w:hint="eastAsia" w:cs="宋体" w:asciiTheme="minorEastAsia" w:hAnsiTheme="minorEastAsia" w:eastAsiaTheme="minorEastAsia"/>
                      <w:spacing w:val="-6"/>
                      <w:kern w:val="0"/>
                      <w:szCs w:val="21"/>
                    </w:rPr>
                    <w:t>基建费用高；</w:t>
                  </w:r>
                  <w:r>
                    <w:rPr>
                      <w:rFonts w:asciiTheme="minorEastAsia" w:hAnsiTheme="minorEastAsia" w:eastAsiaTheme="minorEastAsia"/>
                      <w:spacing w:val="-6"/>
                      <w:kern w:val="0"/>
                      <w:szCs w:val="21"/>
                    </w:rPr>
                    <w:t>2.</w:t>
                  </w:r>
                  <w:r>
                    <w:rPr>
                      <w:rFonts w:asciiTheme="minorEastAsia" w:hAnsiTheme="minorEastAsia" w:eastAsiaTheme="minorEastAsia"/>
                      <w:spacing w:val="-58"/>
                      <w:kern w:val="0"/>
                      <w:szCs w:val="21"/>
                    </w:rPr>
                    <w:t xml:space="preserve"> </w:t>
                  </w:r>
                  <w:r>
                    <w:rPr>
                      <w:rFonts w:hint="eastAsia" w:cs="宋体" w:asciiTheme="minorEastAsia" w:hAnsiTheme="minorEastAsia" w:eastAsiaTheme="minorEastAsia"/>
                      <w:spacing w:val="-16"/>
                      <w:kern w:val="0"/>
                      <w:szCs w:val="21"/>
                    </w:rPr>
                    <w:t>构筑物较多、设</w:t>
                  </w:r>
                  <w:r>
                    <w:rPr>
                      <w:rFonts w:hint="eastAsia" w:cs="宋体" w:asciiTheme="minorEastAsia" w:hAnsiTheme="minorEastAsia" w:eastAsiaTheme="minorEastAsia"/>
                      <w:kern w:val="0"/>
                      <w:szCs w:val="21"/>
                    </w:rPr>
                    <w:t>备多，维护麻</w:t>
                  </w:r>
                  <w:r>
                    <w:rPr>
                      <w:rFonts w:hint="eastAsia" w:cs="宋体" w:asciiTheme="minorEastAsia" w:hAnsiTheme="minorEastAsia" w:eastAsiaTheme="minorEastAsia"/>
                      <w:spacing w:val="-6"/>
                      <w:kern w:val="0"/>
                      <w:szCs w:val="21"/>
                    </w:rPr>
                    <w:t>烦；</w:t>
                  </w:r>
                  <w:r>
                    <w:rPr>
                      <w:rFonts w:asciiTheme="minorEastAsia" w:hAnsiTheme="minorEastAsia" w:eastAsiaTheme="minorEastAsia"/>
                      <w:spacing w:val="-6"/>
                      <w:kern w:val="0"/>
                      <w:szCs w:val="21"/>
                    </w:rPr>
                    <w:t>3.</w:t>
                  </w:r>
                  <w:r>
                    <w:rPr>
                      <w:rFonts w:hint="eastAsia" w:cs="宋体" w:asciiTheme="minorEastAsia" w:hAnsiTheme="minorEastAsia" w:eastAsiaTheme="minorEastAsia"/>
                      <w:spacing w:val="-6"/>
                      <w:kern w:val="0"/>
                      <w:szCs w:val="21"/>
                    </w:rPr>
                    <w:t>传统曝气</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装置的氧利用</w:t>
                  </w:r>
                  <w:r>
                    <w:rPr>
                      <w:rFonts w:hint="eastAsia" w:cs="宋体" w:asciiTheme="minorEastAsia" w:hAnsiTheme="minorEastAsia" w:eastAsiaTheme="minorEastAsia"/>
                      <w:spacing w:val="-16"/>
                      <w:kern w:val="0"/>
                      <w:szCs w:val="21"/>
                    </w:rPr>
                    <w:t>率较低，微孔曝</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气器易堵塞。</w:t>
                  </w:r>
                </w:p>
              </w:tc>
              <w:tc>
                <w:tcPr>
                  <w:tcW w:w="2079" w:type="dxa"/>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系统投资高，运行能耗高；</w:t>
                  </w: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构筑物多，设备多，需要定期化学清洗，操作维护量大；</w:t>
                  </w:r>
                  <w:r>
                    <w:rPr>
                      <w:rFonts w:asciiTheme="minorEastAsia" w:hAnsiTheme="minorEastAsia" w:eastAsiaTheme="minorEastAsia"/>
                      <w:kern w:val="0"/>
                      <w:szCs w:val="21"/>
                    </w:rPr>
                    <w:t>3.</w:t>
                  </w:r>
                  <w:r>
                    <w:rPr>
                      <w:rFonts w:hint="eastAsia" w:cs="宋体" w:asciiTheme="minorEastAsia" w:hAnsiTheme="minorEastAsia" w:eastAsiaTheme="minorEastAsia"/>
                      <w:kern w:val="0"/>
                      <w:szCs w:val="21"/>
                    </w:rPr>
                    <w:t>对预处理有较高要求；</w:t>
                  </w:r>
                  <w:r>
                    <w:rPr>
                      <w:rFonts w:asciiTheme="minorEastAsia" w:hAnsiTheme="minorEastAsia" w:eastAsiaTheme="minorEastAsia"/>
                      <w:kern w:val="0"/>
                      <w:szCs w:val="21"/>
                    </w:rPr>
                    <w:t>4.</w:t>
                  </w:r>
                  <w:r>
                    <w:rPr>
                      <w:rFonts w:hint="eastAsia" w:cs="宋体" w:asciiTheme="minorEastAsia" w:hAnsiTheme="minorEastAsia" w:eastAsiaTheme="minorEastAsia"/>
                      <w:kern w:val="0"/>
                      <w:szCs w:val="21"/>
                    </w:rPr>
                    <w:t>膜产品缺乏统一标准，各厂商之间的膜产品不具备通用性，后期对膜厂家有一定依赖性，不便于运营后期采购和降低成本。</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对溶氧仪灵敏度要求</w:t>
                  </w:r>
                  <w:r>
                    <w:rPr>
                      <w:rFonts w:hint="eastAsia" w:cs="宋体" w:asciiTheme="minorEastAsia" w:hAnsiTheme="minorEastAsia" w:eastAsiaTheme="minorEastAsia"/>
                      <w:spacing w:val="-6"/>
                      <w:kern w:val="0"/>
                      <w:szCs w:val="21"/>
                    </w:rPr>
                    <w:t>较高，需要配用变频风</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机。</w:t>
                  </w:r>
                </w:p>
              </w:tc>
            </w:tr>
          </w:tbl>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由上面的分析表可以看出，巴顿甫五段生化工艺具有如下优点：</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1</w:t>
            </w:r>
            <w:r>
              <w:rPr>
                <w:rFonts w:hint="eastAsia" w:cs="宋体" w:asciiTheme="minorEastAsia" w:hAnsiTheme="minorEastAsia" w:eastAsiaTheme="minorEastAsia"/>
                <w:kern w:val="0"/>
                <w:sz w:val="24"/>
                <w:szCs w:val="28"/>
              </w:rPr>
              <w:t>）总投资低；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2</w:t>
            </w:r>
            <w:r>
              <w:rPr>
                <w:rFonts w:hint="eastAsia" w:cs="宋体" w:asciiTheme="minorEastAsia" w:hAnsiTheme="minorEastAsia" w:eastAsiaTheme="minorEastAsia"/>
                <w:kern w:val="0"/>
                <w:sz w:val="24"/>
                <w:szCs w:val="28"/>
              </w:rPr>
              <w:t>）运行费用低；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3</w:t>
            </w:r>
            <w:r>
              <w:rPr>
                <w:rFonts w:hint="eastAsia" w:cs="宋体" w:asciiTheme="minorEastAsia" w:hAnsiTheme="minorEastAsia" w:eastAsiaTheme="minorEastAsia"/>
                <w:kern w:val="0"/>
                <w:sz w:val="24"/>
                <w:szCs w:val="28"/>
              </w:rPr>
              <w:t>）构筑物少，工艺流程短，占地少；</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宋体" w:asciiTheme="minorEastAsia" w:hAnsiTheme="minorEastAsia" w:eastAsiaTheme="minorEastAsia"/>
                <w:kern w:val="0"/>
                <w:sz w:val="24"/>
                <w:szCs w:val="28"/>
              </w:rPr>
              <w:t>4)</w:t>
            </w:r>
            <w:r>
              <w:rPr>
                <w:rFonts w:hint="eastAsia" w:cs="宋体" w:asciiTheme="minorEastAsia" w:hAnsiTheme="minorEastAsia" w:eastAsiaTheme="minorEastAsia"/>
                <w:kern w:val="0"/>
                <w:sz w:val="24"/>
                <w:szCs w:val="28"/>
              </w:rPr>
              <w:t>处理效果好而且稳定，无污泥膨胀问题，并具有较好的抗冲击负荷能力；</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5</w:t>
            </w:r>
            <w:r>
              <w:rPr>
                <w:rFonts w:hint="eastAsia" w:cs="宋体" w:asciiTheme="minorEastAsia" w:hAnsiTheme="minorEastAsia" w:eastAsiaTheme="minorEastAsia"/>
                <w:kern w:val="0"/>
                <w:sz w:val="24"/>
                <w:szCs w:val="28"/>
              </w:rPr>
              <w:t>）先进的曝气方式和曝气软管，氧利用率高，可实现不停车更换并通过自清洗系统保证长时间运行不堵塞；</w:t>
            </w:r>
          </w:p>
          <w:p>
            <w:pPr>
              <w:autoSpaceDE w:val="0"/>
              <w:autoSpaceDN w:val="0"/>
              <w:adjustRightInd w:val="0"/>
              <w:spacing w:line="500" w:lineRule="exact"/>
              <w:ind w:firstLine="480" w:firstLineChars="200"/>
              <w:rPr>
                <w:rFonts w:asciiTheme="minorEastAsia" w:hAnsiTheme="minorEastAsia" w:eastAsiaTheme="minorEastAsia"/>
                <w:bCs/>
                <w:kern w:val="0"/>
                <w:sz w:val="22"/>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6</w:t>
            </w:r>
            <w:r>
              <w:rPr>
                <w:rFonts w:hint="eastAsia" w:cs="宋体" w:asciiTheme="minorEastAsia" w:hAnsiTheme="minorEastAsia" w:eastAsiaTheme="minorEastAsia"/>
                <w:kern w:val="0"/>
                <w:sz w:val="24"/>
                <w:szCs w:val="28"/>
              </w:rPr>
              <w:t>）巴顿甫五段生化工艺既适用于新建项目，也适合于改造项目，其结构分区组织形式多样，可根据现有场地灵活调整，停留时间较短，可满足有限场地需求。</w:t>
            </w:r>
          </w:p>
          <w:p>
            <w:pPr>
              <w:tabs>
                <w:tab w:val="center" w:pos="4153"/>
                <w:tab w:val="right" w:pos="8306"/>
              </w:tabs>
              <w:autoSpaceDE w:val="0"/>
              <w:autoSpaceDN w:val="0"/>
              <w:adjustRightInd w:val="0"/>
              <w:snapToGrid w:val="0"/>
              <w:spacing w:line="500" w:lineRule="exact"/>
              <w:ind w:firstLine="480" w:firstLineChars="200"/>
              <w:jc w:val="left"/>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工程选用巴顿甫五段生化工艺进行处理。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3</w:t>
            </w: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 xml:space="preserve"> </w:t>
            </w:r>
            <w:r>
              <w:rPr>
                <w:rFonts w:hint="eastAsia" w:asciiTheme="minorEastAsia" w:hAnsiTheme="minorEastAsia" w:eastAsiaTheme="minorEastAsia"/>
                <w:bCs/>
                <w:kern w:val="0"/>
                <w:sz w:val="24"/>
              </w:rPr>
              <w:t>深度处理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深度处理工艺的目的是进一步去除污水中经二级处理后剩余的污染物质，工艺的选择取决于二级处理出水的水质和所需达到的水质标准。本项目经二级处理出水还需进行深度处理。对于本工程而言，深度处理主要需考虑</w:t>
            </w:r>
            <w:r>
              <w:rPr>
                <w:rFonts w:asciiTheme="minorEastAsia" w:hAnsiTheme="minorEastAsia" w:eastAsiaTheme="minorEastAsia"/>
                <w:sz w:val="24"/>
              </w:rPr>
              <w:t>SS、TP、粪大肠菌群数和稍有超标的COD、BOD</w:t>
            </w:r>
            <w:r>
              <w:rPr>
                <w:rFonts w:asciiTheme="minorEastAsia" w:hAnsiTheme="minorEastAsia" w:eastAsiaTheme="minorEastAsia"/>
                <w:sz w:val="24"/>
                <w:vertAlign w:val="subscript"/>
              </w:rPr>
              <w:t>5</w:t>
            </w:r>
            <w:r>
              <w:rPr>
                <w:rFonts w:asciiTheme="minorEastAsia" w:hAnsiTheme="minorEastAsia" w:eastAsiaTheme="minorEastAsia"/>
                <w:sz w:val="24"/>
              </w:rPr>
              <w:t>的去除。二级处理出水中污染物质为有机物和无机物的混合体，</w:t>
            </w:r>
            <w:r>
              <w:rPr>
                <w:rFonts w:hint="eastAsia" w:asciiTheme="minorEastAsia" w:hAnsiTheme="minorEastAsia" w:eastAsiaTheme="minorEastAsia"/>
                <w:sz w:val="24"/>
              </w:rPr>
              <w:t>有机物包括细菌、病菌、藻类及原始生物等。不论是有机物还是无机物，根据它们存在于污水中的颗粒的大小又可分为悬浮物（＞</w:t>
            </w:r>
            <w:r>
              <w:rPr>
                <w:rFonts w:asciiTheme="minorEastAsia" w:hAnsiTheme="minorEastAsia" w:eastAsiaTheme="minorEastAsia"/>
                <w:sz w:val="24"/>
              </w:rPr>
              <w:t>1μm）、</w:t>
            </w:r>
            <w:r>
              <w:rPr>
                <w:rFonts w:hint="eastAsia" w:asciiTheme="minorEastAsia" w:hAnsiTheme="minorEastAsia" w:eastAsiaTheme="minorEastAsia"/>
                <w:sz w:val="24"/>
              </w:rPr>
              <w:t>胶体（</w:t>
            </w:r>
            <w:r>
              <w:rPr>
                <w:rFonts w:asciiTheme="minorEastAsia" w:hAnsiTheme="minorEastAsia" w:eastAsiaTheme="minorEastAsia"/>
                <w:sz w:val="24"/>
              </w:rPr>
              <w:t>1μm～1nm）和溶解物（</w:t>
            </w:r>
            <w:r>
              <w:rPr>
                <w:rFonts w:hint="eastAsia" w:asciiTheme="minorEastAsia" w:hAnsiTheme="minorEastAsia" w:eastAsiaTheme="minorEastAsia"/>
                <w:sz w:val="24"/>
              </w:rPr>
              <w:t>＜</w:t>
            </w:r>
            <w:r>
              <w:rPr>
                <w:rFonts w:asciiTheme="minorEastAsia" w:hAnsiTheme="minorEastAsia" w:eastAsiaTheme="minorEastAsia"/>
                <w:sz w:val="24"/>
              </w:rPr>
              <w:t>1nm），一般来说通过混凝沉淀等常规</w:t>
            </w:r>
            <w:r>
              <w:rPr>
                <w:rFonts w:hint="eastAsia" w:asciiTheme="minorEastAsia" w:hAnsiTheme="minorEastAsia" w:eastAsiaTheme="minorEastAsia"/>
                <w:sz w:val="24"/>
              </w:rPr>
              <w:t>工艺可以去除悬浮物和胶体粒子，进一步降低出水浊度以及含在浊度物质中的</w:t>
            </w:r>
            <w:r>
              <w:rPr>
                <w:rFonts w:asciiTheme="minorEastAsia" w:hAnsiTheme="minorEastAsia" w:eastAsiaTheme="minorEastAsia"/>
                <w:sz w:val="24"/>
              </w:rPr>
              <w:t>BOD5、COD、总磷以及各种寄生虫卵和致病菌。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直接过滤工艺简单，过滤周期长，运行费用低，适用于夏季二级出水水质较好时的深度处理，但总体去除效率不如微絮凝过滤及混凝沉淀过滤工艺，尤其是冬季出水不能稳定达标。</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微絮凝过滤工艺的过滤效率较高，能做到全年提供合格的处理水，但是滤池水头损失增长较快，当系统悬浮物较高或除磷加药量较高时，反冲洗周期较短，产水率降低。国内近年来建设的一些工程实践表明，当系统生物除磷效果较差，化学除磷投药量较高时，采用微絮凝过滤或不设沉淀池的滤池反冲洗周期最短可能仅</w:t>
            </w:r>
            <w:r>
              <w:rPr>
                <w:rFonts w:cs="TimesNewRomanPSMT" w:asciiTheme="minorEastAsia" w:hAnsiTheme="minorEastAsia" w:eastAsiaTheme="minorEastAsia"/>
                <w:kern w:val="0"/>
                <w:sz w:val="24"/>
                <w:szCs w:val="21"/>
              </w:rPr>
              <w:t>3</w:t>
            </w:r>
            <w:r>
              <w:rPr>
                <w:rFonts w:hint="eastAsia" w:cs="宋体" w:asciiTheme="minorEastAsia" w:hAnsiTheme="minorEastAsia" w:eastAsiaTheme="minorEastAsia"/>
                <w:kern w:val="0"/>
                <w:sz w:val="24"/>
                <w:szCs w:val="21"/>
              </w:rPr>
              <w:t>～</w:t>
            </w:r>
            <w:r>
              <w:rPr>
                <w:rFonts w:cs="TimesNewRomanPSMT" w:asciiTheme="minorEastAsia" w:hAnsiTheme="minorEastAsia" w:eastAsiaTheme="minorEastAsia"/>
                <w:kern w:val="0"/>
                <w:sz w:val="24"/>
                <w:szCs w:val="21"/>
              </w:rPr>
              <w:t>5</w:t>
            </w:r>
            <w:r>
              <w:rPr>
                <w:rFonts w:hint="eastAsia" w:cs="宋体" w:asciiTheme="minorEastAsia" w:hAnsiTheme="minorEastAsia" w:eastAsiaTheme="minorEastAsia"/>
                <w:kern w:val="0"/>
                <w:sz w:val="24"/>
                <w:szCs w:val="21"/>
              </w:rPr>
              <w:t>小时，不利于滤池的运行。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混凝沉淀过滤由于增加了沉淀池或澄清池，可以去除二级处理出水大部分污染物，特别是对于需辅以化学除磷的工艺，可减轻滤池的负担，延长过滤周期，即使冬天进水水质较稍时，滤池也能够正常运行。因此，增加沉淀池对保障滤池出水和延长滤池冲洗周期是有好的。</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对于该系统流程较长，工程所需投资较多，但系统缓冲能力强，因此对进水的水质、水量变化具有较强的适应能力。为保证出水稳定达标，现阶段推荐采用目前被广泛认同、且应用较为广泛的混凝沉淀过滤全流程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sz w:val="24"/>
                <w:szCs w:val="21"/>
              </w:rPr>
            </w:pPr>
            <w:r>
              <w:rPr>
                <w:rFonts w:hint="eastAsia" w:cs="宋体" w:asciiTheme="minorEastAsia" w:hAnsiTheme="minorEastAsia" w:eastAsiaTheme="minorEastAsia"/>
                <w:kern w:val="0"/>
                <w:sz w:val="24"/>
                <w:szCs w:val="21"/>
              </w:rPr>
              <w:t>深度处理方案选择是根据水质水量，首先考虑工艺的经济性和实用性，选用技术先进、投资省、占地小、运行费用低、节能减排、操作管理方便的成熟处理工艺，本项目深度处理工艺选择机械机械絮凝沉淀过滤装置。</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w:t>
            </w:r>
            <w:r>
              <w:rPr>
                <w:rFonts w:asciiTheme="minorEastAsia" w:hAnsiTheme="minorEastAsia" w:eastAsiaTheme="minorEastAsia"/>
                <w:sz w:val="24"/>
                <w:szCs w:val="21"/>
              </w:rPr>
              <w:t>4</w:t>
            </w:r>
            <w:r>
              <w:rPr>
                <w:rFonts w:hint="eastAsia" w:asciiTheme="minorEastAsia" w:hAnsiTheme="minorEastAsia" w:eastAsiaTheme="minorEastAsia"/>
                <w:sz w:val="24"/>
                <w:szCs w:val="21"/>
              </w:rPr>
              <w:t>)</w:t>
            </w:r>
            <w:r>
              <w:rPr>
                <w:rFonts w:asciiTheme="minorEastAsia" w:hAnsiTheme="minorEastAsia" w:eastAsiaTheme="minorEastAsia"/>
                <w:sz w:val="24"/>
                <w:szCs w:val="21"/>
              </w:rPr>
              <w:t xml:space="preserve"> </w:t>
            </w:r>
            <w:r>
              <w:rPr>
                <w:rFonts w:hint="eastAsia" w:asciiTheme="minorEastAsia" w:hAnsiTheme="minorEastAsia" w:eastAsiaTheme="minorEastAsia"/>
                <w:sz w:val="24"/>
                <w:szCs w:val="21"/>
              </w:rPr>
              <w:t>除磷及药剂投加</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根据本工程进水水质特点及其出水水质要求，进水中</w:t>
            </w:r>
            <w:r>
              <w:rPr>
                <w:rFonts w:asciiTheme="minorEastAsia" w:hAnsiTheme="minorEastAsia" w:eastAsiaTheme="minorEastAsia"/>
                <w:sz w:val="24"/>
                <w:szCs w:val="21"/>
              </w:rPr>
              <w:t>TP为4.0mg/L，出水TP≤0.4mg/L，单靠生物除磷难以达到出水对TP的要</w:t>
            </w:r>
            <w:r>
              <w:rPr>
                <w:rFonts w:hint="eastAsia" w:asciiTheme="minorEastAsia" w:hAnsiTheme="minorEastAsia" w:eastAsiaTheme="minorEastAsia"/>
                <w:sz w:val="24"/>
                <w:szCs w:val="21"/>
              </w:rPr>
              <w:t>求。因此为满足出水</w:t>
            </w:r>
            <w:r>
              <w:rPr>
                <w:rFonts w:asciiTheme="minorEastAsia" w:hAnsiTheme="minorEastAsia" w:eastAsiaTheme="minorEastAsia"/>
                <w:sz w:val="24"/>
                <w:szCs w:val="21"/>
              </w:rPr>
              <w:t>TP≤0.4mg/L，必需在生物除磷的基础上辅以化</w:t>
            </w:r>
            <w:r>
              <w:rPr>
                <w:rFonts w:hint="eastAsia" w:asciiTheme="minorEastAsia" w:hAnsiTheme="minorEastAsia" w:eastAsiaTheme="minorEastAsia"/>
                <w:sz w:val="24"/>
                <w:szCs w:val="21"/>
              </w:rPr>
              <w:t>学除磷。化学除磷的基本原理是通过投加化学药剂形成不溶性磷酸盐沉淀物，然后通过固液分离将磷从污水中去除。</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bCs/>
                <w:kern w:val="0"/>
                <w:sz w:val="24"/>
                <w:szCs w:val="21"/>
              </w:rPr>
              <w:t xml:space="preserve">1) </w:t>
            </w:r>
            <w:r>
              <w:rPr>
                <w:rFonts w:hint="eastAsia" w:asciiTheme="minorEastAsia" w:hAnsiTheme="minorEastAsia" w:eastAsiaTheme="minorEastAsia"/>
                <w:sz w:val="24"/>
                <w:szCs w:val="21"/>
              </w:rPr>
              <w:t>化学沉析工艺</w:t>
            </w:r>
          </w:p>
          <w:p>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可按沉析药剂的投加地点来分类，实际中常采用的有：前沉析、同步沉析和后沉析或在二级处理之后加絮凝过滤。</w:t>
            </w:r>
          </w:p>
          <w:p>
            <w:pPr>
              <w:spacing w:line="500" w:lineRule="exact"/>
              <w:ind w:firstLine="482" w:firstLineChars="200"/>
              <w:rPr>
                <w:rFonts w:asciiTheme="minorEastAsia" w:hAnsiTheme="minorEastAsia" w:eastAsiaTheme="minorEastAsia"/>
                <w:b/>
                <w:sz w:val="24"/>
                <w:szCs w:val="21"/>
              </w:rPr>
            </w:pPr>
            <w:r>
              <w:rPr>
                <w:rFonts w:hint="eastAsia" w:asciiTheme="minorEastAsia" w:hAnsiTheme="minorEastAsia" w:eastAsiaTheme="minorEastAsia"/>
                <w:b/>
                <w:sz w:val="24"/>
                <w:szCs w:val="21"/>
              </w:rPr>
              <w:t xml:space="preserve">1) </w:t>
            </w:r>
            <w:r>
              <w:rPr>
                <w:rFonts w:asciiTheme="minorEastAsia" w:hAnsiTheme="minorEastAsia" w:eastAsiaTheme="minorEastAsia"/>
                <w:b/>
                <w:sz w:val="24"/>
                <w:szCs w:val="21"/>
              </w:rPr>
              <w:t>前沉析</w:t>
            </w:r>
            <w:r>
              <w:rPr>
                <w:rFonts w:hint="eastAsia" w:asciiTheme="minorEastAsia" w:hAnsiTheme="minorEastAsia" w:eastAsiaTheme="minorEastAsia"/>
                <w:b/>
                <w:sz w:val="24"/>
                <w:szCs w:val="21"/>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前沉析工艺的特点是沉析药剂投加在沉砂池中，或者初次沉淀池的进水渠</w:t>
            </w:r>
            <w:r>
              <w:rPr>
                <w:rFonts w:asciiTheme="minorEastAsia" w:hAnsiTheme="minorEastAsia" w:eastAsiaTheme="minorEastAsia"/>
                <w:sz w:val="24"/>
              </w:rPr>
              <w:t>(管)中，或者文丘里渠(利用涡流)中。其一般需要设置产生</w:t>
            </w:r>
            <w:r>
              <w:rPr>
                <w:rFonts w:hint="eastAsia" w:asciiTheme="minorEastAsia" w:hAnsiTheme="minorEastAsia" w:eastAsiaTheme="minorEastAsia"/>
                <w:sz w:val="24"/>
              </w:rPr>
              <w:t>涡流的装置或者供给能量以满足混合的需要。相应产生的沉析产物</w:t>
            </w:r>
            <w:r>
              <w:rPr>
                <w:rFonts w:asciiTheme="minorEastAsia" w:hAnsiTheme="minorEastAsia" w:eastAsiaTheme="minorEastAsia"/>
                <w:sz w:val="24"/>
              </w:rPr>
              <w:t>(大块状的絮凝体)则在一次沉淀池中通过沉淀而被分离。如果生物段</w:t>
            </w:r>
            <w:r>
              <w:rPr>
                <w:rFonts w:hint="eastAsia" w:asciiTheme="minorEastAsia" w:hAnsiTheme="minorEastAsia" w:eastAsiaTheme="minorEastAsia"/>
                <w:sz w:val="24"/>
              </w:rPr>
              <w:t>采用的是生物滤池，则不允许使用铁盐药剂，以防止对填料产生危害</w:t>
            </w:r>
            <w:r>
              <w:rPr>
                <w:rFonts w:asciiTheme="minorEastAsia" w:hAnsiTheme="minorEastAsia" w:eastAsiaTheme="minorEastAsia"/>
                <w:sz w:val="24"/>
              </w:rPr>
              <w:t>(产生黄锈)。</w:t>
            </w:r>
            <w:r>
              <w:rPr>
                <w:rFonts w:hint="eastAsia" w:asciiTheme="minorEastAsia" w:hAnsiTheme="minorEastAsia" w:eastAsiaTheme="minorEastAsia"/>
                <w:sz w:val="24"/>
              </w:rPr>
              <w:t>前沉析工艺</w:t>
            </w:r>
            <w:r>
              <w:rPr>
                <w:rFonts w:asciiTheme="minorEastAsia" w:hAnsiTheme="minorEastAsia" w:eastAsiaTheme="minorEastAsia"/>
                <w:sz w:val="24"/>
              </w:rPr>
              <w:t>特别适合于现有污水处理厂的改建(增</w:t>
            </w:r>
            <w:r>
              <w:rPr>
                <w:rFonts w:hint="eastAsia" w:asciiTheme="minorEastAsia" w:hAnsiTheme="minorEastAsia" w:eastAsiaTheme="minorEastAsia"/>
                <w:sz w:val="24"/>
              </w:rPr>
              <w:t>加化学除磷措施</w:t>
            </w:r>
            <w:r>
              <w:rPr>
                <w:rFonts w:asciiTheme="minorEastAsia" w:hAnsiTheme="minorEastAsia" w:eastAsiaTheme="minorEastAsia"/>
                <w:sz w:val="24"/>
              </w:rPr>
              <w:t>)，因为通过这一工艺步骤不仅可以去除磷，而且可</w:t>
            </w:r>
            <w:r>
              <w:rPr>
                <w:rFonts w:hint="eastAsia" w:asciiTheme="minorEastAsia" w:hAnsiTheme="minorEastAsia" w:eastAsiaTheme="minorEastAsia"/>
                <w:sz w:val="24"/>
              </w:rPr>
              <w:t>以减少生物处理设施的负荷。经前沉析后剩余磷酸盐的含量为</w:t>
            </w:r>
            <w:r>
              <w:rPr>
                <w:rFonts w:asciiTheme="minorEastAsia" w:hAnsiTheme="minorEastAsia" w:eastAsiaTheme="minorEastAsia"/>
                <w:sz w:val="24"/>
              </w:rPr>
              <w:t>115～215mg/L，完全能满足后续生物处理对磷的需要。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优点：①能降低生物处理设施的负荷，平衡其负荷的波动变化，因而可以降低能耗；②与同步沉析相比，活性污泥中有机成分不会增加；③现有污水厂易于实施改造。</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缺点：①总污泥产量增加；②对反硝化反应造成困难</w:t>
            </w:r>
            <w:r>
              <w:rPr>
                <w:rFonts w:asciiTheme="minorEastAsia" w:hAnsiTheme="minorEastAsia" w:eastAsiaTheme="minorEastAsia"/>
                <w:sz w:val="24"/>
              </w:rPr>
              <w:t>(底物分解</w:t>
            </w:r>
            <w:r>
              <w:rPr>
                <w:rFonts w:hint="eastAsia" w:asciiTheme="minorEastAsia" w:hAnsiTheme="minorEastAsia" w:eastAsiaTheme="minorEastAsia"/>
                <w:sz w:val="24"/>
              </w:rPr>
              <w:t>过多</w:t>
            </w:r>
            <w:r>
              <w:rPr>
                <w:rFonts w:asciiTheme="minorEastAsia" w:hAnsiTheme="minorEastAsia" w:eastAsiaTheme="minorEastAsia"/>
                <w:sz w:val="24"/>
              </w:rPr>
              <w:t>)；③对改善污泥指数不利。</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同步沉析</w:t>
            </w:r>
            <w:r>
              <w:rPr>
                <w:rFonts w:hint="eastAsia" w:asciiTheme="minorEastAsia" w:hAnsiTheme="minorEastAsia" w:eastAsiaTheme="minorEastAsia"/>
                <w:b/>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同步沉析是使用最广泛的化学除磷工艺，在国外约占所有化学除磷工艺的</w:t>
            </w:r>
            <w:r>
              <w:rPr>
                <w:rFonts w:asciiTheme="minorEastAsia" w:hAnsiTheme="minorEastAsia" w:eastAsiaTheme="minorEastAsia"/>
                <w:sz w:val="24"/>
              </w:rPr>
              <w:t>50%。其工艺是将沉析药剂投加在曝气池出水或二次沉淀池</w:t>
            </w:r>
            <w:r>
              <w:rPr>
                <w:rFonts w:hint="eastAsia" w:asciiTheme="minorEastAsia" w:hAnsiTheme="minorEastAsia" w:eastAsiaTheme="minorEastAsia"/>
                <w:sz w:val="24"/>
              </w:rPr>
              <w:t>进水中，个别情况也有将药剂投加在曝气池进水或回流污泥渠</w:t>
            </w:r>
            <w:r>
              <w:rPr>
                <w:rFonts w:asciiTheme="minorEastAsia" w:hAnsiTheme="minorEastAsia" w:eastAsiaTheme="minorEastAsia"/>
                <w:sz w:val="24"/>
              </w:rPr>
              <w:t>(管)</w:t>
            </w:r>
            <w:r>
              <w:rPr>
                <w:rFonts w:hint="eastAsia" w:asciiTheme="minorEastAsia" w:hAnsiTheme="minorEastAsia" w:eastAsiaTheme="minorEastAsia"/>
                <w:sz w:val="24"/>
              </w:rPr>
              <w:t>中。采用同步沉析的活性污泥法工艺。当采用生物转盘工艺时，情况和活性污泥法类似，但对于生物滤池工艺能否将药剂投加在二次沉淀池进水中尚值得探讨。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通过污泥回流可以充分利用沉析药剂；②如果是将药剂投加到曝气池中，可采用价格较便宜的二价铁盐药剂；③金属盐药剂会使活性污泥重量增加，从而可以避免活性污泥膨胀；④同步沉析设施的工程量较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缺点：①采用同步沉析工艺会增加污泥产量；②采用酸性金属盐药剂会使</w:t>
            </w:r>
            <w:r>
              <w:rPr>
                <w:rFonts w:asciiTheme="minorEastAsia" w:hAnsiTheme="minorEastAsia" w:eastAsiaTheme="minorEastAsia"/>
                <w:sz w:val="24"/>
              </w:rPr>
              <w:t>pH下降到最佳范围以下，这对硝化反应不利；③磷酸盐污</w:t>
            </w:r>
            <w:r>
              <w:rPr>
                <w:rFonts w:hint="eastAsia" w:asciiTheme="minorEastAsia" w:hAnsiTheme="minorEastAsia" w:eastAsiaTheme="minorEastAsia"/>
                <w:sz w:val="24"/>
              </w:rPr>
              <w:t>泥和生物剩余污泥是混合在一起的，因而回收磷酸盐是不可能的，此外在厌氧状态下污泥中磷会再溶解；④回流泵会使絮凝体破坏，</w:t>
            </w:r>
            <w:r>
              <w:rPr>
                <w:rFonts w:asciiTheme="minorEastAsia" w:hAnsiTheme="minorEastAsia" w:eastAsiaTheme="minorEastAsia"/>
                <w:sz w:val="24"/>
              </w:rPr>
              <w:t>但可</w:t>
            </w:r>
            <w:r>
              <w:rPr>
                <w:rFonts w:hint="eastAsia" w:asciiTheme="minorEastAsia" w:hAnsiTheme="minorEastAsia" w:eastAsiaTheme="minorEastAsia"/>
                <w:sz w:val="24"/>
              </w:rPr>
              <w:t>通过投加高分子絮凝助凝剂减轻这种危害。</w:t>
            </w:r>
          </w:p>
          <w:p>
            <w:pPr>
              <w:spacing w:line="500" w:lineRule="exact"/>
              <w:ind w:firstLine="482" w:firstLineChars="200"/>
              <w:rPr>
                <w:rFonts w:asciiTheme="minorEastAsia" w:hAnsiTheme="minorEastAsia" w:eastAsiaTheme="minorEastAsia"/>
                <w:b/>
                <w:sz w:val="24"/>
              </w:rPr>
            </w:pPr>
            <w:r>
              <w:rPr>
                <w:rFonts w:asciiTheme="minorEastAsia" w:hAnsiTheme="minorEastAsia" w:eastAsiaTheme="minorEastAsia"/>
                <w:b/>
                <w:sz w:val="24"/>
              </w:rPr>
              <w:t>3</w:t>
            </w:r>
            <w:r>
              <w:rPr>
                <w:rFonts w:hint="eastAsia" w:asciiTheme="minorEastAsia" w:hAnsiTheme="minorEastAsia" w:eastAsiaTheme="minorEastAsia"/>
                <w:b/>
                <w:sz w:val="24"/>
              </w:rPr>
              <w:t>）</w:t>
            </w:r>
            <w:r>
              <w:rPr>
                <w:rFonts w:asciiTheme="minorEastAsia" w:hAnsiTheme="minorEastAsia" w:eastAsiaTheme="minorEastAsia"/>
                <w:b/>
                <w:sz w:val="24"/>
              </w:rPr>
              <w:t>后沉析</w:t>
            </w:r>
            <w:r>
              <w:rPr>
                <w:rFonts w:hint="eastAsia" w:asciiTheme="minorEastAsia" w:hAnsiTheme="minorEastAsia" w:eastAsiaTheme="minorEastAsia"/>
                <w:b/>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后沉析是将沉析、絮凝以及被絮凝物质的分离在一个与生物设施相分离的设施中进行，因而也就有二段法工艺的说法。一般将沉析药剂投加到二次沉淀池后的一个混合池</w:t>
            </w:r>
            <w:r>
              <w:rPr>
                <w:rFonts w:asciiTheme="minorEastAsia" w:hAnsiTheme="minorEastAsia" w:eastAsiaTheme="minorEastAsia"/>
                <w:sz w:val="24"/>
              </w:rPr>
              <w:t>(M池)中，并在其后设置絮凝池(F池)和沉淀池(或气浮池)。对于要求不</w:t>
            </w:r>
            <w:r>
              <w:rPr>
                <w:rFonts w:hint="eastAsia" w:asciiTheme="minorEastAsia" w:hAnsiTheme="minorEastAsia" w:eastAsiaTheme="minorEastAsia"/>
                <w:sz w:val="24"/>
              </w:rPr>
              <w:t>严的受纳水体，在后沉析工艺中可采用石灰乳液药剂，但必须对出水</w:t>
            </w:r>
            <w:r>
              <w:rPr>
                <w:rFonts w:asciiTheme="minorEastAsia" w:hAnsiTheme="minorEastAsia" w:eastAsiaTheme="minorEastAsia"/>
                <w:sz w:val="24"/>
              </w:rPr>
              <w:t>pH值加以控制，如采用沼气中的CO</w:t>
            </w:r>
            <w:r>
              <w:rPr>
                <w:rFonts w:asciiTheme="minorEastAsia" w:hAnsiTheme="minorEastAsia" w:eastAsiaTheme="minorEastAsia"/>
                <w:sz w:val="24"/>
                <w:vertAlign w:val="subscript"/>
              </w:rPr>
              <w:t>2</w:t>
            </w:r>
            <w:r>
              <w:rPr>
                <w:rFonts w:asciiTheme="minorEastAsia" w:hAnsiTheme="minorEastAsia" w:eastAsiaTheme="minorEastAsia"/>
                <w:sz w:val="24"/>
              </w:rPr>
              <w:t>进行中和。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优点：①磷酸盐的沉析是和生物净化过程相分离的，互相不产生影响；②药剂的投加可以按磷负荷的变化进行控制；③产生的磷酸盐污泥可以单独排放，并可以加以利用，如用做肥料。</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缺点：后沉析工艺所需要的投资大、运行费用高，但当新建污水处理厂时，采用后沉析工艺可以减小生物处理二次沉淀池的尺寸。</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药剂的选择</w:t>
            </w:r>
            <w:r>
              <w:rPr>
                <w:rFonts w:hint="eastAsia" w:asciiTheme="minorEastAsia" w:hAnsiTheme="minorEastAsia" w:eastAsiaTheme="minorEastAsia"/>
                <w:sz w:val="24"/>
              </w:rPr>
              <w:t>：</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化学除磷的药剂主要有铁盐、铝盐。以硫酸铝和三氯化铁、硫酸亚铁混凝剂为例。</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铁盐和铝盐均能与磷酸根离子（</w:t>
            </w:r>
            <w:r>
              <w:rPr>
                <w:rFonts w:cs="TimesNewRomanPSMT" w:asciiTheme="minorEastAsia" w:hAnsiTheme="minorEastAsia" w:eastAsiaTheme="minorEastAsia"/>
                <w:kern w:val="0"/>
                <w:sz w:val="24"/>
              </w:rPr>
              <w:t>PO</w:t>
            </w:r>
            <w:r>
              <w:rPr>
                <w:rFonts w:cs="TimesNewRomanPSMT" w:asciiTheme="minorEastAsia" w:hAnsiTheme="minorEastAsia" w:eastAsiaTheme="minorEastAsia"/>
                <w:kern w:val="0"/>
                <w:sz w:val="24"/>
                <w:vertAlign w:val="subscript"/>
              </w:rPr>
              <w:t>4</w:t>
            </w:r>
            <w:r>
              <w:rPr>
                <w:rFonts w:cs="TimesNewRomanPSMT" w:asciiTheme="minorEastAsia" w:hAnsiTheme="minorEastAsia" w:eastAsiaTheme="minorEastAsia"/>
                <w:kern w:val="0"/>
                <w:sz w:val="24"/>
                <w:vertAlign w:val="superscript"/>
              </w:rPr>
              <w:t>3-</w:t>
            </w:r>
            <w:r>
              <w:rPr>
                <w:rFonts w:hint="eastAsia" w:cs="宋体" w:asciiTheme="minorEastAsia" w:hAnsiTheme="minorEastAsia" w:eastAsiaTheme="minorEastAsia"/>
                <w:kern w:val="0"/>
                <w:sz w:val="24"/>
              </w:rPr>
              <w:t>）作用生成难溶性的沉淀物，通过去除这些难溶性沉淀物去除水中的磷。除磷率不同，相应的投加量也不同。</w:t>
            </w:r>
          </w:p>
          <w:p>
            <w:pPr>
              <w:spacing w:line="500" w:lineRule="exact"/>
              <w:ind w:firstLine="480" w:firstLineChars="200"/>
              <w:rPr>
                <w:rFonts w:ascii="宋体" w:cs="宋体"/>
                <w:kern w:val="0"/>
                <w:sz w:val="24"/>
              </w:rPr>
            </w:pPr>
            <w:r>
              <w:rPr>
                <w:rFonts w:hint="eastAsia" w:cs="宋体" w:asciiTheme="minorEastAsia" w:hAnsiTheme="minorEastAsia" w:eastAsiaTheme="minorEastAsia"/>
                <w:kern w:val="0"/>
                <w:sz w:val="24"/>
              </w:rPr>
              <w:t>化学除磷方法的产泥量将增加，不仅要考虑沉淀剂与磷酸根和氢氧根结合生成的干泥量，还要考虑附带的其</w:t>
            </w:r>
            <w:r>
              <w:rPr>
                <w:rFonts w:hint="eastAsia" w:ascii="宋体" w:cs="宋体"/>
                <w:kern w:val="0"/>
                <w:sz w:val="24"/>
              </w:rPr>
              <w:t>它沉淀物。</w:t>
            </w:r>
          </w:p>
          <w:p>
            <w:pPr>
              <w:spacing w:line="500" w:lineRule="exact"/>
              <w:ind w:firstLine="480" w:firstLineChars="200"/>
              <w:rPr>
                <w:rFonts w:ascii="宋体" w:hAnsi="宋体" w:cs="宋体"/>
                <w:kern w:val="0"/>
                <w:sz w:val="24"/>
              </w:rPr>
            </w:pPr>
            <w:r>
              <w:rPr>
                <w:rFonts w:hint="eastAsia" w:ascii="宋体" w:cs="宋体"/>
                <w:kern w:val="0"/>
                <w:sz w:val="24"/>
              </w:rPr>
              <w:t>常用于化学除磷的铝</w:t>
            </w:r>
            <w:r>
              <w:rPr>
                <w:rFonts w:hint="eastAsia" w:ascii="宋体" w:hAnsi="宋体" w:cs="宋体"/>
                <w:kern w:val="0"/>
                <w:sz w:val="24"/>
              </w:rPr>
              <w:t>盐有硫酸铝、铝酸钠和聚合铝。其中硫酸铝、聚合铝较常用。与硫酸铝比较，聚合铝投药量比硫酸铝低，适宜的</w:t>
            </w:r>
            <w:r>
              <w:rPr>
                <w:rFonts w:ascii="宋体" w:hAnsi="宋体" w:cs="TimesNewRomanPSMT"/>
                <w:kern w:val="0"/>
                <w:sz w:val="24"/>
              </w:rPr>
              <w:t>PH</w:t>
            </w:r>
            <w:r>
              <w:rPr>
                <w:rFonts w:hint="eastAsia" w:ascii="宋体" w:hAnsi="宋体" w:cs="宋体"/>
                <w:kern w:val="0"/>
                <w:sz w:val="24"/>
              </w:rPr>
              <w:t>范围较宽，对设备的侵蚀作用小，且处理后水的</w:t>
            </w:r>
            <w:r>
              <w:rPr>
                <w:rFonts w:ascii="宋体" w:hAnsi="宋体" w:cs="TimesNewRomanPSMT"/>
                <w:kern w:val="0"/>
                <w:sz w:val="24"/>
              </w:rPr>
              <w:t>PH</w:t>
            </w:r>
            <w:r>
              <w:rPr>
                <w:rFonts w:hint="eastAsia" w:ascii="宋体" w:hAnsi="宋体" w:cs="宋体"/>
                <w:kern w:val="0"/>
                <w:sz w:val="24"/>
              </w:rPr>
              <w:t>和碱度下降较小。</w:t>
            </w:r>
          </w:p>
          <w:p>
            <w:pPr>
              <w:spacing w:line="500" w:lineRule="exact"/>
              <w:ind w:firstLine="480" w:firstLineChars="200"/>
              <w:rPr>
                <w:rFonts w:ascii="宋体" w:hAnsi="宋体" w:cs="宋体"/>
                <w:kern w:val="0"/>
                <w:sz w:val="24"/>
              </w:rPr>
            </w:pPr>
            <w:r>
              <w:rPr>
                <w:rFonts w:hint="eastAsia" w:ascii="宋体" w:hAnsi="宋体" w:cs="宋体"/>
                <w:kern w:val="0"/>
                <w:sz w:val="24"/>
              </w:rPr>
              <w:t>常用于化学除磷的铁盐有三氯化铁、氯化亚铁和硫酸亚铁。采用亚铁盐需先氧化成铁盐后才能取得最大除磷效果，一般不作为后置投加的混凝剂。三氯化铁适宜的</w:t>
            </w:r>
            <w:r>
              <w:rPr>
                <w:rFonts w:ascii="宋体" w:hAnsi="宋体" w:cs="TimesNewRomanPSMT"/>
                <w:kern w:val="0"/>
                <w:sz w:val="24"/>
              </w:rPr>
              <w:t>PH</w:t>
            </w:r>
            <w:r>
              <w:rPr>
                <w:rFonts w:hint="eastAsia" w:ascii="宋体" w:hAnsi="宋体" w:cs="宋体"/>
                <w:kern w:val="0"/>
                <w:sz w:val="24"/>
              </w:rPr>
              <w:t>范围也较宽，用量一般要比铝盐少，但缺点是具有强腐蚀性，对金属（尤其是铁器）腐蚀性极大，对混凝土也有腐蚀性，因此调制和加药设备必须考虑用耐腐蚀器材。</w:t>
            </w:r>
          </w:p>
          <w:p>
            <w:pPr>
              <w:spacing w:line="500" w:lineRule="exact"/>
              <w:ind w:firstLine="480" w:firstLineChars="200"/>
              <w:rPr>
                <w:rFonts w:ascii="宋体" w:hAnsi="宋体" w:cs="宋体"/>
                <w:kern w:val="0"/>
                <w:sz w:val="24"/>
              </w:rPr>
            </w:pPr>
            <w:r>
              <w:rPr>
                <w:rFonts w:hint="eastAsia" w:ascii="宋体" w:hAnsi="宋体" w:cs="宋体"/>
                <w:kern w:val="0"/>
                <w:sz w:val="24"/>
              </w:rPr>
              <w:t>根据以上药剂投加点和混凝剂特点的分析，本工程混凝剂采用聚合铝。</w:t>
            </w:r>
          </w:p>
          <w:p>
            <w:pPr>
              <w:spacing w:line="500" w:lineRule="exact"/>
              <w:ind w:firstLine="480" w:firstLineChars="200"/>
              <w:rPr>
                <w:rFonts w:ascii="宋体" w:hAnsi="宋体" w:cs="宋体"/>
                <w:kern w:val="0"/>
                <w:sz w:val="24"/>
              </w:rPr>
            </w:pPr>
            <w:r>
              <w:rPr>
                <w:rFonts w:hint="eastAsia" w:ascii="宋体" w:hAnsi="宋体" w:cs="宋体"/>
                <w:kern w:val="0"/>
                <w:sz w:val="24"/>
              </w:rPr>
              <w:t>在相同的条件下，外加碳源乙醇、乙酸钠在低温下的反硝化速率均要高于甲醇的，分别是甲醇的</w:t>
            </w:r>
            <w:r>
              <w:rPr>
                <w:rFonts w:ascii="宋体" w:hAnsi="宋体" w:cs="TimesNewRomanPSMT"/>
                <w:kern w:val="0"/>
                <w:sz w:val="24"/>
              </w:rPr>
              <w:t>1.6</w:t>
            </w:r>
            <w:r>
              <w:rPr>
                <w:rFonts w:hint="eastAsia" w:ascii="宋体" w:hAnsi="宋体" w:cs="宋体"/>
                <w:kern w:val="0"/>
                <w:sz w:val="24"/>
              </w:rPr>
              <w:t>倍、</w:t>
            </w:r>
            <w:r>
              <w:rPr>
                <w:rFonts w:ascii="宋体" w:hAnsi="宋体" w:cs="TimesNewRomanPSMT"/>
                <w:kern w:val="0"/>
                <w:sz w:val="24"/>
              </w:rPr>
              <w:t>2.7</w:t>
            </w:r>
            <w:r>
              <w:rPr>
                <w:rFonts w:hint="eastAsia" w:ascii="宋体" w:hAnsi="宋体" w:cs="宋体"/>
                <w:kern w:val="0"/>
                <w:sz w:val="24"/>
              </w:rPr>
              <w:t>倍。无论常温还是低温，外加碳源采用乙酸和乙酸钠的反硝化速率提高的幅度都要高于采用甲醇的，乙酸与乙酸钠相比，相差不大。可见，从提高反硝化能力来看，乙酸和乙酸盐要优于甲醇。</w:t>
            </w:r>
          </w:p>
          <w:p>
            <w:pPr>
              <w:spacing w:line="500" w:lineRule="exact"/>
              <w:ind w:firstLine="480" w:firstLineChars="200"/>
              <w:rPr>
                <w:rFonts w:ascii="宋体" w:cs="宋体"/>
                <w:kern w:val="0"/>
                <w:sz w:val="24"/>
              </w:rPr>
            </w:pPr>
            <w:r>
              <w:rPr>
                <w:rFonts w:hint="eastAsia" w:ascii="宋体" w:hAnsi="宋体" w:cs="宋体"/>
                <w:kern w:val="0"/>
                <w:sz w:val="24"/>
              </w:rPr>
              <w:t>综上，甲醇和乙酸钠是目前城市污水处理厂应用较为广泛、成功案例较多的两种外加碳源。甲醇成本低，但防火防爆要求很高，</w:t>
            </w:r>
            <w:r>
              <w:rPr>
                <w:rFonts w:hint="eastAsia" w:ascii="宋体" w:cs="宋体"/>
                <w:kern w:val="0"/>
                <w:sz w:val="24"/>
              </w:rPr>
              <w:t>需要设置独立的区域，并与周边建筑物和道路有一定的距离要求，占地很大，管理严格。但本工程占地条件有限，难以满足甲醇的防火防爆要求。综合考虑各种因素，本工程采用乙酸钠作为辅助外加碳源。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根据以上药剂投加点和混凝剂特点的分析，结合本工程污水处理进出水水质及污水处理工艺选择情况，本工程混凝剂采用净化效率高、耗药量较少、温度适应性强、</w:t>
            </w:r>
            <w:r>
              <w:rPr>
                <w:rFonts w:asciiTheme="minorEastAsia" w:hAnsiTheme="minorEastAsia" w:eastAsiaTheme="minorEastAsia"/>
                <w:sz w:val="24"/>
              </w:rPr>
              <w:t>PH范围宽、腐蚀性小的碱式氯化铝；</w:t>
            </w:r>
            <w:r>
              <w:rPr>
                <w:rFonts w:hint="eastAsia" w:asciiTheme="minorEastAsia" w:hAnsiTheme="minorEastAsia" w:eastAsiaTheme="minorEastAsia"/>
                <w:sz w:val="24"/>
              </w:rPr>
              <w:t>药剂投加方式采用工艺采用同步沉析，投加在曝气池出水。</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w:t>
            </w:r>
            <w:r>
              <w:rPr>
                <w:rFonts w:asciiTheme="minorEastAsia" w:hAnsiTheme="minorEastAsia" w:eastAsiaTheme="minorEastAsia"/>
                <w:kern w:val="0"/>
                <w:sz w:val="24"/>
              </w:rPr>
              <w:t>3)消毒工艺比较</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asciiTheme="minorEastAsia" w:hAnsiTheme="minorEastAsia" w:eastAsiaTheme="minorEastAsia"/>
                <w:bCs/>
                <w:kern w:val="0"/>
                <w:sz w:val="24"/>
              </w:rPr>
              <w:t>城镇污水经处理后，水质改善，但仍可能含有大肠杆菌和病毒。根据建设部《城市污水处理工程项目建设标准》（2001）中第33条：“为保证公共卫生安全，防治传染性疾病传播，污水厂应设置消毒设施”。《室外排水设计规范》（修编稿）规定：“污水消毒宜采用紫外线消毒法、二氧化氯消毒法或液氯消毒法”。</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目前，国内城市污水处理厂常用的消毒方式有</w:t>
            </w:r>
            <w:r>
              <w:rPr>
                <w:rFonts w:hint="eastAsia" w:ascii="宋体" w:cs="宋体"/>
                <w:kern w:val="0"/>
                <w:sz w:val="24"/>
              </w:rPr>
              <w:t>在水处理中常用的消毒剂有液氯、臭氧、二氧化氯和紫外线等</w:t>
            </w:r>
            <w:r>
              <w:rPr>
                <w:rFonts w:ascii="宋体" w:cs="宋体"/>
                <w:kern w:val="0"/>
                <w:sz w:val="24"/>
              </w:rPr>
              <w:t>,</w:t>
            </w:r>
            <w:r>
              <w:rPr>
                <w:rFonts w:hint="eastAsia" w:asciiTheme="minorEastAsia" w:hAnsiTheme="minorEastAsia" w:eastAsiaTheme="minorEastAsia"/>
                <w:sz w:val="24"/>
              </w:rPr>
              <w:t>也可采用上述方法的组合。消毒方式的选择应综合考虑工程及技术适用性、安全性、可靠性、运行管理、运行成本等因素。</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rPr>
            </w:pPr>
            <w:r>
              <w:rPr>
                <w:rFonts w:hint="eastAsia" w:ascii="宋体" w:cs="宋体"/>
                <w:kern w:val="0"/>
                <w:sz w:val="24"/>
              </w:rPr>
              <w:t>臭氧是一种优良的消毒剂，其杀菌效果好，且一般无有害副产物生成。但目前臭氧发生装置的产率通常较低，设备昂贵，安装管理复杂，运行费用高，而且臭氧在水中溶解度低，衰减速度快，为保证持续的杀菌作用，必须和其他消毒方法协同进行。</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宋体" w:cs="宋体"/>
                <w:kern w:val="0"/>
                <w:sz w:val="24"/>
              </w:rPr>
              <w:t>紫外线消毒也是近来发展的一种新型消毒方法，它是通过对水体进行紫外线辐射，将对水中的有害菌灭活，同时不改变水的物理化学性质，且不产生气味和其他有害的卤代甲烷等副产物，但该方法对消毒前的原水浊度要求较高，且必须保证一定的水流厚度，当水深较大时杀菌效果急剧下降，而且无持续效果。</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rPr>
            </w:pPr>
            <w:r>
              <w:rPr>
                <w:rFonts w:hint="eastAsia" w:ascii="宋体" w:cs="宋体"/>
                <w:kern w:val="0"/>
                <w:sz w:val="24"/>
              </w:rPr>
              <w:t>二氧化氯是一种强氧化剂和高效杀菌剂，自从国外最早将其作为消毒剂以来，在世界已得到广泛应用，但也有一定的缺点，电解法能耗高、化学法存在一定的危险，二氧化氯是易燃易爆气体，且制取原料盐酸易挥发，稍操作不甚将对人体产生一定的危害。</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bCs/>
                <w:kern w:val="0"/>
                <w:sz w:val="24"/>
              </w:rPr>
            </w:pPr>
            <w:r>
              <w:rPr>
                <w:rFonts w:hint="eastAsia" w:ascii="宋体" w:cs="宋体"/>
                <w:kern w:val="0"/>
                <w:sz w:val="24"/>
              </w:rPr>
              <w:t>各种消毒方式各有优劣，工程应用都很广泛，本工程主要从国家环保政策、消毒效果和实际操作方面综合考虑，选用消毒效果好、采购和制备都方便的“紫外消毒</w:t>
            </w:r>
            <w:r>
              <w:rPr>
                <w:rFonts w:ascii="TimesNewRomanPSMT" w:eastAsia="TimesNewRomanPSMT" w:cs="TimesNewRomanPSMT"/>
                <w:kern w:val="0"/>
                <w:sz w:val="24"/>
              </w:rPr>
              <w:t>+</w:t>
            </w:r>
            <w:r>
              <w:rPr>
                <w:rFonts w:hint="eastAsia" w:ascii="宋体" w:cs="宋体"/>
                <w:kern w:val="0"/>
                <w:sz w:val="24"/>
              </w:rPr>
              <w:t>次氯酸钠”组合工艺方式进行消毒。</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（5）污泥处置方案</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过程中产生的污泥，有机物含量较高，很不稳定，易腐化，且含有大量的病原菌及寄生虫，若不经妥善处理和处置将会造成二次污染，因此必须进行必要的处理和处置，以达到减量化、稳定化、无害化和资源化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减量化：主要目的是降低污泥含水率、减少污泥体积，减</w:t>
            </w:r>
            <w:r>
              <w:rPr>
                <w:rFonts w:hint="eastAsia" w:asciiTheme="minorEastAsia" w:hAnsiTheme="minorEastAsia" w:eastAsiaTheme="minorEastAsia"/>
                <w:sz w:val="24"/>
              </w:rPr>
              <w:t>轻后续处理处置费用；</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稳定化：主要目的是进一步降低污泥中挥发性有机物含量；</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 避免因有机物腐败变质而造成的二次污染；</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无害化：主要目的是去除污泥中对人体或自然界有害的病</w:t>
            </w:r>
            <w:r>
              <w:rPr>
                <w:rFonts w:hint="eastAsia" w:asciiTheme="minorEastAsia" w:hAnsiTheme="minorEastAsia" w:eastAsiaTheme="minorEastAsia"/>
                <w:sz w:val="24"/>
              </w:rPr>
              <w:t>原菌、寄生虫卵等致病微生物，以达到卫生无害化；</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 资源化：主要目的是尽可能利用污泥中有用的物质或储存</w:t>
            </w:r>
            <w:r>
              <w:rPr>
                <w:rFonts w:hint="eastAsia" w:asciiTheme="minorEastAsia" w:hAnsiTheme="minorEastAsia" w:eastAsiaTheme="minorEastAsia"/>
                <w:sz w:val="24"/>
              </w:rPr>
              <w:t>的能量，以实现其资源价值。</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根据国家《城镇污水处理厂污染物排放标准》</w:t>
            </w:r>
            <w:r>
              <w:rPr>
                <w:rFonts w:asciiTheme="minorEastAsia" w:hAnsiTheme="minorEastAsia" w:eastAsiaTheme="minorEastAsia"/>
                <w:sz w:val="24"/>
              </w:rPr>
              <w:t>(GB18918-2002)</w:t>
            </w:r>
            <w:r>
              <w:rPr>
                <w:rFonts w:hint="eastAsia" w:asciiTheme="minorEastAsia" w:hAnsiTheme="minorEastAsia" w:eastAsiaTheme="minorEastAsia"/>
                <w:sz w:val="24"/>
              </w:rPr>
              <w:t>的要求，污泥应进行稳定化处理。所以为节省工程投资、降低运行成本，本工程污泥采用重力浓缩和机械浓缩进行处理，污泥处理后，含水率不大于</w:t>
            </w:r>
            <w:r>
              <w:rPr>
                <w:rFonts w:asciiTheme="minorEastAsia" w:hAnsiTheme="minorEastAsia" w:eastAsiaTheme="minorEastAsia"/>
                <w:sz w:val="24"/>
              </w:rPr>
              <w:t>80％。运输至厂外临县</w:t>
            </w:r>
            <w:r>
              <w:rPr>
                <w:rFonts w:hint="eastAsia" w:asciiTheme="minorEastAsia" w:hAnsiTheme="minorEastAsia" w:eastAsiaTheme="minorEastAsia"/>
                <w:sz w:val="24"/>
              </w:rPr>
              <w:t>垃圾填埋场</w:t>
            </w:r>
            <w:r>
              <w:rPr>
                <w:rFonts w:asciiTheme="minorEastAsia" w:hAnsiTheme="minorEastAsia" w:eastAsiaTheme="minorEastAsia"/>
                <w:sz w:val="24"/>
              </w:rPr>
              <w:t>进行处置。</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w:t>
            </w:r>
            <w:r>
              <w:rPr>
                <w:rFonts w:hint="eastAsia" w:asciiTheme="minorEastAsia" w:hAnsiTheme="minorEastAsia" w:eastAsiaTheme="minorEastAsia"/>
                <w:b/>
                <w:kern w:val="0"/>
                <w:sz w:val="24"/>
              </w:rPr>
              <w:t>除臭工艺</w:t>
            </w:r>
            <w:r>
              <w:rPr>
                <w:rFonts w:asciiTheme="minorEastAsia" w:hAnsiTheme="minorEastAsia" w:eastAsiaTheme="minorEastAsia"/>
                <w:b/>
                <w:kern w:val="0"/>
                <w:sz w:val="24"/>
              </w:rPr>
              <w:t>处置方案</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szCs w:val="28"/>
              </w:rPr>
            </w:pPr>
            <w:r>
              <w:rPr>
                <w:rFonts w:hint="eastAsia" w:ascii="宋体" w:cs="宋体"/>
                <w:kern w:val="0"/>
                <w:sz w:val="24"/>
                <w:szCs w:val="28"/>
              </w:rPr>
              <w:t>生物除臭工艺采用了液体吸收和生物处理的组合作用。臭气首先被液体（吸收剂）有选择地吸收形成混合污水，再通过微生物的作用将其中的污染物降解。</w:t>
            </w:r>
          </w:p>
          <w:p>
            <w:pPr>
              <w:tabs>
                <w:tab w:val="center" w:pos="4153"/>
                <w:tab w:val="right" w:pos="8306"/>
              </w:tabs>
              <w:autoSpaceDE w:val="0"/>
              <w:autoSpaceDN w:val="0"/>
              <w:adjustRightInd w:val="0"/>
              <w:snapToGrid w:val="0"/>
              <w:spacing w:line="500" w:lineRule="exact"/>
              <w:ind w:firstLine="480" w:firstLineChars="200"/>
              <w:rPr>
                <w:rFonts w:ascii="宋体" w:hAnsi="宋体" w:cs="宋体"/>
                <w:kern w:val="0"/>
                <w:sz w:val="24"/>
              </w:rPr>
            </w:pPr>
            <w:r>
              <w:rPr>
                <w:rFonts w:hint="eastAsia" w:ascii="宋体" w:hAnsi="宋体" w:cs="宋体"/>
                <w:kern w:val="0"/>
                <w:sz w:val="24"/>
              </w:rPr>
              <w:t>具体过程是：先将人工筛选的特种微生物菌群固定于填料上，当污染气体经过填料表面初期，可从污染气体中获得营养源的那些微生物菌群，在适宜的温度、湿度、</w:t>
            </w:r>
            <w:r>
              <w:rPr>
                <w:rFonts w:ascii="宋体" w:hAnsi="宋体" w:cs="TimesNewRomanPSMT"/>
                <w:kern w:val="0"/>
                <w:sz w:val="24"/>
              </w:rPr>
              <w:t>pH</w:t>
            </w:r>
            <w:r>
              <w:rPr>
                <w:rFonts w:hint="eastAsia" w:ascii="宋体" w:hAnsi="宋体" w:cs="宋体"/>
                <w:kern w:val="0"/>
                <w:sz w:val="24"/>
              </w:rPr>
              <w:t>值等条件下，将会得到快速生长、繁殖，并在填料表面形成生物膜，当臭气通过其间，有机物被生物膜表面的水层吸收后被微生物吸附和降解，得到净化再生的水被重复使用。</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污染物去除的实质是以臭气作为营养物质被微生物吸收、代谢及利用。这一过程是微生物的相互协调的过程，比较复杂，它由物理、化学、物理化学以及生物化学反应所组成。</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生物除臭可以表达为：污染物</w:t>
            </w:r>
            <w:r>
              <w:rPr>
                <w:rFonts w:ascii="宋体" w:hAnsi="宋体" w:cs="TimesNewRomanPSMT"/>
                <w:kern w:val="0"/>
                <w:sz w:val="24"/>
              </w:rPr>
              <w:t>+O</w:t>
            </w:r>
            <w:r>
              <w:rPr>
                <w:rFonts w:ascii="宋体" w:hAnsi="宋体" w:cs="TimesNewRomanPSMT"/>
                <w:kern w:val="0"/>
                <w:sz w:val="24"/>
                <w:vertAlign w:val="subscript"/>
              </w:rPr>
              <w:t>2</w:t>
            </w:r>
            <w:r>
              <w:rPr>
                <w:rFonts w:ascii="宋体" w:hAnsi="宋体" w:cs="TimesNewRomanPSMT"/>
                <w:kern w:val="0"/>
                <w:sz w:val="24"/>
              </w:rPr>
              <w:t>→</w:t>
            </w:r>
            <w:r>
              <w:rPr>
                <w:rFonts w:hint="eastAsia" w:ascii="宋体" w:hAnsi="宋体" w:cs="宋体"/>
                <w:kern w:val="0"/>
                <w:sz w:val="24"/>
              </w:rPr>
              <w:t>细胞代谢物</w:t>
            </w:r>
            <w:r>
              <w:rPr>
                <w:rFonts w:ascii="宋体" w:hAnsi="宋体" w:cs="TimesNewRomanPSMT"/>
                <w:kern w:val="0"/>
                <w:sz w:val="24"/>
              </w:rPr>
              <w:t>+CO</w:t>
            </w:r>
            <w:r>
              <w:rPr>
                <w:rFonts w:ascii="宋体" w:hAnsi="宋体" w:cs="TimesNewRomanPSMT"/>
                <w:kern w:val="0"/>
                <w:sz w:val="24"/>
                <w:vertAlign w:val="subscript"/>
              </w:rPr>
              <w:t>2</w:t>
            </w:r>
            <w:r>
              <w:rPr>
                <w:rFonts w:ascii="宋体" w:hAnsi="宋体" w:cs="TimesNewRomanPSMT"/>
                <w:kern w:val="0"/>
                <w:sz w:val="24"/>
              </w:rPr>
              <w:t>+H2O</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污染物的转化机理可用下图表示：</w:t>
            </w:r>
          </w:p>
          <w:p>
            <w:pPr>
              <w:kinsoku w:val="0"/>
              <w:overflowPunct w:val="0"/>
              <w:autoSpaceDE w:val="0"/>
              <w:autoSpaceDN w:val="0"/>
              <w:adjustRightInd w:val="0"/>
              <w:ind w:left="346"/>
              <w:jc w:val="left"/>
              <w:rPr>
                <w:kern w:val="0"/>
                <w:position w:val="-59"/>
                <w:sz w:val="20"/>
                <w:szCs w:val="20"/>
              </w:rPr>
            </w:pPr>
            <w:bookmarkStart w:id="10" w:name="6.3.10.4_??????????????????"/>
            <w:bookmarkEnd w:id="10"/>
            <w:r>
              <w:rPr>
                <w:kern w:val="0"/>
                <w:position w:val="-59"/>
                <w:sz w:val="20"/>
                <w:szCs w:val="20"/>
              </w:rPr>
              <w:drawing>
                <wp:inline distT="0" distB="0" distL="0" distR="0">
                  <wp:extent cx="4519930" cy="16910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37370" cy="1697699"/>
                          </a:xfrm>
                          <a:prstGeom prst="rect">
                            <a:avLst/>
                          </a:prstGeom>
                          <a:noFill/>
                          <a:ln>
                            <a:noFill/>
                          </a:ln>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宋体" w:cs="宋体"/>
                <w:kern w:val="0"/>
                <w:sz w:val="24"/>
              </w:rPr>
            </w:pPr>
            <w:r>
              <w:rPr>
                <w:rFonts w:hint="eastAsia" w:ascii="宋体" w:cs="宋体"/>
                <w:kern w:val="0"/>
                <w:sz w:val="24"/>
              </w:rPr>
              <w:t>图2</w:t>
            </w:r>
            <w:r>
              <w:rPr>
                <w:rFonts w:ascii="宋体" w:cs="宋体"/>
                <w:kern w:val="0"/>
                <w:sz w:val="24"/>
              </w:rPr>
              <w:t xml:space="preserve">-4    </w:t>
            </w:r>
            <w:r>
              <w:rPr>
                <w:rFonts w:hint="eastAsia" w:ascii="宋体" w:cs="宋体"/>
                <w:kern w:val="0"/>
                <w:sz w:val="24"/>
              </w:rPr>
              <w:t>生物除臭工艺原理图</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微生物除臭过程分为三步：</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a</w:t>
            </w:r>
            <w:r>
              <w:rPr>
                <w:rFonts w:hint="eastAsia" w:ascii="宋体" w:hAnsi="宋体" w:cs="宋体"/>
                <w:kern w:val="0"/>
                <w:sz w:val="24"/>
                <w:szCs w:val="28"/>
              </w:rPr>
              <w:t>）臭气同水接触并溶解到水中；</w:t>
            </w:r>
            <w:r>
              <w:rPr>
                <w:rFonts w:ascii="宋体" w:hAnsi="宋体" w:cs="TimesNewRomanPSMT"/>
                <w:kern w:val="0"/>
                <w:sz w:val="24"/>
                <w:szCs w:val="28"/>
              </w:rPr>
              <w:t>b</w:t>
            </w:r>
            <w:r>
              <w:rPr>
                <w:rFonts w:hint="eastAsia" w:ascii="宋体" w:hAnsi="宋体" w:cs="宋体"/>
                <w:kern w:val="0"/>
                <w:sz w:val="24"/>
                <w:szCs w:val="28"/>
              </w:rPr>
              <w:t>）水溶液中的恶臭成分被微生物吸附、吸收，恶臭成分从水中转移至微生物体内；</w:t>
            </w:r>
            <w:r>
              <w:rPr>
                <w:rFonts w:ascii="宋体" w:hAnsi="宋体" w:cs="TimesNewRomanPSMT"/>
                <w:kern w:val="0"/>
                <w:sz w:val="24"/>
                <w:szCs w:val="28"/>
              </w:rPr>
              <w:t>c</w:t>
            </w:r>
            <w:r>
              <w:rPr>
                <w:rFonts w:hint="eastAsia" w:ascii="宋体" w:hAnsi="宋体" w:cs="宋体"/>
                <w:kern w:val="0"/>
                <w:sz w:val="24"/>
                <w:szCs w:val="28"/>
              </w:rPr>
              <w:t>）进入微生物细胞的恶臭成分作为营养物质为微生物所分解、利用，从而使污染物得以去除。</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是利用微生物细胞对恶臭物质的吸附、吸收和降解功能，对臭气进行处理的一种工艺。主要过程如下：通过收集管道，抽风机将臭气收集到生物滤池除臭装置，臭气经过加湿器进行加湿后，进入生物滤池池体，后经过填料微生物的吸附、吸收和降解，将臭气成分去除。</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2</w:t>
            </w:r>
            <w:r>
              <w:rPr>
                <w:rFonts w:hint="eastAsia" w:ascii="宋体" w:hAnsi="宋体" w:cs="宋体"/>
                <w:kern w:val="0"/>
                <w:sz w:val="24"/>
                <w:szCs w:val="28"/>
              </w:rPr>
              <w:t>）滤料</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生物除臭的最主要部分是滤料，一种好的载体材料必须满足：</w:t>
            </w:r>
          </w:p>
          <w:p>
            <w:pPr>
              <w:autoSpaceDE w:val="0"/>
              <w:autoSpaceDN w:val="0"/>
              <w:adjustRightInd w:val="0"/>
              <w:spacing w:line="500" w:lineRule="exact"/>
              <w:ind w:firstLine="480" w:firstLineChars="200"/>
              <w:rPr>
                <w:rFonts w:ascii="宋体" w:hAnsi="宋体" w:cs="宋体"/>
                <w:kern w:val="0"/>
                <w:sz w:val="22"/>
              </w:rPr>
            </w:pPr>
            <w:r>
              <w:rPr>
                <w:rFonts w:ascii="宋体" w:hAnsi="宋体" w:cs="TimesNewRomanPSMT"/>
                <w:kern w:val="0"/>
                <w:sz w:val="24"/>
                <w:szCs w:val="28"/>
              </w:rPr>
              <w:t>a</w:t>
            </w:r>
            <w:r>
              <w:rPr>
                <w:rFonts w:hint="eastAsia" w:ascii="宋体" w:hAnsi="宋体" w:cs="宋体"/>
                <w:kern w:val="0"/>
                <w:sz w:val="24"/>
                <w:szCs w:val="28"/>
              </w:rPr>
              <w:t>）容许生长的微生物的种类丰富；</w:t>
            </w:r>
            <w:r>
              <w:rPr>
                <w:rFonts w:ascii="宋体" w:hAnsi="宋体" w:cs="TimesNewRomanPSMT"/>
                <w:kern w:val="0"/>
                <w:sz w:val="24"/>
                <w:szCs w:val="28"/>
              </w:rPr>
              <w:t>b</w:t>
            </w:r>
            <w:r>
              <w:rPr>
                <w:rFonts w:hint="eastAsia" w:ascii="宋体" w:hAnsi="宋体" w:cs="宋体"/>
                <w:kern w:val="0"/>
                <w:sz w:val="24"/>
                <w:szCs w:val="28"/>
              </w:rPr>
              <w:t>）为微生物提供较大的栖息生长比表面积；</w:t>
            </w:r>
            <w:r>
              <w:rPr>
                <w:rFonts w:ascii="宋体" w:hAnsi="宋体" w:cs="TimesNewRomanPSMT"/>
                <w:kern w:val="0"/>
                <w:sz w:val="24"/>
                <w:szCs w:val="28"/>
              </w:rPr>
              <w:t>c</w:t>
            </w:r>
            <w:r>
              <w:rPr>
                <w:rFonts w:hint="eastAsia" w:ascii="宋体" w:hAnsi="宋体" w:cs="宋体"/>
                <w:kern w:val="0"/>
                <w:sz w:val="24"/>
                <w:szCs w:val="28"/>
              </w:rPr>
              <w:t>）营养成分合理（</w:t>
            </w:r>
            <w:r>
              <w:rPr>
                <w:rFonts w:ascii="宋体" w:hAnsi="宋体" w:cs="TimesNewRomanPSMT"/>
                <w:kern w:val="0"/>
                <w:sz w:val="24"/>
                <w:szCs w:val="28"/>
              </w:rPr>
              <w:t>N</w:t>
            </w:r>
            <w:r>
              <w:rPr>
                <w:rFonts w:hint="eastAsia" w:ascii="宋体" w:hAnsi="宋体" w:cs="宋体"/>
                <w:kern w:val="0"/>
                <w:sz w:val="24"/>
                <w:szCs w:val="28"/>
              </w:rPr>
              <w:t>、</w:t>
            </w:r>
            <w:r>
              <w:rPr>
                <w:rFonts w:ascii="宋体" w:hAnsi="宋体" w:cs="TimesNewRomanPSMT"/>
                <w:kern w:val="0"/>
                <w:sz w:val="24"/>
                <w:szCs w:val="28"/>
              </w:rPr>
              <w:t>P</w:t>
            </w:r>
            <w:r>
              <w:rPr>
                <w:rFonts w:hint="eastAsia" w:ascii="宋体" w:hAnsi="宋体" w:cs="宋体"/>
                <w:kern w:val="0"/>
                <w:sz w:val="24"/>
                <w:szCs w:val="28"/>
              </w:rPr>
              <w:t>、</w:t>
            </w:r>
            <w:r>
              <w:rPr>
                <w:rFonts w:ascii="宋体" w:hAnsi="宋体" w:cs="TimesNewRomanPSMT"/>
                <w:kern w:val="0"/>
                <w:sz w:val="24"/>
                <w:szCs w:val="28"/>
              </w:rPr>
              <w:t>K</w:t>
            </w:r>
            <w:r>
              <w:rPr>
                <w:rFonts w:hint="eastAsia" w:ascii="宋体" w:hAnsi="宋体" w:cs="宋体"/>
                <w:kern w:val="0"/>
                <w:sz w:val="24"/>
                <w:szCs w:val="28"/>
              </w:rPr>
              <w:t>和微量元素）；</w:t>
            </w:r>
            <w:r>
              <w:rPr>
                <w:rFonts w:ascii="宋体" w:hAnsi="宋体" w:cs="TimesNewRomanPSMT"/>
                <w:kern w:val="0"/>
                <w:sz w:val="24"/>
                <w:szCs w:val="28"/>
              </w:rPr>
              <w:t>d</w:t>
            </w:r>
            <w:r>
              <w:rPr>
                <w:rFonts w:hint="eastAsia" w:ascii="宋体" w:hAnsi="宋体" w:cs="宋体"/>
                <w:kern w:val="0"/>
                <w:sz w:val="24"/>
                <w:szCs w:val="28"/>
              </w:rPr>
              <w:t>）有好的吸水性，自身无异味；吸附性好，结构均匀，空隙率大；</w:t>
            </w:r>
            <w:r>
              <w:rPr>
                <w:rFonts w:ascii="宋体" w:hAnsi="宋体" w:cs="TimesNewRomanPSMT"/>
                <w:kern w:val="0"/>
                <w:sz w:val="24"/>
                <w:szCs w:val="28"/>
              </w:rPr>
              <w:t>e</w:t>
            </w:r>
            <w:r>
              <w:rPr>
                <w:rFonts w:hint="eastAsia" w:ascii="宋体" w:hAnsi="宋体" w:cs="宋体"/>
                <w:kern w:val="0"/>
                <w:sz w:val="24"/>
                <w:szCs w:val="28"/>
              </w:rPr>
              <w:t>）材料易得、且价格便宜；耐老化，运行、养护简单。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sz w:val="24"/>
              </w:rPr>
            </w:pPr>
            <w:r>
              <w:rPr>
                <w:rFonts w:hint="eastAsia" w:ascii="宋体" w:cs="宋体"/>
                <w:kern w:val="0"/>
                <w:sz w:val="24"/>
              </w:rPr>
              <w:t>经以上分析，生物除臭系统作为一个新型的除臭处理方法，与一般的方法相比，具有：范围广、去除率高、运行管理方便、运作成本低、维修少、无需使用有害的化学药品、处理后无二次污染、使用寿命长等优点，是目前比较理想的除臭方法之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综合考虑，本项目污水处理方案为：项目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七、</w:t>
            </w:r>
            <w:r>
              <w:rPr>
                <w:rFonts w:hint="eastAsia" w:asciiTheme="minorEastAsia" w:hAnsiTheme="minorEastAsia" w:eastAsiaTheme="minorEastAsia"/>
                <w:kern w:val="10"/>
                <w:sz w:val="24"/>
              </w:rPr>
              <w:t>污水处理厂构筑物</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、污水处理厂构筑物内容表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11</w:t>
            </w:r>
            <w:r>
              <w:rPr>
                <w:rFonts w:hint="eastAsia" w:asciiTheme="minorEastAsia" w:hAnsiTheme="minorEastAsia" w:eastAsiaTheme="minorEastAsia"/>
                <w:kern w:val="10"/>
                <w:sz w:val="24"/>
              </w:rPr>
              <w:t xml:space="preserve">      污水处理厂构筑物内容表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09"/>
              <w:gridCol w:w="1205"/>
              <w:gridCol w:w="2429"/>
              <w:gridCol w:w="1328"/>
              <w:gridCol w:w="824"/>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Align w:val="center"/>
                </w:tcPr>
                <w:p>
                  <w:pPr>
                    <w:tabs>
                      <w:tab w:val="left" w:pos="1710"/>
                    </w:tabs>
                    <w:autoSpaceDE w:val="0"/>
                    <w:autoSpaceDN w:val="0"/>
                    <w:adjustRightInd w:val="0"/>
                    <w:spacing w:line="400" w:lineRule="exact"/>
                    <w:jc w:val="center"/>
                    <w:rPr>
                      <w:rFonts w:ascii="宋体" w:hAnsi="宋体"/>
                      <w:kern w:val="10"/>
                      <w:szCs w:val="21"/>
                    </w:rPr>
                  </w:pPr>
                  <w:r>
                    <w:rPr>
                      <w:rFonts w:hint="eastAsia" w:ascii="宋体" w:hAnsi="宋体" w:cs="宋体"/>
                      <w:b/>
                      <w:bCs/>
                      <w:kern w:val="0"/>
                      <w:szCs w:val="21"/>
                    </w:rPr>
                    <w:t>序号</w:t>
                  </w:r>
                </w:p>
              </w:tc>
              <w:tc>
                <w:tcPr>
                  <w:tcW w:w="1914" w:type="dxa"/>
                  <w:gridSpan w:val="2"/>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名称</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规格（</w:t>
                  </w:r>
                  <w:r>
                    <w:rPr>
                      <w:rFonts w:ascii="宋体" w:hAnsi="宋体" w:cs="宋体"/>
                      <w:b/>
                      <w:bCs/>
                      <w:kern w:val="0"/>
                      <w:szCs w:val="21"/>
                    </w:rPr>
                    <w:t>m</w:t>
                  </w:r>
                  <w:r>
                    <w:rPr>
                      <w:rFonts w:hint="eastAsia" w:ascii="宋体" w:hAnsi="宋体" w:cs="宋体"/>
                      <w:b/>
                      <w:bCs/>
                      <w:kern w:val="0"/>
                      <w:szCs w:val="21"/>
                    </w:rPr>
                    <w:t>）</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结构形式</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单位</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restart"/>
                  <w:vAlign w:val="center"/>
                </w:tcPr>
                <w:p>
                  <w:pPr>
                    <w:tabs>
                      <w:tab w:val="left" w:pos="1710"/>
                    </w:tabs>
                    <w:autoSpaceDE w:val="0"/>
                    <w:autoSpaceDN w:val="0"/>
                    <w:adjustRightInd w:val="0"/>
                    <w:spacing w:line="360" w:lineRule="exact"/>
                    <w:jc w:val="center"/>
                    <w:rPr>
                      <w:rFonts w:ascii="宋体" w:hAnsi="宋体"/>
                      <w:kern w:val="10"/>
                      <w:szCs w:val="21"/>
                    </w:rPr>
                  </w:pPr>
                  <w:r>
                    <w:rPr>
                      <w:rFonts w:ascii="宋体" w:hAnsi="宋体" w:cs="宋体"/>
                      <w:kern w:val="0"/>
                      <w:szCs w:val="21"/>
                    </w:rPr>
                    <w:t>1</w:t>
                  </w:r>
                </w:p>
              </w:tc>
              <w:tc>
                <w:tcPr>
                  <w:tcW w:w="709" w:type="dxa"/>
                  <w:vMerge w:val="restart"/>
                  <w:vAlign w:val="center"/>
                </w:tcPr>
                <w:p>
                  <w:pPr>
                    <w:kinsoku w:val="0"/>
                    <w:overflowPunct w:val="0"/>
                    <w:autoSpaceDE w:val="0"/>
                    <w:autoSpaceDN w:val="0"/>
                    <w:adjustRightInd w:val="0"/>
                    <w:spacing w:line="400" w:lineRule="exact"/>
                    <w:jc w:val="center"/>
                    <w:rPr>
                      <w:rFonts w:ascii="宋体" w:hAnsi="宋体"/>
                      <w:kern w:val="10"/>
                      <w:szCs w:val="21"/>
                    </w:rPr>
                  </w:pPr>
                  <w:r>
                    <w:rPr>
                      <w:rFonts w:hint="eastAsia" w:ascii="宋体" w:hAnsi="宋体" w:cs="宋体"/>
                      <w:kern w:val="0"/>
                      <w:szCs w:val="21"/>
                    </w:rPr>
                    <w:t>预处理及污泥脱水间</w:t>
                  </w: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进水井</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L*B*H=3.2*2.0*6.0m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粗格栅渠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L*B*H=6.4*0.8*5.5m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提升井</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L*B*H=4.0*2.5*8.0m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调节池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L*B*H=15.0*7.3*5.0m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340" w:lineRule="exact"/>
                    <w:jc w:val="center"/>
                    <w:rPr>
                      <w:rFonts w:ascii="宋体" w:hAnsi="宋体"/>
                      <w:kern w:val="0"/>
                      <w:szCs w:val="21"/>
                    </w:rPr>
                  </w:pPr>
                  <w:r>
                    <w:rPr>
                      <w:rFonts w:hint="eastAsia" w:ascii="宋体" w:hAnsi="宋体" w:cs="宋体"/>
                      <w:kern w:val="0"/>
                      <w:sz w:val="18"/>
                      <w:szCs w:val="21"/>
                    </w:rPr>
                    <w:t>预处理及污泥脱水间</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L*B*H=30.9*7.8*6.0m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地上、框架</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幢</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restart"/>
                  <w:vAlign w:val="center"/>
                </w:tcPr>
                <w:p>
                  <w:pPr>
                    <w:tabs>
                      <w:tab w:val="left" w:pos="1710"/>
                    </w:tabs>
                    <w:autoSpaceDE w:val="0"/>
                    <w:autoSpaceDN w:val="0"/>
                    <w:adjustRightInd w:val="0"/>
                    <w:spacing w:line="360" w:lineRule="exact"/>
                    <w:jc w:val="center"/>
                    <w:rPr>
                      <w:rFonts w:ascii="宋体" w:hAnsi="宋体"/>
                      <w:kern w:val="10"/>
                      <w:szCs w:val="21"/>
                    </w:rPr>
                  </w:pPr>
                  <w:r>
                    <w:rPr>
                      <w:rFonts w:hint="eastAsia" w:ascii="宋体" w:hAnsi="宋体"/>
                      <w:kern w:val="10"/>
                      <w:szCs w:val="21"/>
                    </w:rPr>
                    <w:t>2</w:t>
                  </w:r>
                </w:p>
              </w:tc>
              <w:tc>
                <w:tcPr>
                  <w:tcW w:w="709" w:type="dxa"/>
                  <w:vMerge w:val="restart"/>
                  <w:vAlign w:val="center"/>
                </w:tcPr>
                <w:p>
                  <w:pPr>
                    <w:tabs>
                      <w:tab w:val="left" w:pos="1710"/>
                    </w:tabs>
                    <w:autoSpaceDE w:val="0"/>
                    <w:autoSpaceDN w:val="0"/>
                    <w:adjustRightInd w:val="0"/>
                    <w:spacing w:line="400" w:lineRule="exact"/>
                    <w:jc w:val="center"/>
                    <w:rPr>
                      <w:rFonts w:ascii="宋体" w:hAnsi="宋体"/>
                      <w:kern w:val="10"/>
                      <w:szCs w:val="21"/>
                    </w:rPr>
                  </w:pPr>
                  <w:r>
                    <w:rPr>
                      <w:rFonts w:hint="eastAsia" w:ascii="宋体" w:hAnsi="宋体" w:cs="宋体"/>
                      <w:kern w:val="0"/>
                      <w:szCs w:val="21"/>
                    </w:rPr>
                    <w:t>生化池、膜池及</w:t>
                  </w:r>
                  <w:r>
                    <w:rPr>
                      <w:rFonts w:ascii="宋体" w:hAnsi="宋体" w:cs="宋体"/>
                      <w:kern w:val="0"/>
                      <w:szCs w:val="21"/>
                    </w:rPr>
                    <w:t>MBR</w:t>
                  </w:r>
                  <w:r>
                    <w:rPr>
                      <w:rFonts w:hint="eastAsia" w:ascii="宋体" w:hAnsi="宋体" w:cs="宋体"/>
                      <w:kern w:val="0"/>
                      <w:szCs w:val="21"/>
                    </w:rPr>
                    <w:t>膜车间</w:t>
                  </w: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厌氧池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L*B*H=15.0*1.2*5.5m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缺氧池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L*B*H=15.0*3.0*5.5m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好氧池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L*B*H=15.0*5.2*5.5m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MBR</w:t>
                  </w:r>
                  <w:r>
                    <w:rPr>
                      <w:rFonts w:ascii="宋体" w:hAnsi="宋体" w:cs="宋体"/>
                      <w:spacing w:val="-60"/>
                      <w:kern w:val="0"/>
                      <w:szCs w:val="21"/>
                    </w:rPr>
                    <w:t xml:space="preserve"> </w:t>
                  </w:r>
                  <w:r>
                    <w:rPr>
                      <w:rFonts w:hint="eastAsia" w:ascii="宋体" w:hAnsi="宋体" w:cs="宋体"/>
                      <w:kern w:val="0"/>
                      <w:szCs w:val="21"/>
                    </w:rPr>
                    <w:t>膜池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L*B*H=13.1*3.25*5.5m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离线清洗池</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L*B*H=3.25*1.3*5.5m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地下设备间</w:t>
                  </w:r>
                </w:p>
              </w:tc>
              <w:tc>
                <w:tcPr>
                  <w:tcW w:w="24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L*B*H=6.2*15.0*5.5m</w:t>
                  </w:r>
                </w:p>
              </w:tc>
              <w:tc>
                <w:tcPr>
                  <w:tcW w:w="132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2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98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05"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hint="eastAsia" w:ascii="宋体" w:hAnsi="宋体" w:cs="宋体"/>
                      <w:kern w:val="0"/>
                      <w:szCs w:val="21"/>
                    </w:rPr>
                    <w:t>生化车间</w:t>
                  </w:r>
                </w:p>
              </w:tc>
              <w:tc>
                <w:tcPr>
                  <w:tcW w:w="2429"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ascii="宋体" w:hAnsi="宋体" w:cs="宋体"/>
                      <w:kern w:val="0"/>
                      <w:szCs w:val="21"/>
                    </w:rPr>
                    <w:t>L*B*H=15.6*10.3*3.6m</w:t>
                  </w:r>
                </w:p>
              </w:tc>
              <w:tc>
                <w:tcPr>
                  <w:tcW w:w="1328"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hint="eastAsia" w:ascii="宋体" w:hAnsi="宋体" w:cs="宋体"/>
                      <w:kern w:val="0"/>
                      <w:szCs w:val="21"/>
                    </w:rPr>
                    <w:t>地上、框架</w:t>
                  </w:r>
                </w:p>
              </w:tc>
              <w:tc>
                <w:tcPr>
                  <w:tcW w:w="824" w:type="dxa"/>
                  <w:vAlign w:val="center"/>
                </w:tcPr>
                <w:p>
                  <w:pPr>
                    <w:kinsoku w:val="0"/>
                    <w:overflowPunct w:val="0"/>
                    <w:autoSpaceDE w:val="0"/>
                    <w:autoSpaceDN w:val="0"/>
                    <w:adjustRightInd w:val="0"/>
                    <w:spacing w:line="400" w:lineRule="exact"/>
                    <w:ind w:left="227"/>
                    <w:jc w:val="center"/>
                    <w:rPr>
                      <w:rFonts w:ascii="宋体" w:hAnsi="宋体" w:cs="宋体"/>
                      <w:kern w:val="0"/>
                      <w:szCs w:val="21"/>
                    </w:rPr>
                  </w:pPr>
                  <w:r>
                    <w:rPr>
                      <w:rFonts w:hint="eastAsia" w:ascii="宋体" w:hAnsi="宋体" w:cs="宋体"/>
                      <w:kern w:val="0"/>
                      <w:szCs w:val="21"/>
                    </w:rPr>
                    <w:t>幢</w:t>
                  </w:r>
                </w:p>
              </w:tc>
              <w:tc>
                <w:tcPr>
                  <w:tcW w:w="985" w:type="dxa"/>
                  <w:vAlign w:val="center"/>
                </w:tcPr>
                <w:p>
                  <w:pPr>
                    <w:kinsoku w:val="0"/>
                    <w:overflowPunct w:val="0"/>
                    <w:autoSpaceDE w:val="0"/>
                    <w:autoSpaceDN w:val="0"/>
                    <w:adjustRightInd w:val="0"/>
                    <w:spacing w:line="400" w:lineRule="exact"/>
                    <w:ind w:left="5"/>
                    <w:jc w:val="center"/>
                    <w:rPr>
                      <w:rFonts w:ascii="宋体" w:hAnsi="宋体" w:cs="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Align w:val="center"/>
                </w:tcPr>
                <w:p>
                  <w:pPr>
                    <w:kinsoku w:val="0"/>
                    <w:overflowPunct w:val="0"/>
                    <w:autoSpaceDE w:val="0"/>
                    <w:autoSpaceDN w:val="0"/>
                    <w:adjustRightInd w:val="0"/>
                    <w:spacing w:line="360" w:lineRule="exact"/>
                    <w:jc w:val="center"/>
                    <w:rPr>
                      <w:kern w:val="0"/>
                      <w:sz w:val="24"/>
                    </w:rPr>
                  </w:pPr>
                  <w:r>
                    <w:rPr>
                      <w:rFonts w:ascii="宋体" w:cs="宋体"/>
                      <w:kern w:val="0"/>
                      <w:sz w:val="24"/>
                    </w:rPr>
                    <w:t>3</w:t>
                  </w:r>
                </w:p>
              </w:tc>
              <w:tc>
                <w:tcPr>
                  <w:tcW w:w="1914" w:type="dxa"/>
                  <w:gridSpan w:val="2"/>
                  <w:vAlign w:val="center"/>
                </w:tcPr>
                <w:p>
                  <w:pPr>
                    <w:kinsoku w:val="0"/>
                    <w:overflowPunct w:val="0"/>
                    <w:autoSpaceDE w:val="0"/>
                    <w:autoSpaceDN w:val="0"/>
                    <w:adjustRightInd w:val="0"/>
                    <w:spacing w:before="117"/>
                    <w:rPr>
                      <w:kern w:val="0"/>
                      <w:sz w:val="24"/>
                    </w:rPr>
                  </w:pPr>
                  <w:r>
                    <w:rPr>
                      <w:rFonts w:hint="eastAsia" w:ascii="宋体" w:cs="宋体"/>
                      <w:kern w:val="0"/>
                    </w:rPr>
                    <w:t>深度处理间</w:t>
                  </w:r>
                </w:p>
              </w:tc>
              <w:tc>
                <w:tcPr>
                  <w:tcW w:w="2429" w:type="dxa"/>
                  <w:vAlign w:val="center"/>
                </w:tcPr>
                <w:p>
                  <w:pPr>
                    <w:kinsoku w:val="0"/>
                    <w:overflowPunct w:val="0"/>
                    <w:autoSpaceDE w:val="0"/>
                    <w:autoSpaceDN w:val="0"/>
                    <w:adjustRightInd w:val="0"/>
                    <w:spacing w:line="274" w:lineRule="exact"/>
                    <w:jc w:val="center"/>
                    <w:rPr>
                      <w:rFonts w:ascii="宋体" w:cs="宋体"/>
                      <w:kern w:val="0"/>
                      <w:sz w:val="24"/>
                    </w:rPr>
                  </w:pPr>
                  <w:r>
                    <w:rPr>
                      <w:rFonts w:ascii="宋体" w:cs="宋体"/>
                      <w:kern w:val="0"/>
                      <w:sz w:val="24"/>
                    </w:rPr>
                    <w:t>L*B*H=27.2*1</w:t>
                  </w:r>
                </w:p>
                <w:p>
                  <w:pPr>
                    <w:kinsoku w:val="0"/>
                    <w:overflowPunct w:val="0"/>
                    <w:autoSpaceDE w:val="0"/>
                    <w:autoSpaceDN w:val="0"/>
                    <w:adjustRightInd w:val="0"/>
                    <w:spacing w:line="313" w:lineRule="exact"/>
                    <w:jc w:val="center"/>
                    <w:rPr>
                      <w:kern w:val="0"/>
                      <w:sz w:val="24"/>
                    </w:rPr>
                  </w:pPr>
                  <w:r>
                    <w:rPr>
                      <w:rFonts w:ascii="宋体" w:cs="宋体"/>
                      <w:kern w:val="0"/>
                      <w:sz w:val="24"/>
                    </w:rPr>
                    <w:t>0.2*6.0m</w:t>
                  </w:r>
                </w:p>
              </w:tc>
              <w:tc>
                <w:tcPr>
                  <w:tcW w:w="1328" w:type="dxa"/>
                  <w:vAlign w:val="center"/>
                </w:tcPr>
                <w:p>
                  <w:pPr>
                    <w:kinsoku w:val="0"/>
                    <w:overflowPunct w:val="0"/>
                    <w:autoSpaceDE w:val="0"/>
                    <w:autoSpaceDN w:val="0"/>
                    <w:adjustRightInd w:val="0"/>
                    <w:spacing w:line="274" w:lineRule="exact"/>
                    <w:jc w:val="center"/>
                    <w:rPr>
                      <w:rFonts w:ascii="宋体" w:cs="宋体"/>
                      <w:kern w:val="0"/>
                      <w:sz w:val="24"/>
                    </w:rPr>
                  </w:pPr>
                  <w:r>
                    <w:rPr>
                      <w:rFonts w:hint="eastAsia" w:ascii="宋体" w:cs="宋体"/>
                      <w:kern w:val="0"/>
                      <w:sz w:val="24"/>
                    </w:rPr>
                    <w:t>地上、框</w:t>
                  </w:r>
                </w:p>
                <w:p>
                  <w:pPr>
                    <w:kinsoku w:val="0"/>
                    <w:overflowPunct w:val="0"/>
                    <w:autoSpaceDE w:val="0"/>
                    <w:autoSpaceDN w:val="0"/>
                    <w:adjustRightInd w:val="0"/>
                    <w:spacing w:line="313" w:lineRule="exact"/>
                    <w:jc w:val="center"/>
                    <w:rPr>
                      <w:kern w:val="0"/>
                      <w:sz w:val="24"/>
                    </w:rPr>
                  </w:pPr>
                  <w:r>
                    <w:rPr>
                      <w:rFonts w:hint="eastAsia" w:ascii="宋体" w:cs="宋体"/>
                      <w:kern w:val="0"/>
                      <w:sz w:val="24"/>
                    </w:rPr>
                    <w:t>架</w:t>
                  </w:r>
                </w:p>
              </w:tc>
              <w:tc>
                <w:tcPr>
                  <w:tcW w:w="824" w:type="dxa"/>
                  <w:vAlign w:val="center"/>
                </w:tcPr>
                <w:p>
                  <w:pPr>
                    <w:kinsoku w:val="0"/>
                    <w:overflowPunct w:val="0"/>
                    <w:autoSpaceDE w:val="0"/>
                    <w:autoSpaceDN w:val="0"/>
                    <w:adjustRightInd w:val="0"/>
                    <w:spacing w:before="117"/>
                    <w:ind w:left="227"/>
                    <w:jc w:val="center"/>
                    <w:rPr>
                      <w:kern w:val="0"/>
                      <w:sz w:val="24"/>
                    </w:rPr>
                  </w:pPr>
                  <w:r>
                    <w:rPr>
                      <w:rFonts w:hint="eastAsia" w:ascii="宋体" w:cs="宋体"/>
                      <w:kern w:val="0"/>
                      <w:sz w:val="24"/>
                    </w:rPr>
                    <w:t>幢</w:t>
                  </w:r>
                </w:p>
              </w:tc>
              <w:tc>
                <w:tcPr>
                  <w:tcW w:w="985" w:type="dxa"/>
                  <w:vAlign w:val="center"/>
                </w:tcPr>
                <w:p>
                  <w:pPr>
                    <w:kinsoku w:val="0"/>
                    <w:overflowPunct w:val="0"/>
                    <w:autoSpaceDE w:val="0"/>
                    <w:autoSpaceDN w:val="0"/>
                    <w:adjustRightInd w:val="0"/>
                    <w:spacing w:before="117"/>
                    <w:ind w:left="5"/>
                    <w:jc w:val="center"/>
                    <w:rPr>
                      <w:kern w:val="0"/>
                      <w:sz w:val="24"/>
                    </w:rPr>
                  </w:pPr>
                  <w:r>
                    <w:rPr>
                      <w:rFonts w:asci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4</w:t>
                  </w:r>
                </w:p>
              </w:tc>
              <w:tc>
                <w:tcPr>
                  <w:tcW w:w="1914" w:type="dxa"/>
                  <w:gridSpan w:val="2"/>
                  <w:vAlign w:val="center"/>
                </w:tcPr>
                <w:p>
                  <w:pPr>
                    <w:kinsoku w:val="0"/>
                    <w:overflowPunct w:val="0"/>
                    <w:autoSpaceDE w:val="0"/>
                    <w:autoSpaceDN w:val="0"/>
                    <w:adjustRightInd w:val="0"/>
                    <w:spacing w:before="115"/>
                    <w:jc w:val="center"/>
                    <w:rPr>
                      <w:rFonts w:asciiTheme="minorEastAsia" w:hAnsiTheme="minorEastAsia" w:eastAsiaTheme="minorEastAsia"/>
                      <w:kern w:val="0"/>
                    </w:rPr>
                  </w:pPr>
                  <w:r>
                    <w:rPr>
                      <w:rFonts w:hint="eastAsia" w:cs="宋体" w:asciiTheme="minorEastAsia" w:hAnsiTheme="minorEastAsia" w:eastAsiaTheme="minorEastAsia"/>
                      <w:kern w:val="0"/>
                    </w:rPr>
                    <w:t>综合辅助用房</w:t>
                  </w:r>
                </w:p>
              </w:tc>
              <w:tc>
                <w:tcPr>
                  <w:tcW w:w="2429" w:type="dxa"/>
                  <w:vAlign w:val="center"/>
                </w:tcPr>
                <w:p>
                  <w:pPr>
                    <w:kinsoku w:val="0"/>
                    <w:overflowPunct w:val="0"/>
                    <w:autoSpaceDE w:val="0"/>
                    <w:autoSpaceDN w:val="0"/>
                    <w:adjustRightInd w:val="0"/>
                    <w:spacing w:line="273" w:lineRule="exact"/>
                    <w:jc w:val="center"/>
                    <w:rPr>
                      <w:rFonts w:asciiTheme="minorEastAsia" w:hAnsiTheme="minorEastAsia" w:eastAsiaTheme="minorEastAsia"/>
                      <w:kern w:val="0"/>
                    </w:rPr>
                  </w:pPr>
                  <w:r>
                    <w:rPr>
                      <w:rFonts w:cs="宋体" w:asciiTheme="minorEastAsia" w:hAnsiTheme="minorEastAsia" w:eastAsiaTheme="minorEastAsia"/>
                      <w:kern w:val="0"/>
                    </w:rPr>
                    <w:t>L*B*H=38.0*9.0*4.5m</w:t>
                  </w:r>
                </w:p>
              </w:tc>
              <w:tc>
                <w:tcPr>
                  <w:tcW w:w="1328" w:type="dxa"/>
                  <w:vAlign w:val="center"/>
                </w:tcPr>
                <w:p>
                  <w:pPr>
                    <w:kinsoku w:val="0"/>
                    <w:overflowPunct w:val="0"/>
                    <w:autoSpaceDE w:val="0"/>
                    <w:autoSpaceDN w:val="0"/>
                    <w:adjustRightInd w:val="0"/>
                    <w:spacing w:line="273"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地上、砖</w:t>
                  </w:r>
                </w:p>
                <w:p>
                  <w:pPr>
                    <w:kinsoku w:val="0"/>
                    <w:overflowPunct w:val="0"/>
                    <w:autoSpaceDE w:val="0"/>
                    <w:autoSpaceDN w:val="0"/>
                    <w:adjustRightInd w:val="0"/>
                    <w:spacing w:line="312" w:lineRule="exact"/>
                    <w:jc w:val="center"/>
                    <w:rPr>
                      <w:rFonts w:asciiTheme="minorEastAsia" w:hAnsiTheme="minorEastAsia" w:eastAsiaTheme="minorEastAsia"/>
                      <w:kern w:val="0"/>
                    </w:rPr>
                  </w:pPr>
                  <w:r>
                    <w:rPr>
                      <w:rFonts w:hint="eastAsia" w:cs="宋体" w:asciiTheme="minorEastAsia" w:hAnsiTheme="minorEastAsia" w:eastAsiaTheme="minorEastAsia"/>
                      <w:kern w:val="0"/>
                    </w:rPr>
                    <w:t>混</w:t>
                  </w:r>
                </w:p>
              </w:tc>
              <w:tc>
                <w:tcPr>
                  <w:tcW w:w="824" w:type="dxa"/>
                  <w:vAlign w:val="center"/>
                </w:tcPr>
                <w:p>
                  <w:pPr>
                    <w:kinsoku w:val="0"/>
                    <w:overflowPunct w:val="0"/>
                    <w:autoSpaceDE w:val="0"/>
                    <w:autoSpaceDN w:val="0"/>
                    <w:adjustRightInd w:val="0"/>
                    <w:spacing w:before="115"/>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幢</w:t>
                  </w:r>
                </w:p>
              </w:tc>
              <w:tc>
                <w:tcPr>
                  <w:tcW w:w="985" w:type="dxa"/>
                  <w:vAlign w:val="center"/>
                </w:tcPr>
                <w:p>
                  <w:pPr>
                    <w:kinsoku w:val="0"/>
                    <w:overflowPunct w:val="0"/>
                    <w:autoSpaceDE w:val="0"/>
                    <w:autoSpaceDN w:val="0"/>
                    <w:adjustRightInd w:val="0"/>
                    <w:spacing w:before="115"/>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5</w:t>
                  </w:r>
                </w:p>
              </w:tc>
              <w:tc>
                <w:tcPr>
                  <w:tcW w:w="1914" w:type="dxa"/>
                  <w:gridSpan w:val="2"/>
                  <w:vAlign w:val="center"/>
                </w:tcPr>
                <w:p>
                  <w:pPr>
                    <w:kinsoku w:val="0"/>
                    <w:overflowPunct w:val="0"/>
                    <w:autoSpaceDE w:val="0"/>
                    <w:autoSpaceDN w:val="0"/>
                    <w:adjustRightInd w:val="0"/>
                    <w:spacing w:before="32"/>
                    <w:jc w:val="center"/>
                    <w:rPr>
                      <w:rFonts w:asciiTheme="minorEastAsia" w:hAnsiTheme="minorEastAsia" w:eastAsiaTheme="minorEastAsia"/>
                      <w:kern w:val="0"/>
                    </w:rPr>
                  </w:pPr>
                  <w:r>
                    <w:rPr>
                      <w:rFonts w:hint="eastAsia" w:cs="宋体" w:asciiTheme="minorEastAsia" w:hAnsiTheme="minorEastAsia" w:eastAsiaTheme="minorEastAsia"/>
                      <w:kern w:val="0"/>
                    </w:rPr>
                    <w:t>空气源热泵机房</w:t>
                  </w:r>
                </w:p>
              </w:tc>
              <w:tc>
                <w:tcPr>
                  <w:tcW w:w="2429" w:type="dxa"/>
                  <w:vAlign w:val="center"/>
                </w:tcPr>
                <w:p>
                  <w:pPr>
                    <w:kinsoku w:val="0"/>
                    <w:overflowPunct w:val="0"/>
                    <w:autoSpaceDE w:val="0"/>
                    <w:autoSpaceDN w:val="0"/>
                    <w:adjustRightInd w:val="0"/>
                    <w:spacing w:before="88"/>
                    <w:jc w:val="center"/>
                    <w:rPr>
                      <w:rFonts w:asciiTheme="minorEastAsia" w:hAnsiTheme="minorEastAsia" w:eastAsiaTheme="minorEastAsia"/>
                      <w:kern w:val="0"/>
                    </w:rPr>
                  </w:pPr>
                  <w:r>
                    <w:rPr>
                      <w:rFonts w:asciiTheme="minorEastAsia" w:hAnsiTheme="minorEastAsia" w:eastAsiaTheme="minorEastAsia"/>
                      <w:kern w:val="0"/>
                    </w:rPr>
                    <w:t>60m</w:t>
                  </w:r>
                  <w:r>
                    <w:rPr>
                      <w:rFonts w:asciiTheme="minorEastAsia" w:hAnsiTheme="minorEastAsia" w:eastAsiaTheme="minorEastAsia"/>
                      <w:kern w:val="0"/>
                      <w:vertAlign w:val="superscript"/>
                    </w:rPr>
                    <w:t>2</w:t>
                  </w:r>
                </w:p>
              </w:tc>
              <w:tc>
                <w:tcPr>
                  <w:tcW w:w="1328" w:type="dxa"/>
                  <w:vAlign w:val="center"/>
                </w:tcPr>
                <w:p>
                  <w:pPr>
                    <w:kinsoku w:val="0"/>
                    <w:overflowPunct w:val="0"/>
                    <w:autoSpaceDE w:val="0"/>
                    <w:autoSpaceDN w:val="0"/>
                    <w:adjustRightInd w:val="0"/>
                    <w:spacing w:before="32"/>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824" w:type="dxa"/>
                  <w:vAlign w:val="center"/>
                </w:tcPr>
                <w:p>
                  <w:pPr>
                    <w:kinsoku w:val="0"/>
                    <w:overflowPunct w:val="0"/>
                    <w:autoSpaceDE w:val="0"/>
                    <w:autoSpaceDN w:val="0"/>
                    <w:adjustRightInd w:val="0"/>
                    <w:spacing w:before="88"/>
                    <w:ind w:right="1"/>
                    <w:jc w:val="center"/>
                    <w:rPr>
                      <w:rFonts w:asciiTheme="minorEastAsia" w:hAnsiTheme="minorEastAsia" w:eastAsiaTheme="minorEastAsia"/>
                      <w:kern w:val="0"/>
                    </w:rPr>
                  </w:pPr>
                  <w:r>
                    <w:rPr>
                      <w:rFonts w:asciiTheme="minorEastAsia" w:hAnsiTheme="minorEastAsia" w:eastAsiaTheme="minorEastAsia"/>
                      <w:kern w:val="0"/>
                    </w:rPr>
                    <w:t>1</w:t>
                  </w:r>
                </w:p>
              </w:tc>
              <w:tc>
                <w:tcPr>
                  <w:tcW w:w="985" w:type="dxa"/>
                  <w:vAlign w:val="center"/>
                </w:tcPr>
                <w:p>
                  <w:pPr>
                    <w:kinsoku w:val="0"/>
                    <w:overflowPunct w:val="0"/>
                    <w:autoSpaceDE w:val="0"/>
                    <w:autoSpaceDN w:val="0"/>
                    <w:adjustRightInd w:val="0"/>
                    <w:spacing w:before="32"/>
                    <w:ind w:left="130"/>
                    <w:jc w:val="center"/>
                    <w:rPr>
                      <w:rFonts w:asciiTheme="minorEastAsia" w:hAnsiTheme="minorEastAsia" w:eastAsiaTheme="minorEastAsia"/>
                      <w:kern w:val="0"/>
                    </w:rPr>
                  </w:pPr>
                  <w:r>
                    <w:rPr>
                      <w:rFonts w:hint="eastAsia" w:cs="宋体" w:asciiTheme="minorEastAsia" w:hAnsiTheme="minorEastAsia" w:eastAsiaTheme="minorEastAsia"/>
                      <w:kern w:val="0"/>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714"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6</w:t>
                  </w:r>
                </w:p>
              </w:tc>
              <w:tc>
                <w:tcPr>
                  <w:tcW w:w="1914" w:type="dxa"/>
                  <w:gridSpan w:val="2"/>
                  <w:vAlign w:val="center"/>
                </w:tcPr>
                <w:p>
                  <w:pPr>
                    <w:kinsoku w:val="0"/>
                    <w:overflowPunct w:val="0"/>
                    <w:autoSpaceDE w:val="0"/>
                    <w:autoSpaceDN w:val="0"/>
                    <w:adjustRightInd w:val="0"/>
                    <w:spacing w:before="118"/>
                    <w:jc w:val="center"/>
                    <w:rPr>
                      <w:rFonts w:asciiTheme="minorEastAsia" w:hAnsiTheme="minorEastAsia" w:eastAsiaTheme="minorEastAsia"/>
                      <w:kern w:val="0"/>
                    </w:rPr>
                  </w:pPr>
                  <w:r>
                    <w:rPr>
                      <w:rFonts w:hint="eastAsia" w:cs="宋体" w:asciiTheme="minorEastAsia" w:hAnsiTheme="minorEastAsia" w:eastAsiaTheme="minorEastAsia"/>
                      <w:kern w:val="0"/>
                    </w:rPr>
                    <w:t>接触消毒池</w:t>
                  </w:r>
                </w:p>
              </w:tc>
              <w:tc>
                <w:tcPr>
                  <w:tcW w:w="2429" w:type="dxa"/>
                  <w:vAlign w:val="center"/>
                </w:tcPr>
                <w:p>
                  <w:pPr>
                    <w:kinsoku w:val="0"/>
                    <w:overflowPunct w:val="0"/>
                    <w:autoSpaceDE w:val="0"/>
                    <w:autoSpaceDN w:val="0"/>
                    <w:adjustRightInd w:val="0"/>
                    <w:spacing w:line="275" w:lineRule="exact"/>
                    <w:jc w:val="center"/>
                    <w:rPr>
                      <w:rFonts w:asciiTheme="minorEastAsia" w:hAnsiTheme="minorEastAsia" w:eastAsiaTheme="minorEastAsia"/>
                      <w:kern w:val="0"/>
                    </w:rPr>
                  </w:pPr>
                  <w:r>
                    <w:rPr>
                      <w:rFonts w:cs="宋体" w:asciiTheme="minorEastAsia" w:hAnsiTheme="minorEastAsia" w:eastAsiaTheme="minorEastAsia"/>
                      <w:kern w:val="0"/>
                    </w:rPr>
                    <w:t>L*B*H=5.6*3.0*5.0m</w:t>
                  </w:r>
                </w:p>
              </w:tc>
              <w:tc>
                <w:tcPr>
                  <w:tcW w:w="1328" w:type="dxa"/>
                  <w:vAlign w:val="center"/>
                </w:tcPr>
                <w:p>
                  <w:pPr>
                    <w:kinsoku w:val="0"/>
                    <w:overflowPunct w:val="0"/>
                    <w:autoSpaceDE w:val="0"/>
                    <w:autoSpaceDN w:val="0"/>
                    <w:adjustRightInd w:val="0"/>
                    <w:spacing w:line="275" w:lineRule="exact"/>
                    <w:jc w:val="center"/>
                    <w:rPr>
                      <w:rFonts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24"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98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714"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914"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巴氏计量渠</w:t>
                  </w:r>
                </w:p>
              </w:tc>
              <w:tc>
                <w:tcPr>
                  <w:tcW w:w="2429"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L*B*H=9.0*1.0*2.5m</w:t>
                  </w:r>
                </w:p>
              </w:tc>
              <w:tc>
                <w:tcPr>
                  <w:tcW w:w="132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24"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98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714"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914"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清水池</w:t>
                  </w:r>
                </w:p>
              </w:tc>
              <w:tc>
                <w:tcPr>
                  <w:tcW w:w="2429"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L*B*H=3.0*3.0*5.0m</w:t>
                  </w:r>
                </w:p>
              </w:tc>
              <w:tc>
                <w:tcPr>
                  <w:tcW w:w="132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24"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98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4"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9</w:t>
                  </w:r>
                </w:p>
              </w:tc>
              <w:tc>
                <w:tcPr>
                  <w:tcW w:w="1914"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污泥池</w:t>
                  </w:r>
                </w:p>
              </w:tc>
              <w:tc>
                <w:tcPr>
                  <w:tcW w:w="2429"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L*B*H=5.8*3.5*3.0m</w:t>
                  </w:r>
                </w:p>
              </w:tc>
              <w:tc>
                <w:tcPr>
                  <w:tcW w:w="132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24"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98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bl>
          <w:p>
            <w:pPr>
              <w:spacing w:line="500" w:lineRule="exact"/>
              <w:ind w:firstLine="480" w:firstLineChars="200"/>
              <w:rPr>
                <w:rFonts w:asciiTheme="minorEastAsia" w:hAnsiTheme="minorEastAsia" w:eastAsiaTheme="minorEastAsia"/>
                <w:kern w:val="10"/>
                <w:sz w:val="24"/>
              </w:rPr>
            </w:pPr>
            <w:bookmarkStart w:id="11" w:name="7.1.11_主要工艺设备清单"/>
            <w:bookmarkEnd w:id="11"/>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主要生产设备</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12</w:t>
            </w:r>
            <w:r>
              <w:rPr>
                <w:rFonts w:hint="eastAsia" w:asciiTheme="minorEastAsia" w:hAnsiTheme="minorEastAsia" w:eastAsiaTheme="minorEastAsia"/>
                <w:kern w:val="10"/>
                <w:sz w:val="24"/>
              </w:rPr>
              <w:t xml:space="preserve">    污水处理厂主要生产设备明细表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
              <w:gridCol w:w="503"/>
              <w:gridCol w:w="1563"/>
              <w:gridCol w:w="2947"/>
              <w:gridCol w:w="11"/>
              <w:gridCol w:w="688"/>
              <w:gridCol w:w="70"/>
              <w:gridCol w:w="689"/>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5" w:type="pct"/>
                <w:trHeight w:val="456"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序号</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bookmarkStart w:id="12" w:name="7.2.9_主要工艺设备清单"/>
                  <w:bookmarkEnd w:id="12"/>
                  <w:r>
                    <w:rPr>
                      <w:rFonts w:hint="eastAsia" w:cs="宋体" w:asciiTheme="minorEastAsia" w:hAnsiTheme="minorEastAsia" w:eastAsiaTheme="minorEastAsia"/>
                      <w:b/>
                      <w:bCs/>
                      <w:kern w:val="0"/>
                      <w:szCs w:val="21"/>
                    </w:rPr>
                    <w:t>名称</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规格、型号</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数量</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单位</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469"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一</w:t>
                  </w:r>
                </w:p>
              </w:tc>
              <w:tc>
                <w:tcPr>
                  <w:tcW w:w="4688" w:type="pct"/>
                  <w:gridSpan w:val="7"/>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预处理及污泥脱水间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730"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粗格栅</w:t>
                  </w:r>
                </w:p>
              </w:tc>
              <w:tc>
                <w:tcPr>
                  <w:tcW w:w="1798" w:type="pct"/>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回转式格栅除污机；设备宽度</w:t>
                  </w:r>
                  <w:r>
                    <w:rPr>
                      <w:rFonts w:cs="宋体" w:asciiTheme="minorEastAsia" w:hAnsiTheme="minorEastAsia" w:eastAsiaTheme="minorEastAsia"/>
                      <w:spacing w:val="-3"/>
                      <w:kern w:val="0"/>
                      <w:szCs w:val="21"/>
                    </w:rPr>
                    <w:t>600mm</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N=1.5kw</w:t>
                  </w:r>
                  <w:r>
                    <w:rPr>
                      <w:rFonts w:hint="eastAsia" w:cs="宋体" w:asciiTheme="minorEastAsia" w:hAnsiTheme="minorEastAsia" w:eastAsiaTheme="minorEastAsia"/>
                      <w:spacing w:val="-3"/>
                      <w:kern w:val="0"/>
                      <w:szCs w:val="21"/>
                    </w:rPr>
                    <w:t>，渠深</w:t>
                  </w:r>
                  <w:r>
                    <w:rPr>
                      <w:rFonts w:cs="宋体" w:asciiTheme="minorEastAsia" w:hAnsiTheme="minorEastAsia" w:eastAsiaTheme="minorEastAsia"/>
                      <w:spacing w:val="-3"/>
                      <w:kern w:val="0"/>
                      <w:szCs w:val="21"/>
                    </w:rPr>
                    <w:t>H=5.5m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配套栅渣小车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713"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铸铁镶铜圆闸门</w:t>
                  </w:r>
                </w:p>
              </w:tc>
              <w:tc>
                <w:tcPr>
                  <w:tcW w:w="1798" w:type="pct"/>
                </w:tcPr>
                <w:p>
                  <w:pPr>
                    <w:topLinePunct/>
                    <w:adjustRightInd w:val="0"/>
                    <w:spacing w:line="360" w:lineRule="exact"/>
                    <w:jc w:val="center"/>
                    <w:rPr>
                      <w:rFonts w:cs="宋体" w:asciiTheme="minorEastAsia" w:hAnsiTheme="minorEastAsia" w:eastAsiaTheme="minorEastAsia"/>
                      <w:spacing w:val="-3"/>
                      <w:kern w:val="0"/>
                      <w:szCs w:val="21"/>
                    </w:rPr>
                  </w:pPr>
                  <w:r>
                    <w:rPr>
                      <w:rFonts w:cs="宋体" w:asciiTheme="minorEastAsia" w:hAnsiTheme="minorEastAsia" w:eastAsiaTheme="minorEastAsia"/>
                      <w:spacing w:val="-3"/>
                      <w:kern w:val="0"/>
                      <w:szCs w:val="21"/>
                    </w:rPr>
                    <w:t>H*L=300*300mm</w:t>
                  </w:r>
                  <w:r>
                    <w:rPr>
                      <w:rFonts w:hint="eastAsia" w:cs="宋体" w:asciiTheme="minorEastAsia" w:hAnsiTheme="minorEastAsia" w:eastAsiaTheme="minorEastAsia"/>
                      <w:spacing w:val="-3"/>
                      <w:kern w:val="0"/>
                      <w:szCs w:val="21"/>
                    </w:rPr>
                    <w:t>，材质：铸铁镶铜，孔底距池底</w:t>
                  </w:r>
                  <w:r>
                    <w:rPr>
                      <w:rFonts w:cs="宋体" w:asciiTheme="minorEastAsia" w:hAnsiTheme="minorEastAsia" w:eastAsiaTheme="minorEastAsia"/>
                      <w:spacing w:val="-3"/>
                      <w:kern w:val="0"/>
                      <w:szCs w:val="21"/>
                    </w:rPr>
                    <w:t>750mm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配套手动启闭机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708"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提升井提升泵</w:t>
                  </w:r>
                </w:p>
              </w:tc>
              <w:tc>
                <w:tcPr>
                  <w:tcW w:w="1798" w:type="pct"/>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污水潜污泵，</w:t>
                  </w:r>
                  <w:r>
                    <w:rPr>
                      <w:rFonts w:cs="宋体" w:asciiTheme="minorEastAsia" w:hAnsiTheme="minorEastAsia" w:eastAsiaTheme="minorEastAsia"/>
                      <w:spacing w:val="-3"/>
                      <w:kern w:val="0"/>
                      <w:szCs w:val="21"/>
                    </w:rPr>
                    <w:t>Q=50m</w:t>
                  </w:r>
                  <w:r>
                    <w:rPr>
                      <w:rFonts w:cs="宋体" w:asciiTheme="minorEastAsia" w:hAnsiTheme="minorEastAsia" w:eastAsiaTheme="minorEastAsia"/>
                      <w:spacing w:val="-3"/>
                      <w:kern w:val="0"/>
                      <w:szCs w:val="21"/>
                      <w:vertAlign w:val="superscript"/>
                    </w:rPr>
                    <w:t>3</w:t>
                  </w:r>
                  <w:r>
                    <w:rPr>
                      <w:rFonts w:cs="宋体" w:asciiTheme="minorEastAsia" w:hAnsiTheme="minorEastAsia" w:eastAsiaTheme="minorEastAsia"/>
                      <w:spacing w:val="-3"/>
                      <w:kern w:val="0"/>
                      <w:szCs w:val="21"/>
                    </w:rPr>
                    <w:t>/h</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H=12m</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N=4.0kw</w:t>
                  </w:r>
                  <w:r>
                    <w:rPr>
                      <w:rFonts w:hint="eastAsia" w:cs="宋体" w:asciiTheme="minorEastAsia" w:hAnsiTheme="minorEastAsia" w:eastAsiaTheme="minorEastAsia"/>
                      <w:spacing w:val="-3"/>
                      <w:kern w:val="0"/>
                      <w:szCs w:val="21"/>
                    </w:rPr>
                    <w:t>，自耦安装</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备，其中一台配套变频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1129"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微滤机</w:t>
                  </w:r>
                </w:p>
              </w:tc>
              <w:tc>
                <w:tcPr>
                  <w:tcW w:w="1798" w:type="pct"/>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处理量</w:t>
                  </w:r>
                  <w:r>
                    <w:rPr>
                      <w:rFonts w:cs="宋体" w:asciiTheme="minorEastAsia" w:hAnsiTheme="minorEastAsia" w:eastAsiaTheme="minorEastAsia"/>
                      <w:spacing w:val="-3"/>
                      <w:kern w:val="0"/>
                      <w:szCs w:val="21"/>
                    </w:rPr>
                    <w:t>Q=100m</w:t>
                  </w:r>
                  <w:r>
                    <w:rPr>
                      <w:rFonts w:cs="宋体" w:asciiTheme="minorEastAsia" w:hAnsiTheme="minorEastAsia" w:eastAsiaTheme="minorEastAsia"/>
                      <w:spacing w:val="-3"/>
                      <w:kern w:val="0"/>
                      <w:szCs w:val="21"/>
                      <w:vertAlign w:val="superscript"/>
                    </w:rPr>
                    <w:t>3</w:t>
                  </w:r>
                  <w:r>
                    <w:rPr>
                      <w:rFonts w:cs="宋体" w:asciiTheme="minorEastAsia" w:hAnsiTheme="minorEastAsia" w:eastAsiaTheme="minorEastAsia"/>
                      <w:spacing w:val="-3"/>
                      <w:kern w:val="0"/>
                      <w:szCs w:val="21"/>
                    </w:rPr>
                    <w:t>/h</w:t>
                  </w:r>
                  <w:r>
                    <w:rPr>
                      <w:rFonts w:hint="eastAsia" w:cs="宋体" w:asciiTheme="minorEastAsia" w:hAnsiTheme="minorEastAsia" w:eastAsiaTheme="minorEastAsia"/>
                      <w:spacing w:val="-3"/>
                      <w:kern w:val="0"/>
                      <w:szCs w:val="21"/>
                    </w:rPr>
                    <w:t>，栅隙</w:t>
                  </w:r>
                  <w:r>
                    <w:rPr>
                      <w:rFonts w:cs="宋体" w:asciiTheme="minorEastAsia" w:hAnsiTheme="minorEastAsia" w:eastAsiaTheme="minorEastAsia"/>
                      <w:spacing w:val="-3"/>
                      <w:kern w:val="0"/>
                      <w:szCs w:val="21"/>
                    </w:rPr>
                    <w:t>1mm</w:t>
                  </w:r>
                  <w:r>
                    <w:rPr>
                      <w:rFonts w:hint="eastAsia" w:cs="宋体" w:asciiTheme="minorEastAsia" w:hAnsiTheme="minorEastAsia" w:eastAsiaTheme="minorEastAsia"/>
                      <w:spacing w:val="-3"/>
                      <w:kern w:val="0"/>
                      <w:szCs w:val="21"/>
                    </w:rPr>
                    <w:t>，转鼓直径</w:t>
                  </w:r>
                  <w:r>
                    <w:rPr>
                      <w:rFonts w:cs="宋体" w:asciiTheme="minorEastAsia" w:hAnsiTheme="minorEastAsia" w:eastAsiaTheme="minorEastAsia"/>
                      <w:spacing w:val="-3"/>
                      <w:kern w:val="0"/>
                      <w:szCs w:val="21"/>
                    </w:rPr>
                    <w:t>610mm</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N=0.55kw</w:t>
                  </w:r>
                  <w:r>
                    <w:rPr>
                      <w:rFonts w:hint="eastAsia" w:cs="宋体" w:asciiTheme="minorEastAsia" w:hAnsiTheme="minorEastAsia" w:eastAsiaTheme="minorEastAsia"/>
                      <w:spacing w:val="-3"/>
                      <w:kern w:val="0"/>
                      <w:szCs w:val="21"/>
                    </w:rPr>
                    <w:t>，材质</w:t>
                  </w:r>
                  <w:r>
                    <w:rPr>
                      <w:rFonts w:cs="宋体" w:asciiTheme="minorEastAsia" w:hAnsiTheme="minorEastAsia" w:eastAsiaTheme="minorEastAsia"/>
                      <w:spacing w:val="-3"/>
                      <w:kern w:val="0"/>
                      <w:szCs w:val="21"/>
                    </w:rPr>
                    <w:t>SS304</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配套栅渣小车，</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套反洗水箱及反洗水泵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5" w:type="pct"/>
                <w:trHeight w:val="1145"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调节池潜水搅拌机</w:t>
                  </w:r>
                </w:p>
              </w:tc>
              <w:tc>
                <w:tcPr>
                  <w:tcW w:w="1798" w:type="pct"/>
                </w:tcPr>
                <w:p>
                  <w:pPr>
                    <w:topLinePunct/>
                    <w:adjustRightInd w:val="0"/>
                    <w:spacing w:line="36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叶轮直径</w:t>
                  </w:r>
                  <w:r>
                    <w:rPr>
                      <w:rFonts w:cs="宋体" w:asciiTheme="minorEastAsia" w:hAnsiTheme="minorEastAsia" w:eastAsiaTheme="minorEastAsia"/>
                      <w:spacing w:val="-3"/>
                      <w:kern w:val="0"/>
                      <w:szCs w:val="21"/>
                    </w:rPr>
                    <w:t>620mm</w:t>
                  </w:r>
                  <w:r>
                    <w:rPr>
                      <w:rFonts w:hint="eastAsia" w:cs="宋体" w:asciiTheme="minorEastAsia" w:hAnsiTheme="minorEastAsia" w:eastAsiaTheme="minorEastAsia"/>
                      <w:spacing w:val="-3"/>
                      <w:kern w:val="0"/>
                      <w:szCs w:val="21"/>
                    </w:rPr>
                    <w:t>，转速</w:t>
                  </w:r>
                  <w:r>
                    <w:rPr>
                      <w:rFonts w:cs="宋体" w:asciiTheme="minorEastAsia" w:hAnsiTheme="minorEastAsia" w:eastAsiaTheme="minorEastAsia"/>
                      <w:spacing w:val="-3"/>
                      <w:kern w:val="0"/>
                      <w:szCs w:val="21"/>
                    </w:rPr>
                    <w:t>480r/min</w:t>
                  </w:r>
                  <w:r>
                    <w:rPr>
                      <w:rFonts w:hint="eastAsia" w:cs="宋体" w:asciiTheme="minorEastAsia" w:hAnsiTheme="minorEastAsia" w:eastAsiaTheme="minorEastAsia"/>
                      <w:spacing w:val="-3"/>
                      <w:kern w:val="0"/>
                      <w:szCs w:val="21"/>
                    </w:rPr>
                    <w:t>，功率</w:t>
                  </w:r>
                  <w:r>
                    <w:rPr>
                      <w:rFonts w:cs="宋体" w:asciiTheme="minorEastAsia" w:hAnsiTheme="minorEastAsia" w:eastAsiaTheme="minorEastAsia"/>
                      <w:spacing w:val="-3"/>
                      <w:kern w:val="0"/>
                      <w:szCs w:val="21"/>
                    </w:rPr>
                    <w:t>4.0kw</w:t>
                  </w:r>
                  <w:r>
                    <w:rPr>
                      <w:rFonts w:hint="eastAsia" w:cs="宋体" w:asciiTheme="minorEastAsia" w:hAnsiTheme="minorEastAsia" w:eastAsiaTheme="minorEastAsia"/>
                      <w:spacing w:val="-3"/>
                      <w:kern w:val="0"/>
                      <w:szCs w:val="21"/>
                    </w:rPr>
                    <w:t>，电压：</w:t>
                  </w:r>
                  <w:r>
                    <w:rPr>
                      <w:rFonts w:cs="宋体" w:asciiTheme="minorEastAsia" w:hAnsiTheme="minorEastAsia" w:eastAsiaTheme="minorEastAsia"/>
                      <w:spacing w:val="-3"/>
                      <w:kern w:val="0"/>
                      <w:szCs w:val="21"/>
                    </w:rPr>
                    <w:t>380V</w:t>
                  </w:r>
                  <w:r>
                    <w:rPr>
                      <w:rFonts w:hint="eastAsia" w:cs="宋体" w:asciiTheme="minorEastAsia" w:hAnsiTheme="minorEastAsia" w:eastAsiaTheme="minorEastAsia"/>
                      <w:spacing w:val="-3"/>
                      <w:kern w:val="0"/>
                      <w:szCs w:val="21"/>
                    </w:rPr>
                    <w:t>，水池深度</w:t>
                  </w:r>
                  <w:r>
                    <w:rPr>
                      <w:rFonts w:cs="宋体" w:asciiTheme="minorEastAsia" w:hAnsiTheme="minorEastAsia" w:eastAsiaTheme="minorEastAsia"/>
                      <w:spacing w:val="-3"/>
                      <w:kern w:val="0"/>
                      <w:szCs w:val="21"/>
                    </w:rPr>
                    <w:t>5.0m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调节池提升泵</w:t>
                  </w:r>
                </w:p>
              </w:tc>
              <w:tc>
                <w:tcPr>
                  <w:tcW w:w="1798" w:type="pct"/>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Q=21m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H=14m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N=2.2kw</w:t>
                  </w:r>
                  <w:r>
                    <w:rPr>
                      <w:rFonts w:hint="eastAsia" w:cs="宋体" w:asciiTheme="minorEastAsia" w:hAnsiTheme="minorEastAsia" w:eastAsiaTheme="minorEastAsia"/>
                      <w:kern w:val="0"/>
                      <w:szCs w:val="21"/>
                    </w:rPr>
                    <w:t>，自耦安装</w:t>
                  </w:r>
                </w:p>
              </w:tc>
              <w:tc>
                <w:tcPr>
                  <w:tcW w:w="469" w:type="pct"/>
                  <w:gridSpan w:val="3"/>
                  <w:vAlign w:val="center"/>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毛发过滤器</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DN80</w:t>
                  </w:r>
                  <w:r>
                    <w:rPr>
                      <w:rFonts w:hint="eastAsia" w:cs="宋体" w:asciiTheme="minorEastAsia" w:hAnsiTheme="minorEastAsia" w:eastAsiaTheme="minorEastAsia"/>
                      <w:kern w:val="0"/>
                      <w:szCs w:val="21"/>
                    </w:rPr>
                    <w:t>、不锈钢、孔隙</w:t>
                  </w:r>
                  <w:r>
                    <w:rPr>
                      <w:rFonts w:cs="宋体" w:asciiTheme="minorEastAsia" w:hAnsiTheme="minorEastAsia" w:eastAsiaTheme="minorEastAsia"/>
                      <w:kern w:val="0"/>
                      <w:szCs w:val="21"/>
                    </w:rPr>
                    <w:t>1mm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7"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污泥调理加药装置</w:t>
                  </w:r>
                </w:p>
              </w:tc>
              <w:tc>
                <w:tcPr>
                  <w:tcW w:w="1798" w:type="pct"/>
                </w:tcPr>
                <w:p>
                  <w:pPr>
                    <w:topLinePunct/>
                    <w:adjustRightInd w:val="0"/>
                    <w:spacing w:line="360" w:lineRule="exact"/>
                    <w:jc w:val="center"/>
                    <w:rPr>
                      <w:rFonts w:cs="宋体" w:asciiTheme="minorEastAsia" w:hAnsiTheme="minorEastAsia" w:eastAsiaTheme="minorEastAsia"/>
                      <w:spacing w:val="-5"/>
                      <w:kern w:val="0"/>
                      <w:szCs w:val="21"/>
                    </w:rPr>
                  </w:pPr>
                  <w:r>
                    <w:rPr>
                      <w:rFonts w:cs="宋体" w:asciiTheme="minorEastAsia" w:hAnsiTheme="minorEastAsia" w:eastAsiaTheme="minorEastAsia"/>
                      <w:spacing w:val="-5"/>
                      <w:kern w:val="0"/>
                      <w:szCs w:val="21"/>
                    </w:rPr>
                    <w:t>PE</w:t>
                  </w:r>
                  <w:r>
                    <w:rPr>
                      <w:rFonts w:hint="eastAsia" w:cs="宋体" w:asciiTheme="minorEastAsia" w:hAnsiTheme="minorEastAsia" w:eastAsiaTheme="minorEastAsia"/>
                      <w:spacing w:val="-5"/>
                      <w:kern w:val="0"/>
                      <w:szCs w:val="21"/>
                    </w:rPr>
                    <w:t>加药桶容积：</w:t>
                  </w:r>
                  <w:r>
                    <w:rPr>
                      <w:rFonts w:cs="宋体" w:asciiTheme="minorEastAsia" w:hAnsiTheme="minorEastAsia" w:eastAsiaTheme="minorEastAsia"/>
                      <w:spacing w:val="-5"/>
                      <w:kern w:val="0"/>
                      <w:szCs w:val="21"/>
                    </w:rPr>
                    <w:t>500L</w:t>
                  </w:r>
                  <w:r>
                    <w:rPr>
                      <w:rFonts w:hint="eastAsia" w:cs="宋体" w:asciiTheme="minorEastAsia" w:hAnsiTheme="minorEastAsia" w:eastAsiaTheme="minorEastAsia"/>
                      <w:spacing w:val="-5"/>
                      <w:kern w:val="0"/>
                      <w:szCs w:val="21"/>
                    </w:rPr>
                    <w:t>；计量泵流量：</w:t>
                  </w:r>
                  <w:r>
                    <w:rPr>
                      <w:rFonts w:cs="宋体" w:asciiTheme="minorEastAsia" w:hAnsiTheme="minorEastAsia" w:eastAsiaTheme="minorEastAsia"/>
                      <w:spacing w:val="-5"/>
                      <w:kern w:val="0"/>
                      <w:szCs w:val="21"/>
                    </w:rPr>
                    <w:t>25L/h</w:t>
                  </w:r>
                  <w:r>
                    <w:rPr>
                      <w:rFonts w:hint="eastAsia" w:cs="宋体" w:asciiTheme="minorEastAsia" w:hAnsiTheme="minorEastAsia" w:eastAsiaTheme="minorEastAsia"/>
                      <w:spacing w:val="-5"/>
                      <w:kern w:val="0"/>
                      <w:szCs w:val="21"/>
                    </w:rPr>
                    <w:t>，功率：</w:t>
                  </w:r>
                  <w:r>
                    <w:rPr>
                      <w:rFonts w:cs="宋体" w:asciiTheme="minorEastAsia" w:hAnsiTheme="minorEastAsia" w:eastAsiaTheme="minorEastAsia"/>
                      <w:spacing w:val="-5"/>
                      <w:kern w:val="0"/>
                      <w:szCs w:val="21"/>
                    </w:rPr>
                    <w:t>0.37kw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9"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污泥调理罐</w:t>
                  </w:r>
                </w:p>
              </w:tc>
              <w:tc>
                <w:tcPr>
                  <w:tcW w:w="1798" w:type="pct"/>
                </w:tcPr>
                <w:p>
                  <w:pPr>
                    <w:topLinePunct/>
                    <w:adjustRightInd w:val="0"/>
                    <w:spacing w:line="360" w:lineRule="exact"/>
                    <w:jc w:val="center"/>
                    <w:rPr>
                      <w:rFonts w:cs="宋体" w:asciiTheme="minorEastAsia" w:hAnsiTheme="minorEastAsia" w:eastAsiaTheme="minorEastAsia"/>
                      <w:spacing w:val="-5"/>
                      <w:kern w:val="0"/>
                      <w:szCs w:val="21"/>
                    </w:rPr>
                  </w:pPr>
                  <w:r>
                    <w:rPr>
                      <w:rFonts w:cs="宋体" w:asciiTheme="minorEastAsia" w:hAnsiTheme="minorEastAsia" w:eastAsiaTheme="minorEastAsia"/>
                      <w:spacing w:val="-5"/>
                      <w:kern w:val="0"/>
                      <w:szCs w:val="21"/>
                    </w:rPr>
                    <w:t>φ2000×4000</w:t>
                  </w:r>
                  <w:r>
                    <w:rPr>
                      <w:rFonts w:hint="eastAsia" w:cs="宋体" w:asciiTheme="minorEastAsia" w:hAnsiTheme="minorEastAsia" w:eastAsiaTheme="minorEastAsia"/>
                      <w:spacing w:val="-5"/>
                      <w:kern w:val="0"/>
                      <w:szCs w:val="21"/>
                    </w:rPr>
                    <w:t>，材质碳钢防腐，容积：</w:t>
                  </w:r>
                  <w:r>
                    <w:rPr>
                      <w:rFonts w:cs="宋体" w:asciiTheme="minorEastAsia" w:hAnsiTheme="minorEastAsia" w:eastAsiaTheme="minorEastAsia"/>
                      <w:spacing w:val="-5"/>
                      <w:kern w:val="0"/>
                      <w:szCs w:val="21"/>
                    </w:rPr>
                    <w:t>10m</w:t>
                  </w:r>
                  <w:r>
                    <w:rPr>
                      <w:rFonts w:cs="宋体" w:asciiTheme="minorEastAsia" w:hAnsiTheme="minorEastAsia" w:eastAsiaTheme="minorEastAsia"/>
                      <w:spacing w:val="-5"/>
                      <w:kern w:val="0"/>
                      <w:szCs w:val="21"/>
                      <w:vertAlign w:val="superscript"/>
                    </w:rPr>
                    <w:t>3</w:t>
                  </w:r>
                  <w:r>
                    <w:rPr>
                      <w:rFonts w:hint="eastAsia" w:cs="宋体" w:asciiTheme="minorEastAsia" w:hAnsiTheme="minorEastAsia" w:eastAsiaTheme="minorEastAsia"/>
                      <w:spacing w:val="-5"/>
                      <w:kern w:val="0"/>
                      <w:szCs w:val="21"/>
                    </w:rPr>
                    <w:t>，</w:t>
                  </w:r>
                  <w:r>
                    <w:rPr>
                      <w:rFonts w:cs="宋体" w:asciiTheme="minorEastAsia" w:hAnsiTheme="minorEastAsia" w:eastAsiaTheme="minorEastAsia"/>
                      <w:spacing w:val="-5"/>
                      <w:kern w:val="0"/>
                      <w:szCs w:val="21"/>
                    </w:rPr>
                    <w:t>N=4.0kw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3"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螺杆泵</w:t>
                  </w:r>
                </w:p>
              </w:tc>
              <w:tc>
                <w:tcPr>
                  <w:tcW w:w="1798" w:type="pct"/>
                </w:tcPr>
                <w:p>
                  <w:pPr>
                    <w:topLinePunct/>
                    <w:adjustRightInd w:val="0"/>
                    <w:spacing w:line="360" w:lineRule="exact"/>
                    <w:jc w:val="center"/>
                    <w:rPr>
                      <w:rFonts w:cs="宋体" w:asciiTheme="minorEastAsia" w:hAnsiTheme="minorEastAsia" w:eastAsiaTheme="minorEastAsia"/>
                      <w:spacing w:val="-5"/>
                      <w:kern w:val="0"/>
                      <w:szCs w:val="21"/>
                    </w:rPr>
                  </w:pPr>
                  <w:r>
                    <w:rPr>
                      <w:rFonts w:cs="宋体" w:asciiTheme="minorEastAsia" w:hAnsiTheme="minorEastAsia" w:eastAsiaTheme="minorEastAsia"/>
                      <w:spacing w:val="-5"/>
                      <w:kern w:val="0"/>
                      <w:szCs w:val="21"/>
                    </w:rPr>
                    <w:t>G40-2</w:t>
                  </w:r>
                  <w:r>
                    <w:rPr>
                      <w:rFonts w:hint="eastAsia" w:cs="宋体" w:asciiTheme="minorEastAsia" w:hAnsiTheme="minorEastAsia" w:eastAsiaTheme="minorEastAsia"/>
                      <w:spacing w:val="-5"/>
                      <w:kern w:val="0"/>
                      <w:szCs w:val="21"/>
                    </w:rPr>
                    <w:t>，</w:t>
                  </w:r>
                  <w:r>
                    <w:rPr>
                      <w:rFonts w:cs="宋体" w:asciiTheme="minorEastAsia" w:hAnsiTheme="minorEastAsia" w:eastAsiaTheme="minorEastAsia"/>
                      <w:spacing w:val="-5"/>
                      <w:kern w:val="0"/>
                      <w:szCs w:val="21"/>
                    </w:rPr>
                    <w:t>Q=4.5m</w:t>
                  </w:r>
                  <w:r>
                    <w:rPr>
                      <w:rFonts w:cs="宋体" w:asciiTheme="minorEastAsia" w:hAnsiTheme="minorEastAsia" w:eastAsiaTheme="minorEastAsia"/>
                      <w:spacing w:val="-5"/>
                      <w:kern w:val="0"/>
                      <w:szCs w:val="21"/>
                      <w:vertAlign w:val="superscript"/>
                    </w:rPr>
                    <w:t>3</w:t>
                  </w:r>
                  <w:r>
                    <w:rPr>
                      <w:rFonts w:cs="宋体" w:asciiTheme="minorEastAsia" w:hAnsiTheme="minorEastAsia" w:eastAsiaTheme="minorEastAsia"/>
                      <w:spacing w:val="-5"/>
                      <w:kern w:val="0"/>
                      <w:szCs w:val="21"/>
                    </w:rPr>
                    <w:t>/h</w:t>
                  </w:r>
                  <w:r>
                    <w:rPr>
                      <w:rFonts w:hint="eastAsia" w:cs="宋体" w:asciiTheme="minorEastAsia" w:hAnsiTheme="minorEastAsia" w:eastAsiaTheme="minorEastAsia"/>
                      <w:spacing w:val="-5"/>
                      <w:kern w:val="0"/>
                      <w:szCs w:val="21"/>
                    </w:rPr>
                    <w:t>，</w:t>
                  </w:r>
                  <w:r>
                    <w:rPr>
                      <w:rFonts w:cs="宋体" w:asciiTheme="minorEastAsia" w:hAnsiTheme="minorEastAsia" w:eastAsiaTheme="minorEastAsia"/>
                      <w:spacing w:val="-5"/>
                      <w:kern w:val="0"/>
                      <w:szCs w:val="21"/>
                    </w:rPr>
                    <w:t>N=3kw</w:t>
                  </w:r>
                  <w:r>
                    <w:rPr>
                      <w:rFonts w:hint="eastAsia" w:cs="宋体" w:asciiTheme="minorEastAsia" w:hAnsiTheme="minorEastAsia" w:eastAsiaTheme="minorEastAsia"/>
                      <w:spacing w:val="-5"/>
                      <w:kern w:val="0"/>
                      <w:szCs w:val="21"/>
                    </w:rPr>
                    <w:t>，</w:t>
                  </w:r>
                  <w:r>
                    <w:rPr>
                      <w:rFonts w:cs="宋体" w:asciiTheme="minorEastAsia" w:hAnsiTheme="minorEastAsia" w:eastAsiaTheme="minorEastAsia"/>
                      <w:spacing w:val="-5"/>
                      <w:kern w:val="0"/>
                      <w:szCs w:val="21"/>
                    </w:rPr>
                    <w:t>P=0.8Mpa</w:t>
                  </w:r>
                </w:p>
              </w:tc>
              <w:tc>
                <w:tcPr>
                  <w:tcW w:w="469" w:type="pct"/>
                  <w:gridSpan w:val="3"/>
                  <w:vAlign w:val="center"/>
                </w:tcPr>
                <w:p>
                  <w:pPr>
                    <w:topLinePunct/>
                    <w:adjustRightInd w:val="0"/>
                    <w:spacing w:line="360" w:lineRule="exact"/>
                    <w:jc w:val="center"/>
                    <w:rPr>
                      <w:rFonts w:cs="宋体" w:asciiTheme="minorEastAsia" w:hAnsiTheme="minorEastAsia" w:eastAsiaTheme="minorEastAsia"/>
                      <w:spacing w:val="-5"/>
                      <w:kern w:val="0"/>
                      <w:szCs w:val="21"/>
                    </w:rPr>
                  </w:pPr>
                  <w:r>
                    <w:rPr>
                      <w:rFonts w:cs="宋体" w:asciiTheme="minorEastAsia" w:hAnsiTheme="minorEastAsia" w:eastAsiaTheme="minorEastAsia"/>
                      <w:spacing w:val="-5"/>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板框压滤机</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800</w:t>
                  </w:r>
                  <w:r>
                    <w:rPr>
                      <w:rFonts w:hint="eastAsia" w:cs="宋体" w:asciiTheme="minorEastAsia" w:hAnsiTheme="minorEastAsia" w:eastAsiaTheme="minorEastAsia"/>
                      <w:spacing w:val="-10"/>
                      <w:kern w:val="0"/>
                      <w:szCs w:val="21"/>
                    </w:rPr>
                    <w:t>型，过滤面积：</w:t>
                  </w:r>
                  <w:r>
                    <w:rPr>
                      <w:rFonts w:cs="宋体" w:asciiTheme="minorEastAsia" w:hAnsiTheme="minorEastAsia" w:eastAsiaTheme="minorEastAsia"/>
                      <w:spacing w:val="-10"/>
                      <w:kern w:val="0"/>
                      <w:szCs w:val="21"/>
                    </w:rPr>
                    <w:t>30m</w:t>
                  </w:r>
                  <w:r>
                    <w:rPr>
                      <w:rFonts w:cs="宋体" w:asciiTheme="minorEastAsia" w:hAnsiTheme="minorEastAsia" w:eastAsiaTheme="minorEastAsia"/>
                      <w:spacing w:val="-10"/>
                      <w:kern w:val="0"/>
                      <w:szCs w:val="21"/>
                      <w:vertAlign w:val="superscript"/>
                    </w:rPr>
                    <w:t>3</w:t>
                  </w:r>
                  <w:r>
                    <w:rPr>
                      <w:rFonts w:hint="eastAsia" w:cs="宋体" w:asciiTheme="minorEastAsia" w:hAnsiTheme="minorEastAsia" w:eastAsiaTheme="minorEastAsia"/>
                      <w:spacing w:val="-10"/>
                      <w:kern w:val="0"/>
                      <w:szCs w:val="21"/>
                    </w:rPr>
                    <w:t>，滤室容积：</w:t>
                  </w:r>
                  <w:r>
                    <w:rPr>
                      <w:rFonts w:cs="宋体" w:asciiTheme="minorEastAsia" w:hAnsiTheme="minorEastAsia" w:eastAsiaTheme="minorEastAsia"/>
                      <w:spacing w:val="-10"/>
                      <w:kern w:val="0"/>
                      <w:szCs w:val="21"/>
                    </w:rPr>
                    <w:t>0.604m</w:t>
                  </w:r>
                  <w:r>
                    <w:rPr>
                      <w:rFonts w:cs="宋体" w:asciiTheme="minorEastAsia" w:hAnsiTheme="minorEastAsia" w:eastAsiaTheme="minorEastAsia"/>
                      <w:spacing w:val="-10"/>
                      <w:kern w:val="0"/>
                      <w:szCs w:val="21"/>
                      <w:vertAlign w:val="superscript"/>
                    </w:rPr>
                    <w:t>3</w:t>
                  </w:r>
                  <w:r>
                    <w:rPr>
                      <w:rFonts w:hint="eastAsia" w:cs="宋体" w:asciiTheme="minorEastAsia" w:hAnsiTheme="minorEastAsia" w:eastAsiaTheme="minorEastAsia"/>
                      <w:spacing w:val="-10"/>
                      <w:kern w:val="0"/>
                      <w:szCs w:val="21"/>
                    </w:rPr>
                    <w:t>，进料压力：≤</w:t>
                  </w:r>
                  <w:r>
                    <w:rPr>
                      <w:rFonts w:cs="宋体" w:asciiTheme="minorEastAsia" w:hAnsiTheme="minorEastAsia" w:eastAsiaTheme="minorEastAsia"/>
                      <w:spacing w:val="-10"/>
                      <w:kern w:val="0"/>
                      <w:szCs w:val="21"/>
                    </w:rPr>
                    <w:t>0.8Mpa</w:t>
                  </w:r>
                  <w:r>
                    <w:rPr>
                      <w:rFonts w:hint="eastAsia" w:cs="宋体" w:asciiTheme="minorEastAsia" w:hAnsiTheme="minorEastAsia" w:eastAsiaTheme="minorEastAsia"/>
                      <w:spacing w:val="-10"/>
                      <w:kern w:val="0"/>
                      <w:szCs w:val="21"/>
                    </w:rPr>
                    <w:t>，</w:t>
                  </w:r>
                  <w:r>
                    <w:rPr>
                      <w:rFonts w:cs="宋体" w:asciiTheme="minorEastAsia" w:hAnsiTheme="minorEastAsia" w:eastAsiaTheme="minorEastAsia"/>
                      <w:spacing w:val="-10"/>
                      <w:kern w:val="0"/>
                      <w:szCs w:val="21"/>
                    </w:rPr>
                    <w:t>N=2.2kw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配套泥斗，配套配电柜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0"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水平加倾斜皮带输送机</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B=0.5m</w:t>
                  </w:r>
                  <w:r>
                    <w:rPr>
                      <w:rFonts w:hint="eastAsia" w:cs="宋体" w:asciiTheme="minorEastAsia" w:hAnsiTheme="minorEastAsia" w:eastAsiaTheme="minorEastAsia"/>
                      <w:kern w:val="0"/>
                      <w:szCs w:val="21"/>
                    </w:rPr>
                    <w:t>，倾斜段</w:t>
                  </w:r>
                  <w:r>
                    <w:rPr>
                      <w:rFonts w:cs="TimesNewRomanPSMT" w:asciiTheme="minorEastAsia" w:hAnsiTheme="minorEastAsia" w:eastAsiaTheme="minorEastAsia"/>
                      <w:kern w:val="0"/>
                      <w:szCs w:val="21"/>
                    </w:rPr>
                    <w:t>L=3.0m</w:t>
                  </w:r>
                  <w:r>
                    <w:rPr>
                      <w:rFonts w:hint="eastAsia" w:cs="宋体" w:asciiTheme="minorEastAsia" w:hAnsiTheme="minorEastAsia" w:eastAsiaTheme="minorEastAsia"/>
                      <w:kern w:val="0"/>
                      <w:szCs w:val="21"/>
                    </w:rPr>
                    <w:t>，水平段</w:t>
                  </w:r>
                  <w:r>
                    <w:rPr>
                      <w:rFonts w:cs="TimesNewRomanPSMT" w:asciiTheme="minorEastAsia" w:hAnsiTheme="minorEastAsia" w:eastAsiaTheme="minorEastAsia"/>
                      <w:kern w:val="0"/>
                      <w:szCs w:val="21"/>
                    </w:rPr>
                    <w:t>L=4.0m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N=1.5kw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二</w:t>
                  </w:r>
                </w:p>
              </w:tc>
              <w:tc>
                <w:tcPr>
                  <w:tcW w:w="4688" w:type="pct"/>
                  <w:gridSpan w:val="7"/>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生化池、膜池及车间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厌氧池搅拌机</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asciiTheme="minorEastAsia" w:hAnsiTheme="minorEastAsia" w:eastAsiaTheme="minorEastAsia"/>
                      <w:kern w:val="0"/>
                      <w:szCs w:val="21"/>
                    </w:rPr>
                    <w:t>260mm</w:t>
                  </w:r>
                  <w:r>
                    <w:rPr>
                      <w:rFonts w:hint="eastAsia" w:cs="宋体" w:asciiTheme="minorEastAsia" w:hAnsiTheme="minorEastAsia" w:eastAsiaTheme="minorEastAsia"/>
                      <w:kern w:val="0"/>
                      <w:szCs w:val="21"/>
                    </w:rPr>
                    <w:t>，转速</w:t>
                  </w:r>
                  <w:r>
                    <w:rPr>
                      <w:rFonts w:asciiTheme="minorEastAsia" w:hAnsiTheme="minorEastAsia" w:eastAsiaTheme="minorEastAsia"/>
                      <w:kern w:val="0"/>
                      <w:szCs w:val="21"/>
                    </w:rPr>
                    <w:t>740r/min</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0.85kw</w:t>
                  </w:r>
                  <w:r>
                    <w:rPr>
                      <w:rFonts w:hint="eastAsia" w:cs="宋体" w:asciiTheme="minorEastAsia" w:hAnsiTheme="minorEastAsia" w:eastAsiaTheme="minorEastAsia"/>
                      <w:kern w:val="0"/>
                      <w:szCs w:val="21"/>
                    </w:rPr>
                    <w:t>，电压：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，水池深度</w:t>
                  </w:r>
                  <w:r>
                    <w:rPr>
                      <w:rFonts w:asciiTheme="minorEastAsia" w:hAnsiTheme="minorEastAsia" w:eastAsiaTheme="minorEastAsia"/>
                      <w:kern w:val="0"/>
                      <w:szCs w:val="21"/>
                    </w:rPr>
                    <w:t>5.5m</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缺氧池搅拌机</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asciiTheme="minorEastAsia" w:hAnsiTheme="minorEastAsia" w:eastAsiaTheme="minorEastAsia"/>
                      <w:kern w:val="0"/>
                      <w:szCs w:val="21"/>
                    </w:rPr>
                    <w:t>260mm</w:t>
                  </w:r>
                  <w:r>
                    <w:rPr>
                      <w:rFonts w:hint="eastAsia" w:cs="宋体" w:asciiTheme="minorEastAsia" w:hAnsiTheme="minorEastAsia" w:eastAsiaTheme="minorEastAsia"/>
                      <w:kern w:val="0"/>
                      <w:szCs w:val="21"/>
                    </w:rPr>
                    <w:t>，转速</w:t>
                  </w:r>
                  <w:r>
                    <w:rPr>
                      <w:rFonts w:asciiTheme="minorEastAsia" w:hAnsiTheme="minorEastAsia" w:eastAsiaTheme="minorEastAsia"/>
                      <w:kern w:val="0"/>
                      <w:szCs w:val="21"/>
                    </w:rPr>
                    <w:t>740r/min</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0.85kw</w:t>
                  </w:r>
                  <w:r>
                    <w:rPr>
                      <w:rFonts w:hint="eastAsia" w:cs="宋体" w:asciiTheme="minorEastAsia" w:hAnsiTheme="minorEastAsia" w:eastAsiaTheme="minorEastAsia"/>
                      <w:kern w:val="0"/>
                      <w:szCs w:val="21"/>
                    </w:rPr>
                    <w:t>，电压：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，水池深度</w:t>
                  </w:r>
                  <w:r>
                    <w:rPr>
                      <w:rFonts w:asciiTheme="minorEastAsia" w:hAnsiTheme="minorEastAsia" w:eastAsiaTheme="minorEastAsia"/>
                      <w:kern w:val="0"/>
                      <w:szCs w:val="21"/>
                    </w:rPr>
                    <w:t>5.5m</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旋流曝气器</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φ120*400mm</w:t>
                  </w:r>
                  <w:r>
                    <w:rPr>
                      <w:rFonts w:hint="eastAsia" w:cs="宋体" w:asciiTheme="minorEastAsia" w:hAnsiTheme="minorEastAsia" w:eastAsiaTheme="minorEastAsia"/>
                      <w:kern w:val="0"/>
                      <w:szCs w:val="21"/>
                    </w:rPr>
                    <w:t>；材质：</w:t>
                  </w:r>
                  <w:r>
                    <w:rPr>
                      <w:rFonts w:asciiTheme="minorEastAsia" w:hAnsiTheme="minorEastAsia" w:eastAsiaTheme="minorEastAsia"/>
                      <w:kern w:val="0"/>
                      <w:szCs w:val="21"/>
                    </w:rPr>
                    <w:t>PA66+30%GF</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20</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微孔曝气器</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膜片式微孔曝气器，</w:t>
                  </w:r>
                  <w:r>
                    <w:rPr>
                      <w:rFonts w:asciiTheme="minorEastAsia" w:hAnsiTheme="minorEastAsia" w:eastAsiaTheme="minorEastAsia"/>
                      <w:kern w:val="0"/>
                      <w:szCs w:val="21"/>
                    </w:rPr>
                    <w:t>Φ215mm</w:t>
                  </w:r>
                  <w:r>
                    <w:rPr>
                      <w:rFonts w:hint="eastAsia" w:cs="宋体" w:asciiTheme="minorEastAsia" w:hAnsiTheme="minorEastAsia" w:eastAsiaTheme="minorEastAsia"/>
                      <w:kern w:val="0"/>
                      <w:szCs w:val="21"/>
                    </w:rPr>
                    <w:t>，硅胶，底部配套</w:t>
                  </w:r>
                  <w:r>
                    <w:rPr>
                      <w:rFonts w:asciiTheme="minorEastAsia" w:hAnsiTheme="minorEastAsia" w:eastAsiaTheme="minorEastAsia"/>
                      <w:kern w:val="0"/>
                      <w:szCs w:val="21"/>
                    </w:rPr>
                    <w:t>UPVC-DN40</w:t>
                  </w:r>
                  <w:r>
                    <w:rPr>
                      <w:rFonts w:hint="eastAsia" w:cs="宋体" w:asciiTheme="minorEastAsia" w:hAnsiTheme="minorEastAsia" w:eastAsiaTheme="minorEastAsia"/>
                      <w:kern w:val="0"/>
                      <w:szCs w:val="21"/>
                    </w:rPr>
                    <w:t>曝气管、马鞍座，总服务面积共</w:t>
                  </w:r>
                  <w:r>
                    <w:rPr>
                      <w:rFonts w:asciiTheme="minorEastAsia" w:hAnsiTheme="minorEastAsia" w:eastAsiaTheme="minorEastAsia"/>
                      <w:kern w:val="0"/>
                      <w:szCs w:val="21"/>
                    </w:rPr>
                    <w:t>66m</w:t>
                  </w:r>
                  <w:r>
                    <w:rPr>
                      <w:rFonts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，单个服务面积</w:t>
                  </w:r>
                  <w:r>
                    <w:rPr>
                      <w:rFonts w:asciiTheme="minorEastAsia" w:hAnsiTheme="minorEastAsia" w:eastAsiaTheme="minorEastAsia"/>
                      <w:kern w:val="0"/>
                      <w:szCs w:val="21"/>
                    </w:rPr>
                    <w:t>0.24m</w:t>
                  </w:r>
                  <w:r>
                    <w:rPr>
                      <w:rFonts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，单个供气量约</w:t>
                  </w:r>
                  <w:r>
                    <w:rPr>
                      <w:rFonts w:asciiTheme="minorEastAsia" w:hAnsiTheme="minorEastAsia" w:eastAsiaTheme="minorEastAsia"/>
                      <w:kern w:val="0"/>
                      <w:szCs w:val="21"/>
                    </w:rPr>
                    <w:t>1.6m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280</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A</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8"/>
                      <w:kern w:val="0"/>
                      <w:szCs w:val="21"/>
                    </w:rPr>
                    <w:t>污水潜污泵，</w:t>
                  </w:r>
                  <w:r>
                    <w:rPr>
                      <w:rFonts w:asciiTheme="minorEastAsia" w:hAnsiTheme="minorEastAsia" w:eastAsiaTheme="minorEastAsia"/>
                      <w:spacing w:val="-8"/>
                      <w:kern w:val="0"/>
                      <w:szCs w:val="21"/>
                    </w:rPr>
                    <w:t>Q=100m</w:t>
                  </w:r>
                  <w:r>
                    <w:rPr>
                      <w:rFonts w:asciiTheme="minorEastAsia" w:hAnsiTheme="minorEastAsia" w:eastAsiaTheme="minorEastAsia"/>
                      <w:spacing w:val="-8"/>
                      <w:kern w:val="0"/>
                      <w:szCs w:val="21"/>
                      <w:vertAlign w:val="superscript"/>
                    </w:rPr>
                    <w:t>3</w:t>
                  </w:r>
                  <w:r>
                    <w:rPr>
                      <w:rFonts w:asciiTheme="minorEastAsia" w:hAnsiTheme="minorEastAsia" w:eastAsiaTheme="minorEastAsia"/>
                      <w:spacing w:val="-8"/>
                      <w:kern w:val="0"/>
                      <w:szCs w:val="21"/>
                    </w:rPr>
                    <w:t>/h</w:t>
                  </w:r>
                  <w:r>
                    <w:rPr>
                      <w:rFonts w:hint="eastAsia" w:cs="宋体" w:asciiTheme="minorEastAsia" w:hAnsiTheme="minorEastAsia" w:eastAsiaTheme="minorEastAsia"/>
                      <w:spacing w:val="-8"/>
                      <w:kern w:val="0"/>
                      <w:szCs w:val="21"/>
                    </w:rPr>
                    <w:t>，</w:t>
                  </w:r>
                  <w:r>
                    <w:rPr>
                      <w:rFonts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N=5.5kw</w:t>
                  </w:r>
                  <w:r>
                    <w:rPr>
                      <w:rFonts w:hint="eastAsia" w:cs="宋体" w:asciiTheme="minorEastAsia" w:hAnsiTheme="minorEastAsia" w:eastAsiaTheme="minorEastAsia"/>
                      <w:kern w:val="0"/>
                      <w:szCs w:val="21"/>
                    </w:rPr>
                    <w:t>，自耦安装，变频控制</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B</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污水潜污泵，</w:t>
                  </w:r>
                  <w:r>
                    <w:rPr>
                      <w:rFonts w:cs="宋体" w:asciiTheme="minorEastAsia" w:hAnsiTheme="minorEastAsia" w:eastAsiaTheme="minorEastAsia"/>
                      <w:spacing w:val="-2"/>
                      <w:kern w:val="0"/>
                      <w:szCs w:val="21"/>
                    </w:rPr>
                    <w:t>Q=100m</w:t>
                  </w:r>
                  <w:r>
                    <w:rPr>
                      <w:rFonts w:cs="宋体" w:asciiTheme="minorEastAsia" w:hAnsiTheme="minorEastAsia" w:eastAsiaTheme="minorEastAsia"/>
                      <w:spacing w:val="-2"/>
                      <w:kern w:val="0"/>
                      <w:szCs w:val="21"/>
                      <w:vertAlign w:val="superscript"/>
                    </w:rPr>
                    <w:t>3</w:t>
                  </w:r>
                  <w:r>
                    <w:rPr>
                      <w:rFonts w:cs="宋体" w:asciiTheme="minorEastAsia" w:hAnsiTheme="minorEastAsia" w:eastAsiaTheme="minorEastAsia"/>
                      <w:spacing w:val="-2"/>
                      <w:kern w:val="0"/>
                      <w:szCs w:val="21"/>
                    </w:rPr>
                    <w:t>/h</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H=10m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N=5.5kw</w:t>
                  </w:r>
                  <w:r>
                    <w:rPr>
                      <w:rFonts w:hint="eastAsia" w:cs="宋体" w:asciiTheme="minorEastAsia" w:hAnsiTheme="minorEastAsia" w:eastAsiaTheme="minorEastAsia"/>
                      <w:spacing w:val="-2"/>
                      <w:kern w:val="0"/>
                      <w:szCs w:val="21"/>
                    </w:rPr>
                    <w:t>，自耦安</w:t>
                  </w:r>
                  <w:r>
                    <w:rPr>
                      <w:rFonts w:hint="eastAsia" w:cs="宋体" w:asciiTheme="minorEastAsia" w:hAnsiTheme="minorEastAsia" w:eastAsiaTheme="minorEastAsia"/>
                      <w:kern w:val="0"/>
                      <w:szCs w:val="21"/>
                    </w:rPr>
                    <w:t>装，变频控制</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C</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Q=40m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spacing w:val="-2"/>
                      <w:kern w:val="0"/>
                      <w:szCs w:val="21"/>
                    </w:rPr>
                    <w:t>H=10m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N=3.0kw</w:t>
                  </w:r>
                  <w:r>
                    <w:rPr>
                      <w:rFonts w:hint="eastAsia" w:cs="宋体" w:asciiTheme="minorEastAsia" w:hAnsiTheme="minorEastAsia" w:eastAsiaTheme="minorEastAsia"/>
                      <w:spacing w:val="-2"/>
                      <w:kern w:val="0"/>
                      <w:szCs w:val="21"/>
                    </w:rPr>
                    <w:t>，自耦安</w:t>
                  </w:r>
                  <w:r>
                    <w:rPr>
                      <w:rFonts w:hint="eastAsia" w:cs="宋体" w:asciiTheme="minorEastAsia" w:hAnsiTheme="minorEastAsia" w:eastAsiaTheme="minorEastAsia"/>
                      <w:kern w:val="0"/>
                      <w:szCs w:val="21"/>
                    </w:rPr>
                    <w:t>装，变频控制</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库备、缺氧池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剩余污泥泵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Q=15m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N=1.5kw</w:t>
                  </w:r>
                  <w:r>
                    <w:rPr>
                      <w:rFonts w:hint="eastAsia" w:cs="宋体" w:asciiTheme="minorEastAsia" w:hAnsiTheme="minorEastAsia" w:eastAsiaTheme="minorEastAsia"/>
                      <w:kern w:val="0"/>
                      <w:szCs w:val="21"/>
                    </w:rPr>
                    <w:t>，自耦安装</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MBR</w:t>
                  </w:r>
                  <w:r>
                    <w:rPr>
                      <w:rFonts w:hint="eastAsia" w:cs="宋体" w:asciiTheme="minorEastAsia" w:hAnsiTheme="minorEastAsia" w:eastAsiaTheme="minorEastAsia"/>
                      <w:kern w:val="0"/>
                      <w:szCs w:val="21"/>
                    </w:rPr>
                    <w:t>膜组件</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w:t>
                  </w:r>
                  <w:r>
                    <w:rPr>
                      <w:rFonts w:hint="eastAsia" w:cs="宋体" w:asciiTheme="minorEastAsia" w:hAnsiTheme="minorEastAsia" w:eastAsiaTheme="minorEastAsia"/>
                      <w:kern w:val="0"/>
                      <w:szCs w:val="21"/>
                    </w:rPr>
                    <w:t>）处理量：</w:t>
                  </w:r>
                  <w:r>
                    <w:rPr>
                      <w:rFonts w:cs="宋体" w:asciiTheme="minorEastAsia" w:hAnsiTheme="minorEastAsia" w:eastAsiaTheme="minorEastAsia"/>
                      <w:kern w:val="0"/>
                      <w:szCs w:val="21"/>
                    </w:rPr>
                    <w:t>500m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/d</w:t>
                  </w:r>
                  <w:r>
                    <w:rPr>
                      <w:rFonts w:hint="eastAsia" w:cs="宋体" w:asciiTheme="minorEastAsia" w:hAnsiTheme="minorEastAsia" w:eastAsiaTheme="minorEastAsia"/>
                      <w:kern w:val="0"/>
                      <w:szCs w:val="21"/>
                    </w:rPr>
                    <w:t>，单套含</w:t>
                  </w:r>
                  <w:r>
                    <w:rPr>
                      <w:rFonts w:cs="宋体" w:asciiTheme="minorEastAsia" w:hAnsiTheme="minorEastAsia" w:eastAsiaTheme="minorEastAsia"/>
                      <w:kern w:val="0"/>
                      <w:szCs w:val="21"/>
                    </w:rPr>
                    <w:t>6</w:t>
                  </w:r>
                  <w:r>
                    <w:rPr>
                      <w:rFonts w:hint="eastAsia" w:cs="宋体" w:asciiTheme="minorEastAsia" w:hAnsiTheme="minorEastAsia" w:eastAsiaTheme="minorEastAsia"/>
                      <w:kern w:val="0"/>
                      <w:szCs w:val="21"/>
                    </w:rPr>
                    <w:t>组，单组含</w:t>
                  </w:r>
                  <w:r>
                    <w:rPr>
                      <w:rFonts w:cs="宋体" w:asciiTheme="minorEastAsia" w:hAnsiTheme="minorEastAsia" w:eastAsiaTheme="minorEastAsia"/>
                      <w:kern w:val="0"/>
                      <w:szCs w:val="21"/>
                    </w:rPr>
                    <w:t>24</w:t>
                  </w:r>
                  <w:r>
                    <w:rPr>
                      <w:rFonts w:hint="eastAsia" w:cs="宋体" w:asciiTheme="minorEastAsia" w:hAnsiTheme="minorEastAsia" w:eastAsiaTheme="minorEastAsia"/>
                      <w:kern w:val="0"/>
                      <w:szCs w:val="21"/>
                    </w:rPr>
                    <w:t>帘膜，单帘膜面积</w:t>
                  </w:r>
                  <w:r>
                    <w:rPr>
                      <w:rFonts w:cs="宋体" w:asciiTheme="minorEastAsia" w:hAnsiTheme="minorEastAsia" w:eastAsiaTheme="minorEastAsia"/>
                      <w:kern w:val="0"/>
                      <w:szCs w:val="21"/>
                    </w:rPr>
                    <w:t>15m2</w:t>
                  </w:r>
                  <w:r>
                    <w:rPr>
                      <w:rFonts w:hint="eastAsia" w:cs="宋体" w:asciiTheme="minorEastAsia" w:hAnsiTheme="minorEastAsia" w:eastAsiaTheme="minorEastAsia"/>
                      <w:kern w:val="0"/>
                      <w:szCs w:val="21"/>
                    </w:rPr>
                    <w:t>，每组膜面积</w:t>
                  </w:r>
                  <w:r>
                    <w:rPr>
                      <w:rFonts w:cs="宋体" w:asciiTheme="minorEastAsia" w:hAnsiTheme="minorEastAsia" w:eastAsiaTheme="minorEastAsia"/>
                      <w:kern w:val="0"/>
                      <w:szCs w:val="21"/>
                    </w:rPr>
                    <w:t>360m</w:t>
                  </w:r>
                  <w:r>
                    <w:rPr>
                      <w:rFonts w:cs="宋体"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、单套膜总面积为</w:t>
                  </w:r>
                  <w:r>
                    <w:rPr>
                      <w:rFonts w:cs="宋体" w:asciiTheme="minorEastAsia" w:hAnsiTheme="minorEastAsia" w:eastAsiaTheme="minorEastAsia"/>
                      <w:kern w:val="0"/>
                      <w:szCs w:val="21"/>
                    </w:rPr>
                    <w:t>2160m</w:t>
                  </w:r>
                  <w:r>
                    <w:rPr>
                      <w:rFonts w:cs="宋体"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spacing w:val="-6"/>
                      <w:kern w:val="0"/>
                      <w:szCs w:val="21"/>
                    </w:rPr>
                    <w:t>（</w:t>
                  </w:r>
                  <w:r>
                    <w:rPr>
                      <w:rFonts w:cs="宋体" w:asciiTheme="minorEastAsia" w:hAnsiTheme="minorEastAsia" w:eastAsiaTheme="minorEastAsia"/>
                      <w:spacing w:val="-6"/>
                      <w:kern w:val="0"/>
                      <w:szCs w:val="21"/>
                    </w:rPr>
                    <w:t>2</w:t>
                  </w:r>
                  <w:r>
                    <w:rPr>
                      <w:rFonts w:hint="eastAsia" w:cs="宋体" w:asciiTheme="minorEastAsia" w:hAnsiTheme="minorEastAsia" w:eastAsiaTheme="minorEastAsia"/>
                      <w:spacing w:val="-6"/>
                      <w:kern w:val="0"/>
                      <w:szCs w:val="21"/>
                    </w:rPr>
                    <w:t>）</w:t>
                  </w:r>
                  <w:r>
                    <w:rPr>
                      <w:rFonts w:cs="宋体" w:asciiTheme="minorEastAsia" w:hAnsiTheme="minorEastAsia" w:eastAsiaTheme="minorEastAsia"/>
                      <w:spacing w:val="-6"/>
                      <w:kern w:val="0"/>
                      <w:szCs w:val="21"/>
                    </w:rPr>
                    <w:t>MBR</w:t>
                  </w:r>
                  <w:r>
                    <w:rPr>
                      <w:rFonts w:hint="eastAsia" w:cs="宋体" w:asciiTheme="minorEastAsia" w:hAnsiTheme="minorEastAsia" w:eastAsiaTheme="minorEastAsia"/>
                      <w:spacing w:val="-10"/>
                      <w:kern w:val="0"/>
                      <w:szCs w:val="21"/>
                    </w:rPr>
                    <w:t>膜：帘式、配套</w:t>
                  </w:r>
                  <w:r>
                    <w:rPr>
                      <w:rFonts w:hint="eastAsia" w:cs="宋体" w:asciiTheme="minorEastAsia" w:hAnsiTheme="minorEastAsia" w:eastAsiaTheme="minorEastAsia"/>
                      <w:kern w:val="0"/>
                      <w:szCs w:val="21"/>
                    </w:rPr>
                    <w:t>产水管、空气管；</w:t>
                  </w:r>
                  <w:r>
                    <w:rPr>
                      <w:rFonts w:hint="eastAsia" w:cs="宋体" w:asciiTheme="minorEastAsia" w:hAnsiTheme="minorEastAsia" w:eastAsiaTheme="minorEastAsia"/>
                      <w:spacing w:val="-8"/>
                      <w:kern w:val="0"/>
                      <w:szCs w:val="21"/>
                    </w:rPr>
                    <w:t>（</w:t>
                  </w:r>
                  <w:r>
                    <w:rPr>
                      <w:rFonts w:cs="宋体" w:asciiTheme="minorEastAsia" w:hAnsiTheme="minorEastAsia" w:eastAsiaTheme="minorEastAsia"/>
                      <w:spacing w:val="-8"/>
                      <w:kern w:val="0"/>
                      <w:szCs w:val="21"/>
                    </w:rPr>
                    <w:t>3</w:t>
                  </w:r>
                  <w:r>
                    <w:rPr>
                      <w:rFonts w:hint="eastAsia" w:cs="宋体" w:asciiTheme="minorEastAsia" w:hAnsiTheme="minorEastAsia" w:eastAsiaTheme="minorEastAsia"/>
                      <w:spacing w:val="-8"/>
                      <w:kern w:val="0"/>
                      <w:szCs w:val="21"/>
                    </w:rPr>
                    <w:t>）膜材质</w:t>
                  </w:r>
                  <w:r>
                    <w:rPr>
                      <w:rFonts w:cs="宋体" w:asciiTheme="minorEastAsia" w:hAnsiTheme="minorEastAsia" w:eastAsiaTheme="minorEastAsia"/>
                      <w:spacing w:val="-6"/>
                      <w:kern w:val="0"/>
                      <w:szCs w:val="21"/>
                    </w:rPr>
                    <w:t>Co-PVDF</w:t>
                  </w:r>
                  <w:r>
                    <w:rPr>
                      <w:rFonts w:hint="eastAsia" w:cs="宋体" w:asciiTheme="minorEastAsia" w:hAnsiTheme="minorEastAsia" w:eastAsiaTheme="minorEastAsia"/>
                      <w:spacing w:val="-6"/>
                      <w:kern w:val="0"/>
                      <w:szCs w:val="21"/>
                    </w:rPr>
                    <w:t>，膜</w:t>
                  </w:r>
                  <w:r>
                    <w:rPr>
                      <w:rFonts w:hint="eastAsia" w:cs="宋体" w:asciiTheme="minorEastAsia" w:hAnsiTheme="minorEastAsia" w:eastAsiaTheme="minorEastAsia"/>
                      <w:kern w:val="0"/>
                      <w:szCs w:val="21"/>
                    </w:rPr>
                    <w:t>架不锈钢材质；膜通量</w:t>
                  </w:r>
                  <w:r>
                    <w:rPr>
                      <w:rFonts w:cs="宋体" w:asciiTheme="minorEastAsia" w:hAnsiTheme="minorEastAsia" w:eastAsiaTheme="minorEastAsia"/>
                      <w:kern w:val="0"/>
                      <w:szCs w:val="21"/>
                    </w:rPr>
                    <w:t>12.06L/m</w:t>
                  </w:r>
                  <w:r>
                    <w:rPr>
                      <w:rFonts w:cs="宋体"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MBR</w:t>
                  </w:r>
                  <w:r>
                    <w:rPr>
                      <w:rFonts w:hint="eastAsia" w:cs="宋体" w:asciiTheme="minorEastAsia" w:hAnsiTheme="minorEastAsia" w:eastAsiaTheme="minorEastAsia"/>
                      <w:kern w:val="0"/>
                      <w:szCs w:val="21"/>
                    </w:rPr>
                    <w:t>膜堆自清</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洗系统</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DN40/DN32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UPVC</w:t>
                  </w:r>
                  <w:r>
                    <w:rPr>
                      <w:rFonts w:hint="eastAsia" w:cs="宋体" w:asciiTheme="minorEastAsia" w:hAnsiTheme="minorEastAsia" w:eastAsiaTheme="minorEastAsia"/>
                      <w:kern w:val="0"/>
                      <w:szCs w:val="21"/>
                    </w:rPr>
                    <w:t>材质</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好氧池鼓风机</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宋体" w:asciiTheme="minorEastAsia" w:hAnsiTheme="minorEastAsia" w:eastAsiaTheme="minorEastAsia"/>
                      <w:kern w:val="0"/>
                      <w:szCs w:val="21"/>
                    </w:rPr>
                    <w:t>BK5003</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Q=4.39m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P=60KPa</w:t>
                  </w:r>
                  <w:r>
                    <w:rPr>
                      <w:rFonts w:hint="eastAsia" w:cs="宋体" w:asciiTheme="minorEastAsia" w:hAnsiTheme="minorEastAsia" w:eastAsiaTheme="minorEastAsia"/>
                      <w:spacing w:val="-14"/>
                      <w:kern w:val="0"/>
                      <w:szCs w:val="21"/>
                    </w:rPr>
                    <w:t>，</w:t>
                  </w:r>
                  <w:r>
                    <w:rPr>
                      <w:rFonts w:asciiTheme="minorEastAsia" w:hAnsiTheme="minorEastAsia" w:eastAsiaTheme="minorEastAsia"/>
                      <w:spacing w:val="-14"/>
                      <w:kern w:val="0"/>
                      <w:szCs w:val="21"/>
                    </w:rPr>
                    <w:t>N=11kw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w:t>
                  </w:r>
                  <w:r>
                    <w:rPr>
                      <w:rFonts w:hint="eastAsia" w:cs="宋体" w:asciiTheme="minorEastAsia" w:hAnsiTheme="minorEastAsia" w:eastAsiaTheme="minorEastAsia"/>
                      <w:spacing w:val="-7"/>
                      <w:kern w:val="0"/>
                      <w:szCs w:val="21"/>
                    </w:rPr>
                    <w:t>，配套泄压阀、止回</w:t>
                  </w:r>
                  <w:r>
                    <w:rPr>
                      <w:rFonts w:hint="eastAsia" w:cs="宋体" w:asciiTheme="minorEastAsia" w:hAnsiTheme="minorEastAsia" w:eastAsiaTheme="minorEastAsia"/>
                      <w:kern w:val="0"/>
                      <w:szCs w:val="21"/>
                    </w:rPr>
                    <w:t>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膜池鼓风机</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宋体" w:asciiTheme="minorEastAsia" w:hAnsiTheme="minorEastAsia" w:eastAsiaTheme="minorEastAsia"/>
                      <w:kern w:val="0"/>
                      <w:szCs w:val="21"/>
                    </w:rPr>
                    <w:t>BK5006</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Q=9.36m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P=60KPa</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N=15kw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备、地下设备间，配套泄压阀、止回阀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自吸泵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ZW65-30-18,Q=30m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spacing w:val="-2"/>
                      <w:kern w:val="0"/>
                      <w:szCs w:val="21"/>
                    </w:rPr>
                    <w:t>H=18m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N=4.0KW</w:t>
                  </w:r>
                  <w:r>
                    <w:rPr>
                      <w:rFonts w:hint="eastAsia" w:cs="宋体" w:asciiTheme="minorEastAsia" w:hAnsiTheme="minorEastAsia" w:eastAsiaTheme="minorEastAsia"/>
                      <w:spacing w:val="-2"/>
                      <w:kern w:val="0"/>
                      <w:szCs w:val="21"/>
                    </w:rPr>
                    <w:t>，变频控</w:t>
                  </w:r>
                  <w:r>
                    <w:rPr>
                      <w:rFonts w:hint="eastAsia" w:cs="宋体" w:asciiTheme="minorEastAsia" w:hAnsiTheme="minorEastAsia" w:eastAsiaTheme="minorEastAsia"/>
                      <w:kern w:val="0"/>
                      <w:szCs w:val="21"/>
                    </w:rPr>
                    <w:t>制</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膜反洗泵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Q=50m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spacing w:val="-2"/>
                      <w:kern w:val="0"/>
                      <w:szCs w:val="21"/>
                    </w:rPr>
                    <w:t>H=20m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N=5.5kw</w:t>
                  </w:r>
                  <w:r>
                    <w:rPr>
                      <w:rFonts w:hint="eastAsia" w:cs="宋体" w:asciiTheme="minorEastAsia" w:hAnsiTheme="minorEastAsia" w:eastAsiaTheme="minorEastAsia"/>
                      <w:spacing w:val="-2"/>
                      <w:kern w:val="0"/>
                      <w:szCs w:val="21"/>
                    </w:rPr>
                    <w:t>，自耦连</w:t>
                  </w:r>
                  <w:r>
                    <w:rPr>
                      <w:rFonts w:hint="eastAsia" w:cs="宋体" w:asciiTheme="minorEastAsia" w:hAnsiTheme="minorEastAsia" w:eastAsiaTheme="minorEastAsia"/>
                      <w:kern w:val="0"/>
                      <w:szCs w:val="21"/>
                    </w:rPr>
                    <w:t>接</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8"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清洗保安过滤</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器</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流量</w:t>
                  </w:r>
                  <w:r>
                    <w:rPr>
                      <w:rFonts w:cs="宋体" w:asciiTheme="minorEastAsia" w:hAnsiTheme="minorEastAsia" w:eastAsiaTheme="minorEastAsia"/>
                      <w:spacing w:val="-3"/>
                      <w:kern w:val="0"/>
                      <w:szCs w:val="21"/>
                    </w:rPr>
                    <w:t>50m</w:t>
                  </w:r>
                  <w:r>
                    <w:rPr>
                      <w:rFonts w:cs="宋体" w:asciiTheme="minorEastAsia" w:hAnsiTheme="minorEastAsia" w:eastAsiaTheme="minorEastAsia"/>
                      <w:spacing w:val="-3"/>
                      <w:kern w:val="0"/>
                      <w:szCs w:val="21"/>
                      <w:vertAlign w:val="superscript"/>
                    </w:rPr>
                    <w:t>3</w:t>
                  </w:r>
                  <w:r>
                    <w:rPr>
                      <w:rFonts w:cs="宋体" w:asciiTheme="minorEastAsia" w:hAnsiTheme="minorEastAsia" w:eastAsiaTheme="minorEastAsia"/>
                      <w:spacing w:val="-3"/>
                      <w:kern w:val="0"/>
                      <w:szCs w:val="21"/>
                    </w:rPr>
                    <w:t>/h</w:t>
                  </w:r>
                  <w:r>
                    <w:rPr>
                      <w:rFonts w:hint="eastAsia" w:cs="宋体" w:asciiTheme="minorEastAsia" w:hAnsiTheme="minorEastAsia" w:eastAsiaTheme="minorEastAsia"/>
                      <w:spacing w:val="-3"/>
                      <w:kern w:val="0"/>
                      <w:szCs w:val="21"/>
                    </w:rPr>
                    <w:t>，过滤精度</w:t>
                  </w:r>
                  <w:r>
                    <w:rPr>
                      <w:rFonts w:cs="宋体" w:asciiTheme="minorEastAsia" w:hAnsiTheme="minorEastAsia" w:eastAsiaTheme="minorEastAsia"/>
                      <w:kern w:val="0"/>
                      <w:szCs w:val="21"/>
                    </w:rPr>
                    <w:t>5</w:t>
                  </w:r>
                  <w:r>
                    <w:rPr>
                      <w:rFonts w:hint="eastAsia" w:cs="宋体" w:asciiTheme="minorEastAsia" w:hAnsiTheme="minorEastAsia" w:eastAsiaTheme="minorEastAsia"/>
                      <w:kern w:val="0"/>
                      <w:szCs w:val="21"/>
                    </w:rPr>
                    <w:t>μ</w:t>
                  </w:r>
                  <w:r>
                    <w:rPr>
                      <w:rFonts w:cs="宋体" w:asciiTheme="minorEastAsia" w:hAnsiTheme="minorEastAsia" w:eastAsiaTheme="minorEastAsia"/>
                      <w:kern w:val="0"/>
                      <w:szCs w:val="21"/>
                    </w:rPr>
                    <w:t>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PP</w:t>
                  </w:r>
                  <w:r>
                    <w:rPr>
                      <w:rFonts w:hint="eastAsia" w:cs="宋体" w:asciiTheme="minorEastAsia" w:hAnsiTheme="minorEastAsia" w:eastAsiaTheme="minorEastAsia"/>
                      <w:kern w:val="0"/>
                      <w:szCs w:val="21"/>
                    </w:rPr>
                    <w:t>棉</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清洗酸剂</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含酸剂箱（</w:t>
                  </w:r>
                  <w:r>
                    <w:rPr>
                      <w:rFonts w:cs="宋体" w:asciiTheme="minorEastAsia" w:hAnsiTheme="minorEastAsia" w:eastAsiaTheme="minorEastAsia"/>
                      <w:spacing w:val="-3"/>
                      <w:kern w:val="0"/>
                      <w:szCs w:val="21"/>
                    </w:rPr>
                    <w:t>PE</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300L</w:t>
                  </w:r>
                  <w:r>
                    <w:rPr>
                      <w:rFonts w:hint="eastAsia" w:cs="宋体" w:asciiTheme="minorEastAsia" w:hAnsiTheme="minorEastAsia" w:eastAsiaTheme="minorEastAsia"/>
                      <w:spacing w:val="-3"/>
                      <w:kern w:val="0"/>
                      <w:szCs w:val="21"/>
                    </w:rPr>
                    <w:t>）和加药泵（计量泵、</w:t>
                  </w:r>
                  <w:r>
                    <w:rPr>
                      <w:rFonts w:cs="宋体" w:asciiTheme="minorEastAsia" w:hAnsiTheme="minorEastAsia" w:eastAsiaTheme="minorEastAsia"/>
                      <w:spacing w:val="-3"/>
                      <w:kern w:val="0"/>
                      <w:szCs w:val="21"/>
                    </w:rPr>
                    <w:t>20L/h</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kern w:val="0"/>
                      <w:szCs w:val="21"/>
                    </w:rPr>
                    <w:t>12Bar</w:t>
                  </w:r>
                  <w:r>
                    <w:rPr>
                      <w:rFonts w:hint="eastAsia" w:cs="宋体" w:asciiTheme="minorEastAsia" w:hAnsiTheme="minorEastAsia" w:eastAsiaTheme="minorEastAsia"/>
                      <w:kern w:val="0"/>
                      <w:szCs w:val="21"/>
                    </w:rPr>
                    <w:t>）</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5"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清洗碱剂</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含酸剂箱（</w:t>
                  </w:r>
                  <w:r>
                    <w:rPr>
                      <w:rFonts w:cs="宋体" w:asciiTheme="minorEastAsia" w:hAnsiTheme="minorEastAsia" w:eastAsiaTheme="minorEastAsia"/>
                      <w:spacing w:val="-3"/>
                      <w:kern w:val="0"/>
                      <w:szCs w:val="21"/>
                    </w:rPr>
                    <w:t>PE</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spacing w:val="-3"/>
                      <w:kern w:val="0"/>
                      <w:szCs w:val="21"/>
                    </w:rPr>
                    <w:t>300L</w:t>
                  </w:r>
                  <w:r>
                    <w:rPr>
                      <w:rFonts w:hint="eastAsia" w:cs="宋体" w:asciiTheme="minorEastAsia" w:hAnsiTheme="minorEastAsia" w:eastAsiaTheme="minorEastAsia"/>
                      <w:spacing w:val="-3"/>
                      <w:kern w:val="0"/>
                      <w:szCs w:val="21"/>
                    </w:rPr>
                    <w:t>）和加药泵（计量泵、</w:t>
                  </w:r>
                  <w:r>
                    <w:rPr>
                      <w:rFonts w:cs="宋体" w:asciiTheme="minorEastAsia" w:hAnsiTheme="minorEastAsia" w:eastAsiaTheme="minorEastAsia"/>
                      <w:spacing w:val="-3"/>
                      <w:kern w:val="0"/>
                      <w:szCs w:val="21"/>
                    </w:rPr>
                    <w:t>20L/h</w:t>
                  </w:r>
                  <w:r>
                    <w:rPr>
                      <w:rFonts w:hint="eastAsia" w:cs="宋体" w:asciiTheme="minorEastAsia" w:hAnsiTheme="minorEastAsia" w:eastAsiaTheme="minorEastAsia"/>
                      <w:spacing w:val="-3"/>
                      <w:kern w:val="0"/>
                      <w:szCs w:val="21"/>
                    </w:rPr>
                    <w:t>，</w:t>
                  </w:r>
                  <w:r>
                    <w:rPr>
                      <w:rFonts w:cs="宋体" w:asciiTheme="minorEastAsia" w:hAnsiTheme="minorEastAsia" w:eastAsiaTheme="minorEastAsia"/>
                      <w:kern w:val="0"/>
                      <w:szCs w:val="21"/>
                    </w:rPr>
                    <w:t>12Bar</w:t>
                  </w:r>
                  <w:r>
                    <w:rPr>
                      <w:rFonts w:hint="eastAsia" w:cs="宋体" w:asciiTheme="minorEastAsia" w:hAnsiTheme="minorEastAsia" w:eastAsiaTheme="minorEastAsia"/>
                      <w:kern w:val="0"/>
                      <w:szCs w:val="21"/>
                    </w:rPr>
                    <w:t>）</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5"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排水泵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Q=10m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N=0.75kw</w:t>
                  </w:r>
                  <w:r>
                    <w:rPr>
                      <w:rFonts w:hint="eastAsia" w:cs="宋体" w:asciiTheme="minorEastAsia" w:hAnsiTheme="minorEastAsia" w:eastAsiaTheme="minorEastAsia"/>
                      <w:kern w:val="0"/>
                      <w:szCs w:val="21"/>
                    </w:rPr>
                    <w:t>，软管连接</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5"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行车</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起吊重量</w:t>
                  </w:r>
                  <w:r>
                    <w:rPr>
                      <w:rFonts w:cs="宋体" w:asciiTheme="minorEastAsia" w:hAnsiTheme="minorEastAsia" w:eastAsiaTheme="minorEastAsia"/>
                      <w:kern w:val="0"/>
                      <w:szCs w:val="21"/>
                    </w:rPr>
                    <w:t>2T</w:t>
                  </w:r>
                  <w:r>
                    <w:rPr>
                      <w:rFonts w:hint="eastAsia" w:cs="宋体" w:asciiTheme="minorEastAsia" w:hAnsiTheme="minorEastAsia" w:eastAsiaTheme="minorEastAsia"/>
                      <w:kern w:val="0"/>
                      <w:szCs w:val="21"/>
                    </w:rPr>
                    <w:t>，跨度</w:t>
                  </w:r>
                  <w:r>
                    <w:rPr>
                      <w:rFonts w:cs="宋体" w:asciiTheme="minorEastAsia" w:hAnsiTheme="minorEastAsia" w:eastAsiaTheme="minorEastAsia"/>
                      <w:kern w:val="0"/>
                      <w:szCs w:val="21"/>
                    </w:rPr>
                    <w:t>5m</w:t>
                  </w:r>
                  <w:r>
                    <w:rPr>
                      <w:rFonts w:hint="eastAsia" w:cs="宋体" w:asciiTheme="minorEastAsia" w:hAnsiTheme="minorEastAsia" w:eastAsiaTheme="minorEastAsia"/>
                      <w:kern w:val="0"/>
                      <w:szCs w:val="21"/>
                    </w:rPr>
                    <w:t>，起吊高度</w:t>
                  </w:r>
                  <w:r>
                    <w:rPr>
                      <w:rFonts w:cs="宋体" w:asciiTheme="minorEastAsia" w:hAnsiTheme="minorEastAsia" w:eastAsiaTheme="minorEastAsia"/>
                      <w:kern w:val="0"/>
                      <w:szCs w:val="21"/>
                    </w:rPr>
                    <w:t>8.0m</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5"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三</w:t>
                  </w:r>
                </w:p>
              </w:tc>
              <w:tc>
                <w:tcPr>
                  <w:tcW w:w="3641" w:type="pct"/>
                  <w:gridSpan w:val="6"/>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深度处理间</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7"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气浮除磷过滤装置</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L*B*H=6.0*3.0*3.5mm</w:t>
                  </w:r>
                  <w:r>
                    <w:rPr>
                      <w:rFonts w:hint="eastAsia" w:cs="宋体" w:asciiTheme="minorEastAsia" w:hAnsiTheme="minorEastAsia" w:eastAsiaTheme="minorEastAsia"/>
                      <w:kern w:val="0"/>
                      <w:szCs w:val="21"/>
                    </w:rPr>
                    <w:t>，</w:t>
                  </w:r>
                  <w:r>
                    <w:rPr>
                      <w:rFonts w:hint="eastAsia" w:cs="宋体" w:asciiTheme="minorEastAsia" w:hAnsiTheme="minorEastAsia" w:eastAsiaTheme="minorEastAsia"/>
                      <w:spacing w:val="-3"/>
                      <w:kern w:val="0"/>
                      <w:szCs w:val="21"/>
                    </w:rPr>
                    <w:t>材质碳钢防腐，单套处理</w:t>
                  </w:r>
                  <w:r>
                    <w:rPr>
                      <w:rFonts w:hint="eastAsia" w:cs="宋体" w:asciiTheme="minorEastAsia" w:hAnsiTheme="minorEastAsia" w:eastAsiaTheme="minorEastAsia"/>
                      <w:kern w:val="0"/>
                      <w:szCs w:val="21"/>
                    </w:rPr>
                    <w:t>能力</w:t>
                  </w:r>
                  <w:r>
                    <w:rPr>
                      <w:rFonts w:asciiTheme="minorEastAsia" w:hAnsiTheme="minorEastAsia" w:eastAsiaTheme="minorEastAsia"/>
                      <w:kern w:val="0"/>
                      <w:szCs w:val="21"/>
                    </w:rPr>
                    <w:t>21m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配套空压机、溶气罐、回流水泵、滤池配水系统及检修平台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0"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化学除磷剂</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spacing w:val="-12"/>
                      <w:kern w:val="0"/>
                      <w:szCs w:val="21"/>
                    </w:rPr>
                    <w:t>PE</w:t>
                  </w:r>
                  <w:r>
                    <w:rPr>
                      <w:rFonts w:hint="eastAsia" w:cs="宋体" w:asciiTheme="minorEastAsia" w:hAnsiTheme="minorEastAsia" w:eastAsiaTheme="minorEastAsia"/>
                      <w:spacing w:val="-5"/>
                      <w:kern w:val="0"/>
                      <w:szCs w:val="21"/>
                    </w:rPr>
                    <w:t>加药桶容积：</w:t>
                  </w:r>
                  <w:r>
                    <w:rPr>
                      <w:rFonts w:asciiTheme="minorEastAsia" w:hAnsiTheme="minorEastAsia" w:eastAsiaTheme="minorEastAsia"/>
                      <w:spacing w:val="-5"/>
                      <w:kern w:val="0"/>
                      <w:szCs w:val="21"/>
                    </w:rPr>
                    <w:t>500L</w:t>
                  </w:r>
                  <w:r>
                    <w:rPr>
                      <w:rFonts w:hint="eastAsia" w:cs="宋体" w:asciiTheme="minorEastAsia" w:hAnsiTheme="minorEastAsia" w:eastAsiaTheme="minorEastAsia"/>
                      <w:spacing w:val="-5"/>
                      <w:kern w:val="0"/>
                      <w:szCs w:val="21"/>
                    </w:rPr>
                    <w:t>，</w:t>
                  </w:r>
                  <w:r>
                    <w:rPr>
                      <w:rFonts w:hint="eastAsia" w:cs="宋体" w:asciiTheme="minorEastAsia" w:hAnsiTheme="minorEastAsia" w:eastAsiaTheme="minorEastAsia"/>
                      <w:spacing w:val="-12"/>
                      <w:kern w:val="0"/>
                      <w:szCs w:val="21"/>
                    </w:rPr>
                    <w:t>搅拌机功率：</w:t>
                  </w:r>
                  <w:r>
                    <w:rPr>
                      <w:rFonts w:asciiTheme="minorEastAsia" w:hAnsiTheme="minorEastAsia" w:eastAsiaTheme="minorEastAsia"/>
                      <w:spacing w:val="-12"/>
                      <w:kern w:val="0"/>
                      <w:szCs w:val="21"/>
                    </w:rPr>
                    <w:t>0.55kw</w:t>
                  </w:r>
                  <w:r>
                    <w:rPr>
                      <w:rFonts w:hint="eastAsia" w:cs="宋体" w:asciiTheme="minorEastAsia" w:hAnsiTheme="minorEastAsia" w:eastAsiaTheme="minorEastAsia"/>
                      <w:spacing w:val="-12"/>
                      <w:kern w:val="0"/>
                      <w:szCs w:val="21"/>
                    </w:rPr>
                    <w:t>，</w:t>
                  </w:r>
                  <w:r>
                    <w:rPr>
                      <w:rFonts w:hint="eastAsia" w:cs="宋体" w:asciiTheme="minorEastAsia" w:hAnsiTheme="minorEastAsia" w:eastAsiaTheme="minorEastAsia"/>
                      <w:spacing w:val="-3"/>
                      <w:kern w:val="0"/>
                      <w:szCs w:val="21"/>
                    </w:rPr>
                    <w:t>材质：叶轮及搅拌杆碳钢</w:t>
                  </w:r>
                  <w:r>
                    <w:rPr>
                      <w:rFonts w:hint="eastAsia" w:cs="宋体" w:asciiTheme="minorEastAsia" w:hAnsiTheme="minorEastAsia" w:eastAsiaTheme="minorEastAsia"/>
                      <w:spacing w:val="-5"/>
                      <w:kern w:val="0"/>
                      <w:szCs w:val="21"/>
                    </w:rPr>
                    <w:t>包塑，转速：</w:t>
                  </w:r>
                  <w:r>
                    <w:rPr>
                      <w:rFonts w:asciiTheme="minorEastAsia" w:hAnsiTheme="minorEastAsia" w:eastAsiaTheme="minorEastAsia"/>
                      <w:spacing w:val="-5"/>
                      <w:kern w:val="0"/>
                      <w:szCs w:val="21"/>
                    </w:rPr>
                    <w:t>60r/min</w:t>
                  </w:r>
                  <w:r>
                    <w:rPr>
                      <w:rFonts w:hint="eastAsia" w:cs="宋体" w:asciiTheme="minorEastAsia" w:hAnsiTheme="minorEastAsia" w:eastAsiaTheme="minorEastAsia"/>
                      <w:spacing w:val="-5"/>
                      <w:kern w:val="0"/>
                      <w:szCs w:val="21"/>
                    </w:rPr>
                    <w:t>，电</w:t>
                  </w:r>
                  <w:r>
                    <w:rPr>
                      <w:rFonts w:hint="eastAsia" w:cs="宋体" w:asciiTheme="minorEastAsia" w:hAnsiTheme="minorEastAsia" w:eastAsiaTheme="minorEastAsia"/>
                      <w:kern w:val="0"/>
                      <w:szCs w:val="21"/>
                    </w:rPr>
                    <w:t>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；计量泵流量：</w:t>
                  </w:r>
                  <w:r>
                    <w:rPr>
                      <w:rFonts w:asciiTheme="minorEastAsia" w:hAnsiTheme="minorEastAsia" w:eastAsiaTheme="minorEastAsia"/>
                      <w:spacing w:val="-8"/>
                      <w:kern w:val="0"/>
                      <w:szCs w:val="21"/>
                    </w:rPr>
                    <w:t>6L/h</w:t>
                  </w:r>
                  <w:r>
                    <w:rPr>
                      <w:rFonts w:hint="eastAsia" w:cs="宋体" w:asciiTheme="minorEastAsia" w:hAnsiTheme="minorEastAsia" w:eastAsiaTheme="minorEastAsia"/>
                      <w:spacing w:val="-8"/>
                      <w:kern w:val="0"/>
                      <w:szCs w:val="21"/>
                    </w:rPr>
                    <w:t>，功率：</w:t>
                  </w:r>
                  <w:r>
                    <w:rPr>
                      <w:rFonts w:asciiTheme="minorEastAsia" w:hAnsiTheme="minorEastAsia" w:eastAsiaTheme="minorEastAsia"/>
                      <w:spacing w:val="-8"/>
                      <w:kern w:val="0"/>
                      <w:szCs w:val="21"/>
                    </w:rPr>
                    <w:t>40W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7"/>
                      <w:kern w:val="0"/>
                      <w:szCs w:val="21"/>
                    </w:rPr>
                    <w:t>配套液位计、进水</w:t>
                  </w:r>
                  <w:r>
                    <w:rPr>
                      <w:rFonts w:hint="eastAsia" w:cs="宋体" w:asciiTheme="minorEastAsia" w:hAnsiTheme="minorEastAsia" w:eastAsiaTheme="minorEastAsia"/>
                      <w:kern w:val="0"/>
                      <w:szCs w:val="21"/>
                    </w:rPr>
                    <w:t>电磁阀等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助凝剂</w:t>
                  </w:r>
                </w:p>
              </w:tc>
              <w:tc>
                <w:tcPr>
                  <w:tcW w:w="1805" w:type="pct"/>
                  <w:gridSpan w:val="2"/>
                  <w:vAlign w:val="center"/>
                </w:tcPr>
                <w:p>
                  <w:pPr>
                    <w:topLinePunct/>
                    <w:adjustRightInd w:val="0"/>
                    <w:spacing w:line="360" w:lineRule="exact"/>
                    <w:rPr>
                      <w:rFonts w:asciiTheme="minorEastAsia" w:hAnsiTheme="minorEastAsia" w:eastAsiaTheme="minorEastAsia"/>
                      <w:kern w:val="0"/>
                      <w:szCs w:val="21"/>
                    </w:rPr>
                  </w:pPr>
                  <w:r>
                    <w:rPr>
                      <w:rFonts w:asciiTheme="minorEastAsia" w:hAnsiTheme="minorEastAsia" w:eastAsiaTheme="minorEastAsia"/>
                      <w:spacing w:val="-5"/>
                      <w:kern w:val="0"/>
                      <w:szCs w:val="21"/>
                    </w:rPr>
                    <w:t>PE</w:t>
                  </w:r>
                  <w:r>
                    <w:rPr>
                      <w:rFonts w:hint="eastAsia" w:cs="宋体" w:asciiTheme="minorEastAsia" w:hAnsiTheme="minorEastAsia" w:eastAsiaTheme="minorEastAsia"/>
                      <w:spacing w:val="-5"/>
                      <w:kern w:val="0"/>
                      <w:szCs w:val="21"/>
                    </w:rPr>
                    <w:t>加药桶容积：</w:t>
                  </w:r>
                  <w:r>
                    <w:rPr>
                      <w:rFonts w:asciiTheme="minorEastAsia" w:hAnsiTheme="minorEastAsia" w:eastAsiaTheme="minorEastAsia"/>
                      <w:spacing w:val="-5"/>
                      <w:kern w:val="0"/>
                      <w:szCs w:val="21"/>
                    </w:rPr>
                    <w:t>500L</w:t>
                  </w:r>
                  <w:r>
                    <w:rPr>
                      <w:rFonts w:hint="eastAsia" w:cs="宋体" w:asciiTheme="minorEastAsia" w:hAnsiTheme="minorEastAsia" w:eastAsiaTheme="minorEastAsia"/>
                      <w:spacing w:val="-5"/>
                      <w:kern w:val="0"/>
                      <w:szCs w:val="21"/>
                    </w:rPr>
                    <w:t>；搅拌机功率：</w:t>
                  </w:r>
                  <w:r>
                    <w:rPr>
                      <w:rFonts w:asciiTheme="minorEastAsia" w:hAnsiTheme="minorEastAsia" w:eastAsiaTheme="minorEastAsia"/>
                      <w:spacing w:val="-5"/>
                      <w:kern w:val="0"/>
                      <w:szCs w:val="21"/>
                    </w:rPr>
                    <w:t>1.1kw</w:t>
                  </w:r>
                  <w:r>
                    <w:rPr>
                      <w:rFonts w:hint="eastAsia" w:cs="宋体" w:asciiTheme="minorEastAsia" w:hAnsiTheme="minorEastAsia" w:eastAsiaTheme="minorEastAsia"/>
                      <w:spacing w:val="-5"/>
                      <w:kern w:val="0"/>
                      <w:szCs w:val="21"/>
                    </w:rPr>
                    <w:t>，</w:t>
                  </w:r>
                  <w:r>
                    <w:rPr>
                      <w:rFonts w:hint="eastAsia" w:cs="宋体" w:asciiTheme="minorEastAsia" w:hAnsiTheme="minorEastAsia" w:eastAsiaTheme="minorEastAsia"/>
                      <w:spacing w:val="-3"/>
                      <w:kern w:val="0"/>
                      <w:szCs w:val="21"/>
                    </w:rPr>
                    <w:t>材质：叶轮及搅拌杆碳钢</w:t>
                  </w:r>
                  <w:r>
                    <w:rPr>
                      <w:rFonts w:hint="eastAsia" w:cs="宋体" w:asciiTheme="minorEastAsia" w:hAnsiTheme="minorEastAsia" w:eastAsiaTheme="minorEastAsia"/>
                      <w:spacing w:val="-5"/>
                      <w:kern w:val="0"/>
                      <w:szCs w:val="21"/>
                    </w:rPr>
                    <w:t>包塑，转速：</w:t>
                  </w:r>
                  <w:r>
                    <w:rPr>
                      <w:rFonts w:asciiTheme="minorEastAsia" w:hAnsiTheme="minorEastAsia" w:eastAsiaTheme="minorEastAsia"/>
                      <w:spacing w:val="-5"/>
                      <w:kern w:val="0"/>
                      <w:szCs w:val="21"/>
                    </w:rPr>
                    <w:t>60r/min</w:t>
                  </w:r>
                  <w:r>
                    <w:rPr>
                      <w:rFonts w:hint="eastAsia" w:cs="宋体" w:asciiTheme="minorEastAsia" w:hAnsiTheme="minorEastAsia" w:eastAsiaTheme="minorEastAsia"/>
                      <w:spacing w:val="-5"/>
                      <w:kern w:val="0"/>
                      <w:szCs w:val="21"/>
                    </w:rPr>
                    <w:t>，电</w:t>
                  </w:r>
                  <w:r>
                    <w:rPr>
                      <w:rFonts w:hint="eastAsia" w:cs="宋体" w:asciiTheme="minorEastAsia" w:hAnsiTheme="minorEastAsia" w:eastAsiaTheme="minorEastAsia"/>
                      <w:kern w:val="0"/>
                      <w:szCs w:val="21"/>
                    </w:rPr>
                    <w:t>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；计量泵流量：</w:t>
                  </w:r>
                  <w:r>
                    <w:rPr>
                      <w:rFonts w:asciiTheme="minorEastAsia" w:hAnsiTheme="minorEastAsia" w:eastAsiaTheme="minorEastAsia"/>
                      <w:kern w:val="0"/>
                      <w:szCs w:val="21"/>
                    </w:rPr>
                    <w:t>100L/h</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40W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7"/>
                      <w:kern w:val="0"/>
                      <w:szCs w:val="21"/>
                    </w:rPr>
                    <w:t>配套自动干粉</w:t>
                  </w:r>
                  <w:r>
                    <w:rPr>
                      <w:rFonts w:hint="eastAsia" w:cs="宋体" w:asciiTheme="minorEastAsia" w:hAnsiTheme="minorEastAsia" w:eastAsiaTheme="minorEastAsia"/>
                      <w:spacing w:val="-3"/>
                      <w:kern w:val="0"/>
                      <w:szCs w:val="21"/>
                    </w:rPr>
                    <w:t>投加装置、液位计、进水</w:t>
                  </w:r>
                  <w:r>
                    <w:rPr>
                      <w:rFonts w:hint="eastAsia" w:cs="宋体" w:asciiTheme="minorEastAsia" w:hAnsiTheme="minorEastAsia" w:eastAsiaTheme="minorEastAsia"/>
                      <w:kern w:val="0"/>
                      <w:szCs w:val="21"/>
                    </w:rPr>
                    <w:t>电磁阀等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8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碳源加药装置</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spacing w:val="-5"/>
                      <w:kern w:val="0"/>
                      <w:szCs w:val="21"/>
                    </w:rPr>
                    <w:t>PE</w:t>
                  </w:r>
                  <w:r>
                    <w:rPr>
                      <w:rFonts w:hint="eastAsia" w:cs="宋体" w:asciiTheme="minorEastAsia" w:hAnsiTheme="minorEastAsia" w:eastAsiaTheme="minorEastAsia"/>
                      <w:spacing w:val="-5"/>
                      <w:kern w:val="0"/>
                      <w:szCs w:val="21"/>
                    </w:rPr>
                    <w:t>加药桶容积：</w:t>
                  </w:r>
                  <w:r>
                    <w:rPr>
                      <w:rFonts w:asciiTheme="minorEastAsia" w:hAnsiTheme="minorEastAsia" w:eastAsiaTheme="minorEastAsia"/>
                      <w:spacing w:val="-5"/>
                      <w:kern w:val="0"/>
                      <w:szCs w:val="21"/>
                    </w:rPr>
                    <w:t>500L</w:t>
                  </w:r>
                  <w:r>
                    <w:rPr>
                      <w:rFonts w:hint="eastAsia" w:cs="宋体" w:asciiTheme="minorEastAsia" w:hAnsiTheme="minorEastAsia" w:eastAsiaTheme="minorEastAsia"/>
                      <w:spacing w:val="-5"/>
                      <w:kern w:val="0"/>
                      <w:szCs w:val="21"/>
                    </w:rPr>
                    <w:t>；搅拌机功率：</w:t>
                  </w:r>
                  <w:r>
                    <w:rPr>
                      <w:rFonts w:asciiTheme="minorEastAsia" w:hAnsiTheme="minorEastAsia" w:eastAsiaTheme="minorEastAsia"/>
                      <w:spacing w:val="-5"/>
                      <w:kern w:val="0"/>
                      <w:szCs w:val="21"/>
                    </w:rPr>
                    <w:t>1.5kw</w:t>
                  </w:r>
                  <w:r>
                    <w:rPr>
                      <w:rFonts w:hint="eastAsia" w:cs="宋体" w:asciiTheme="minorEastAsia" w:hAnsiTheme="minorEastAsia" w:eastAsiaTheme="minorEastAsia"/>
                      <w:spacing w:val="-5"/>
                      <w:kern w:val="0"/>
                      <w:szCs w:val="21"/>
                    </w:rPr>
                    <w:t>，</w:t>
                  </w:r>
                  <w:r>
                    <w:rPr>
                      <w:rFonts w:hint="eastAsia" w:cs="宋体" w:asciiTheme="minorEastAsia" w:hAnsiTheme="minorEastAsia" w:eastAsiaTheme="minorEastAsia"/>
                      <w:spacing w:val="-7"/>
                      <w:kern w:val="0"/>
                      <w:szCs w:val="21"/>
                    </w:rPr>
                    <w:t>电压：</w:t>
                  </w:r>
                  <w:r>
                    <w:rPr>
                      <w:rFonts w:asciiTheme="minorEastAsia" w:hAnsiTheme="minorEastAsia" w:eastAsiaTheme="minorEastAsia"/>
                      <w:spacing w:val="-7"/>
                      <w:kern w:val="0"/>
                      <w:szCs w:val="21"/>
                    </w:rPr>
                    <w:t>380V</w:t>
                  </w:r>
                  <w:r>
                    <w:rPr>
                      <w:rFonts w:hint="eastAsia" w:cs="宋体" w:asciiTheme="minorEastAsia" w:hAnsiTheme="minorEastAsia" w:eastAsiaTheme="minorEastAsia"/>
                      <w:spacing w:val="-7"/>
                      <w:kern w:val="0"/>
                      <w:szCs w:val="21"/>
                    </w:rPr>
                    <w:t>，材质：叶轮</w:t>
                  </w:r>
                  <w:r>
                    <w:rPr>
                      <w:rFonts w:hint="eastAsia" w:cs="宋体" w:asciiTheme="minorEastAsia" w:hAnsiTheme="minorEastAsia" w:eastAsiaTheme="minorEastAsia"/>
                      <w:kern w:val="0"/>
                      <w:szCs w:val="21"/>
                    </w:rPr>
                    <w:t>及搅拌杆碳钢包塑，转</w:t>
                  </w:r>
                  <w:r>
                    <w:rPr>
                      <w:rFonts w:hint="eastAsia" w:cs="宋体" w:asciiTheme="minorEastAsia" w:hAnsiTheme="minorEastAsia" w:eastAsiaTheme="minorEastAsia"/>
                      <w:spacing w:val="-5"/>
                      <w:kern w:val="0"/>
                      <w:szCs w:val="21"/>
                    </w:rPr>
                    <w:t>速：</w:t>
                  </w:r>
                  <w:r>
                    <w:rPr>
                      <w:rFonts w:asciiTheme="minorEastAsia" w:hAnsiTheme="minorEastAsia" w:eastAsiaTheme="minorEastAsia"/>
                      <w:spacing w:val="-5"/>
                      <w:kern w:val="0"/>
                      <w:szCs w:val="21"/>
                    </w:rPr>
                    <w:t>60r/min</w:t>
                  </w:r>
                  <w:r>
                    <w:rPr>
                      <w:rFonts w:hint="eastAsia" w:cs="宋体" w:asciiTheme="minorEastAsia" w:hAnsiTheme="minorEastAsia" w:eastAsiaTheme="minorEastAsia"/>
                      <w:spacing w:val="-5"/>
                      <w:kern w:val="0"/>
                      <w:szCs w:val="21"/>
                    </w:rPr>
                    <w:t>；机械计量泵</w:t>
                  </w:r>
                  <w:r>
                    <w:rPr>
                      <w:rFonts w:hint="eastAsia" w:cs="宋体" w:asciiTheme="minorEastAsia" w:hAnsiTheme="minorEastAsia" w:eastAsiaTheme="minorEastAsia"/>
                      <w:kern w:val="0"/>
                      <w:szCs w:val="21"/>
                    </w:rPr>
                    <w:t>流量：</w:t>
                  </w:r>
                  <w:r>
                    <w:rPr>
                      <w:rFonts w:asciiTheme="minorEastAsia" w:hAnsiTheme="minorEastAsia" w:eastAsiaTheme="minorEastAsia"/>
                      <w:kern w:val="0"/>
                      <w:szCs w:val="21"/>
                    </w:rPr>
                    <w:t>50L/h</w:t>
                  </w:r>
                  <w:r>
                    <w:rPr>
                      <w:rFonts w:hint="eastAsia" w:cs="宋体" w:asciiTheme="minorEastAsia" w:hAnsiTheme="minorEastAsia" w:eastAsiaTheme="minorEastAsia"/>
                      <w:kern w:val="0"/>
                      <w:szCs w:val="21"/>
                    </w:rPr>
                    <w:t>，功率：</w:t>
                  </w:r>
                  <w:r>
                    <w:rPr>
                      <w:rFonts w:asciiTheme="minorEastAsia" w:hAnsiTheme="minorEastAsia" w:eastAsiaTheme="minorEastAsia"/>
                      <w:spacing w:val="-5"/>
                      <w:kern w:val="0"/>
                      <w:szCs w:val="21"/>
                    </w:rPr>
                    <w:t>0.25kw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5"/>
                      <w:kern w:val="0"/>
                      <w:szCs w:val="21"/>
                    </w:rPr>
                    <w:t>配</w:t>
                  </w:r>
                  <w:r>
                    <w:rPr>
                      <w:rFonts w:hint="eastAsia" w:cs="宋体" w:asciiTheme="minorEastAsia" w:hAnsiTheme="minorEastAsia" w:eastAsiaTheme="minorEastAsia"/>
                      <w:kern w:val="0"/>
                      <w:szCs w:val="21"/>
                    </w:rPr>
                    <w:t>套磁翻板液位计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5"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w:t>
                  </w:r>
                </w:p>
              </w:tc>
              <w:tc>
                <w:tcPr>
                  <w:tcW w:w="954" w:type="pct"/>
                  <w:vAlign w:val="center"/>
                </w:tcPr>
                <w:p>
                  <w:pPr>
                    <w:pStyle w:val="12"/>
                    <w:topLinePunct/>
                    <w:spacing w:before="0" w:after="0" w:line="360" w:lineRule="exact"/>
                    <w:ind w:right="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反洗风机</w:t>
                  </w:r>
                </w:p>
              </w:tc>
              <w:tc>
                <w:tcPr>
                  <w:tcW w:w="1805" w:type="pct"/>
                  <w:gridSpan w:val="2"/>
                  <w:vAlign w:val="center"/>
                </w:tcPr>
                <w:p>
                  <w:pPr>
                    <w:topLinePunct/>
                    <w:adjustRightInd w:val="0"/>
                    <w:spacing w:line="360" w:lineRule="exact"/>
                    <w:jc w:val="center"/>
                    <w:rPr>
                      <w:rFonts w:cs="宋体" w:asciiTheme="minorEastAsia" w:hAnsiTheme="minorEastAsia" w:eastAsiaTheme="minorEastAsia"/>
                      <w:spacing w:val="-5"/>
                      <w:kern w:val="0"/>
                      <w:szCs w:val="21"/>
                    </w:rPr>
                  </w:pPr>
                  <w:r>
                    <w:rPr>
                      <w:rFonts w:hint="eastAsia" w:cs="宋体" w:asciiTheme="minorEastAsia" w:hAnsiTheme="minorEastAsia" w:eastAsiaTheme="minorEastAsia"/>
                      <w:kern w:val="0"/>
                      <w:szCs w:val="21"/>
                    </w:rPr>
                    <w:t>回转风机，型号：</w:t>
                  </w:r>
                  <w:r>
                    <w:rPr>
                      <w:rFonts w:cs="TimesNewRomanPSMT" w:asciiTheme="minorEastAsia" w:hAnsiTheme="minorEastAsia" w:eastAsiaTheme="minorEastAsia"/>
                      <w:kern w:val="0"/>
                      <w:szCs w:val="21"/>
                    </w:rPr>
                    <w:t>HC-100S</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Q=4.11m</w:t>
                  </w:r>
                  <w:r>
                    <w:rPr>
                      <w:rFonts w:cs="TimesNewRomanPSMT" w:asciiTheme="minorEastAsia" w:hAnsiTheme="minorEastAsia" w:eastAsiaTheme="minorEastAsia"/>
                      <w:kern w:val="0"/>
                      <w:szCs w:val="21"/>
                      <w:vertAlign w:val="superscript"/>
                    </w:rPr>
                    <w:t>3</w:t>
                  </w:r>
                  <w:r>
                    <w:rPr>
                      <w:rFonts w:cs="TimesNewRomanPSMT"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P=50KPa</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N=5.5kw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1用1备，</w:t>
                  </w:r>
                  <w:r>
                    <w:rPr>
                      <w:rFonts w:hint="eastAsia" w:cs="宋体" w:asciiTheme="minorEastAsia" w:hAnsiTheme="minorEastAsia" w:eastAsiaTheme="minorEastAsia"/>
                      <w:kern w:val="0"/>
                      <w:szCs w:val="21"/>
                    </w:rPr>
                    <w:t>配套泄压阀、止回阀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消毒加药装置</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5"/>
                      <w:kern w:val="0"/>
                      <w:szCs w:val="21"/>
                    </w:rPr>
                    <w:t>加药桶容积：</w:t>
                  </w:r>
                  <w:r>
                    <w:rPr>
                      <w:rFonts w:asciiTheme="minorEastAsia" w:hAnsiTheme="minorEastAsia" w:eastAsiaTheme="minorEastAsia"/>
                      <w:spacing w:val="-5"/>
                      <w:kern w:val="0"/>
                      <w:szCs w:val="21"/>
                    </w:rPr>
                    <w:t>500L</w:t>
                  </w:r>
                  <w:r>
                    <w:rPr>
                      <w:rFonts w:hint="eastAsia" w:cs="宋体" w:asciiTheme="minorEastAsia" w:hAnsiTheme="minorEastAsia" w:eastAsiaTheme="minorEastAsia"/>
                      <w:spacing w:val="-5"/>
                      <w:kern w:val="0"/>
                      <w:szCs w:val="21"/>
                    </w:rPr>
                    <w:t>；材质</w:t>
                  </w:r>
                  <w:r>
                    <w:rPr>
                      <w:rFonts w:asciiTheme="minorEastAsia" w:hAnsiTheme="minorEastAsia" w:eastAsiaTheme="minorEastAsia"/>
                      <w:spacing w:val="-4"/>
                      <w:kern w:val="0"/>
                      <w:szCs w:val="21"/>
                    </w:rPr>
                    <w:t>PE</w:t>
                  </w:r>
                  <w:r>
                    <w:rPr>
                      <w:rFonts w:hint="eastAsia" w:cs="宋体" w:asciiTheme="minorEastAsia" w:hAnsiTheme="minorEastAsia" w:eastAsiaTheme="minorEastAsia"/>
                      <w:spacing w:val="-4"/>
                      <w:kern w:val="0"/>
                      <w:szCs w:val="21"/>
                    </w:rPr>
                    <w:t>；计量泵流量：</w:t>
                  </w:r>
                  <w:r>
                    <w:rPr>
                      <w:rFonts w:asciiTheme="minorEastAsia" w:hAnsiTheme="minorEastAsia" w:eastAsiaTheme="minorEastAsia"/>
                      <w:spacing w:val="-4"/>
                      <w:kern w:val="0"/>
                      <w:szCs w:val="21"/>
                    </w:rPr>
                    <w:t>12L/h</w:t>
                  </w:r>
                  <w:r>
                    <w:rPr>
                      <w:rFonts w:hint="eastAsia" w:cs="宋体" w:asciiTheme="minorEastAsia" w:hAnsiTheme="minorEastAsia" w:eastAsiaTheme="minorEastAsia"/>
                      <w:spacing w:val="-4"/>
                      <w:kern w:val="0"/>
                      <w:szCs w:val="21"/>
                    </w:rPr>
                    <w:t>，</w:t>
                  </w:r>
                  <w:r>
                    <w:rPr>
                      <w:rFonts w:hint="eastAsia" w:cs="宋体" w:asciiTheme="minorEastAsia" w:hAnsiTheme="minorEastAsia" w:eastAsiaTheme="minorEastAsia"/>
                      <w:spacing w:val="-6"/>
                      <w:kern w:val="0"/>
                      <w:szCs w:val="21"/>
                    </w:rPr>
                    <w:t>电压：</w:t>
                  </w:r>
                  <w:r>
                    <w:rPr>
                      <w:rFonts w:asciiTheme="minorEastAsia" w:hAnsiTheme="minorEastAsia" w:eastAsiaTheme="minorEastAsia"/>
                      <w:spacing w:val="-6"/>
                      <w:kern w:val="0"/>
                      <w:szCs w:val="21"/>
                    </w:rPr>
                    <w:t>220V</w:t>
                  </w:r>
                  <w:r>
                    <w:rPr>
                      <w:rFonts w:hint="eastAsia" w:cs="宋体" w:asciiTheme="minorEastAsia" w:hAnsiTheme="minorEastAsia" w:eastAsiaTheme="minorEastAsia"/>
                      <w:spacing w:val="-6"/>
                      <w:kern w:val="0"/>
                      <w:szCs w:val="21"/>
                    </w:rPr>
                    <w:t>，功率：</w:t>
                  </w:r>
                  <w:r>
                    <w:rPr>
                      <w:rFonts w:asciiTheme="minorEastAsia" w:hAnsiTheme="minorEastAsia" w:eastAsiaTheme="minorEastAsia"/>
                      <w:spacing w:val="-6"/>
                      <w:kern w:val="0"/>
                      <w:szCs w:val="21"/>
                    </w:rPr>
                    <w:t>40W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管道式紫外消</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毒装置</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过滤反洗泵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asciiTheme="minorEastAsia" w:hAnsiTheme="minorEastAsia" w:eastAsiaTheme="minorEastAsia"/>
                      <w:kern w:val="0"/>
                      <w:szCs w:val="21"/>
                    </w:rPr>
                    <w:t>Q</w:t>
                  </w:r>
                  <w:r>
                    <w:rPr>
                      <w:rFonts w:cs="宋体" w:asciiTheme="minorEastAsia" w:hAnsiTheme="minorEastAsia" w:eastAsiaTheme="minorEastAsia"/>
                      <w:kern w:val="0"/>
                      <w:szCs w:val="21"/>
                    </w:rPr>
                    <w:t>=80m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N=7.5kw</w:t>
                  </w:r>
                  <w:r>
                    <w:rPr>
                      <w:rFonts w:hint="eastAsia" w:cs="宋体" w:asciiTheme="minorEastAsia" w:hAnsiTheme="minorEastAsia" w:eastAsiaTheme="minorEastAsia"/>
                      <w:kern w:val="0"/>
                      <w:szCs w:val="21"/>
                    </w:rPr>
                    <w:t>，自耦安装</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四</w:t>
                  </w:r>
                </w:p>
              </w:tc>
              <w:tc>
                <w:tcPr>
                  <w:tcW w:w="4688" w:type="pct"/>
                  <w:gridSpan w:val="7"/>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bookmarkStart w:id="13" w:name="bookmark1"/>
                  <w:bookmarkEnd w:id="13"/>
                  <w:bookmarkStart w:id="14" w:name="7.3.1_设计依据"/>
                  <w:bookmarkEnd w:id="14"/>
                  <w:bookmarkStart w:id="15" w:name="7.3_总图设计"/>
                  <w:bookmarkEnd w:id="15"/>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巴氏计量槽</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流量范围：</w:t>
                  </w:r>
                  <w:r>
                    <w:rPr>
                      <w:rFonts w:asciiTheme="minorEastAsia" w:hAnsiTheme="minorEastAsia" w:eastAsiaTheme="minorEastAsia"/>
                      <w:kern w:val="0"/>
                      <w:szCs w:val="21"/>
                    </w:rPr>
                    <w:t>2.7</w:t>
                  </w:r>
                  <w:r>
                    <w:rPr>
                      <w:rFonts w:cs="宋体" w:asciiTheme="minorEastAsia" w:hAnsiTheme="minorEastAsia" w:eastAsiaTheme="minorEastAsia"/>
                      <w:kern w:val="0"/>
                      <w:szCs w:val="21"/>
                    </w:rPr>
                    <w:t>-115m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，材质：不锈钢</w:t>
                  </w:r>
                  <w:r>
                    <w:rPr>
                      <w:rFonts w:asciiTheme="minorEastAsia" w:hAnsiTheme="minorEastAsia" w:eastAsiaTheme="minorEastAsia"/>
                      <w:kern w:val="0"/>
                      <w:szCs w:val="21"/>
                    </w:rPr>
                    <w:t>304</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取样泵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在线监测配套</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污泥提升泵</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潜污泵，型号：</w:t>
                  </w:r>
                  <w:r>
                    <w:rPr>
                      <w:rFonts w:asciiTheme="minorEastAsia" w:hAnsiTheme="minorEastAsia" w:eastAsiaTheme="minorEastAsia"/>
                      <w:kern w:val="0"/>
                      <w:szCs w:val="21"/>
                    </w:rPr>
                    <w:t>50WQ20-15-2.2</w:t>
                  </w:r>
                  <w:r>
                    <w:rPr>
                      <w:rFonts w:hint="eastAsia" w:cs="宋体" w:asciiTheme="minorEastAsia" w:hAnsiTheme="minorEastAsia" w:eastAsiaTheme="minorEastAsia"/>
                      <w:kern w:val="0"/>
                      <w:szCs w:val="21"/>
                    </w:rPr>
                    <w:t>，材质铸</w:t>
                  </w:r>
                  <w:r>
                    <w:rPr>
                      <w:rFonts w:hint="eastAsia" w:cs="宋体" w:asciiTheme="minorEastAsia" w:hAnsiTheme="minorEastAsia" w:eastAsiaTheme="minorEastAsia"/>
                      <w:spacing w:val="-3"/>
                      <w:kern w:val="0"/>
                      <w:szCs w:val="21"/>
                    </w:rPr>
                    <w:t>铁，耦合安装，安装高度</w:t>
                  </w:r>
                  <w:r>
                    <w:rPr>
                      <w:rFonts w:asciiTheme="minorEastAsia" w:hAnsiTheme="minorEastAsia" w:eastAsiaTheme="minorEastAsia"/>
                      <w:kern w:val="0"/>
                      <w:szCs w:val="21"/>
                    </w:rPr>
                    <w:t>4.9</w:t>
                  </w:r>
                  <w:r>
                    <w:rPr>
                      <w:rFonts w:cs="宋体" w:asciiTheme="minorEastAsia" w:hAnsiTheme="minorEastAsia" w:eastAsiaTheme="minorEastAsia"/>
                      <w:kern w:val="0"/>
                      <w:szCs w:val="21"/>
                    </w:rPr>
                    <w:t>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Q=20m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N=2.2kw</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生物除臭装置</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处理风量：</w:t>
                  </w:r>
                  <w:r>
                    <w:rPr>
                      <w:rFonts w:asciiTheme="minorEastAsia" w:hAnsiTheme="minorEastAsia" w:eastAsiaTheme="minorEastAsia"/>
                      <w:kern w:val="0"/>
                      <w:szCs w:val="21"/>
                    </w:rPr>
                    <w:t>8500m</w:t>
                  </w:r>
                  <w:r>
                    <w:rPr>
                      <w:rFonts w:asciiTheme="minorEastAsia" w:hAnsiTheme="minorEastAsia" w:eastAsiaTheme="minorEastAsia"/>
                      <w:kern w:val="0"/>
                      <w:position w:val="8"/>
                      <w:szCs w:val="21"/>
                    </w:rPr>
                    <w:t>3</w:t>
                  </w:r>
                  <w:r>
                    <w:rPr>
                      <w:rFonts w:asciiTheme="minorEastAsia" w:hAnsiTheme="minorEastAsia" w:eastAsiaTheme="minorEastAsia"/>
                      <w:kern w:val="0"/>
                      <w:szCs w:val="21"/>
                    </w:rPr>
                    <w:t>/h</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空气源热泵系统</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单台空气源热泵供热量</w:t>
                  </w:r>
                  <w:r>
                    <w:rPr>
                      <w:rFonts w:asciiTheme="minorEastAsia" w:hAnsiTheme="minorEastAsia" w:eastAsiaTheme="minorEastAsia"/>
                      <w:spacing w:val="-13"/>
                      <w:kern w:val="0"/>
                      <w:szCs w:val="21"/>
                    </w:rPr>
                    <w:t>180kw</w:t>
                  </w:r>
                  <w:r>
                    <w:rPr>
                      <w:rFonts w:hint="eastAsia" w:cs="宋体" w:asciiTheme="minorEastAsia" w:hAnsiTheme="minorEastAsia" w:eastAsiaTheme="minorEastAsia"/>
                      <w:spacing w:val="-13"/>
                      <w:kern w:val="0"/>
                      <w:szCs w:val="21"/>
                    </w:rPr>
                    <w:t>，输入功率</w:t>
                  </w:r>
                  <w:r>
                    <w:rPr>
                      <w:rFonts w:asciiTheme="minorEastAsia" w:hAnsiTheme="minorEastAsia" w:eastAsiaTheme="minorEastAsia"/>
                      <w:kern w:val="0"/>
                      <w:szCs w:val="21"/>
                    </w:rPr>
                    <w:t>49.8kw</w:t>
                  </w:r>
                  <w:r>
                    <w:rPr>
                      <w:rFonts w:hint="eastAsia" w:cs="宋体" w:asciiTheme="minorEastAsia" w:hAnsiTheme="minorEastAsia" w:eastAsiaTheme="minorEastAsia"/>
                      <w:kern w:val="0"/>
                      <w:szCs w:val="21"/>
                    </w:rPr>
                    <w:t>，其系统总装机功率</w:t>
                  </w:r>
                  <w:r>
                    <w:rPr>
                      <w:rFonts w:asciiTheme="minorEastAsia" w:hAnsiTheme="minorEastAsia" w:eastAsiaTheme="minorEastAsia"/>
                      <w:kern w:val="0"/>
                      <w:szCs w:val="21"/>
                    </w:rPr>
                    <w:t>60kw</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供暖系统</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通风系统</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8"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变压器</w:t>
                  </w:r>
                </w:p>
              </w:tc>
              <w:tc>
                <w:tcPr>
                  <w:tcW w:w="1805" w:type="pct"/>
                  <w:gridSpan w:val="2"/>
                  <w:vAlign w:val="center"/>
                </w:tcPr>
                <w:p>
                  <w:pPr>
                    <w:topLinePunct/>
                    <w:adjustRightInd w:val="0"/>
                    <w:spacing w:line="360" w:lineRule="exact"/>
                    <w:jc w:val="center"/>
                    <w:rPr>
                      <w:rFonts w:asciiTheme="minorEastAsia" w:hAnsiTheme="minorEastAsia" w:eastAsiaTheme="minorEastAsia"/>
                      <w:kern w:val="0"/>
                      <w:szCs w:val="21"/>
                    </w:rPr>
                  </w:pP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bl>
          <w:p>
            <w:pPr>
              <w:spacing w:line="480" w:lineRule="exact"/>
              <w:ind w:firstLine="480" w:firstLineChars="200"/>
              <w:textAlignment w:val="bottom"/>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、管网工程量</w:t>
            </w:r>
          </w:p>
          <w:p>
            <w:pPr>
              <w:spacing w:line="48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本项目污水管网材料统计见下表：</w:t>
            </w:r>
          </w:p>
          <w:p>
            <w:pPr>
              <w:spacing w:line="48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-13    </w:t>
            </w:r>
            <w:r>
              <w:rPr>
                <w:rFonts w:hint="eastAsia" w:asciiTheme="minorEastAsia" w:hAnsiTheme="minorEastAsia" w:eastAsiaTheme="minorEastAsia"/>
                <w:kern w:val="10"/>
                <w:sz w:val="24"/>
              </w:rPr>
              <w:t>管网工程量清单</w:t>
            </w:r>
          </w:p>
          <w:tbl>
            <w:tblPr>
              <w:tblStyle w:val="28"/>
              <w:tblW w:w="0" w:type="auto"/>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3"/>
              <w:gridCol w:w="1072"/>
              <w:gridCol w:w="1829"/>
              <w:gridCol w:w="2704"/>
              <w:gridCol w:w="96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名称</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管径</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材质</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数量</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072" w:type="dxa"/>
                  <w:vMerge w:val="restart"/>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污水管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DN300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7016</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072" w:type="dxa"/>
                  <w:vMerge w:val="continue"/>
                  <w:vAlign w:val="center"/>
                </w:tcPr>
                <w:p>
                  <w:pPr>
                    <w:kinsoku w:val="0"/>
                    <w:overflowPunct w:val="0"/>
                    <w:autoSpaceDE w:val="0"/>
                    <w:autoSpaceDN w:val="0"/>
                    <w:adjustRightInd w:val="0"/>
                    <w:spacing w:line="400" w:lineRule="exact"/>
                    <w:jc w:val="center"/>
                    <w:rPr>
                      <w:rFonts w:ascii="宋体" w:hAnsi="宋体"/>
                      <w:kern w:val="0"/>
                      <w:szCs w:val="21"/>
                    </w:rPr>
                  </w:pP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DN400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1377</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p>
              </w:tc>
              <w:tc>
                <w:tcPr>
                  <w:tcW w:w="1072" w:type="dxa"/>
                  <w:vAlign w:val="center"/>
                </w:tcPr>
                <w:p>
                  <w:pPr>
                    <w:kinsoku w:val="0"/>
                    <w:overflowPunct w:val="0"/>
                    <w:autoSpaceDE w:val="0"/>
                    <w:autoSpaceDN w:val="0"/>
                    <w:adjustRightInd w:val="0"/>
                    <w:spacing w:before="187"/>
                    <w:ind w:left="185"/>
                    <w:jc w:val="center"/>
                    <w:rPr>
                      <w:rFonts w:ascii="宋体" w:hAnsi="宋体"/>
                      <w:kern w:val="0"/>
                      <w:szCs w:val="21"/>
                    </w:rPr>
                  </w:pPr>
                  <w:r>
                    <w:rPr>
                      <w:rFonts w:hint="eastAsia" w:ascii="宋体" w:hAnsi="宋体" w:cs="宋体"/>
                      <w:kern w:val="0"/>
                      <w:szCs w:val="21"/>
                    </w:rPr>
                    <w:t>提升井</w:t>
                  </w:r>
                </w:p>
              </w:tc>
              <w:tc>
                <w:tcPr>
                  <w:tcW w:w="1829" w:type="dxa"/>
                  <w:vAlign w:val="center"/>
                </w:tcPr>
                <w:p>
                  <w:pPr>
                    <w:kinsoku w:val="0"/>
                    <w:overflowPunct w:val="0"/>
                    <w:autoSpaceDE w:val="0"/>
                    <w:autoSpaceDN w:val="0"/>
                    <w:adjustRightInd w:val="0"/>
                    <w:spacing w:line="284" w:lineRule="exact"/>
                    <w:ind w:left="1"/>
                    <w:jc w:val="center"/>
                    <w:rPr>
                      <w:rFonts w:ascii="宋体" w:hAnsi="宋体"/>
                      <w:kern w:val="0"/>
                      <w:szCs w:val="21"/>
                    </w:rPr>
                  </w:pPr>
                  <w:r>
                    <w:rPr>
                      <w:rFonts w:ascii="宋体" w:hAnsi="宋体"/>
                      <w:kern w:val="0"/>
                      <w:szCs w:val="21"/>
                    </w:rPr>
                    <w:t>L*B=3*3m</w:t>
                  </w:r>
                  <w:r>
                    <w:rPr>
                      <w:rFonts w:hint="eastAsia" w:ascii="宋体" w:hAnsi="宋体" w:cs="宋体"/>
                      <w:kern w:val="0"/>
                      <w:szCs w:val="21"/>
                    </w:rPr>
                    <w:t>，配套提升泵</w:t>
                  </w:r>
                  <w:r>
                    <w:rPr>
                      <w:rFonts w:ascii="宋体" w:hAnsi="宋体"/>
                      <w:kern w:val="0"/>
                      <w:szCs w:val="21"/>
                    </w:rPr>
                    <w:t>2</w:t>
                  </w:r>
                  <w:r>
                    <w:rPr>
                      <w:rFonts w:hint="eastAsia" w:ascii="宋体" w:hAnsi="宋体" w:cs="宋体"/>
                      <w:spacing w:val="-7"/>
                      <w:kern w:val="0"/>
                      <w:szCs w:val="21"/>
                    </w:rPr>
                    <w:t>台，粉碎格</w:t>
                  </w:r>
                  <w:r>
                    <w:rPr>
                      <w:rFonts w:hint="eastAsia" w:ascii="宋体" w:hAnsi="宋体" w:cs="宋体"/>
                      <w:kern w:val="0"/>
                      <w:szCs w:val="21"/>
                    </w:rPr>
                    <w:t>栅</w:t>
                  </w:r>
                  <w:r>
                    <w:rPr>
                      <w:rFonts w:ascii="宋体" w:hAnsi="宋体" w:cs="宋体"/>
                      <w:spacing w:val="-60"/>
                      <w:kern w:val="0"/>
                      <w:szCs w:val="21"/>
                    </w:rPr>
                    <w:t xml:space="preserve"> </w:t>
                  </w:r>
                  <w:r>
                    <w:rPr>
                      <w:rFonts w:ascii="宋体" w:hAnsi="宋体"/>
                      <w:kern w:val="0"/>
                      <w:szCs w:val="21"/>
                    </w:rPr>
                    <w:t>1</w:t>
                  </w:r>
                  <w:r>
                    <w:rPr>
                      <w:rFonts w:hint="eastAsia" w:ascii="宋体" w:hAnsi="宋体" w:cs="宋体"/>
                      <w:kern w:val="0"/>
                      <w:szCs w:val="21"/>
                    </w:rPr>
                    <w:t>台及配套电器及控制系统</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1</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入户管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De160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U-PVC</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5880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检查井</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Ф1000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210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r>
          </w:tbl>
          <w:p>
            <w:pPr>
              <w:spacing w:line="480" w:lineRule="exact"/>
              <w:ind w:firstLine="482"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b/>
                <w:kern w:val="10"/>
                <w:sz w:val="24"/>
              </w:rPr>
              <w:t>八、公用工程</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1、给水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(1)水源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本项目给水由歧道村自来水管网供应。</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(2)用水情况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厂区用水分为生活用水，场内设生活、消防合一的给水管网。厂区给水由泵站出水减压提供，管径DN100，呈枝状布置，沿厂区主道路敷设，且在泵站、办公室等周围按照相应的规划布置消防栓。</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本项目建成后，厂区内员工人数为</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人。生活用水为职工生活用水，厂区不设食堂和浴室。</w:t>
            </w:r>
            <w:r>
              <w:rPr>
                <w:rFonts w:asciiTheme="minorEastAsia" w:hAnsiTheme="minorEastAsia" w:eastAsiaTheme="minorEastAsia"/>
                <w:sz w:val="24"/>
              </w:rPr>
              <w:t>《山西省用水定额第4部分：居民生活用水定额》(DB14/T1049.4-2021)中农村分散式用水定额为70L/人•d，其中包括居民生活(食宿、沐浴、盥洗和饮用)、散养畜禽等用水，因本项目仅涉及盥洗和饮用用水，根据走访调查同类型企业实际用水情况，本项目生活用水按30L/人•d计，</w:t>
            </w:r>
            <w:r>
              <w:rPr>
                <w:rFonts w:asciiTheme="minorEastAsia" w:hAnsiTheme="minorEastAsia" w:eastAsiaTheme="minorEastAsia"/>
                <w:kern w:val="10"/>
                <w:sz w:val="24"/>
              </w:rPr>
              <w:t>用水量为</w:t>
            </w:r>
            <w:r>
              <w:rPr>
                <w:rFonts w:hint="eastAsia" w:asciiTheme="minorEastAsia" w:hAnsiTheme="minorEastAsia" w:eastAsiaTheme="minorEastAsia"/>
                <w:kern w:val="10"/>
                <w:sz w:val="24"/>
              </w:rPr>
              <w:t>0.</w:t>
            </w:r>
            <w:r>
              <w:rPr>
                <w:rFonts w:asciiTheme="minorEastAsia" w:hAnsiTheme="minorEastAsia" w:eastAsiaTheme="minorEastAsia"/>
                <w:kern w:val="10"/>
                <w:sz w:val="24"/>
              </w:rPr>
              <w:t>18m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消防用水：厂区拟敷设环状消防水管道，在主要路口设置消火栓，消防用水按照每次使用180m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计算，直接由主水管引入，本次环评计算工程用水量和水平衡图暂时不考虑消防用水量。</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本项目用水情况见下表：</w:t>
            </w:r>
          </w:p>
          <w:p>
            <w:pPr>
              <w:spacing w:line="500" w:lineRule="exact"/>
              <w:ind w:firstLine="2160" w:firstLineChars="9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表2-1</w:t>
            </w:r>
            <w:r>
              <w:rPr>
                <w:rFonts w:asciiTheme="minorEastAsia" w:hAnsiTheme="minorEastAsia" w:eastAsiaTheme="minorEastAsia"/>
                <w:kern w:val="10"/>
                <w:sz w:val="24"/>
              </w:rPr>
              <w:t xml:space="preserve">4    </w:t>
            </w:r>
            <w:r>
              <w:rPr>
                <w:rFonts w:hint="eastAsia" w:asciiTheme="minorEastAsia" w:hAnsiTheme="minorEastAsia" w:eastAsiaTheme="minorEastAsia"/>
                <w:kern w:val="10"/>
                <w:sz w:val="24"/>
              </w:rPr>
              <w:t>项目运营期用水排情况表单位：m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324"/>
              <w:gridCol w:w="1205"/>
              <w:gridCol w:w="1165"/>
              <w:gridCol w:w="1142"/>
              <w:gridCol w:w="116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项目</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用水系数</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数量</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用水量</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排放系数</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排放量</w:t>
                  </w:r>
                </w:p>
              </w:tc>
              <w:tc>
                <w:tcPr>
                  <w:tcW w:w="655" w:type="pct"/>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生活用水</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30L/d.人</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asciiTheme="minorEastAsia" w:hAnsiTheme="minorEastAsia" w:eastAsiaTheme="minorEastAsia"/>
                      <w:kern w:val="10"/>
                      <w:szCs w:val="21"/>
                    </w:rPr>
                    <w:t>6</w:t>
                  </w:r>
                  <w:r>
                    <w:rPr>
                      <w:rFonts w:hint="eastAsia" w:asciiTheme="minorEastAsia" w:hAnsiTheme="minorEastAsia" w:eastAsiaTheme="minorEastAsia"/>
                      <w:kern w:val="10"/>
                      <w:szCs w:val="21"/>
                    </w:rPr>
                    <w:t>人</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18</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0.8</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144</w:t>
                  </w:r>
                </w:p>
              </w:tc>
              <w:tc>
                <w:tcPr>
                  <w:tcW w:w="655" w:type="pct"/>
                </w:tcPr>
                <w:p>
                  <w:pPr>
                    <w:spacing w:line="400" w:lineRule="exact"/>
                    <w:jc w:val="center"/>
                    <w:textAlignment w:val="bottom"/>
                    <w:rPr>
                      <w:rFonts w:asciiTheme="minorEastAsia" w:hAnsiTheme="minorEastAsia" w:eastAsiaTheme="minorEastAsia"/>
                      <w:kern w:val="10"/>
                      <w:szCs w:val="21"/>
                    </w:rPr>
                  </w:pPr>
                </w:p>
              </w:tc>
            </w:tr>
          </w:tbl>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本项目运营期水平衡图见图2-1。</w:t>
            </w: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textAlignment w:val="bottom"/>
              <w:rPr>
                <w:rFonts w:asciiTheme="minorEastAsia" w:hAnsiTheme="minorEastAsia" w:eastAsiaTheme="minorEastAsia"/>
                <w:kern w:val="10"/>
                <w:sz w:val="24"/>
              </w:rPr>
            </w:pPr>
            <w:r>
              <w:rPr>
                <w:rFonts w:asciiTheme="minorEastAsia" w:hAnsiTheme="minorEastAsia" w:eastAsiaTheme="minorEastAsia"/>
                <w:kern w:val="10"/>
                <w:sz w:val="24"/>
              </w:rPr>
              <mc:AlternateContent>
                <mc:Choice Requires="wpc">
                  <w:drawing>
                    <wp:inline distT="0" distB="0" distL="0" distR="0">
                      <wp:extent cx="5102860" cy="1828800"/>
                      <wp:effectExtent l="0" t="0" r="21590" b="19050"/>
                      <wp:docPr id="46"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7F7F7F"/>
                                </a:solidFill>
                                <a:prstDash val="solid"/>
                                <a:miter lim="800000"/>
                                <a:headEnd type="none" w="med" len="med"/>
                                <a:tailEnd type="none" w="med" len="med"/>
                              </a:ln>
                            </wpc:whole>
                            <wps:wsp>
                              <wps:cNvPr id="32" name="Text Box 16"/>
                              <wps:cNvSpPr txBox="1">
                                <a:spLocks noChangeArrowheads="1"/>
                              </wps:cNvSpPr>
                              <wps:spPr bwMode="auto">
                                <a:xfrm>
                                  <a:off x="1774190" y="358494"/>
                                  <a:ext cx="647700" cy="182245"/>
                                </a:xfrm>
                                <a:prstGeom prst="rect">
                                  <a:avLst/>
                                </a:prstGeom>
                                <a:solidFill>
                                  <a:srgbClr val="FFFFFF"/>
                                </a:solidFill>
                                <a:ln w="9525">
                                  <a:solidFill>
                                    <a:srgbClr val="000000"/>
                                  </a:solidFill>
                                  <a:miter lim="800000"/>
                                </a:ln>
                              </wps:spPr>
                              <wps:txbx>
                                <w:txbxContent>
                                  <w:p>
                                    <w:pPr>
                                      <w:jc w:val="center"/>
                                    </w:pPr>
                                    <w:r>
                                      <w:rPr>
                                        <w:rFonts w:hint="eastAsia"/>
                                      </w:rPr>
                                      <w:t>生活用水</w:t>
                                    </w:r>
                                  </w:p>
                                </w:txbxContent>
                              </wps:txbx>
                              <wps:bodyPr rot="0" vert="horz" wrap="square" lIns="0" tIns="0" rIns="0" bIns="0" anchor="ctr" anchorCtr="0" upright="1">
                                <a:spAutoFit/>
                              </wps:bodyPr>
                            </wps:wsp>
                            <wps:wsp>
                              <wps:cNvPr id="33" name="AutoShape 17"/>
                              <wps:cNvCnPr>
                                <a:cxnSpLocks noChangeShapeType="1"/>
                              </wps:cNvCnPr>
                              <wps:spPr bwMode="auto">
                                <a:xfrm flipV="1">
                                  <a:off x="2136140" y="244194"/>
                                  <a:ext cx="170815" cy="95250"/>
                                </a:xfrm>
                                <a:prstGeom prst="curvedConnector3">
                                  <a:avLst>
                                    <a:gd name="adj1" fmla="val 49815"/>
                                  </a:avLst>
                                </a:prstGeom>
                                <a:noFill/>
                                <a:ln w="9525">
                                  <a:solidFill>
                                    <a:srgbClr val="000000"/>
                                  </a:solidFill>
                                  <a:round/>
                                  <a:tailEnd type="triangle" w="med" len="med"/>
                                </a:ln>
                              </wps:spPr>
                              <wps:bodyPr/>
                            </wps:wsp>
                            <wps:wsp>
                              <wps:cNvPr id="34" name="AutoShape 18"/>
                              <wps:cNvCnPr>
                                <a:cxnSpLocks noChangeShapeType="1"/>
                                <a:endCxn id="32" idx="1"/>
                              </wps:cNvCnPr>
                              <wps:spPr bwMode="auto">
                                <a:xfrm flipV="1">
                                  <a:off x="1212215" y="449934"/>
                                  <a:ext cx="561975" cy="635"/>
                                </a:xfrm>
                                <a:prstGeom prst="straightConnector1">
                                  <a:avLst/>
                                </a:prstGeom>
                                <a:noFill/>
                                <a:ln w="9525">
                                  <a:solidFill>
                                    <a:srgbClr val="000000"/>
                                  </a:solidFill>
                                  <a:round/>
                                  <a:tailEnd type="triangle" w="med" len="med"/>
                                </a:ln>
                              </wps:spPr>
                              <wps:bodyPr/>
                            </wps:wsp>
                            <wps:wsp>
                              <wps:cNvPr id="35" name="AutoShape 19"/>
                              <wps:cNvCnPr>
                                <a:cxnSpLocks noChangeShapeType="1"/>
                              </wps:cNvCnPr>
                              <wps:spPr bwMode="auto">
                                <a:xfrm>
                                  <a:off x="2421890" y="463904"/>
                                  <a:ext cx="1144270" cy="635"/>
                                </a:xfrm>
                                <a:prstGeom prst="straightConnector1">
                                  <a:avLst/>
                                </a:prstGeom>
                                <a:noFill/>
                                <a:ln w="9525">
                                  <a:solidFill>
                                    <a:srgbClr val="000000"/>
                                  </a:solidFill>
                                  <a:round/>
                                  <a:tailEnd type="triangle" w="med" len="med"/>
                                </a:ln>
                              </wps:spPr>
                              <wps:bodyPr/>
                            </wps:wsp>
                            <wps:wsp>
                              <wps:cNvPr id="36" name="Text Box 20"/>
                              <wps:cNvSpPr txBox="1">
                                <a:spLocks noChangeArrowheads="1"/>
                              </wps:cNvSpPr>
                              <wps:spPr bwMode="auto">
                                <a:xfrm>
                                  <a:off x="1298575" y="24419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18</w:t>
                                    </w:r>
                                  </w:p>
                                </w:txbxContent>
                              </wps:txbx>
                              <wps:bodyPr rot="0" vert="horz" wrap="square" lIns="0" tIns="0" rIns="0" bIns="0" anchor="ctr" anchorCtr="0" upright="1">
                                <a:spAutoFit/>
                              </wps:bodyPr>
                            </wps:wsp>
                            <wps:wsp>
                              <wps:cNvPr id="37" name="Text Box 21"/>
                              <wps:cNvSpPr txBox="1">
                                <a:spLocks noChangeArrowheads="1"/>
                              </wps:cNvSpPr>
                              <wps:spPr bwMode="auto">
                                <a:xfrm>
                                  <a:off x="2306955" y="4607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0.0</w:t>
                                    </w:r>
                                    <w:r>
                                      <w:rPr>
                                        <w:rFonts w:ascii="宋体" w:hAnsi="宋体"/>
                                      </w:rPr>
                                      <w:t>36</w:t>
                                    </w:r>
                                  </w:p>
                                </w:txbxContent>
                              </wps:txbx>
                              <wps:bodyPr rot="0" vert="horz" wrap="square" lIns="0" tIns="0" rIns="0" bIns="0" anchor="ctr" anchorCtr="0" upright="1">
                                <a:spAutoFit/>
                              </wps:bodyPr>
                            </wps:wsp>
                            <wps:wsp>
                              <wps:cNvPr id="38" name="Text Box 22"/>
                              <wps:cNvSpPr txBox="1">
                                <a:spLocks noChangeArrowheads="1"/>
                              </wps:cNvSpPr>
                              <wps:spPr bwMode="auto">
                                <a:xfrm>
                                  <a:off x="2820670" y="25562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144</w:t>
                                    </w:r>
                                  </w:p>
                                </w:txbxContent>
                              </wps:txbx>
                              <wps:bodyPr rot="0" vert="horz" wrap="square" lIns="0" tIns="0" rIns="0" bIns="0" anchor="ctr" anchorCtr="0" upright="1">
                                <a:spAutoFit/>
                              </wps:bodyPr>
                            </wps:wsp>
                            <wps:wsp>
                              <wps:cNvPr id="39" name="Text Box 23"/>
                              <wps:cNvSpPr txBox="1">
                                <a:spLocks noChangeArrowheads="1"/>
                              </wps:cNvSpPr>
                              <wps:spPr bwMode="auto">
                                <a:xfrm>
                                  <a:off x="659765" y="358494"/>
                                  <a:ext cx="552450" cy="172720"/>
                                </a:xfrm>
                                <a:prstGeom prst="rect">
                                  <a:avLst/>
                                </a:prstGeom>
                                <a:solidFill>
                                  <a:srgbClr val="FFFFFF"/>
                                </a:solidFill>
                                <a:ln>
                                  <a:noFill/>
                                </a:ln>
                              </wps:spPr>
                              <wps:txbx>
                                <w:txbxContent>
                                  <w:p>
                                    <w:pPr>
                                      <w:jc w:val="center"/>
                                      <w:rPr>
                                        <w:rFonts w:ascii="宋体" w:hAnsi="宋体"/>
                                      </w:rPr>
                                    </w:pPr>
                                    <w:r>
                                      <w:rPr>
                                        <w:rFonts w:hint="eastAsia" w:ascii="宋体" w:hAnsi="宋体"/>
                                      </w:rPr>
                                      <w:t>新鲜水</w:t>
                                    </w:r>
                                  </w:p>
                                </w:txbxContent>
                              </wps:txbx>
                              <wps:bodyPr rot="0" vert="horz" wrap="square" lIns="0" tIns="0" rIns="0" bIns="0" anchor="ctr" anchorCtr="0" upright="1">
                                <a:spAutoFit/>
                              </wps:bodyPr>
                            </wps:wsp>
                            <wps:wsp>
                              <wps:cNvPr id="40" name="AutoShape 24"/>
                              <wps:cNvCnPr>
                                <a:cxnSpLocks noChangeShapeType="1"/>
                              </wps:cNvCnPr>
                              <wps:spPr bwMode="auto">
                                <a:xfrm>
                                  <a:off x="2146300" y="1015084"/>
                                  <a:ext cx="972185" cy="635"/>
                                </a:xfrm>
                                <a:prstGeom prst="straightConnector1">
                                  <a:avLst/>
                                </a:prstGeom>
                                <a:noFill/>
                                <a:ln w="9525">
                                  <a:solidFill>
                                    <a:srgbClr val="000000"/>
                                  </a:solidFill>
                                  <a:round/>
                                  <a:tailEnd type="triangle" w="med" len="med"/>
                                </a:ln>
                              </wps:spPr>
                              <wps:bodyPr/>
                            </wps:wsp>
                            <wps:wsp>
                              <wps:cNvPr id="41" name="Text Box 25"/>
                              <wps:cNvSpPr txBox="1">
                                <a:spLocks noChangeArrowheads="1"/>
                              </wps:cNvSpPr>
                              <wps:spPr bwMode="auto">
                                <a:xfrm>
                                  <a:off x="3118485"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污水处理设备</w:t>
                                    </w:r>
                                  </w:p>
                                </w:txbxContent>
                              </wps:txbx>
                              <wps:bodyPr rot="0" vert="horz" wrap="square" lIns="0" tIns="0" rIns="0" bIns="0" anchor="ctr" anchorCtr="0" upright="1">
                                <a:spAutoFit/>
                              </wps:bodyPr>
                            </wps:wsp>
                            <wps:wsp>
                              <wps:cNvPr id="42" name="Text Box 26"/>
                              <wps:cNvSpPr txBox="1">
                                <a:spLocks noChangeArrowheads="1"/>
                              </wps:cNvSpPr>
                              <wps:spPr bwMode="auto">
                                <a:xfrm>
                                  <a:off x="1243330"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w:t>
                                    </w:r>
                                    <w:r>
                                      <w:t>10</w:t>
                                    </w:r>
                                    <w:r>
                                      <w:rPr>
                                        <w:rFonts w:hint="eastAsia"/>
                                      </w:rPr>
                                      <w:t>00</w:t>
                                    </w:r>
                                  </w:p>
                                </w:txbxContent>
                              </wps:txbx>
                              <wps:bodyPr rot="0" vert="horz" wrap="square" lIns="0" tIns="0" rIns="0" bIns="0" anchor="ctr" anchorCtr="0" upright="1">
                                <a:spAutoFit/>
                              </wps:bodyPr>
                            </wps:wsp>
                            <wps:wsp>
                              <wps:cNvPr id="43" name="AutoShape 27"/>
                              <wps:cNvCnPr>
                                <a:cxnSpLocks noChangeShapeType="1"/>
                                <a:endCxn id="41" idx="0"/>
                              </wps:cNvCnPr>
                              <wps:spPr bwMode="auto">
                                <a:xfrm>
                                  <a:off x="3564890" y="463904"/>
                                  <a:ext cx="635" cy="446405"/>
                                </a:xfrm>
                                <a:prstGeom prst="straightConnector1">
                                  <a:avLst/>
                                </a:prstGeom>
                                <a:noFill/>
                                <a:ln w="9525">
                                  <a:solidFill>
                                    <a:srgbClr val="000000"/>
                                  </a:solidFill>
                                  <a:round/>
                                  <a:tailEnd type="triangle" w="med" len="med"/>
                                </a:ln>
                              </wps:spPr>
                              <wps:bodyPr/>
                            </wps:wsp>
                            <wps:wsp>
                              <wps:cNvPr id="44" name="Text Box 28"/>
                              <wps:cNvSpPr txBox="1">
                                <a:spLocks noChangeArrowheads="1"/>
                              </wps:cNvSpPr>
                              <wps:spPr bwMode="auto">
                                <a:xfrm>
                                  <a:off x="3147060" y="1551024"/>
                                  <a:ext cx="822325" cy="182245"/>
                                </a:xfrm>
                                <a:prstGeom prst="rect">
                                  <a:avLst/>
                                </a:prstGeom>
                                <a:solidFill>
                                  <a:srgbClr val="FFFFFF"/>
                                </a:solidFill>
                                <a:ln w="9525">
                                  <a:solidFill>
                                    <a:srgbClr val="000000"/>
                                  </a:solidFill>
                                  <a:miter lim="800000"/>
                                </a:ln>
                              </wps:spPr>
                              <wps:txbx>
                                <w:txbxContent>
                                  <w:p>
                                    <w:pPr>
                                      <w:jc w:val="center"/>
                                    </w:pPr>
                                    <w:r>
                                      <w:rPr>
                                        <w:rFonts w:hint="eastAsia"/>
                                      </w:rPr>
                                      <w:t>外排湫</w:t>
                                    </w:r>
                                    <w:r>
                                      <w:t>水</w:t>
                                    </w:r>
                                    <w:r>
                                      <w:rPr>
                                        <w:rFonts w:hint="eastAsia"/>
                                      </w:rPr>
                                      <w:t>河</w:t>
                                    </w:r>
                                  </w:p>
                                </w:txbxContent>
                              </wps:txbx>
                              <wps:bodyPr rot="0" vert="horz" wrap="square" lIns="0" tIns="0" rIns="0" bIns="0" anchor="ctr" anchorCtr="0" upright="1">
                                <a:spAutoFit/>
                              </wps:bodyPr>
                            </wps:wsp>
                            <wps:wsp>
                              <wps:cNvPr id="45" name="AutoShape 29"/>
                              <wps:cNvCnPr>
                                <a:cxnSpLocks noChangeShapeType="1"/>
                              </wps:cNvCnPr>
                              <wps:spPr bwMode="auto">
                                <a:xfrm>
                                  <a:off x="3566160" y="1117954"/>
                                  <a:ext cx="635" cy="446405"/>
                                </a:xfrm>
                                <a:prstGeom prst="straightConnector1">
                                  <a:avLst/>
                                </a:prstGeom>
                                <a:noFill/>
                                <a:ln w="9525">
                                  <a:solidFill>
                                    <a:srgbClr val="000000"/>
                                  </a:solidFill>
                                  <a:round/>
                                  <a:tailEnd type="triangle" w="med" len="med"/>
                                </a:ln>
                              </wps:spPr>
                              <wps:bodyPr/>
                            </wps:wsp>
                          </wpc:wpc>
                        </a:graphicData>
                      </a:graphic>
                    </wp:inline>
                  </w:drawing>
                </mc:Choice>
                <mc:Fallback>
                  <w:pict>
                    <v:group id="画布 14" o:spid="_x0000_s1026" o:spt="203" style="height:144pt;width:401.8pt;" coordsize="5102860,1828800" editas="canvas"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9oS4K1QAAAAUBAAAPAAAAAAAAAAEAIAAAACIAAABkcnMvZG93bnJldi54bWxQ&#10;SwECFAAUAAAACACHTuJAhEmlM1EFAAD2IwAADgAAAAAAAAABACAAAAAkAQAAZHJzL2Uyb0RvYy54&#10;bWxQSwUGAAAAAAYABgBZAQAA5wgAAAAA&#10;">
                      <o:lock v:ext="edit" aspectratio="f"/>
                      <v:shape id="画布 14" o:spid="_x0000_s1026" style="position:absolute;left:0;top:0;height:1828800;width:5102860;" filled="f" stroked="t" coordsize="21600,21600"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H2hLgrVAAAABQEAAA8AAAAAAAAAAQAgAAAAIgAAAGRycy9kb3ducmV2&#10;LnhtbFBLAQIUABQAAAAIAIdO4kD9tlUSVgUAAEgkAAAOAAAAAAAAAAEAIAAAACQBAABkcnMvZTJv&#10;RG9jLnhtbFBLBQYAAAAABgAGAFkBAADsCAAAAAA=&#10;">
                        <v:fill on="f" focussize="0,0"/>
                        <v:stroke color="#7F7F7F" miterlimit="8" joinstyle="miter"/>
                        <v:imagedata o:title=""/>
                        <o:lock v:ext="edit" aspectratio="t"/>
                      </v:shape>
                      <v:shape id="Text Box 16" o:spid="_x0000_s1026" o:spt="202" type="#_x0000_t202" style="position:absolute;left:1774190;top:358494;height:182245;width:647700;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6mXsg1wAAAAUBAAAPAAAAAAAAAAEAIAAAACIAAABkcnMvZG93bnJldi54&#10;bWxQSwECFAAUAAAACACHTuJAbA8huTQCAACEBAAADgAAAAAAAAABACAAAAAmAQAAZHJzL2Uyb0Rv&#10;Yy54bWxQSwUGAAAAAAYABgBZAQAAzAUAAAAA&#10;">
                        <v:fill on="t" focussize="0,0"/>
                        <v:stroke color="#000000" miterlimit="8" joinstyle="miter"/>
                        <v:imagedata o:title=""/>
                        <o:lock v:ext="edit" aspectratio="f"/>
                        <v:textbox inset="0mm,0mm,0mm,0mm" style="mso-fit-shape-to-text:t;">
                          <w:txbxContent>
                            <w:p>
                              <w:pPr>
                                <w:jc w:val="center"/>
                              </w:pPr>
                              <w:r>
                                <w:rPr>
                                  <w:rFonts w:hint="eastAsia"/>
                                </w:rPr>
                                <w:t>生活用水</w:t>
                              </w:r>
                            </w:p>
                          </w:txbxContent>
                        </v:textbox>
                      </v:shape>
                      <v:shape id="AutoShape 17" o:spid="_x0000_s1026" o:spt="38" type="#_x0000_t38" style="position:absolute;left:2136140;top:244194;flip:y;height:95250;width:170815;" filled="f" stroked="t" coordsize="21600,21600" o:gfxdata="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nKXUAAAABQEAAA8A&#10;AAAAAAAAAQAgAAAAIgAAAGRycy9kb3ducmV2LnhtbFBLAQIUABQAAAAIAIdO4kDyvzmnGwIAACUE&#10;AAAOAAAAAAAAAAEAIAAAACMBAABkcnMvZTJvRG9jLnhtbFBLBQYAAAAABgAGAFkBAACwBQAAAAA=&#10;" adj="10760">
                        <v:fill on="f" focussize="0,0"/>
                        <v:stroke color="#000000" joinstyle="round" endarrow="block"/>
                        <v:imagedata o:title=""/>
                        <o:lock v:ext="edit" aspectratio="f"/>
                      </v:shape>
                      <v:shape id="AutoShape 18" o:spid="_x0000_s1026" o:spt="32" type="#_x0000_t32" style="position:absolute;left:1212215;top:449934;flip:y;height:635;width:561975;" filled="f" stroked="t" coordsize="21600,21600" o:gfxdata="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b+5D1QAAAAUBAAAPAAAAAAAAAAEAIAAA&#10;ACIAAABkcnMvZG93bnJldi54bWxQSwECFAAUAAAACACHTuJAvh8qZQ8CAAATBAAADgAAAAAAAAAB&#10;ACAAAAAkAQAAZHJzL2Uyb0RvYy54bWxQSwUGAAAAAAYABgBZAQAApQUAAAAA&#10;">
                        <v:fill on="f" focussize="0,0"/>
                        <v:stroke color="#000000" joinstyle="round" endarrow="block"/>
                        <v:imagedata o:title=""/>
                        <o:lock v:ext="edit" aspectratio="f"/>
                      </v:shape>
                      <v:shape id="AutoShape 19" o:spid="_x0000_s1026" o:spt="32" type="#_x0000_t32" style="position:absolute;left:2421890;top:463904;height:635;width:1144270;"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GItea0AAgAA7wMAAA4AAAAAAAAAAQAgAAAAJQEAAGRycy9l&#10;Mm9Eb2MueG1sUEsFBgAAAAAGAAYAWQEAAJcFAAAAAA==&#10;">
                        <v:fill on="f" focussize="0,0"/>
                        <v:stroke color="#000000" joinstyle="round" endarrow="block"/>
                        <v:imagedata o:title=""/>
                        <o:lock v:ext="edit" aspectratio="f"/>
                      </v:shape>
                      <v:shape id="Text Box 20" o:spid="_x0000_s1026" o:spt="202" type="#_x0000_t202" style="position:absolute;left:1298575;top:24419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0eNX+x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18</w:t>
                              </w:r>
                            </w:p>
                          </w:txbxContent>
                        </v:textbox>
                      </v:shape>
                      <v:shape id="Text Box 21" o:spid="_x0000_s1026" o:spt="202" type="#_x0000_t202" style="position:absolute;left:2306955;top:4607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GVAQAo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0.0</w:t>
                              </w:r>
                              <w:r>
                                <w:rPr>
                                  <w:rFonts w:ascii="宋体" w:hAnsi="宋体"/>
                                </w:rPr>
                                <w:t>36</w:t>
                              </w:r>
                            </w:p>
                          </w:txbxContent>
                        </v:textbox>
                      </v:shape>
                      <v:shape id="Text Box 22" o:spid="_x0000_s1026" o:spt="202" type="#_x0000_t202" style="position:absolute;left:2820670;top:25562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vL0f0h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144</w:t>
                              </w:r>
                            </w:p>
                          </w:txbxContent>
                        </v:textbox>
                      </v:shape>
                      <v:shape id="Text Box 23" o:spid="_x0000_s1026" o:spt="202" type="#_x0000_t202" style="position:absolute;left:659765;top:358494;height:172720;width:552450;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ESWBlw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新鲜水</w:t>
                              </w:r>
                            </w:p>
                          </w:txbxContent>
                        </v:textbox>
                      </v:shape>
                      <v:shape id="AutoShape 24" o:spid="_x0000_s1026" o:spt="32" type="#_x0000_t32" style="position:absolute;left:2146300;top:1015084;height:635;width:97218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88Y91gAAAAUBAAAPAAAAAAAAAAEAIAAAACIAAABkcnMvZG93bnJl&#10;di54bWxQSwECFAAUAAAACACHTuJACvX5EP8BAADvAwAADgAAAAAAAAABACAAAAAlAQAAZHJzL2Uy&#10;b0RvYy54bWxQSwUGAAAAAAYABgBZAQAAlgUAAAAA&#10;">
                        <v:fill on="f" focussize="0,0"/>
                        <v:stroke color="#000000" joinstyle="round" endarrow="block"/>
                        <v:imagedata o:title=""/>
                        <o:lock v:ext="edit" aspectratio="f"/>
                      </v:shape>
                      <v:shape id="Text Box 25" o:spid="_x0000_s1026" o:spt="202" type="#_x0000_t202" style="position:absolute;left:3118485;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qZeyDXAAAABQEAAA8AAAAAAAAAAQAgAAAAIgAAAGRycy9kb3ducmV2LnhtbFBL&#10;AQIUABQAAAAIAIdO4kC7EklmMAIAAIQEAAAOAAAAAAAAAAEAIAAAACYBAABkcnMvZTJvRG9jLnht&#10;bFBLBQYAAAAABgAGAFkBAADIBQAAAAA=&#10;">
                        <v:fill on="t" focussize="0,0"/>
                        <v:stroke color="#000000" miterlimit="8" joinstyle="miter"/>
                        <v:imagedata o:title=""/>
                        <o:lock v:ext="edit" aspectratio="f"/>
                        <v:textbox inset="0mm,0mm,0mm,0mm" style="mso-fit-shape-to-text:t;">
                          <w:txbxContent>
                            <w:p>
                              <w:pPr>
                                <w:jc w:val="center"/>
                              </w:pPr>
                              <w:r>
                                <w:rPr>
                                  <w:rFonts w:hint="eastAsia"/>
                                </w:rPr>
                                <w:t>污水处理设备</w:t>
                              </w:r>
                            </w:p>
                          </w:txbxContent>
                        </v:textbox>
                      </v:shape>
                      <v:shape id="Text Box 26" o:spid="_x0000_s1026" o:spt="202" type="#_x0000_t202" style="position:absolute;left:1243330;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l7INcAAAAFAQAADwAAAAAAAAABACAAAAAiAAAAZHJzL2Rvd25yZXYueG1s&#10;UEsBAhQAFAAAAAgAh07iQCVCVNMyAgAAhAQAAA4AAAAAAAAAAQAgAAAAJgEAAGRycy9lMm9Eb2Mu&#10;eG1sUEsFBgAAAAAGAAYAWQEAAMoFAAAAAA==&#10;">
                        <v:fill on="t" focussize="0,0"/>
                        <v:stroke color="#000000" miterlimit="8" joinstyle="miter"/>
                        <v:imagedata o:title=""/>
                        <o:lock v:ext="edit" aspectratio="f"/>
                        <v:textbox inset="0mm,0mm,0mm,0mm" style="mso-fit-shape-to-text:t;">
                          <w:txbxContent>
                            <w:p>
                              <w:pPr>
                                <w:jc w:val="center"/>
                              </w:pPr>
                              <w:r>
                                <w:rPr>
                                  <w:rFonts w:hint="eastAsia"/>
                                </w:rPr>
                                <w:t>污水</w:t>
                              </w:r>
                              <w:r>
                                <w:t>10</w:t>
                              </w:r>
                              <w:r>
                                <w:rPr>
                                  <w:rFonts w:hint="eastAsia"/>
                                </w:rPr>
                                <w:t>00</w:t>
                              </w:r>
                            </w:p>
                          </w:txbxContent>
                        </v:textbox>
                      </v:shape>
                      <v:shape id="AutoShape 27" o:spid="_x0000_s1026" o:spt="32" type="#_x0000_t32" style="position:absolute;left:3564890;top:46390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PGPdYAAAAFAQAADwAAAAAAAAABACAAAAAiAAAA&#10;ZHJzL2Rvd25yZXYueG1sUEsBAhQAFAAAAAgAh07iQAKAVkUJAgAACQQAAA4AAAAAAAAAAQAgAAAA&#10;JQEAAGRycy9lMm9Eb2MueG1sUEsFBgAAAAAGAAYAWQEAAKAFAAAAAA==&#10;">
                        <v:fill on="f" focussize="0,0"/>
                        <v:stroke color="#000000" joinstyle="round" endarrow="block"/>
                        <v:imagedata o:title=""/>
                        <o:lock v:ext="edit" aspectratio="f"/>
                      </v:shape>
                      <v:shape id="Text Box 28" o:spid="_x0000_s1026" o:spt="202" type="#_x0000_t202" style="position:absolute;left:3147060;top:1551024;height:182245;width:82232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6mXsg1wAAAAUBAAAPAAAAAAAAAAEAIAAAACIAAABkcnMvZG93bnJldi54bWxQ&#10;SwECFAAUAAAACACHTuJAV/TGQzECAACFBAAADgAAAAAAAAABACAAAAAmAQAAZHJzL2Uyb0RvYy54&#10;bWxQSwUGAAAAAAYABgBZAQAAyQUAAAAA&#10;">
                        <v:fill on="t" focussize="0,0"/>
                        <v:stroke color="#000000" miterlimit="8" joinstyle="miter"/>
                        <v:imagedata o:title=""/>
                        <o:lock v:ext="edit" aspectratio="f"/>
                        <v:textbox inset="0mm,0mm,0mm,0mm" style="mso-fit-shape-to-text:t;">
                          <w:txbxContent>
                            <w:p>
                              <w:pPr>
                                <w:jc w:val="center"/>
                              </w:pPr>
                              <w:r>
                                <w:rPr>
                                  <w:rFonts w:hint="eastAsia"/>
                                </w:rPr>
                                <w:t>外排湫</w:t>
                              </w:r>
                              <w:r>
                                <w:t>水</w:t>
                              </w:r>
                              <w:r>
                                <w:rPr>
                                  <w:rFonts w:hint="eastAsia"/>
                                </w:rPr>
                                <w:t>河</w:t>
                              </w:r>
                            </w:p>
                          </w:txbxContent>
                        </v:textbox>
                      </v:shape>
                      <v:shape id="AutoShape 29" o:spid="_x0000_s1026" o:spt="32" type="#_x0000_t32" style="position:absolute;left:3566160;top:111795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AdWf8MAAgAA7wMAAA4AAAAAAAAAAQAgAAAAJQEAAGRycy9l&#10;Mm9Eb2MueG1sUEsFBgAAAAAGAAYAWQEAAJcFAAAAAA==&#10;">
                        <v:fill on="f" focussize="0,0"/>
                        <v:stroke color="#000000" joinstyle="round" endarrow="block"/>
                        <v:imagedata o:title=""/>
                        <o:lock v:ext="edit" aspectratio="f"/>
                      </v:shape>
                      <w10:wrap type="none"/>
                      <w10:anchorlock/>
                    </v:group>
                  </w:pict>
                </mc:Fallback>
              </mc:AlternateContent>
            </w:r>
          </w:p>
          <w:p>
            <w:pPr>
              <w:spacing w:line="50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图2-</w:t>
            </w:r>
            <w:r>
              <w:rPr>
                <w:rFonts w:asciiTheme="minorEastAsia" w:hAnsiTheme="minorEastAsia" w:eastAsiaTheme="minorEastAsia"/>
                <w:kern w:val="10"/>
                <w:sz w:val="24"/>
              </w:rPr>
              <w:t xml:space="preserve">4    </w:t>
            </w:r>
            <w:r>
              <w:rPr>
                <w:rFonts w:hint="eastAsia" w:asciiTheme="minorEastAsia" w:hAnsiTheme="minorEastAsia" w:eastAsiaTheme="minorEastAsia"/>
                <w:kern w:val="10"/>
                <w:sz w:val="24"/>
              </w:rPr>
              <w:t xml:space="preserve">本项目运营期用水平衡图 </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(3)排水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本工程排水主要为生活污水和雨水，排水管网采用雨污分流制，本项目生活排水排放量为0.1</w:t>
            </w:r>
            <w:r>
              <w:rPr>
                <w:rFonts w:asciiTheme="minorEastAsia" w:hAnsiTheme="minorEastAsia" w:eastAsiaTheme="minorEastAsia"/>
                <w:kern w:val="10"/>
                <w:sz w:val="24"/>
              </w:rPr>
              <w:t>44</w:t>
            </w:r>
            <w:r>
              <w:rPr>
                <w:rFonts w:hint="eastAsia" w:asciiTheme="minorEastAsia" w:hAnsiTheme="minorEastAsia" w:eastAsiaTheme="minorEastAsia"/>
                <w:kern w:val="10"/>
                <w:sz w:val="24"/>
              </w:rPr>
              <w:t>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/d，汇同管网收集后的污水排入污水处理设施内进行处理，尾水处理达标后，排放入</w:t>
            </w:r>
            <w:r>
              <w:rPr>
                <w:rFonts w:hint="eastAsia"/>
                <w:sz w:val="24"/>
              </w:rPr>
              <w:t>湫</w:t>
            </w:r>
            <w:r>
              <w:rPr>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场区内雨水通过管道收集后，排入</w:t>
            </w:r>
            <w:r>
              <w:rPr>
                <w:rFonts w:hint="eastAsia"/>
                <w:sz w:val="24"/>
              </w:rPr>
              <w:t>湫</w:t>
            </w:r>
            <w:r>
              <w:rPr>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2、供电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本次工程供电接入歧道村电源。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3、供暖与制冷</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本项目办公室及辅助设施间内冬季取暖采用空气源热泵系统供应，项目备有2台6</w:t>
            </w:r>
            <w:r>
              <w:rPr>
                <w:rFonts w:asciiTheme="minorEastAsia" w:hAnsiTheme="minorEastAsia" w:eastAsiaTheme="minorEastAsia"/>
                <w:kern w:val="10"/>
                <w:sz w:val="24"/>
              </w:rPr>
              <w:t>0KW</w:t>
            </w:r>
            <w:r>
              <w:rPr>
                <w:rFonts w:hint="eastAsia" w:asciiTheme="minorEastAsia" w:hAnsiTheme="minorEastAsia" w:eastAsiaTheme="minorEastAsia"/>
                <w:kern w:val="10"/>
                <w:sz w:val="24"/>
              </w:rPr>
              <w:t>的空气源热泵，可以满足污水处理厂供暖所需要求。</w:t>
            </w:r>
          </w:p>
          <w:p>
            <w:pPr>
              <w:tabs>
                <w:tab w:val="center" w:pos="4537"/>
              </w:tabs>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九、主要原辅材料及能源消耗</w:t>
            </w:r>
          </w:p>
          <w:p>
            <w:pPr>
              <w:tabs>
                <w:tab w:val="center" w:pos="4537"/>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本项目原辅材料消耗</w:t>
            </w:r>
          </w:p>
          <w:p>
            <w:pPr>
              <w:tabs>
                <w:tab w:val="center" w:pos="4537"/>
              </w:tabs>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2-15    项目原辅材料消耗表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125"/>
              <w:gridCol w:w="1674"/>
              <w:gridCol w:w="1230"/>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名称</w:t>
                  </w:r>
                </w:p>
              </w:tc>
              <w:tc>
                <w:tcPr>
                  <w:tcW w:w="1134"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消耗量</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主要成分</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用途</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来源及储存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化学除磷剂(聚铁</w:t>
                  </w:r>
                  <w:r>
                    <w:rPr>
                      <w:rFonts w:ascii="宋体" w:hAnsi="宋体" w:cs="宋体"/>
                      <w:kern w:val="0"/>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73t/a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bCs/>
                      <w:kern w:val="10"/>
                      <w:szCs w:val="21"/>
                    </w:rPr>
                    <w:t>聚合硫酸铁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除磷</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ascii="宋体" w:hAnsi="宋体"/>
                      <w:kern w:val="10"/>
                      <w:szCs w:val="21"/>
                    </w:rPr>
                    <w:t>PAM</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0.37t/a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聚丙烯酰胺</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絮凝沉淀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碳源加药剂</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7.3t/a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乙酸钠</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絮凝沉淀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污泥加药剂（</w:t>
                  </w:r>
                  <w:r>
                    <w:rPr>
                      <w:rFonts w:ascii="宋体" w:hAnsi="宋体" w:cs="TimesNewRomanPSMT"/>
                      <w:kern w:val="0"/>
                      <w:szCs w:val="21"/>
                    </w:rPr>
                    <w:t>PAM+</w:t>
                  </w:r>
                  <w:r>
                    <w:rPr>
                      <w:rFonts w:hint="eastAsia" w:ascii="宋体" w:hAnsi="宋体" w:cs="宋体"/>
                      <w:kern w:val="0"/>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0.22t/a</w:t>
                  </w:r>
                </w:p>
              </w:tc>
              <w:tc>
                <w:tcPr>
                  <w:tcW w:w="1700" w:type="dxa"/>
                  <w:vAlign w:val="center"/>
                </w:tcPr>
                <w:p>
                  <w:pPr>
                    <w:tabs>
                      <w:tab w:val="center" w:pos="4537"/>
                    </w:tabs>
                    <w:spacing w:line="340" w:lineRule="exact"/>
                    <w:jc w:val="center"/>
                    <w:rPr>
                      <w:rFonts w:ascii="宋体" w:hAnsi="宋体"/>
                      <w:kern w:val="10"/>
                      <w:szCs w:val="21"/>
                    </w:rPr>
                  </w:pPr>
                  <w:r>
                    <w:rPr>
                      <w:rFonts w:ascii="宋体" w:hAnsi="宋体"/>
                      <w:kern w:val="10"/>
                      <w:szCs w:val="21"/>
                    </w:rPr>
                    <w:t>10%Al</w:t>
                  </w:r>
                  <w:r>
                    <w:rPr>
                      <w:rFonts w:ascii="宋体" w:hAnsi="宋体"/>
                      <w:kern w:val="10"/>
                      <w:szCs w:val="21"/>
                      <w:vertAlign w:val="subscript"/>
                    </w:rPr>
                    <w:t>2</w:t>
                  </w:r>
                  <w:r>
                    <w:rPr>
                      <w:rFonts w:ascii="宋体" w:hAnsi="宋体"/>
                      <w:kern w:val="10"/>
                      <w:szCs w:val="21"/>
                    </w:rPr>
                    <w:t>O</w:t>
                  </w:r>
                  <w:r>
                    <w:rPr>
                      <w:rFonts w:ascii="宋体" w:hAnsi="宋体"/>
                      <w:kern w:val="10"/>
                      <w:szCs w:val="21"/>
                      <w:vertAlign w:val="subscript"/>
                    </w:rPr>
                    <w:t>3</w:t>
                  </w:r>
                  <w:r>
                    <w:rPr>
                      <w:rFonts w:hint="eastAsia" w:ascii="宋体" w:hAnsi="宋体"/>
                      <w:kern w:val="10"/>
                      <w:szCs w:val="21"/>
                    </w:rPr>
                    <w:t>，液态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混凝沉淀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外购、汽运、罐装存放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消毒剂（</w:t>
                  </w:r>
                  <w:r>
                    <w:rPr>
                      <w:rFonts w:hint="eastAsia" w:ascii="宋体" w:hAnsi="宋体"/>
                      <w:szCs w:val="21"/>
                    </w:rPr>
                    <w:t>次氯酸钠</w:t>
                  </w:r>
                  <w:r>
                    <w:rPr>
                      <w:rFonts w:ascii="宋体" w:hAnsi="宋体"/>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36.5t/a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液态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杀菌消毒</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外购、汽运、桶装存放，由指定厂家送至厂区内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cs="宋体"/>
                      <w:kern w:val="0"/>
                      <w:szCs w:val="21"/>
                    </w:rPr>
                  </w:pPr>
                  <w:r>
                    <w:rPr>
                      <w:rFonts w:hint="eastAsia" w:ascii="宋体" w:hAnsi="宋体" w:cs="宋体"/>
                      <w:kern w:val="0"/>
                      <w:szCs w:val="21"/>
                    </w:rPr>
                    <w:t>生物除臭剂</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0.24t/a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氢氧化钠</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除臭</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外购、汽运、桶装存放，由指定厂家送至厂区内</w:t>
                  </w:r>
                </w:p>
              </w:tc>
            </w:tr>
          </w:tbl>
          <w:p>
            <w:pPr>
              <w:tabs>
                <w:tab w:val="center" w:pos="4537"/>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2、项目原辅材料性质一览表</w:t>
            </w:r>
          </w:p>
          <w:p>
            <w:pPr>
              <w:tabs>
                <w:tab w:val="center" w:pos="4537"/>
              </w:tabs>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2-16    项目原辅材料性质一览表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277"/>
              <w:gridCol w:w="1381"/>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原辅材料</w:t>
                  </w:r>
                </w:p>
              </w:tc>
              <w:tc>
                <w:tcPr>
                  <w:tcW w:w="4394"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理化性质</w:t>
                  </w:r>
                </w:p>
              </w:tc>
              <w:tc>
                <w:tcPr>
                  <w:tcW w:w="1418"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燃烧爆炸性</w:t>
                  </w:r>
                </w:p>
              </w:tc>
              <w:tc>
                <w:tcPr>
                  <w:tcW w:w="1289"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PAM</w:t>
                  </w:r>
                </w:p>
              </w:tc>
              <w:tc>
                <w:tcPr>
                  <w:tcW w:w="4394" w:type="dxa"/>
                </w:tcPr>
                <w:p>
                  <w:pPr>
                    <w:tabs>
                      <w:tab w:val="center" w:pos="4537"/>
                    </w:tabs>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全名为聚丙烯酰胺，该产品的分子能与分散于溶液中的悬浮粒子架桥吸附，有着极强的絮凝作用。</w:t>
                  </w:r>
                  <w:r>
                    <w:rPr>
                      <w:rFonts w:asciiTheme="minorEastAsia" w:hAnsiTheme="minorEastAsia" w:eastAsiaTheme="minorEastAsia"/>
                      <w:kern w:val="10"/>
                      <w:szCs w:val="21"/>
                    </w:rPr>
                    <w:t>PAM</w:t>
                  </w:r>
                  <w:r>
                    <w:rPr>
                      <w:rFonts w:hint="eastAsia" w:asciiTheme="minorEastAsia" w:hAnsiTheme="minorEastAsia" w:eastAsiaTheme="minorEastAsia"/>
                      <w:kern w:val="10"/>
                      <w:szCs w:val="21"/>
                    </w:rPr>
                    <w:t>在</w:t>
                  </w:r>
                  <w:r>
                    <w:rPr>
                      <w:rFonts w:asciiTheme="minorEastAsia" w:hAnsiTheme="minorEastAsia" w:eastAsiaTheme="minorEastAsia"/>
                      <w:kern w:val="10"/>
                      <w:szCs w:val="21"/>
                    </w:rPr>
                    <w:t>50-60°C下溶于水，也溶于乙酸、丙酸、氯代乙酸、乙二醇、甘油和</w:t>
                  </w:r>
                  <w:r>
                    <w:rPr>
                      <w:rFonts w:hint="eastAsia" w:asciiTheme="minorEastAsia" w:hAnsiTheme="minorEastAsia" w:eastAsiaTheme="minorEastAsia"/>
                      <w:kern w:val="10"/>
                      <w:szCs w:val="21"/>
                    </w:rPr>
                    <w:t>胺等有机溶剂。</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不易燃易爆</w:t>
                  </w:r>
                </w:p>
              </w:tc>
              <w:tc>
                <w:tcPr>
                  <w:tcW w:w="1289"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PAC</w:t>
                  </w:r>
                </w:p>
              </w:tc>
              <w:tc>
                <w:tcPr>
                  <w:tcW w:w="4394" w:type="dxa"/>
                </w:tcPr>
                <w:p>
                  <w:pPr>
                    <w:tabs>
                      <w:tab w:val="center" w:pos="4537"/>
                    </w:tabs>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全名聚合氯化铝，也称净水剂或混凝剂。液体产品为无色、淡黄色、淡灰色或棕褐色透明或半透明液体，无沉淀；固体产品是白色、淡灰色、淡黄色或棕褐色晶粒或粉末。</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不易燃易爆</w:t>
                  </w:r>
                </w:p>
              </w:tc>
              <w:tc>
                <w:tcPr>
                  <w:tcW w:w="1289"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次氯酸钠</w:t>
                  </w:r>
                </w:p>
              </w:tc>
              <w:tc>
                <w:tcPr>
                  <w:tcW w:w="4394" w:type="dxa"/>
                </w:tcPr>
                <w:p>
                  <w:pPr>
                    <w:tabs>
                      <w:tab w:val="center" w:pos="4537"/>
                    </w:tabs>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化学式</w:t>
                  </w:r>
                  <w:r>
                    <w:rPr>
                      <w:rFonts w:asciiTheme="minorEastAsia" w:hAnsiTheme="minorEastAsia" w:eastAsiaTheme="minorEastAsia"/>
                      <w:kern w:val="10"/>
                      <w:szCs w:val="21"/>
                    </w:rPr>
                    <w:t>:NaClO</w:t>
                  </w:r>
                  <w:r>
                    <w:rPr>
                      <w:rFonts w:hint="eastAsia" w:asciiTheme="minorEastAsia" w:hAnsiTheme="minorEastAsia" w:eastAsiaTheme="minorEastAsia"/>
                      <w:kern w:val="10"/>
                      <w:szCs w:val="21"/>
                    </w:rPr>
                    <w:t>，别称漂白水、漂水、安替福民、次氯酸钠水溶液。微黄色溶液，有似氯气的气味。侵入途径：吸入、食入、皮肤接触吸收。健康危害：经常用手接触本品的工人，手掌大量出汗，指甲变薄，毛发脱落。本品有致敏作用。本品放出的氯气有可能引起中毒。</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不燃</w:t>
                  </w:r>
                </w:p>
              </w:tc>
              <w:tc>
                <w:tcPr>
                  <w:tcW w:w="1289" w:type="dxa"/>
                  <w:vAlign w:val="center"/>
                </w:tcPr>
                <w:p>
                  <w:pPr>
                    <w:tabs>
                      <w:tab w:val="center" w:pos="4537"/>
                    </w:tabs>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具</w:t>
                  </w:r>
                  <w:r>
                    <w:fldChar w:fldCharType="begin"/>
                  </w:r>
                  <w:r>
                    <w:instrText xml:space="preserve"> HYPERLINK "https://baike.so.com/doc/6094923-6308031.html" \t "_blank" </w:instrText>
                  </w:r>
                  <w:r>
                    <w:fldChar w:fldCharType="separate"/>
                  </w:r>
                  <w:r>
                    <w:rPr>
                      <w:rFonts w:hint="eastAsia" w:asciiTheme="minorEastAsia" w:hAnsiTheme="minorEastAsia" w:eastAsiaTheme="minorEastAsia"/>
                      <w:kern w:val="10"/>
                    </w:rPr>
                    <w:t>腐蚀性</w:t>
                  </w:r>
                  <w:r>
                    <w:rPr>
                      <w:rFonts w:hint="eastAsia" w:asciiTheme="minorEastAsia" w:hAnsiTheme="minorEastAsia" w:eastAsiaTheme="minorEastAsia"/>
                      <w:kern w:val="10"/>
                    </w:rPr>
                    <w:fldChar w:fldCharType="end"/>
                  </w:r>
                  <w:r>
                    <w:rPr>
                      <w:rFonts w:hint="eastAsia" w:asciiTheme="minorEastAsia" w:hAnsiTheme="minorEastAsia" w:eastAsiaTheme="minorEastAsia"/>
                      <w:kern w:val="10"/>
                      <w:szCs w:val="21"/>
                    </w:rPr>
                    <w:t>，可致人体灼伤，具有致敏性。</w:t>
                  </w:r>
                </w:p>
              </w:tc>
            </w:tr>
          </w:tbl>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spacing w:line="500" w:lineRule="exact"/>
              <w:rPr>
                <w:rFonts w:cs="宋体" w:asciiTheme="minorEastAsia" w:hAnsiTheme="minorEastAsia" w:eastAsiaTheme="minorEastAsia"/>
                <w:bCs/>
                <w:color w:val="FF0000"/>
                <w:szCs w:val="21"/>
              </w:rPr>
            </w:pPr>
          </w:p>
        </w:tc>
      </w:tr>
    </w:tbl>
    <w:p>
      <w:pPr>
        <w:rPr>
          <w:rFonts w:asciiTheme="minorEastAsia" w:hAnsiTheme="minorEastAsia" w:eastAsiaTheme="minorEastAsia"/>
          <w:color w:val="FF0000"/>
        </w:rPr>
        <w:sectPr>
          <w:headerReference r:id="rId7" w:type="default"/>
          <w:footerReference r:id="rId8" w:type="default"/>
          <w:pgSz w:w="11906" w:h="16838"/>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4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szCs w:val="21"/>
              </w:rPr>
              <w:t>工艺流程和产排污环节</w:t>
            </w:r>
          </w:p>
        </w:tc>
        <w:tc>
          <w:tcPr>
            <w:tcW w:w="8287" w:type="dxa"/>
          </w:tcPr>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一、施工期</w:t>
            </w:r>
          </w:p>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1、管网施工期工艺流程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本项目污水管网布置尽可能是管道的走向符合地形趋势。</w:t>
            </w:r>
            <w:r>
              <w:rPr>
                <w:rFonts w:hint="eastAsia" w:asciiTheme="minorEastAsia" w:hAnsiTheme="minorEastAsia" w:eastAsiaTheme="minorEastAsia"/>
                <w:sz w:val="24"/>
              </w:rPr>
              <w:t>本次工程污水管网包括污水收集管网及处理厂出口至</w:t>
            </w:r>
            <w:r>
              <w:rPr>
                <w:rFonts w:hint="eastAsia"/>
                <w:sz w:val="24"/>
              </w:rPr>
              <w:t>湫</w:t>
            </w:r>
            <w:r>
              <w:rPr>
                <w:sz w:val="24"/>
              </w:rPr>
              <w:t>水</w:t>
            </w:r>
            <w:r>
              <w:rPr>
                <w:rFonts w:hint="eastAsia" w:asciiTheme="minorEastAsia" w:hAnsiTheme="minorEastAsia" w:eastAsiaTheme="minorEastAsia"/>
                <w:sz w:val="24"/>
              </w:rPr>
              <w:t>河的管网</w:t>
            </w:r>
            <w:r>
              <w:rPr>
                <w:rFonts w:asciiTheme="minorEastAsia" w:hAnsiTheme="minorEastAsia" w:eastAsiaTheme="minorEastAsia"/>
                <w:sz w:val="24"/>
              </w:rPr>
              <w:t>。管线布置中充分利用了地形，并使管线最短、埋深最浅，便于管道系统的施工、运行和维护管理，同时考虑近、远期规划相结合。</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具体管网铺设工艺流程见下图。</w:t>
            </w:r>
          </w:p>
          <w:p>
            <w:pPr>
              <w:spacing w:line="500" w:lineRule="exact"/>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139700</wp:posOffset>
                  </wp:positionV>
                  <wp:extent cx="5039995" cy="3098165"/>
                  <wp:effectExtent l="19050" t="0" r="8255" b="0"/>
                  <wp:wrapNone/>
                  <wp:docPr id="13" name="图片 40" descr="I:\Users\Administrato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descr="I:\Users\Administrator\Desktop\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l="12099" t="32275" r="10572" b="34139"/>
                          <a:stretch>
                            <a:fillRect/>
                          </a:stretch>
                        </pic:blipFill>
                        <pic:spPr>
                          <a:xfrm>
                            <a:off x="0" y="0"/>
                            <a:ext cx="5039995" cy="3098165"/>
                          </a:xfrm>
                          <a:prstGeom prst="rect">
                            <a:avLst/>
                          </a:prstGeom>
                          <a:noFill/>
                          <a:ln>
                            <a:noFill/>
                          </a:ln>
                        </pic:spPr>
                      </pic:pic>
                    </a:graphicData>
                  </a:graphic>
                </wp:anchor>
              </w:drawing>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tabs>
                <w:tab w:val="left" w:pos="2660"/>
              </w:tabs>
              <w:snapToGrid w:val="0"/>
              <w:spacing w:line="460" w:lineRule="exact"/>
              <w:ind w:firstLine="480" w:firstLineChars="200"/>
              <w:jc w:val="center"/>
              <w:rPr>
                <w:rFonts w:asciiTheme="minorEastAsia" w:hAnsiTheme="minorEastAsia" w:eastAsiaTheme="minorEastAsia"/>
                <w:b/>
                <w:sz w:val="28"/>
                <w:szCs w:val="28"/>
              </w:rPr>
            </w:pPr>
            <w:r>
              <w:rPr>
                <w:rFonts w:hint="eastAsia" w:asciiTheme="minorEastAsia" w:hAnsiTheme="minorEastAsia" w:eastAsiaTheme="minorEastAsia"/>
                <w:sz w:val="24"/>
              </w:rPr>
              <w:t>图2-</w:t>
            </w:r>
            <w:r>
              <w:rPr>
                <w:rFonts w:asciiTheme="minorEastAsia" w:hAnsiTheme="minorEastAsia" w:eastAsiaTheme="minorEastAsia"/>
                <w:sz w:val="24"/>
              </w:rPr>
              <w:t xml:space="preserve">5    </w:t>
            </w:r>
            <w:r>
              <w:rPr>
                <w:rFonts w:hint="eastAsia" w:asciiTheme="minorEastAsia" w:hAnsiTheme="minorEastAsia" w:eastAsiaTheme="minorEastAsia"/>
                <w:sz w:val="24"/>
              </w:rPr>
              <w:t>管网铺设施工流程示意图</w:t>
            </w:r>
          </w:p>
          <w:p>
            <w:pPr>
              <w:tabs>
                <w:tab w:val="left" w:pos="2660"/>
              </w:tabs>
              <w:snapToGrid w:val="0"/>
              <w:spacing w:line="460" w:lineRule="exact"/>
              <w:ind w:firstLine="562" w:firstLineChars="200"/>
              <w:rPr>
                <w:rFonts w:asciiTheme="minorEastAsia" w:hAnsiTheme="minorEastAsia" w:eastAsiaTheme="minorEastAsia"/>
                <w:b/>
                <w:sz w:val="28"/>
                <w:szCs w:val="28"/>
              </w:rPr>
            </w:pPr>
          </w:p>
          <w:p>
            <w:pPr>
              <w:adjustRightInd w:val="0"/>
              <w:snapToGrid w:val="0"/>
              <w:spacing w:line="500" w:lineRule="exact"/>
              <w:ind w:firstLine="480" w:firstLineChars="200"/>
              <w:rPr>
                <w:rFonts w:asciiTheme="minorEastAsia" w:hAnsiTheme="minorEastAsia" w:eastAsiaTheme="minorEastAsia"/>
                <w:kern w:val="36"/>
                <w:sz w:val="24"/>
                <w:szCs w:val="20"/>
              </w:rPr>
            </w:pPr>
            <w:r>
              <w:rPr>
                <w:rFonts w:hint="eastAsia" w:asciiTheme="minorEastAsia" w:hAnsiTheme="minorEastAsia" w:eastAsiaTheme="minorEastAsia"/>
                <w:kern w:val="36"/>
                <w:sz w:val="24"/>
                <w:szCs w:val="20"/>
              </w:rPr>
              <w:t>管网敷设施工：</w:t>
            </w:r>
          </w:p>
          <w:p>
            <w:pPr>
              <w:adjustRightInd w:val="0"/>
              <w:snapToGrid w:val="0"/>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工程施工时，首先进行作业线路的清理，将管道运至各施工现场，再完成管沟</w:t>
            </w:r>
            <w:r>
              <w:rPr>
                <w:rFonts w:hint="eastAsia" w:asciiTheme="minorEastAsia" w:hAnsiTheme="minorEastAsia" w:eastAsiaTheme="minorEastAsia"/>
                <w:kern w:val="36"/>
                <w:sz w:val="24"/>
                <w:szCs w:val="20"/>
              </w:rPr>
              <w:t>的</w:t>
            </w:r>
            <w:r>
              <w:rPr>
                <w:rFonts w:asciiTheme="minorEastAsia" w:hAnsiTheme="minorEastAsia" w:eastAsiaTheme="minorEastAsia"/>
                <w:kern w:val="36"/>
                <w:sz w:val="24"/>
                <w:szCs w:val="20"/>
              </w:rPr>
              <w:t>开挖</w:t>
            </w:r>
            <w:r>
              <w:rPr>
                <w:rFonts w:hint="eastAsia" w:asciiTheme="minorEastAsia" w:hAnsiTheme="minorEastAsia" w:eastAsiaTheme="minorEastAsia"/>
                <w:kern w:val="36"/>
                <w:sz w:val="24"/>
                <w:szCs w:val="20"/>
              </w:rPr>
              <w:t>；按照</w:t>
            </w:r>
            <w:r>
              <w:rPr>
                <w:rFonts w:asciiTheme="minorEastAsia" w:hAnsiTheme="minorEastAsia" w:eastAsiaTheme="minorEastAsia"/>
                <w:kern w:val="36"/>
                <w:sz w:val="24"/>
                <w:szCs w:val="20"/>
              </w:rPr>
              <w:t>管道施工规范</w:t>
            </w:r>
            <w:r>
              <w:rPr>
                <w:rFonts w:hint="eastAsia" w:asciiTheme="minorEastAsia" w:hAnsiTheme="minorEastAsia" w:eastAsiaTheme="minorEastAsia"/>
                <w:kern w:val="36"/>
                <w:sz w:val="24"/>
                <w:szCs w:val="20"/>
              </w:rPr>
              <w:t>将管道</w:t>
            </w:r>
            <w:r>
              <w:rPr>
                <w:rFonts w:asciiTheme="minorEastAsia" w:hAnsiTheme="minorEastAsia" w:eastAsiaTheme="minorEastAsia"/>
                <w:kern w:val="36"/>
                <w:sz w:val="24"/>
                <w:szCs w:val="20"/>
              </w:rPr>
              <w:t>下到管沟内，</w:t>
            </w:r>
            <w:r>
              <w:rPr>
                <w:rFonts w:hint="eastAsia" w:asciiTheme="minorEastAsia" w:hAnsiTheme="minorEastAsia" w:eastAsiaTheme="minorEastAsia"/>
                <w:kern w:val="36"/>
                <w:sz w:val="24"/>
                <w:szCs w:val="20"/>
              </w:rPr>
              <w:t>对管道进行对接；对接完成后进行试压，检验合格后，</w:t>
            </w:r>
            <w:r>
              <w:rPr>
                <w:rFonts w:asciiTheme="minorEastAsia" w:hAnsiTheme="minorEastAsia" w:eastAsiaTheme="minorEastAsia"/>
                <w:kern w:val="36"/>
                <w:sz w:val="24"/>
                <w:szCs w:val="20"/>
              </w:rPr>
              <w:t>覆土回填</w:t>
            </w:r>
            <w:r>
              <w:rPr>
                <w:rFonts w:hint="eastAsia" w:asciiTheme="minorEastAsia" w:hAnsiTheme="minorEastAsia" w:eastAsiaTheme="minorEastAsia"/>
                <w:kern w:val="36"/>
                <w:sz w:val="24"/>
                <w:szCs w:val="20"/>
              </w:rPr>
              <w:t>，并清理现场、恢复地貌</w:t>
            </w:r>
            <w:r>
              <w:rPr>
                <w:rFonts w:asciiTheme="minorEastAsia" w:hAnsiTheme="minorEastAsia" w:eastAsiaTheme="minorEastAsia"/>
                <w:kern w:val="36"/>
                <w:sz w:val="24"/>
                <w:szCs w:val="20"/>
              </w:rPr>
              <w:t>。</w:t>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2</w:t>
            </w:r>
            <w:r>
              <w:rPr>
                <w:rFonts w:hint="eastAsia" w:asciiTheme="minorEastAsia" w:hAnsiTheme="minorEastAsia" w:eastAsiaTheme="minorEastAsia"/>
                <w:kern w:val="36"/>
                <w:sz w:val="24"/>
                <w:szCs w:val="20"/>
              </w:rPr>
              <w:t>、污水处理厂施工期工艺流程及产污环节图</w:t>
            </w:r>
          </w:p>
          <w:p>
            <w:pPr>
              <w:pStyle w:val="8"/>
              <w:rPr>
                <w:rFonts w:asciiTheme="minorEastAsia" w:hAnsiTheme="minorEastAsia" w:eastAsiaTheme="minorEastAsia"/>
                <w:color w:val="FF0000"/>
              </w:rPr>
            </w:pPr>
          </w:p>
          <w:p>
            <w:pPr>
              <w:pStyle w:val="8"/>
              <w:ind w:firstLine="0" w:firstLineChars="0"/>
              <w:rPr>
                <w:rFonts w:asciiTheme="minorEastAsia" w:hAnsiTheme="minorEastAsia" w:eastAsiaTheme="minorEastAsia"/>
                <w:color w:val="FF0000"/>
              </w:rPr>
            </w:pPr>
            <w:r>
              <w:rPr>
                <w:rFonts w:asciiTheme="minorEastAsia" w:hAnsiTheme="minorEastAsia" w:eastAsiaTheme="minorEastAsia"/>
                <w:color w:val="FF0000"/>
              </w:rPr>
              <w:drawing>
                <wp:inline distT="0" distB="0" distL="0" distR="0">
                  <wp:extent cx="5253355" cy="2592070"/>
                  <wp:effectExtent l="0" t="0" r="4445" b="0"/>
                  <wp:docPr id="128" name="图片 128" descr="I:\Users\Administrator\Desktop\蚌埠市第四污水处理厂二期工程（2021年5月）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Users\Administrator\Desktop\蚌埠市第四污水处理厂二期工程（2021年5月） 24.jpg"/>
                          <pic:cNvPicPr>
                            <a:picLocks noChangeAspect="1" noChangeArrowheads="1"/>
                          </pic:cNvPicPr>
                        </pic:nvPicPr>
                        <pic:blipFill>
                          <a:blip r:embed="rId24">
                            <a:extLst>
                              <a:ext uri="{28A0092B-C50C-407E-A947-70E740481C1C}">
                                <a14:useLocalDpi xmlns:a14="http://schemas.microsoft.com/office/drawing/2010/main" val="0"/>
                              </a:ext>
                            </a:extLst>
                          </a:blip>
                          <a:srcRect l="17247" t="10261" r="13245" b="67881"/>
                          <a:stretch>
                            <a:fillRect/>
                          </a:stretch>
                        </pic:blipFill>
                        <pic:spPr>
                          <a:xfrm>
                            <a:off x="0" y="0"/>
                            <a:ext cx="5262056" cy="2596137"/>
                          </a:xfrm>
                          <a:prstGeom prst="rect">
                            <a:avLst/>
                          </a:prstGeom>
                          <a:noFill/>
                          <a:ln>
                            <a:noFill/>
                          </a:ln>
                        </pic:spPr>
                      </pic:pic>
                    </a:graphicData>
                  </a:graphic>
                </wp:inline>
              </w:drawing>
            </w:r>
          </w:p>
          <w:p>
            <w:pPr>
              <w:pStyle w:val="8"/>
              <w:ind w:firstLine="480"/>
              <w:jc w:val="center"/>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 xml:space="preserve">2-6    </w:t>
            </w:r>
            <w:r>
              <w:rPr>
                <w:rFonts w:hint="eastAsia" w:asciiTheme="minorEastAsia" w:hAnsiTheme="minorEastAsia" w:eastAsiaTheme="minorEastAsia"/>
                <w:sz w:val="24"/>
              </w:rPr>
              <w:t>污水处理厂建设流程</w:t>
            </w:r>
          </w:p>
          <w:p>
            <w:pPr>
              <w:spacing w:line="420" w:lineRule="exact"/>
              <w:ind w:firstLine="480" w:firstLineChars="200"/>
              <w:rPr>
                <w:rFonts w:asciiTheme="minorEastAsia" w:hAnsiTheme="minorEastAsia" w:eastAsiaTheme="minorEastAsia"/>
                <w:sz w:val="24"/>
              </w:rPr>
            </w:pP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二、污水处理厂处理工艺</w:t>
            </w:r>
          </w:p>
          <w:p>
            <w:pPr>
              <w:widowControl/>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本项目收集和处理的废水主要为来自收集</w:t>
            </w:r>
            <w:r>
              <w:rPr>
                <w:rFonts w:hint="eastAsia" w:asciiTheme="minorEastAsia" w:hAnsiTheme="minorEastAsia" w:eastAsiaTheme="minorEastAsia"/>
                <w:kern w:val="10"/>
                <w:sz w:val="24"/>
              </w:rPr>
              <w:t>湫水河及支流大峪沟、小峪沟沿岸共</w:t>
            </w:r>
            <w:r>
              <w:rPr>
                <w:rFonts w:asciiTheme="minorEastAsia" w:hAnsiTheme="minorEastAsia" w:eastAsiaTheme="minorEastAsia"/>
                <w:kern w:val="10"/>
                <w:sz w:val="24"/>
              </w:rPr>
              <w:t>8</w:t>
            </w:r>
            <w:r>
              <w:rPr>
                <w:rFonts w:hint="eastAsia" w:asciiTheme="minorEastAsia" w:hAnsiTheme="minorEastAsia" w:eastAsiaTheme="minorEastAsia"/>
                <w:kern w:val="10"/>
                <w:sz w:val="24"/>
              </w:rPr>
              <w:t>个村庄</w:t>
            </w:r>
            <w:r>
              <w:rPr>
                <w:rFonts w:hint="eastAsia" w:cs="宋体" w:asciiTheme="minorEastAsia" w:hAnsiTheme="minorEastAsia" w:eastAsiaTheme="minorEastAsia"/>
                <w:kern w:val="0"/>
                <w:sz w:val="24"/>
              </w:rPr>
              <w:t>的生活污水。</w:t>
            </w:r>
          </w:p>
          <w:p>
            <w:pPr>
              <w:widowControl/>
              <w:spacing w:line="500" w:lineRule="exact"/>
              <w:ind w:firstLine="480" w:firstLineChars="200"/>
              <w:rPr>
                <w:rFonts w:cs="宋体"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sz w:val="24"/>
              </w:rPr>
              <w:t>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widowControl/>
              <w:spacing w:line="500" w:lineRule="exact"/>
              <w:ind w:firstLine="480" w:firstLineChars="200"/>
              <w:rPr>
                <w:rFonts w:ascii="宋体" w:hAnsi="宋体" w:cs="宋体"/>
                <w:kern w:val="0"/>
                <w:sz w:val="24"/>
                <w:szCs w:val="28"/>
              </w:rPr>
            </w:pPr>
            <w:r>
              <w:rPr>
                <w:rFonts w:hint="eastAsia" w:ascii="宋体" w:hAnsi="宋体" w:cs="宋体"/>
                <w:kern w:val="0"/>
                <w:sz w:val="24"/>
                <w:szCs w:val="28"/>
              </w:rPr>
              <w:t>污水通过管网收集后进入污水处理厂，首先进入粗格栅及提升泵房，此单元主要是拦截污水中较大悬浮物，通过一级提升后进入微滤机去除颗粒较大的悬浮物后进入调节池均衡水量、均匀水质；随后污水经调节池提升泵输送至二级处理单元，首先污水与二沉池回流污泥进入厌氧池，主要功能为污泥释放磷，同时将部分有机物进行氨化，随后污水与一级好氧池混合液一并进入一级缺氧池，该单元功能主要为反硝化脱氮，然后污水进入一级好氧池，主要功能为降解</w:t>
            </w:r>
            <w:r>
              <w:rPr>
                <w:rFonts w:ascii="宋体" w:hAnsi="宋体" w:cs="TimesNewRomanPSMT"/>
                <w:kern w:val="0"/>
                <w:sz w:val="24"/>
                <w:szCs w:val="28"/>
              </w:rPr>
              <w:t>BOD</w:t>
            </w:r>
            <w:r>
              <w:rPr>
                <w:rFonts w:hint="eastAsia" w:ascii="宋体" w:hAnsi="宋体" w:cs="宋体"/>
                <w:kern w:val="0"/>
                <w:sz w:val="24"/>
                <w:szCs w:val="28"/>
              </w:rPr>
              <w:t>、发生硝化反应以及聚磷菌过量吸收磷，然后污水进入二级缺氧池，进一步对污水中的硝化液发生反硝化反应脱氮，另一方面释磷，该段以脱氮为主，后污水至二级好氧池去除</w:t>
            </w:r>
            <w:r>
              <w:rPr>
                <w:rFonts w:ascii="宋体" w:hAnsi="宋体" w:cs="TimesNewRomanPSMT"/>
                <w:kern w:val="0"/>
                <w:sz w:val="24"/>
                <w:szCs w:val="28"/>
              </w:rPr>
              <w:t>BOD</w:t>
            </w:r>
            <w:r>
              <w:rPr>
                <w:rFonts w:hint="eastAsia" w:ascii="宋体" w:hAnsi="宋体" w:cs="宋体"/>
                <w:kern w:val="0"/>
                <w:sz w:val="24"/>
                <w:szCs w:val="28"/>
              </w:rPr>
              <w:t>以及富氧以防污水进入二沉池发生厌氧反应，最后污水至竖流式二沉池进行泥水分离；二沉池出水排入中间水池经提升进入深度处理（絮凝沉淀过滤工艺），采用化学除磷药剂降低污水中的</w:t>
            </w:r>
            <w:r>
              <w:rPr>
                <w:rFonts w:ascii="宋体" w:hAnsi="宋体" w:cs="TimesNewRomanPSMT"/>
                <w:kern w:val="0"/>
                <w:sz w:val="24"/>
                <w:szCs w:val="28"/>
              </w:rPr>
              <w:t>TP</w:t>
            </w:r>
            <w:r>
              <w:rPr>
                <w:rFonts w:hint="eastAsia" w:ascii="宋体" w:hAnsi="宋体" w:cs="宋体"/>
                <w:kern w:val="0"/>
                <w:sz w:val="24"/>
                <w:szCs w:val="28"/>
              </w:rPr>
              <w:t>，同时经过滤去除细小悬浮物后经管道式紫外消毒装置消毒后后至接触消毒池，在接触消毒池中与消毒剂充分接触后，经巴氏计量渠在线监测计量后最后进入反洗水池储存，最后出水达标排放或回用于厂区。</w:t>
            </w:r>
          </w:p>
          <w:p>
            <w:pPr>
              <w:widowControl/>
              <w:spacing w:line="500" w:lineRule="exact"/>
              <w:ind w:firstLine="480" w:firstLineChars="200"/>
              <w:rPr>
                <w:rFonts w:ascii="宋体" w:hAnsi="宋体" w:cs="宋体"/>
                <w:kern w:val="0"/>
                <w:sz w:val="22"/>
              </w:rPr>
            </w:pPr>
            <w:r>
              <w:rPr>
                <w:rFonts w:hint="eastAsia" w:ascii="宋体" w:hAnsi="宋体" w:cs="宋体"/>
                <w:kern w:val="0"/>
                <w:sz w:val="24"/>
                <w:szCs w:val="28"/>
              </w:rPr>
              <w:t>二沉池分离的污泥进入污泥池，一部分回流至厌氧池，一部分做为剩余污泥排入储泥池；絮凝沉淀工艺单元产生污泥静压排泥至储泥池；储泥池的污泥经污泥泵输送至污泥浓缩池浓缩后，经螺杆泵输送至污泥脱水机的脱水后，最后泥饼进入污泥棚最终运至垃圾填埋场统一处理。格栅间和污泥脱水间产生一定的臭气集中收集至生物除臭滤池处理达标后高空排放。</w:t>
            </w:r>
          </w:p>
          <w:p>
            <w:pPr>
              <w:widowControl/>
              <w:spacing w:line="500" w:lineRule="exact"/>
              <w:ind w:firstLine="480" w:firstLineChars="200"/>
              <w:jc w:val="left"/>
              <w:rPr>
                <w:rFonts w:ascii="宋体" w:hAnsi="宋体" w:cs="宋体"/>
                <w:color w:val="000000"/>
                <w:kern w:val="0"/>
                <w:sz w:val="24"/>
                <w:szCs w:val="28"/>
              </w:rPr>
            </w:pPr>
            <w:r>
              <w:rPr>
                <w:rFonts w:hint="eastAsia" w:ascii="宋体" w:hAnsi="宋体" w:cs="宋体"/>
                <w:color w:val="000000"/>
                <w:kern w:val="0"/>
                <w:sz w:val="24"/>
                <w:szCs w:val="28"/>
              </w:rPr>
              <w:t>本项目生产工艺参数见下表：</w:t>
            </w:r>
          </w:p>
          <w:p>
            <w:pPr>
              <w:widowControl/>
              <w:spacing w:line="500" w:lineRule="exact"/>
              <w:ind w:firstLine="480" w:firstLineChars="200"/>
              <w:jc w:val="center"/>
              <w:rPr>
                <w:rFonts w:ascii="宋体" w:hAnsi="宋体" w:cs="宋体"/>
                <w:color w:val="000000"/>
                <w:kern w:val="0"/>
                <w:sz w:val="24"/>
                <w:szCs w:val="28"/>
              </w:rPr>
            </w:pPr>
            <w:r>
              <w:rPr>
                <w:rFonts w:hint="eastAsia" w:ascii="宋体" w:hAnsi="宋体" w:cs="宋体"/>
                <w:color w:val="000000"/>
                <w:kern w:val="0"/>
                <w:sz w:val="24"/>
                <w:szCs w:val="28"/>
              </w:rPr>
              <w:t>表2</w:t>
            </w:r>
            <w:r>
              <w:rPr>
                <w:rFonts w:ascii="宋体" w:hAnsi="宋体" w:cs="宋体"/>
                <w:color w:val="000000"/>
                <w:kern w:val="0"/>
                <w:sz w:val="24"/>
                <w:szCs w:val="28"/>
              </w:rPr>
              <w:t xml:space="preserve">-17    </w:t>
            </w:r>
            <w:r>
              <w:rPr>
                <w:rFonts w:hint="eastAsia" w:ascii="宋体" w:hAnsi="宋体" w:cs="宋体"/>
                <w:color w:val="000000"/>
                <w:kern w:val="0"/>
                <w:sz w:val="24"/>
                <w:szCs w:val="28"/>
              </w:rPr>
              <w:t>污水处理各工序反应停留时间表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365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工序</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停留时间</w:t>
                  </w:r>
                </w:p>
              </w:tc>
              <w:tc>
                <w:tcPr>
                  <w:tcW w:w="1862" w:type="dxa"/>
                </w:tcPr>
                <w:p>
                  <w:pPr>
                    <w:widowControl/>
                    <w:spacing w:line="360" w:lineRule="exact"/>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调节</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水力停留时间</w:t>
                  </w:r>
                  <w:r>
                    <w:rPr>
                      <w:rFonts w:ascii="宋体" w:hAnsi="宋体" w:cs="宋体"/>
                      <w:kern w:val="0"/>
                      <w:szCs w:val="21"/>
                    </w:rPr>
                    <w:t>12h</w:t>
                  </w:r>
                </w:p>
              </w:tc>
              <w:tc>
                <w:tcPr>
                  <w:tcW w:w="1862" w:type="dxa"/>
                </w:tcPr>
                <w:p>
                  <w:pPr>
                    <w:widowControl/>
                    <w:spacing w:line="36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生化池水力（</w:t>
                  </w:r>
                  <w:r>
                    <w:rPr>
                      <w:rFonts w:ascii="宋体" w:hAnsi="宋体" w:cs="TimesNewRomanPSMT"/>
                      <w:kern w:val="0"/>
                      <w:szCs w:val="21"/>
                    </w:rPr>
                    <w:t>HRT</w:t>
                  </w:r>
                  <w:r>
                    <w:rPr>
                      <w:rFonts w:hint="eastAsia" w:ascii="宋体" w:hAnsi="宋体" w:cs="宋体"/>
                      <w:kern w:val="0"/>
                      <w:szCs w:val="21"/>
                    </w:rPr>
                    <w:t>）</w:t>
                  </w:r>
                </w:p>
              </w:tc>
              <w:tc>
                <w:tcPr>
                  <w:tcW w:w="3652" w:type="dxa"/>
                </w:tcPr>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1</w:t>
                  </w:r>
                  <w:r>
                    <w:rPr>
                      <w:rFonts w:hint="eastAsia" w:ascii="宋体" w:hAnsi="宋体" w:cs="宋体"/>
                      <w:kern w:val="0"/>
                      <w:szCs w:val="21"/>
                    </w:rPr>
                    <w:t>、总（</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:19.05h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2</w:t>
                  </w:r>
                  <w:r>
                    <w:rPr>
                      <w:rFonts w:hint="eastAsia" w:ascii="宋体" w:hAnsi="宋体" w:cs="宋体"/>
                      <w:kern w:val="0"/>
                      <w:szCs w:val="21"/>
                    </w:rPr>
                    <w:t>、厌氧池（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3</w:t>
                  </w:r>
                  <w:r>
                    <w:rPr>
                      <w:rFonts w:hint="eastAsia" w:ascii="宋体" w:hAnsi="宋体" w:cs="宋体"/>
                      <w:kern w:val="0"/>
                      <w:szCs w:val="21"/>
                    </w:rPr>
                    <w:t>、一级缺氧池（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:4.11h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4</w:t>
                  </w:r>
                  <w:r>
                    <w:rPr>
                      <w:rFonts w:hint="eastAsia" w:ascii="宋体" w:hAnsi="宋体" w:cs="宋体"/>
                      <w:kern w:val="0"/>
                      <w:szCs w:val="21"/>
                    </w:rPr>
                    <w:t>、一级好氧池（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:9.56h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5</w:t>
                  </w:r>
                  <w:r>
                    <w:rPr>
                      <w:rFonts w:hint="eastAsia" w:ascii="宋体" w:hAnsi="宋体" w:cs="宋体"/>
                      <w:kern w:val="0"/>
                      <w:szCs w:val="21"/>
                    </w:rPr>
                    <w:t>、二级缺氧池（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:1.67h</w:t>
                  </w:r>
                </w:p>
                <w:p>
                  <w:pPr>
                    <w:widowControl/>
                    <w:spacing w:line="360" w:lineRule="exact"/>
                    <w:jc w:val="left"/>
                    <w:rPr>
                      <w:rFonts w:ascii="宋体" w:hAnsi="宋体" w:cs="宋体"/>
                      <w:kern w:val="0"/>
                      <w:szCs w:val="21"/>
                    </w:rPr>
                  </w:pPr>
                  <w:r>
                    <w:rPr>
                      <w:rFonts w:ascii="宋体" w:hAnsi="宋体" w:cs="TimesNewRomanPSMT"/>
                      <w:kern w:val="0"/>
                      <w:szCs w:val="21"/>
                    </w:rPr>
                    <w:t>6</w:t>
                  </w:r>
                  <w:r>
                    <w:rPr>
                      <w:rFonts w:hint="eastAsia" w:ascii="宋体" w:hAnsi="宋体" w:cs="宋体"/>
                      <w:kern w:val="0"/>
                      <w:szCs w:val="21"/>
                    </w:rPr>
                    <w:t>、二级好氧池（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:2.06h</w:t>
                  </w:r>
                </w:p>
              </w:tc>
              <w:tc>
                <w:tcPr>
                  <w:tcW w:w="1862" w:type="dxa"/>
                </w:tcPr>
                <w:p>
                  <w:pPr>
                    <w:widowControl/>
                    <w:spacing w:line="36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二沉池</w:t>
                  </w:r>
                </w:p>
              </w:tc>
              <w:tc>
                <w:tcPr>
                  <w:tcW w:w="3652" w:type="dxa"/>
                </w:tcPr>
                <w:p>
                  <w:pPr>
                    <w:widowControl/>
                    <w:spacing w:line="3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.5h</w:t>
                  </w:r>
                </w:p>
              </w:tc>
              <w:tc>
                <w:tcPr>
                  <w:tcW w:w="1862" w:type="dxa"/>
                </w:tcPr>
                <w:p>
                  <w:pPr>
                    <w:widowControl/>
                    <w:spacing w:line="360" w:lineRule="exact"/>
                    <w:jc w:val="left"/>
                    <w:rPr>
                      <w:rFonts w:ascii="宋体" w:hAnsi="宋体" w:cs="宋体"/>
                      <w:kern w:val="0"/>
                      <w:szCs w:val="21"/>
                    </w:rPr>
                  </w:pPr>
                </w:p>
              </w:tc>
            </w:tr>
          </w:tbl>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处理工艺流程图见下图：</w:t>
            </w: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kinsoku w:val="0"/>
              <w:overflowPunct w:val="0"/>
              <w:autoSpaceDE w:val="0"/>
              <w:autoSpaceDN w:val="0"/>
              <w:adjustRightInd w:val="0"/>
              <w:ind w:left="964"/>
              <w:jc w:val="left"/>
              <w:rPr>
                <w:color w:val="FF0000"/>
                <w:kern w:val="0"/>
                <w:position w:val="-257"/>
                <w:sz w:val="20"/>
                <w:szCs w:val="20"/>
              </w:rPr>
            </w:pPr>
            <w:r>
              <w:rPr>
                <w:kern w:val="0"/>
                <w:position w:val="-257"/>
                <w:sz w:val="20"/>
                <w:szCs w:val="20"/>
              </w:rPr>
              <mc:AlternateContent>
                <mc:Choice Requires="wpg">
                  <w:drawing>
                    <wp:anchor distT="0" distB="0" distL="114300" distR="114300" simplePos="0" relativeHeight="251669504" behindDoc="0" locked="0" layoutInCell="1" allowOverlap="1">
                      <wp:simplePos x="0" y="0"/>
                      <wp:positionH relativeFrom="column">
                        <wp:posOffset>3296285</wp:posOffset>
                      </wp:positionH>
                      <wp:positionV relativeFrom="paragraph">
                        <wp:posOffset>4487545</wp:posOffset>
                      </wp:positionV>
                      <wp:extent cx="544830" cy="245110"/>
                      <wp:effectExtent l="0" t="0" r="7620" b="21590"/>
                      <wp:wrapNone/>
                      <wp:docPr id="23" name="组合 23"/>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24" name="直接箭头连接符 24"/>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5" name="文本框 25"/>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59.55pt;margin-top:353.35pt;height:19.3pt;width:42.9pt;z-index:251669504;mso-width-relative:page;mso-height-relative:page;" coordsize="545097,245167" o:gfxdata="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Gs7&#10;QGvcAAAACwEAAA8AAAAAAAAAAQAgAAAAIgAAAGRycy9kb3ducmV2LnhtbFBLAQIUABQAAAAIAIdO&#10;4kCViVPZdQMAAK4HAAAOAAAAAAAAAAEAIAAAACsBAABkcnMvZTJvRG9jLnhtbFBLBQYAAAAABgAG&#10;AFkBAAASBwAAAAA=&#10;">
                      <o:lock v:ext="edit" aspectratio="f"/>
                      <v:shape id="_x0000_s1026" o:spid="_x0000_s1026" o:spt="32" type="#_x0000_t32" style="position:absolute;left:0;top:133350;flip:y;height:111817;width:137905;" filled="f" stroked="t" coordsize="21600,21600" o:gfxdata="UEsDBAoAAAAAAIdO4kAAAAAAAAAAAAAAAAAEAAAAZHJzL1BLAwQUAAAACACHTuJAOqpw6r0AAADb&#10;AAAADwAAAGRycy9kb3ducmV2LnhtbEWPQYvCMBSE7wv+h/AEL4umFle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nDq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bTG80LwAAADb&#10;AAAADwAAAGRycy9kb3ducmV2LnhtbEWPQWsCMRCF74L/IYzQmyYKFdkaPYiK2JNrKT0Om9nNtpvJ&#10;somr7a9vBMHj48373rzl+uYa0VMXas8aphMFgrjwpuZKw8d5N16ACBHZYOOZNPxSgPVqOFhiZvyV&#10;T9TnsRIJwiFDDTbGNpMyFJYcholviZNX+s5hTLKrpOnwmuCukTOl5tJhzanBYksbS8VPfnHpjc93&#10;5fZ/pf1yRyxDbs/9fvut9ctoqt5ARLrF5/EjfTAaZq9w35IA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xvNC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8480" behindDoc="0" locked="0" layoutInCell="1" allowOverlap="1">
                      <wp:simplePos x="0" y="0"/>
                      <wp:positionH relativeFrom="column">
                        <wp:posOffset>3037205</wp:posOffset>
                      </wp:positionH>
                      <wp:positionV relativeFrom="paragraph">
                        <wp:posOffset>2232025</wp:posOffset>
                      </wp:positionV>
                      <wp:extent cx="544830" cy="245110"/>
                      <wp:effectExtent l="0" t="0" r="7620" b="21590"/>
                      <wp:wrapNone/>
                      <wp:docPr id="19" name="组合 19"/>
                      <wp:cNvGraphicFramePr/>
                      <a:graphic xmlns:a="http://schemas.openxmlformats.org/drawingml/2006/main">
                        <a:graphicData uri="http://schemas.microsoft.com/office/word/2010/wordprocessingGroup">
                          <wpg:wgp>
                            <wpg:cNvGrpSpPr/>
                            <wpg:grpSpPr>
                              <a:xfrm>
                                <a:off x="0" y="0"/>
                                <a:ext cx="544830" cy="245110"/>
                                <a:chOff x="0" y="0"/>
                                <a:chExt cx="545097" cy="245167"/>
                              </a:xfrm>
                            </wpg:grpSpPr>
                            <wps:wsp>
                              <wps:cNvPr id="21" name="直接箭头连接符 21"/>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2" name="文本框 22"/>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39.15pt;margin-top:175.75pt;height:19.3pt;width:42.9pt;z-index:251668480;mso-width-relative:page;mso-height-relative:page;" coordsize="545097,245167" o:gfxdata="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Al&#10;p0lw2wAAAAsBAAAPAAAAAAAAAAEAIAAAACIAAABkcnMvZG93bnJldi54bWxQSwECFAAUAAAACACH&#10;TuJAa+fqg3cDAACuBwAADgAAAAAAAAABACAAAAAqAQAAZHJzL2Uyb0RvYy54bWxQSwUGAAAAAAYA&#10;BgBZAQAAEwcAAAAA&#10;">
                      <o:lock v:ext="edit" aspectratio="f"/>
                      <v:shape id="_x0000_s1026" o:spid="_x0000_s1026" o:spt="32" type="#_x0000_t32" style="position:absolute;left:0;top:133350;flip:y;height:111817;width:137905;" filled="f" stroked="t" coordsize="21600,21600" o:gfxdata="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3dN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4tgkpL0AAADb&#10;AAAADwAAAGRycy9kb3ducmV2LnhtbEWPwWrDMBBE74H+g9hCbolkH0Jxo+RQWlOSU50SelysteXE&#10;WhlLcZJ+fVUo9DjMzpud9fbmejHRGDrPGrKlAkFce9Nxq+Hz8LZ4AhEissHeM2m4U4Dt5mG2xsL4&#10;K3/QVMVWJAiHAjXYGIdCylBbchiWfiBOXuNHhzHJsZVmxGuCu17mSq2kw45Tg8WBXizV5+ri0hvH&#10;vXLld2O/3A6bUNnDVL6etJ4/ZuoZRKRb/D/+S78bDXkOv1sSA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2CSk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6432" behindDoc="0" locked="0" layoutInCell="1" allowOverlap="1">
                      <wp:simplePos x="0" y="0"/>
                      <wp:positionH relativeFrom="column">
                        <wp:posOffset>3522980</wp:posOffset>
                      </wp:positionH>
                      <wp:positionV relativeFrom="paragraph">
                        <wp:posOffset>2877820</wp:posOffset>
                      </wp:positionV>
                      <wp:extent cx="544830" cy="245110"/>
                      <wp:effectExtent l="0" t="0" r="7620" b="21590"/>
                      <wp:wrapNone/>
                      <wp:docPr id="9" name="组合 9"/>
                      <wp:cNvGraphicFramePr/>
                      <a:graphic xmlns:a="http://schemas.openxmlformats.org/drawingml/2006/main">
                        <a:graphicData uri="http://schemas.microsoft.com/office/word/2010/wordprocessingGroup">
                          <wpg:wgp>
                            <wpg:cNvGrpSpPr/>
                            <wpg:grpSpPr>
                              <a:xfrm>
                                <a:off x="0" y="0"/>
                                <a:ext cx="544830" cy="245110"/>
                                <a:chOff x="0" y="0"/>
                                <a:chExt cx="545097" cy="245167"/>
                              </a:xfrm>
                            </wpg:grpSpPr>
                            <wps:wsp>
                              <wps:cNvPr id="10" name="直接箭头连接符 10"/>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11" name="文本框 11"/>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77.4pt;margin-top:226.6pt;height:19.3pt;width:42.9pt;z-index:251666432;mso-width-relative:page;mso-height-relative:page;" coordsize="545097,245167" o:gfxdata="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acAlJ9wAAAALAQAADwAAAAAAAAABACAAAAAiAAAAZHJzL2Rvd25yZXYueG1sUEsBAhQAFAAAAAgA&#10;h07iQLmxhPV3AwAArAcAAA4AAAAAAAAAAQAgAAAAKwEAAGRycy9lMm9Eb2MueG1sUEsFBgAAAAAG&#10;AAYAWQEAABQHAAAAAA==&#10;">
                      <o:lock v:ext="edit" aspectratio="f"/>
                      <v:shape id="_x0000_s1026" o:spid="_x0000_s1026" o:spt="32" type="#_x0000_t32" style="position:absolute;left:0;top:133350;flip:y;height:111817;width:137905;" filled="f" stroked="t" coordsize="21600,21600" o:gfxdata="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8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3GZwbrwAAADb&#10;AAAADwAAAGRycy9kb3ducmV2LnhtbEWPQW/CMAyF75P4D5GRdhtJOUxTR+AwAULsREGIo9W4TbfG&#10;qZpQGL9+QULiZuu97/l5tri6VgzUh8azhmyiQBCX3jRcazjsV28fIEJENth6Jg1/FGAxH73MMDf+&#10;wjsailiLFMIhRw02xi6XMpSWHIaJ74iTVvneYUxrX0vT4yWFu1ZOlXqXDhtOFyx29GWp/C3OLtU4&#10;fiu3vlX25LZYhcLuh/XyR+vXcaY+QUS6xqf5QW9M4jK4/5IG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mcG6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7456" behindDoc="0" locked="0" layoutInCell="1" allowOverlap="1">
                      <wp:simplePos x="0" y="0"/>
                      <wp:positionH relativeFrom="column">
                        <wp:posOffset>3122930</wp:posOffset>
                      </wp:positionH>
                      <wp:positionV relativeFrom="paragraph">
                        <wp:posOffset>1515745</wp:posOffset>
                      </wp:positionV>
                      <wp:extent cx="544830" cy="245110"/>
                      <wp:effectExtent l="0" t="0" r="7620" b="21590"/>
                      <wp:wrapNone/>
                      <wp:docPr id="14" name="组合 14"/>
                      <wp:cNvGraphicFramePr/>
                      <a:graphic xmlns:a="http://schemas.openxmlformats.org/drawingml/2006/main">
                        <a:graphicData uri="http://schemas.microsoft.com/office/word/2010/wordprocessingGroup">
                          <wpg:wgp>
                            <wpg:cNvGrpSpPr/>
                            <wpg:grpSpPr>
                              <a:xfrm>
                                <a:off x="0" y="0"/>
                                <a:ext cx="544830" cy="245110"/>
                                <a:chOff x="0" y="0"/>
                                <a:chExt cx="545097" cy="245167"/>
                              </a:xfrm>
                            </wpg:grpSpPr>
                            <wps:wsp>
                              <wps:cNvPr id="15" name="直接箭头连接符 15"/>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16" name="文本框 16"/>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45.9pt;margin-top:119.35pt;height:19.3pt;width:42.9pt;z-index:251667456;mso-width-relative:page;mso-height-relative:page;" coordsize="545097,245167" o:gfxdata="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DyvLlo3AAAAAsBAAAPAAAAAAAAAAEAIAAAACIAAABkcnMvZG93bnJldi54bWxQSwECFAAUAAAA&#10;CACHTuJA7wMsSnkDAACuBwAADgAAAAAAAAABACAAAAArAQAAZHJzL2Uyb0RvYy54bWxQSwUGAAAA&#10;AAYABgBZAQAAFgcAAAAA&#10;">
                      <o:lock v:ext="edit" aspectratio="f"/>
                      <v:shape id="_x0000_s1026" o:spid="_x0000_s1026" o:spt="32" type="#_x0000_t32" style="position:absolute;left:0;top:133350;flip:y;height:111817;width:137905;" filled="f" stroked="t" coordsize="21600,21600" o:gfxdata="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U4/oGr0AAADb&#10;AAAADwAAAGRycy9kb3ducmV2LnhtbEWPQW/CMAyF70j8h8iTuEHSHRAqhB4QQ2g7rUyIo9W4TbfG&#10;qZqswH49mTRpN1vvfc/Pm+LmOjHSEFrPGrKFAkFcedNyo+Hj9DJfgQgR2WDnmTTcKUCxnU42mBt/&#10;5Xcay9iIFMIhRw02xj6XMlSWHIaF74mTVvvBYUzr0Egz4DWFu04+K7WUDltOFyz2tLNUfZXfLtU4&#10;vyl3+Kntxb1iHUp7Gg/7T61nT5lag4h0i//mP/poEreE31/SAH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j+ga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5408" behindDoc="0" locked="0" layoutInCell="1" allowOverlap="1">
                      <wp:simplePos x="0" y="0"/>
                      <wp:positionH relativeFrom="column">
                        <wp:posOffset>4048760</wp:posOffset>
                      </wp:positionH>
                      <wp:positionV relativeFrom="paragraph">
                        <wp:posOffset>4487545</wp:posOffset>
                      </wp:positionV>
                      <wp:extent cx="544830" cy="245110"/>
                      <wp:effectExtent l="0" t="0" r="7620" b="21590"/>
                      <wp:wrapNone/>
                      <wp:docPr id="6" name="组合 6"/>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7" name="直接箭头连接符 7"/>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8" name="文本框 8"/>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318.8pt;margin-top:353.35pt;height:19.3pt;width:42.9pt;z-index:251665408;mso-width-relative:page;mso-height-relative:page;" coordsize="545097,245167" o:gfxdata="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Ff9&#10;dyHcAAAACwEAAA8AAAAAAAAAAQAgAAAAIgAAAGRycy9kb3ducmV2LnhtbFBLAQIUABQAAAAIAIdO&#10;4kDHhH/8dQMAAKgHAAAOAAAAAAAAAAEAIAAAACsBAABkcnMvZTJvRG9jLnhtbFBLBQYAAAAABgAG&#10;AFkBAAASBwAAAAA=&#10;">
                      <o:lock v:ext="edit" aspectratio="f"/>
                      <v:shape id="_x0000_s1026" o:spid="_x0000_s1026" o:spt="32" type="#_x0000_t32" style="position:absolute;left:0;top:133350;flip:y;height:111817;width:137905;" filled="f" stroked="t" coordsize="21600,21600" o:gfxdata="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X7v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kKwrdLgAAADa&#10;AAAADwAAAGRycy9kb3ducmV2LnhtbEVPPW/CMBDdkfofrEPqBjYdKhQwDFVBVTs1VIjxFF/iQHyO&#10;YjfQ/vregNTx6X2vt7fQqZGG1Ea2sJgbUMRVdC03Fr4Ou9kSVMrIDrvIZOGHEmw3D5M1Fi5e+ZPG&#10;MjdKQjgVaMHn3Bdap8pTwDSPPbFwdRwCZoFDo92AVwkPnX4y5lkHbFkaPPb04qm6lN9BZhw/TNj/&#10;1v4U3rFOpT+M+9eztY/ThVmBynTL/+K7+81ZkK1yRfygN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KwrdLgAAADaAAAA&#10;DwAAAAAAAAABACAAAAAiAAAAZHJzL2Rvd25yZXYueG1sUEsBAhQAFAAAAAgAh07iQDMvBZ47AAAA&#10;OQAAABAAAAAAAAAAAQAgAAAABwEAAGRycy9zaGFwZXhtbC54bWxQSwUGAAAAAAYABgBbAQAAsQMA&#10;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4384" behindDoc="0" locked="0" layoutInCell="1" allowOverlap="1">
                      <wp:simplePos x="0" y="0"/>
                      <wp:positionH relativeFrom="column">
                        <wp:posOffset>3067685</wp:posOffset>
                      </wp:positionH>
                      <wp:positionV relativeFrom="paragraph">
                        <wp:posOffset>6954520</wp:posOffset>
                      </wp:positionV>
                      <wp:extent cx="544830" cy="245110"/>
                      <wp:effectExtent l="0" t="0" r="7620" b="21590"/>
                      <wp:wrapNone/>
                      <wp:docPr id="17" name="组合 17"/>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18" name="直接箭头连接符 18"/>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0" name="文本框 20"/>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41.55pt;margin-top:547.6pt;height:19.3pt;width:42.9pt;z-index:251664384;mso-width-relative:page;mso-height-relative:page;" coordsize="545097,245167" o:gfxdata="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ZmdWKNwAAAANAQAADwAAAAAAAAABACAAAAAiAAAAZHJzL2Rvd25yZXYueG1sUEsBAhQAFAAA&#10;AAgAh07iQKdUUY56AwAArgcAAA4AAAAAAAAAAQAgAAAAKwEAAGRycy9lMm9Eb2MueG1sUEsFBgAA&#10;AAAGAAYAWQEAABcHAAAAAA==&#10;">
                      <o:lock v:ext="edit" aspectratio="f"/>
                      <v:shape id="_x0000_s1026" o:spid="_x0000_s1026" o:spt="32" type="#_x0000_t32" style="position:absolute;left:0;top:133350;flip:y;height:111817;width:137905;"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fUYfSLwAAADb&#10;AAAADwAAAGRycy9kb3ducmV2LnhtbEWPwW7CMAyG75P2DpEn7TYSOExTIXBAgKbttIIQR6txm0Lj&#10;VE1W2J5+PkziaP3+P39erG6hUyMNqY1sYToxoIir6FpuLBz225c3UCkjO+wik4UfSrBaPj4ssHDx&#10;yl80lrlRAuFUoAWfc19onSpPAdMk9sSS1XEImGUcGu0GvAo8dHpmzKsO2LJc8NjT2lN1Kb+DaBw/&#10;Tdj91v4UPrBOpd+Pu83Z2uenqZmDynTL9+X/9ruzMBN7+UUA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GH0i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color w:val="FF0000"/>
                <w:kern w:val="0"/>
                <w:position w:val="-257"/>
                <w:sz w:val="20"/>
                <w:szCs w:val="20"/>
              </w:rPr>
              <w:drawing>
                <wp:inline distT="0" distB="0" distL="0" distR="0">
                  <wp:extent cx="4267835" cy="84486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273090" cy="8458047"/>
                          </a:xfrm>
                          <a:prstGeom prst="rect">
                            <a:avLst/>
                          </a:prstGeom>
                          <a:noFill/>
                          <a:ln>
                            <a:noFill/>
                          </a:ln>
                        </pic:spPr>
                      </pic:pic>
                    </a:graphicData>
                  </a:graphic>
                </wp:inline>
              </w:drawing>
            </w:r>
          </w:p>
          <w:p>
            <w:pPr>
              <w:widowControl/>
              <w:spacing w:line="500" w:lineRule="exact"/>
              <w:ind w:firstLine="480" w:firstLineChars="200"/>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图2</w:t>
            </w:r>
            <w:r>
              <w:rPr>
                <w:rFonts w:cs="宋体" w:asciiTheme="minorEastAsia" w:hAnsiTheme="minorEastAsia" w:eastAsiaTheme="minorEastAsia"/>
                <w:kern w:val="0"/>
                <w:sz w:val="24"/>
              </w:rPr>
              <w:t xml:space="preserve">-7    </w:t>
            </w:r>
            <w:r>
              <w:rPr>
                <w:rFonts w:hint="eastAsia" w:cs="宋体" w:asciiTheme="minorEastAsia" w:hAnsiTheme="minorEastAsia" w:eastAsiaTheme="minorEastAsia"/>
                <w:kern w:val="0"/>
                <w:sz w:val="24"/>
              </w:rPr>
              <w:t>污水处理站处理工艺流程及产排污示意图</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三、主要污染因素</w:t>
            </w:r>
          </w:p>
          <w:p>
            <w:pPr>
              <w:spacing w:line="500" w:lineRule="exact"/>
              <w:ind w:firstLine="480" w:firstLineChars="200"/>
              <w:rPr>
                <w:rFonts w:cs="Courier New" w:asciiTheme="minorEastAsia" w:hAnsiTheme="minorEastAsia" w:eastAsiaTheme="minorEastAsia"/>
                <w:sz w:val="24"/>
                <w:szCs w:val="21"/>
              </w:rPr>
            </w:pPr>
            <w:r>
              <w:rPr>
                <w:rFonts w:hint="eastAsia" w:cs="Courier New" w:asciiTheme="minorEastAsia" w:hAnsiTheme="minorEastAsia" w:eastAsiaTheme="minorEastAsia"/>
                <w:sz w:val="24"/>
                <w:szCs w:val="21"/>
              </w:rPr>
              <w:t>(一</w:t>
            </w:r>
            <w:r>
              <w:rPr>
                <w:rFonts w:cs="Courier New" w:asciiTheme="minorEastAsia" w:hAnsiTheme="minorEastAsia" w:eastAsiaTheme="minorEastAsia"/>
                <w:sz w:val="24"/>
                <w:szCs w:val="21"/>
              </w:rPr>
              <w:t>)</w:t>
            </w:r>
            <w:r>
              <w:rPr>
                <w:rFonts w:hint="eastAsia" w:cs="Courier New" w:asciiTheme="minorEastAsia" w:hAnsiTheme="minorEastAsia" w:eastAsiaTheme="minorEastAsia"/>
                <w:sz w:val="24"/>
                <w:szCs w:val="21"/>
              </w:rPr>
              <w:t>施工期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本项目施工人员主要为附近村民，施工期不设施工营地，施工期环境影响主要来自施工工地。</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1、环境空气</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(1)施工扬尘：</w:t>
            </w:r>
            <w:r>
              <w:rPr>
                <w:rFonts w:hint="eastAsia" w:asciiTheme="minorEastAsia" w:hAnsiTheme="minorEastAsia" w:eastAsiaTheme="minorEastAsia"/>
                <w:sz w:val="24"/>
              </w:rPr>
              <w:t>管道开挖、污水处理厂建设过程中的土方工程以及</w:t>
            </w:r>
            <w:r>
              <w:rPr>
                <w:rFonts w:asciiTheme="minorEastAsia" w:hAnsiTheme="minorEastAsia" w:eastAsiaTheme="minorEastAsia"/>
                <w:sz w:val="24"/>
              </w:rPr>
              <w:t>材料堆放、运输车辆产生的扬尘；</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)施工机械尾气、运输车辆尾气</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2、水环境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施工机械、材料冲洗废水</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(2)试压废水。</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3、声环境</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主要为施工机械噪声和运输车辆噪声</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4、固体废物</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主要为</w:t>
            </w:r>
            <w:r>
              <w:rPr>
                <w:rFonts w:hint="eastAsia" w:asciiTheme="minorEastAsia" w:hAnsiTheme="minorEastAsia" w:eastAsiaTheme="minorEastAsia"/>
                <w:sz w:val="24"/>
              </w:rPr>
              <w:t>管沟开挖及污水处理厂厂区工程弃土、</w:t>
            </w:r>
            <w:r>
              <w:rPr>
                <w:rFonts w:asciiTheme="minorEastAsia" w:hAnsiTheme="minorEastAsia" w:eastAsiaTheme="minorEastAsia"/>
                <w:sz w:val="24"/>
              </w:rPr>
              <w:t>建筑施工产生的建筑垃圾</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5、生态环境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在工程施工过程中，对原有地形地貌产生一定扰动，增加土地的裸露面积，施工土方、建筑材料等的任意堆放易被雨水冲刷产生水土流失现象。</w:t>
            </w:r>
          </w:p>
          <w:p>
            <w:pPr>
              <w:spacing w:line="500" w:lineRule="exact"/>
              <w:ind w:firstLine="480" w:firstLineChars="200"/>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(二</w:t>
            </w:r>
            <w:r>
              <w:rPr>
                <w:rFonts w:cs="宋体" w:asciiTheme="minorEastAsia" w:hAnsiTheme="minorEastAsia" w:eastAsiaTheme="minorEastAsia"/>
                <w:sz w:val="24"/>
                <w:szCs w:val="21"/>
              </w:rPr>
              <w:t>)</w:t>
            </w:r>
            <w:r>
              <w:rPr>
                <w:rFonts w:hint="eastAsia" w:cs="宋体" w:asciiTheme="minorEastAsia" w:hAnsiTheme="minorEastAsia" w:eastAsiaTheme="minorEastAsia"/>
                <w:sz w:val="24"/>
                <w:szCs w:val="21"/>
              </w:rPr>
              <w:t>运营期</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1、环境空气</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污水处理各工艺单元</w:t>
            </w:r>
            <w:r>
              <w:rPr>
                <w:rFonts w:hint="eastAsia" w:asciiTheme="minorEastAsia" w:hAnsiTheme="minorEastAsia" w:eastAsiaTheme="minorEastAsia"/>
                <w:sz w:val="24"/>
              </w:rPr>
              <w:t>产生的臭气，</w:t>
            </w:r>
            <w:r>
              <w:rPr>
                <w:rFonts w:asciiTheme="minorEastAsia" w:hAnsiTheme="minorEastAsia" w:eastAsiaTheme="minorEastAsia"/>
                <w:sz w:val="24"/>
              </w:rPr>
              <w:t>一般以H</w:t>
            </w:r>
            <w:r>
              <w:rPr>
                <w:rFonts w:asciiTheme="minorEastAsia" w:hAnsiTheme="minorEastAsia" w:eastAsiaTheme="minorEastAsia"/>
                <w:sz w:val="24"/>
                <w:vertAlign w:val="subscript"/>
              </w:rPr>
              <w:t>2</w:t>
            </w:r>
            <w:r>
              <w:rPr>
                <w:rFonts w:asciiTheme="minorEastAsia" w:hAnsiTheme="minorEastAsia" w:eastAsiaTheme="minorEastAsia"/>
                <w:sz w:val="24"/>
              </w:rPr>
              <w:t>S和NH</w:t>
            </w:r>
            <w:r>
              <w:rPr>
                <w:rFonts w:asciiTheme="minorEastAsia" w:hAnsiTheme="minorEastAsia" w:eastAsiaTheme="minorEastAsia"/>
                <w:sz w:val="24"/>
                <w:vertAlign w:val="subscript"/>
              </w:rPr>
              <w:t>3</w:t>
            </w:r>
            <w:r>
              <w:rPr>
                <w:rFonts w:asciiTheme="minorEastAsia" w:hAnsiTheme="minorEastAsia" w:eastAsiaTheme="minorEastAsia"/>
                <w:sz w:val="24"/>
              </w:rPr>
              <w:t>为主</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污泥处理单元</w:t>
            </w:r>
            <w:r>
              <w:rPr>
                <w:rFonts w:hint="eastAsia" w:asciiTheme="minorEastAsia" w:hAnsiTheme="minorEastAsia" w:eastAsiaTheme="minorEastAsia"/>
                <w:sz w:val="24"/>
              </w:rPr>
              <w:t>产生的臭气，</w:t>
            </w:r>
            <w:r>
              <w:rPr>
                <w:rFonts w:asciiTheme="minorEastAsia" w:hAnsiTheme="minorEastAsia" w:eastAsiaTheme="minorEastAsia"/>
                <w:sz w:val="24"/>
              </w:rPr>
              <w:t>一般以H</w:t>
            </w:r>
            <w:r>
              <w:rPr>
                <w:rFonts w:asciiTheme="minorEastAsia" w:hAnsiTheme="minorEastAsia" w:eastAsiaTheme="minorEastAsia"/>
                <w:sz w:val="24"/>
                <w:vertAlign w:val="subscript"/>
              </w:rPr>
              <w:t>2</w:t>
            </w:r>
            <w:r>
              <w:rPr>
                <w:rFonts w:asciiTheme="minorEastAsia" w:hAnsiTheme="minorEastAsia" w:eastAsiaTheme="minorEastAsia"/>
                <w:sz w:val="24"/>
              </w:rPr>
              <w:t>S和NH</w:t>
            </w:r>
            <w:r>
              <w:rPr>
                <w:rFonts w:asciiTheme="minorEastAsia" w:hAnsiTheme="minorEastAsia" w:eastAsiaTheme="minorEastAsia"/>
                <w:sz w:val="24"/>
                <w:vertAlign w:val="subscript"/>
              </w:rPr>
              <w:t>3</w:t>
            </w:r>
            <w:r>
              <w:rPr>
                <w:rFonts w:asciiTheme="minorEastAsia" w:hAnsiTheme="minorEastAsia" w:eastAsiaTheme="minorEastAsia"/>
                <w:sz w:val="24"/>
              </w:rPr>
              <w:t>为主</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2、水环境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(1)职工生活污水；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污水处理站排放废水</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3、固体废物</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格栅间产生的栅渣</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(2)沉砂池清理的沉砂；</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污泥浓缩间产生的污泥；</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实验室检验产生的废液；</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5) </w:t>
            </w:r>
            <w:r>
              <w:rPr>
                <w:rFonts w:hint="eastAsia" w:asciiTheme="minorEastAsia" w:hAnsiTheme="minorEastAsia" w:eastAsiaTheme="minorEastAsia"/>
                <w:color w:val="000000" w:themeColor="text1"/>
                <w:sz w:val="24"/>
                <w14:textFill>
                  <w14:solidFill>
                    <w14:schemeClr w14:val="tx1"/>
                  </w14:solidFill>
                </w14:textFill>
              </w:rPr>
              <w:t>设备养护产生的废机油及废油桶。</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6) </w:t>
            </w:r>
            <w:r>
              <w:rPr>
                <w:rFonts w:hint="eastAsia" w:asciiTheme="minorEastAsia" w:hAnsiTheme="minorEastAsia" w:eastAsiaTheme="minorEastAsia"/>
                <w:color w:val="000000" w:themeColor="text1"/>
                <w:sz w:val="24"/>
                <w14:textFill>
                  <w14:solidFill>
                    <w14:schemeClr w14:val="tx1"/>
                  </w14:solidFill>
                </w14:textFill>
              </w:rPr>
              <w:t>职工生活垃圾。</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4、声环境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主要为运转设备的噪声，噪声源有</w:t>
            </w:r>
            <w:r>
              <w:rPr>
                <w:rFonts w:hint="eastAsia" w:asciiTheme="minorEastAsia" w:hAnsiTheme="minorEastAsia" w:eastAsiaTheme="minorEastAsia"/>
                <w:sz w:val="24"/>
              </w:rPr>
              <w:t>压滤</w:t>
            </w:r>
            <w:r>
              <w:rPr>
                <w:rFonts w:asciiTheme="minorEastAsia" w:hAnsiTheme="minorEastAsia" w:eastAsiaTheme="minorEastAsia"/>
                <w:sz w:val="24"/>
              </w:rPr>
              <w:t>机、各类泵、鼓风机等</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p>
          <w:p>
            <w:pPr>
              <w:spacing w:line="500" w:lineRule="exact"/>
              <w:ind w:firstLine="420" w:firstLineChars="200"/>
              <w:rPr>
                <w:rFonts w:asciiTheme="minorEastAsia" w:hAnsiTheme="minorEastAsia" w:eastAsiaTheme="minorEastAsia"/>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b/>
                <w:color w:val="FF0000"/>
                <w:sz w:val="21"/>
                <w:szCs w:val="21"/>
              </w:rPr>
            </w:pPr>
            <w:r>
              <w:rPr>
                <w:rFonts w:hint="eastAsia" w:cs="宋体" w:asciiTheme="minorEastAsia" w:hAnsiTheme="minorEastAsia" w:eastAsiaTheme="minorEastAsia"/>
                <w:b/>
                <w:bCs/>
                <w:kern w:val="2"/>
                <w:sz w:val="21"/>
                <w:szCs w:val="21"/>
              </w:rPr>
              <w:t>与项目有关的原有环境污染问题</w:t>
            </w:r>
          </w:p>
        </w:tc>
        <w:tc>
          <w:tcPr>
            <w:tcW w:w="8287" w:type="dxa"/>
          </w:tcPr>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一、项目区域排水现状</w:t>
            </w:r>
          </w:p>
          <w:p>
            <w:pPr>
              <w:spacing w:line="520" w:lineRule="exact"/>
              <w:ind w:firstLine="480" w:firstLineChars="200"/>
              <w:rPr>
                <w:rFonts w:asciiTheme="minorEastAsia" w:hAnsiTheme="minorEastAsia" w:eastAsiaTheme="minorEastAsia"/>
                <w:sz w:val="24"/>
              </w:rPr>
            </w:pPr>
            <w:r>
              <w:rPr>
                <w:rFonts w:hint="eastAsia" w:ascii="宋体" w:hAnsi="宋体" w:cs="宋体"/>
                <w:kern w:val="0"/>
                <w:sz w:val="24"/>
                <w:szCs w:val="28"/>
              </w:rPr>
              <w:t>根据实地勘察及甲方提供资料了解，该地区村民人口规模、生活水平、用水习惯和经济条件</w:t>
            </w:r>
            <w:r>
              <w:rPr>
                <w:rFonts w:hint="eastAsia" w:asciiTheme="minorEastAsia" w:hAnsiTheme="minorEastAsia" w:eastAsiaTheme="minorEastAsia"/>
                <w:sz w:val="24"/>
              </w:rPr>
              <w:t>，农村生活污水主要来源为厨房用水、洗衣和洗浴用水等。</w:t>
            </w:r>
          </w:p>
          <w:p>
            <w:pPr>
              <w:spacing w:line="520" w:lineRule="exact"/>
              <w:ind w:firstLine="480" w:firstLineChars="200"/>
              <w:rPr>
                <w:rFonts w:ascii="宋体" w:hAnsi="宋体" w:cs="宋体"/>
                <w:kern w:val="0"/>
                <w:sz w:val="24"/>
                <w:szCs w:val="28"/>
              </w:rPr>
            </w:pPr>
            <w:r>
              <w:rPr>
                <w:rFonts w:hint="eastAsia" w:ascii="宋体" w:hAnsi="宋体" w:cs="宋体"/>
                <w:kern w:val="0"/>
                <w:sz w:val="24"/>
                <w:szCs w:val="28"/>
              </w:rPr>
              <w:t>大禹乡大峪沟村位于大峪沟沿岸，小区（生活污水进入化粪池）以及沿岸住户的生活污水直排大峪沟，最终汇入湫水河。</w:t>
            </w:r>
          </w:p>
          <w:p>
            <w:pPr>
              <w:spacing w:line="520" w:lineRule="exact"/>
              <w:ind w:firstLine="480" w:firstLineChars="200"/>
              <w:rPr>
                <w:rFonts w:ascii="宋体" w:hAnsi="宋体" w:cs="宋体"/>
                <w:kern w:val="0"/>
                <w:sz w:val="24"/>
                <w:szCs w:val="28"/>
              </w:rPr>
            </w:pPr>
            <w:r>
              <w:rPr>
                <w:rFonts w:hint="eastAsia" w:ascii="宋体" w:hAnsi="宋体" w:cs="宋体"/>
                <w:kern w:val="0"/>
                <w:sz w:val="24"/>
                <w:szCs w:val="28"/>
              </w:rPr>
              <w:t>歧道村部分街道现有宽</w:t>
            </w:r>
            <w:r>
              <w:rPr>
                <w:rFonts w:ascii="宋体" w:hAnsi="宋体" w:cs="TimesNewRomanPSMT"/>
                <w:kern w:val="0"/>
                <w:sz w:val="24"/>
                <w:szCs w:val="28"/>
              </w:rPr>
              <w:t>1.2m</w:t>
            </w:r>
            <w:r>
              <w:rPr>
                <w:rFonts w:hint="eastAsia" w:ascii="宋体" w:hAnsi="宋体" w:cs="宋体"/>
                <w:kern w:val="0"/>
                <w:sz w:val="24"/>
                <w:szCs w:val="28"/>
              </w:rPr>
              <w:t>，深</w:t>
            </w:r>
            <w:r>
              <w:rPr>
                <w:rFonts w:ascii="宋体" w:hAnsi="宋体" w:cs="TimesNewRomanPSMT"/>
                <w:kern w:val="0"/>
                <w:sz w:val="24"/>
                <w:szCs w:val="28"/>
              </w:rPr>
              <w:t>1.5m</w:t>
            </w:r>
            <w:r>
              <w:rPr>
                <w:rFonts w:hint="eastAsia" w:ascii="宋体" w:hAnsi="宋体" w:cs="宋体"/>
                <w:kern w:val="0"/>
                <w:sz w:val="24"/>
                <w:szCs w:val="28"/>
              </w:rPr>
              <w:t>暗渠，排污口位于省道西侧农田内。华神精神病医院生活污水外排，穿过省道暗涵进入省道西侧农田旁明渠。</w:t>
            </w:r>
          </w:p>
          <w:p>
            <w:pPr>
              <w:spacing w:line="520" w:lineRule="exact"/>
              <w:ind w:firstLine="480" w:firstLineChars="200"/>
              <w:rPr>
                <w:rFonts w:ascii="宋体" w:hAnsi="宋体"/>
                <w:color w:val="FF0000"/>
                <w:sz w:val="22"/>
              </w:rPr>
            </w:pPr>
            <w:r>
              <w:rPr>
                <w:rFonts w:hint="eastAsia" w:ascii="宋体" w:hAnsi="宋体" w:cs="宋体"/>
                <w:kern w:val="0"/>
                <w:sz w:val="24"/>
                <w:szCs w:val="28"/>
              </w:rPr>
              <w:t>府底村为临县住建局</w:t>
            </w:r>
            <w:r>
              <w:rPr>
                <w:rFonts w:ascii="宋体" w:hAnsi="宋体" w:cs="TimesNewRomanPSMT"/>
                <w:kern w:val="0"/>
                <w:sz w:val="24"/>
                <w:szCs w:val="28"/>
              </w:rPr>
              <w:t>2018</w:t>
            </w:r>
            <w:r>
              <w:rPr>
                <w:rFonts w:hint="eastAsia" w:ascii="宋体" w:hAnsi="宋体" w:cs="宋体"/>
                <w:kern w:val="0"/>
                <w:sz w:val="24"/>
                <w:szCs w:val="28"/>
              </w:rPr>
              <w:t>年美丽宜居示范村，主要建设内容包括：房顶美化、道路硬化、道路亮化、污水净化等工程。村内现有污水收集系统以及污水处理站，现已基本建成，但尚未投入运行。</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但湫水河两岸的生活污水排污口较多，虽建设有污水储罐，但污水管网敷设量少，故有相当一部分污水未收集至污水储罐，直排入湫水河，对湫水河地表水体造成很大程度的污染。</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二、存在的环境问题</w:t>
            </w:r>
          </w:p>
          <w:p>
            <w:pPr>
              <w:spacing w:line="520" w:lineRule="exact"/>
              <w:ind w:firstLine="480" w:firstLineChars="200"/>
              <w:rPr>
                <w:rFonts w:asciiTheme="minorEastAsia" w:hAnsiTheme="minorEastAsia" w:eastAsiaTheme="minorEastAsia"/>
                <w:bCs/>
                <w:color w:val="FF0000"/>
                <w:szCs w:val="21"/>
              </w:rPr>
            </w:pPr>
            <w:r>
              <w:rPr>
                <w:rFonts w:hint="eastAsia" w:asciiTheme="minorEastAsia" w:hAnsiTheme="minorEastAsia" w:eastAsiaTheme="minorEastAsia"/>
                <w:sz w:val="24"/>
              </w:rPr>
              <w:t>大禹乡沿湫水河两岸的生活污水排污口较多，建设地沿岸村庄大部分已建成生活污水管网，排污口设在湫水河沿岸，生活污水未经处理直接排入湫水河，对湫水河地表水体造成很大程度的污染。</w:t>
            </w: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tc>
      </w:tr>
    </w:tbl>
    <w:p>
      <w:pPr>
        <w:pStyle w:val="24"/>
        <w:spacing w:before="0" w:beforeAutospacing="0" w:after="0" w:afterAutospacing="0"/>
        <w:jc w:val="center"/>
        <w:rPr>
          <w:rFonts w:asciiTheme="minorEastAsia" w:hAnsiTheme="minorEastAsia" w:eastAsiaTheme="minorEastAsia"/>
          <w:snapToGrid w:val="0"/>
          <w:color w:val="FF0000"/>
          <w:sz w:val="36"/>
          <w:szCs w:val="36"/>
        </w:rPr>
        <w:sectPr>
          <w:pgSz w:w="11906" w:h="16838"/>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三、区域环境质量现状、环境保护目标及评价标准</w:t>
      </w:r>
    </w:p>
    <w:tbl>
      <w:tblPr>
        <w:tblStyle w:val="29"/>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区域</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环境</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质量</w:t>
            </w:r>
          </w:p>
          <w:p>
            <w:pPr>
              <w:pStyle w:val="24"/>
              <w:spacing w:before="0" w:beforeAutospacing="0" w:after="0" w:afterAutospacing="0" w:line="500" w:lineRule="exact"/>
              <w:jc w:val="center"/>
              <w:rPr>
                <w:rFonts w:asciiTheme="minorEastAsia" w:hAnsiTheme="minorEastAsia" w:eastAsiaTheme="minorEastAsia"/>
                <w:b/>
                <w:snapToGrid w:val="0"/>
                <w:color w:val="FF0000"/>
                <w:sz w:val="30"/>
                <w:szCs w:val="30"/>
              </w:rPr>
            </w:pPr>
            <w:r>
              <w:rPr>
                <w:rFonts w:hint="eastAsia" w:cs="宋体" w:asciiTheme="minorEastAsia" w:hAnsiTheme="minorEastAsia" w:eastAsiaTheme="minorEastAsia"/>
                <w:b/>
                <w:szCs w:val="21"/>
              </w:rPr>
              <w:t>现状</w:t>
            </w:r>
          </w:p>
        </w:tc>
        <w:tc>
          <w:tcPr>
            <w:tcW w:w="8794" w:type="dxa"/>
          </w:tcPr>
          <w:p>
            <w:pPr>
              <w:spacing w:line="500" w:lineRule="exact"/>
              <w:ind w:firstLine="470" w:firstLineChars="196"/>
              <w:jc w:val="left"/>
              <w:rPr>
                <w:rFonts w:asciiTheme="minorEastAsia" w:hAnsiTheme="minorEastAsia" w:eastAsiaTheme="minorEastAsia"/>
                <w:kern w:val="10"/>
                <w:sz w:val="24"/>
              </w:rPr>
            </w:pPr>
            <w:r>
              <w:rPr>
                <w:rFonts w:asciiTheme="minorEastAsia" w:hAnsiTheme="minorEastAsia" w:eastAsiaTheme="minorEastAsia"/>
                <w:kern w:val="10"/>
                <w:sz w:val="24"/>
              </w:rPr>
              <w:t>一、大气环境质量现状</w:t>
            </w:r>
          </w:p>
          <w:p>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1、例行监测</w:t>
            </w:r>
          </w:p>
          <w:p>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本次环境影响评价收集临县</w:t>
            </w:r>
            <w:r>
              <w:rPr>
                <w:rFonts w:asciiTheme="minorEastAsia" w:hAnsiTheme="minorEastAsia" w:eastAsiaTheme="minorEastAsia"/>
                <w:kern w:val="10"/>
                <w:sz w:val="24"/>
              </w:rPr>
              <w:t>2021年</w:t>
            </w:r>
            <w:r>
              <w:rPr>
                <w:rFonts w:hint="eastAsia" w:asciiTheme="minorEastAsia" w:hAnsiTheme="minorEastAsia" w:eastAsiaTheme="minorEastAsia"/>
                <w:kern w:val="10"/>
                <w:sz w:val="24"/>
              </w:rPr>
              <w:t>临县</w:t>
            </w:r>
            <w:r>
              <w:rPr>
                <w:rFonts w:asciiTheme="minorEastAsia" w:hAnsiTheme="minorEastAsia" w:eastAsiaTheme="minorEastAsia"/>
                <w:kern w:val="10"/>
                <w:sz w:val="24"/>
              </w:rPr>
              <w:t>环境空气质量例行监测年均值数据进行</w:t>
            </w:r>
            <w:r>
              <w:rPr>
                <w:rFonts w:asciiTheme="minorEastAsia" w:hAnsiTheme="minorEastAsia" w:eastAsiaTheme="minorEastAsia"/>
                <w:bCs/>
                <w:kern w:val="10"/>
                <w:sz w:val="24"/>
              </w:rPr>
              <w:t>分析。</w:t>
            </w:r>
          </w:p>
          <w:p>
            <w:pPr>
              <w:spacing w:line="500" w:lineRule="exact"/>
              <w:ind w:firstLine="470" w:firstLineChars="196"/>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表3-1</w:t>
            </w:r>
            <w:r>
              <w:rPr>
                <w:rFonts w:asciiTheme="minorEastAsia" w:hAnsiTheme="minorEastAsia" w:eastAsiaTheme="minorEastAsia"/>
                <w:kern w:val="10"/>
                <w:sz w:val="24"/>
              </w:rPr>
              <w:t xml:space="preserve">    2021</w:t>
            </w:r>
            <w:r>
              <w:rPr>
                <w:rFonts w:hint="eastAsia" w:asciiTheme="minorEastAsia" w:hAnsiTheme="minorEastAsia" w:eastAsiaTheme="minorEastAsia"/>
                <w:kern w:val="10"/>
                <w:sz w:val="24"/>
              </w:rPr>
              <w:t>年临县环境空气监测数据统计结果表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558"/>
              <w:gridCol w:w="1367"/>
              <w:gridCol w:w="1369"/>
              <w:gridCol w:w="1198"/>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污染物</w:t>
                  </w:r>
                </w:p>
              </w:tc>
              <w:tc>
                <w:tcPr>
                  <w:tcW w:w="909"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年评价指标</w:t>
                  </w:r>
                </w:p>
              </w:tc>
              <w:tc>
                <w:tcPr>
                  <w:tcW w:w="798"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现状浓度</w:t>
                  </w:r>
                </w:p>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(μg/Nm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w:t>
                  </w:r>
                </w:p>
              </w:tc>
              <w:tc>
                <w:tcPr>
                  <w:tcW w:w="79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标准值</w:t>
                  </w:r>
                </w:p>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(μg/Nm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w:t>
                  </w:r>
                </w:p>
              </w:tc>
              <w:tc>
                <w:tcPr>
                  <w:tcW w:w="699"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超标倍数</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SO</w:t>
                  </w:r>
                  <w:r>
                    <w:rPr>
                      <w:rFonts w:asciiTheme="minorEastAsia" w:hAnsiTheme="minorEastAsia" w:eastAsiaTheme="minorEastAsia"/>
                      <w:kern w:val="10"/>
                      <w:szCs w:val="21"/>
                      <w:vertAlign w:val="subscript"/>
                    </w:rPr>
                    <w:t>2</w:t>
                  </w:r>
                </w:p>
              </w:tc>
              <w:tc>
                <w:tcPr>
                  <w:tcW w:w="909" w:type="pct"/>
                  <w:vMerge w:val="restar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60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NO</w:t>
                  </w:r>
                  <w:r>
                    <w:rPr>
                      <w:rFonts w:asciiTheme="minorEastAsia" w:hAnsiTheme="minorEastAsia" w:eastAsiaTheme="minorEastAsia"/>
                      <w:kern w:val="10"/>
                      <w:szCs w:val="21"/>
                      <w:vertAlign w:val="subscript"/>
                    </w:rPr>
                    <w:t>2</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30</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10</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112</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70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0.6</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2.5</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59</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35</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0.69</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3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O</w:t>
                  </w:r>
                  <w:r>
                    <w:rPr>
                      <w:rFonts w:asciiTheme="minorEastAsia" w:hAnsiTheme="minorEastAsia" w:eastAsiaTheme="minorEastAsia"/>
                      <w:kern w:val="10"/>
                      <w:szCs w:val="21"/>
                      <w:vertAlign w:val="subscript"/>
                    </w:rPr>
                    <w:t>3</w:t>
                  </w:r>
                  <w:r>
                    <w:rPr>
                      <w:rFonts w:hint="eastAsia" w:asciiTheme="minorEastAsia" w:hAnsiTheme="minorEastAsia" w:eastAsiaTheme="minorEastAsia"/>
                      <w:kern w:val="10"/>
                      <w:szCs w:val="21"/>
                    </w:rPr>
                    <w:t>第</w:t>
                  </w:r>
                  <w:r>
                    <w:rPr>
                      <w:rFonts w:asciiTheme="minorEastAsia" w:hAnsiTheme="minorEastAsia" w:eastAsiaTheme="minorEastAsia"/>
                      <w:kern w:val="10"/>
                      <w:szCs w:val="21"/>
                    </w:rPr>
                    <w:t>90</w:t>
                  </w:r>
                  <w:r>
                    <w:rPr>
                      <w:rFonts w:hint="eastAsia" w:asciiTheme="minorEastAsia" w:hAnsiTheme="minorEastAsia" w:eastAsiaTheme="minorEastAsia"/>
                      <w:kern w:val="10"/>
                      <w:szCs w:val="21"/>
                    </w:rPr>
                    <w:t>百分位数</w:t>
                  </w:r>
                </w:p>
              </w:tc>
              <w:tc>
                <w:tcPr>
                  <w:tcW w:w="90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8</w:t>
                  </w:r>
                  <w:r>
                    <w:rPr>
                      <w:rFonts w:hint="eastAsia" w:asciiTheme="minorEastAsia" w:hAnsiTheme="minorEastAsia" w:eastAsiaTheme="minorEastAsia"/>
                      <w:kern w:val="10"/>
                      <w:szCs w:val="21"/>
                    </w:rPr>
                    <w:t>小时平均质量浓度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160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CO</w:t>
                  </w:r>
                  <w:r>
                    <w:rPr>
                      <w:rFonts w:hint="eastAsia" w:asciiTheme="minorEastAsia" w:hAnsiTheme="minorEastAsia" w:eastAsiaTheme="minorEastAsia"/>
                      <w:kern w:val="10"/>
                      <w:szCs w:val="21"/>
                    </w:rPr>
                    <w:t>第</w:t>
                  </w:r>
                  <w:r>
                    <w:rPr>
                      <w:rFonts w:asciiTheme="minorEastAsia" w:hAnsiTheme="minorEastAsia" w:eastAsiaTheme="minorEastAsia"/>
                      <w:kern w:val="10"/>
                      <w:szCs w:val="21"/>
                    </w:rPr>
                    <w:t>95</w:t>
                  </w:r>
                  <w:r>
                    <w:rPr>
                      <w:rFonts w:hint="eastAsia" w:asciiTheme="minorEastAsia" w:hAnsiTheme="minorEastAsia" w:eastAsiaTheme="minorEastAsia"/>
                      <w:kern w:val="10"/>
                      <w:szCs w:val="21"/>
                    </w:rPr>
                    <w:t>百分位数</w:t>
                  </w:r>
                </w:p>
              </w:tc>
              <w:tc>
                <w:tcPr>
                  <w:tcW w:w="9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日平均质量浓度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137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4000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bl>
          <w:p>
            <w:pPr>
              <w:spacing w:line="520" w:lineRule="exact"/>
              <w:ind w:firstLine="480" w:firstLineChars="200"/>
              <w:jc w:val="left"/>
              <w:rPr>
                <w:rFonts w:asciiTheme="minorEastAsia" w:hAnsiTheme="minorEastAsia" w:eastAsiaTheme="minorEastAsia"/>
                <w:bCs/>
                <w:kern w:val="10"/>
                <w:sz w:val="24"/>
              </w:rPr>
            </w:pPr>
            <w:r>
              <w:rPr>
                <w:rFonts w:hint="eastAsia" w:asciiTheme="minorEastAsia" w:hAnsiTheme="minorEastAsia" w:eastAsiaTheme="minorEastAsia"/>
                <w:bCs/>
                <w:kern w:val="10"/>
                <w:sz w:val="24"/>
              </w:rPr>
              <w:t>由上表可知，临县</w:t>
            </w:r>
            <w:r>
              <w:rPr>
                <w:rFonts w:asciiTheme="minorEastAsia" w:hAnsiTheme="minorEastAsia" w:eastAsiaTheme="minorEastAsia"/>
                <w:bCs/>
                <w:kern w:val="10"/>
                <w:sz w:val="24"/>
              </w:rPr>
              <w:t>2021</w:t>
            </w:r>
            <w:r>
              <w:rPr>
                <w:rFonts w:hint="eastAsia" w:asciiTheme="minorEastAsia" w:hAnsiTheme="minorEastAsia" w:eastAsiaTheme="minorEastAsia"/>
                <w:bCs/>
                <w:kern w:val="10"/>
                <w:sz w:val="24"/>
              </w:rPr>
              <w:t>年环境空气年均浓度</w:t>
            </w:r>
            <w:r>
              <w:rPr>
                <w:rFonts w:asciiTheme="minorEastAsia" w:hAnsiTheme="minorEastAsia" w:eastAsiaTheme="minorEastAsia"/>
                <w:bCs/>
                <w:kern w:val="10"/>
                <w:sz w:val="24"/>
              </w:rPr>
              <w:t>PM</w:t>
            </w:r>
            <w:r>
              <w:rPr>
                <w:rFonts w:asciiTheme="minorEastAsia" w:hAnsiTheme="minorEastAsia" w:eastAsiaTheme="minorEastAsia"/>
                <w:bCs/>
                <w:kern w:val="10"/>
                <w:sz w:val="24"/>
                <w:vertAlign w:val="subscript"/>
              </w:rPr>
              <w:t>10</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PM</w:t>
            </w:r>
            <w:r>
              <w:rPr>
                <w:rFonts w:asciiTheme="minorEastAsia" w:hAnsiTheme="minorEastAsia" w:eastAsiaTheme="minorEastAsia"/>
                <w:bCs/>
                <w:kern w:val="10"/>
                <w:sz w:val="24"/>
                <w:vertAlign w:val="subscript"/>
              </w:rPr>
              <w:t>2.5</w:t>
            </w:r>
            <w:r>
              <w:rPr>
                <w:rFonts w:hint="eastAsia" w:asciiTheme="minorEastAsia" w:hAnsiTheme="minorEastAsia" w:eastAsiaTheme="minorEastAsia"/>
                <w:bCs/>
                <w:kern w:val="10"/>
                <w:sz w:val="24"/>
              </w:rPr>
              <w:t>出现超标现象，故本项目所在区域为不达标区。</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2、补充监测</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项目建成后主要大气污染物为氨、硫化氢等，为了解本项目所在地特征污染物环境本底现状，建设单位委托</w:t>
            </w:r>
            <w:r>
              <w:rPr>
                <w:rFonts w:hint="eastAsia"/>
                <w:szCs w:val="24"/>
                <w:lang w:bidi="ar"/>
              </w:rPr>
              <w:t>山西博枫检测技术有限公司</w:t>
            </w:r>
            <w:r>
              <w:rPr>
                <w:szCs w:val="24"/>
                <w:lang w:bidi="ar"/>
              </w:rPr>
              <w:t>进行了监测和采样，监测采样时间为2022年9月20日～9月22日。</w:t>
            </w:r>
          </w:p>
          <w:p>
            <w:pPr>
              <w:spacing w:line="500" w:lineRule="exact"/>
              <w:ind w:firstLine="480" w:firstLineChars="200"/>
              <w:rPr>
                <w:rFonts w:ascii="宋体" w:hAnsi="宋体"/>
                <w:kern w:val="10"/>
                <w:sz w:val="24"/>
              </w:rPr>
            </w:pPr>
            <w:r>
              <w:rPr>
                <w:rFonts w:ascii="宋体" w:hAnsi="宋体"/>
                <w:kern w:val="10"/>
                <w:sz w:val="24"/>
              </w:rPr>
              <w:t>（1）监测点位</w:t>
            </w:r>
          </w:p>
          <w:p>
            <w:pPr>
              <w:spacing w:line="500" w:lineRule="exact"/>
              <w:ind w:firstLine="480" w:firstLineChars="200"/>
              <w:rPr>
                <w:rFonts w:ascii="宋体" w:hAnsi="宋体"/>
                <w:bCs/>
                <w:kern w:val="10"/>
                <w:sz w:val="24"/>
              </w:rPr>
            </w:pPr>
            <w:r>
              <w:rPr>
                <w:rFonts w:ascii="宋体" w:hAnsi="宋体"/>
                <w:bCs/>
                <w:kern w:val="10"/>
                <w:sz w:val="24"/>
              </w:rPr>
              <w:t>本次环境空气现状补充监测特征因子</w:t>
            </w:r>
            <w:r>
              <w:rPr>
                <w:rFonts w:ascii="宋体" w:hAnsi="宋体"/>
                <w:sz w:val="24"/>
                <w:lang w:bidi="ar"/>
              </w:rPr>
              <w:t>氨、硫化氢</w:t>
            </w:r>
            <w:r>
              <w:rPr>
                <w:rFonts w:ascii="宋体" w:hAnsi="宋体"/>
                <w:bCs/>
                <w:kern w:val="10"/>
                <w:sz w:val="24"/>
              </w:rPr>
              <w:t>，共布设了站区1个监测点。</w:t>
            </w:r>
          </w:p>
          <w:p>
            <w:pPr>
              <w:spacing w:line="500" w:lineRule="exact"/>
              <w:ind w:firstLine="480" w:firstLineChars="200"/>
              <w:rPr>
                <w:rFonts w:ascii="宋体" w:hAnsi="宋体"/>
                <w:bCs/>
                <w:kern w:val="10"/>
                <w:sz w:val="24"/>
              </w:rPr>
            </w:pPr>
            <w:bookmarkStart w:id="16" w:name="_Toc213838451"/>
            <w:bookmarkStart w:id="17" w:name="_Toc222392952"/>
            <w:r>
              <w:rPr>
                <w:rFonts w:ascii="宋体" w:hAnsi="宋体"/>
                <w:bCs/>
                <w:kern w:val="10"/>
                <w:sz w:val="24"/>
              </w:rPr>
              <w:t>（2）监测时间、频率和监测项目</w:t>
            </w:r>
          </w:p>
          <w:p>
            <w:pPr>
              <w:spacing w:line="500" w:lineRule="exact"/>
              <w:ind w:firstLine="480" w:firstLineChars="200"/>
              <w:rPr>
                <w:rFonts w:ascii="宋体" w:hAnsi="宋体"/>
                <w:bCs/>
                <w:kern w:val="10"/>
                <w:sz w:val="24"/>
              </w:rPr>
            </w:pPr>
            <w:r>
              <w:rPr>
                <w:rFonts w:ascii="宋体" w:hAnsi="宋体"/>
                <w:bCs/>
                <w:kern w:val="10"/>
                <w:sz w:val="24"/>
              </w:rPr>
              <w:t>监测单位于</w:t>
            </w:r>
            <w:r>
              <w:rPr>
                <w:rFonts w:ascii="宋体" w:hAnsi="宋体"/>
                <w:sz w:val="24"/>
                <w:lang w:bidi="ar"/>
              </w:rPr>
              <w:t>2022年9月20日～9月22日</w:t>
            </w:r>
            <w:r>
              <w:rPr>
                <w:rFonts w:ascii="宋体" w:hAnsi="宋体"/>
                <w:bCs/>
                <w:kern w:val="10"/>
                <w:sz w:val="24"/>
              </w:rPr>
              <w:t>对项目厂区所在地，进行了连续3天环境空气现状质量监测。监测项目：</w:t>
            </w:r>
            <w:r>
              <w:rPr>
                <w:rFonts w:ascii="宋体" w:hAnsi="宋体"/>
                <w:sz w:val="24"/>
                <w:lang w:bidi="ar"/>
              </w:rPr>
              <w:t>氨、硫化氢</w:t>
            </w:r>
            <w:r>
              <w:rPr>
                <w:rFonts w:ascii="宋体" w:hAnsi="宋体"/>
                <w:bCs/>
                <w:kern w:val="10"/>
                <w:sz w:val="24"/>
              </w:rPr>
              <w:t>，共2项。</w:t>
            </w:r>
          </w:p>
          <w:p>
            <w:pPr>
              <w:spacing w:line="500" w:lineRule="exact"/>
              <w:ind w:firstLine="480" w:firstLineChars="200"/>
              <w:rPr>
                <w:rFonts w:ascii="宋体" w:hAnsi="宋体"/>
                <w:kern w:val="10"/>
                <w:sz w:val="24"/>
              </w:rPr>
            </w:pPr>
            <w:r>
              <w:rPr>
                <w:rFonts w:ascii="宋体" w:hAnsi="宋体"/>
                <w:kern w:val="0"/>
                <w:sz w:val="24"/>
              </w:rPr>
              <w:t>监测频率为连续3天，</w:t>
            </w:r>
            <w:r>
              <w:rPr>
                <w:rFonts w:ascii="宋体" w:hAnsi="宋体"/>
                <w:sz w:val="24"/>
                <w:lang w:bidi="ar"/>
              </w:rPr>
              <w:t>氨、硫化氢</w:t>
            </w:r>
            <w:r>
              <w:rPr>
                <w:rFonts w:ascii="宋体" w:hAnsi="宋体"/>
                <w:bCs/>
                <w:kern w:val="10"/>
                <w:sz w:val="24"/>
              </w:rPr>
              <w:t>每天采样4次（每次保证采样45min），采样时间为2：00、8：00、14：00、20：00。监测时记录风向、风速、气压、气温等常规气象要素。</w:t>
            </w:r>
          </w:p>
          <w:p>
            <w:pPr>
              <w:pStyle w:val="8"/>
              <w:spacing w:line="500" w:lineRule="exact"/>
              <w:ind w:firstLine="480"/>
              <w:rPr>
                <w:rFonts w:ascii="宋体" w:hAnsi="宋体"/>
                <w:sz w:val="24"/>
              </w:rPr>
            </w:pPr>
            <w:r>
              <w:rPr>
                <w:rFonts w:ascii="宋体" w:hAnsi="宋体"/>
                <w:bCs/>
                <w:kern w:val="10"/>
                <w:sz w:val="24"/>
              </w:rPr>
              <w:t>（3</w:t>
            </w:r>
            <w:bookmarkStart w:id="18" w:name="_Toc222392951"/>
            <w:bookmarkStart w:id="19" w:name="_Toc213838450"/>
            <w:r>
              <w:rPr>
                <w:rFonts w:ascii="宋体" w:hAnsi="宋体"/>
                <w:bCs/>
                <w:kern w:val="10"/>
                <w:sz w:val="24"/>
              </w:rPr>
              <w:t>）</w:t>
            </w:r>
            <w:r>
              <w:rPr>
                <w:rFonts w:ascii="宋体" w:hAnsi="宋体"/>
                <w:sz w:val="24"/>
              </w:rPr>
              <w:t>采样及分析方法</w:t>
            </w:r>
            <w:bookmarkEnd w:id="18"/>
            <w:bookmarkEnd w:id="19"/>
          </w:p>
          <w:p>
            <w:pPr>
              <w:pStyle w:val="8"/>
              <w:spacing w:line="500" w:lineRule="exact"/>
              <w:ind w:firstLine="480"/>
              <w:rPr>
                <w:rFonts w:ascii="宋体" w:hAnsi="宋体"/>
                <w:sz w:val="24"/>
              </w:rPr>
            </w:pPr>
            <w:r>
              <w:rPr>
                <w:rFonts w:ascii="宋体" w:hAnsi="宋体"/>
                <w:sz w:val="24"/>
              </w:rPr>
              <w:t>采样环境、采样高度的要求按《环境监测技术规范》（大气部分）执行，分析方法执行《环境空气质量标准》（GB3095-2012）中规定的方法。</w:t>
            </w:r>
          </w:p>
          <w:bookmarkEnd w:id="16"/>
          <w:bookmarkEnd w:id="17"/>
          <w:p>
            <w:pPr>
              <w:spacing w:line="500" w:lineRule="exact"/>
              <w:ind w:firstLine="480" w:firstLineChars="200"/>
              <w:rPr>
                <w:rFonts w:ascii="宋体" w:hAnsi="宋体"/>
                <w:bCs/>
                <w:kern w:val="10"/>
                <w:sz w:val="24"/>
              </w:rPr>
            </w:pPr>
            <w:r>
              <w:rPr>
                <w:rFonts w:ascii="宋体" w:hAnsi="宋体"/>
                <w:bCs/>
                <w:kern w:val="10"/>
                <w:sz w:val="24"/>
              </w:rPr>
              <w:t>（4）监测结果统计分析</w:t>
            </w:r>
          </w:p>
          <w:p>
            <w:pPr>
              <w:spacing w:line="500" w:lineRule="exact"/>
              <w:ind w:firstLine="480" w:firstLineChars="200"/>
              <w:rPr>
                <w:rFonts w:ascii="宋体" w:hAnsi="宋体"/>
                <w:bCs/>
                <w:kern w:val="10"/>
                <w:sz w:val="24"/>
              </w:rPr>
            </w:pPr>
            <w:r>
              <w:rPr>
                <w:rFonts w:ascii="宋体" w:hAnsi="宋体"/>
                <w:bCs/>
                <w:kern w:val="10"/>
                <w:sz w:val="24"/>
              </w:rPr>
              <w:t>对各监测点各污染物的现状监测结果进行归纳，给出其日均浓度变化范围，分析统计各项目日均浓度或小时浓度超标个数、超标率和最大超标倍数，各污染物的浓度统计结果见下表。</w:t>
            </w:r>
          </w:p>
          <w:p>
            <w:pPr>
              <w:spacing w:line="500" w:lineRule="exact"/>
              <w:ind w:firstLine="480" w:firstLineChars="200"/>
              <w:jc w:val="center"/>
              <w:rPr>
                <w:rFonts w:ascii="宋体" w:hAnsi="宋体"/>
                <w:bCs/>
                <w:kern w:val="10"/>
                <w:sz w:val="24"/>
              </w:rPr>
            </w:pPr>
            <w:r>
              <w:rPr>
                <w:rFonts w:ascii="宋体" w:hAnsi="宋体"/>
                <w:bCs/>
                <w:kern w:val="10"/>
                <w:sz w:val="24"/>
              </w:rPr>
              <w:t>表3-2    特征污染物现状监测结果表</w:t>
            </w:r>
          </w:p>
          <w:tbl>
            <w:tblPr>
              <w:tblStyle w:val="28"/>
              <w:tblW w:w="816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97"/>
              <w:gridCol w:w="729"/>
              <w:gridCol w:w="653"/>
              <w:gridCol w:w="715"/>
              <w:gridCol w:w="715"/>
              <w:gridCol w:w="741"/>
              <w:gridCol w:w="741"/>
              <w:gridCol w:w="1194"/>
              <w:gridCol w:w="653"/>
              <w:gridCol w:w="663"/>
              <w:gridCol w:w="6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jc w:val="center"/>
              </w:trPr>
              <w:tc>
                <w:tcPr>
                  <w:tcW w:w="697"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监测点位</w:t>
                  </w:r>
                </w:p>
              </w:tc>
              <w:tc>
                <w:tcPr>
                  <w:tcW w:w="729"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污染物</w:t>
                  </w:r>
                </w:p>
              </w:tc>
              <w:tc>
                <w:tcPr>
                  <w:tcW w:w="653"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监测时间</w:t>
                  </w:r>
                </w:p>
              </w:tc>
              <w:tc>
                <w:tcPr>
                  <w:tcW w:w="2912" w:type="dxa"/>
                  <w:gridSpan w:val="4"/>
                  <w:tcBorders>
                    <w:bottom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监测浓度（mg/m</w:t>
                  </w:r>
                  <w:r>
                    <w:rPr>
                      <w:rFonts w:ascii="宋体" w:hAnsi="宋体"/>
                      <w:szCs w:val="21"/>
                      <w:vertAlign w:val="superscript"/>
                    </w:rPr>
                    <w:t>3</w:t>
                  </w:r>
                  <w:r>
                    <w:rPr>
                      <w:rFonts w:ascii="宋体" w:hAnsi="宋体"/>
                      <w:szCs w:val="21"/>
                    </w:rPr>
                    <w:t>）</w:t>
                  </w:r>
                </w:p>
              </w:tc>
              <w:tc>
                <w:tcPr>
                  <w:tcW w:w="1194" w:type="dxa"/>
                  <w:vMerge w:val="restart"/>
                  <w:vAlign w:val="center"/>
                </w:tcPr>
                <w:p>
                  <w:pPr>
                    <w:spacing w:line="400" w:lineRule="exact"/>
                    <w:jc w:val="center"/>
                    <w:rPr>
                      <w:rFonts w:ascii="宋体" w:hAnsi="宋体"/>
                      <w:szCs w:val="21"/>
                    </w:rPr>
                  </w:pPr>
                  <w:r>
                    <w:rPr>
                      <w:rFonts w:ascii="宋体" w:hAnsi="宋体"/>
                      <w:szCs w:val="21"/>
                    </w:rPr>
                    <w:t>评价标准（mg/m</w:t>
                  </w:r>
                  <w:r>
                    <w:rPr>
                      <w:rFonts w:ascii="宋体" w:hAnsi="宋体"/>
                      <w:szCs w:val="21"/>
                      <w:vertAlign w:val="superscript"/>
                    </w:rPr>
                    <w:t>3</w:t>
                  </w:r>
                  <w:r>
                    <w:rPr>
                      <w:rFonts w:ascii="宋体" w:hAnsi="宋体"/>
                      <w:szCs w:val="21"/>
                    </w:rPr>
                    <w:t>）</w:t>
                  </w:r>
                </w:p>
              </w:tc>
              <w:tc>
                <w:tcPr>
                  <w:tcW w:w="653"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Pi%</w:t>
                  </w:r>
                </w:p>
              </w:tc>
              <w:tc>
                <w:tcPr>
                  <w:tcW w:w="663" w:type="dxa"/>
                  <w:vMerge w:val="restart"/>
                  <w:vAlign w:val="center"/>
                </w:tcPr>
                <w:p>
                  <w:pPr>
                    <w:spacing w:line="400" w:lineRule="exact"/>
                    <w:jc w:val="center"/>
                    <w:rPr>
                      <w:rFonts w:ascii="宋体" w:hAnsi="宋体"/>
                      <w:szCs w:val="21"/>
                    </w:rPr>
                  </w:pPr>
                  <w:r>
                    <w:rPr>
                      <w:rFonts w:ascii="宋体" w:hAnsi="宋体"/>
                      <w:szCs w:val="21"/>
                    </w:rPr>
                    <w:t>超标率%</w:t>
                  </w:r>
                </w:p>
              </w:tc>
              <w:tc>
                <w:tcPr>
                  <w:tcW w:w="667" w:type="dxa"/>
                  <w:vMerge w:val="restart"/>
                  <w:vAlign w:val="center"/>
                </w:tcPr>
                <w:p>
                  <w:pPr>
                    <w:spacing w:line="400" w:lineRule="exact"/>
                    <w:jc w:val="center"/>
                    <w:rPr>
                      <w:rFonts w:ascii="宋体" w:hAnsi="宋体"/>
                      <w:szCs w:val="21"/>
                    </w:rPr>
                  </w:pPr>
                  <w:r>
                    <w:rPr>
                      <w:rFonts w:ascii="宋体" w:hAnsi="宋体"/>
                      <w:szCs w:val="21"/>
                    </w:rPr>
                    <w:t>达标</w:t>
                  </w:r>
                </w:p>
                <w:p>
                  <w:pPr>
                    <w:pStyle w:val="8"/>
                    <w:spacing w:line="400" w:lineRule="exact"/>
                    <w:ind w:firstLine="0" w:firstLineChars="0"/>
                    <w:jc w:val="center"/>
                    <w:rPr>
                      <w:rFonts w:ascii="宋体" w:hAnsi="宋体"/>
                      <w:szCs w:val="21"/>
                    </w:rPr>
                  </w:pPr>
                  <w:r>
                    <w:rPr>
                      <w:rFonts w:ascii="宋体" w:hAnsi="宋体"/>
                      <w:szCs w:val="21"/>
                    </w:rPr>
                    <w:t>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continue"/>
                  <w:vAlign w:val="center"/>
                </w:tcPr>
                <w:p>
                  <w:pPr>
                    <w:pStyle w:val="8"/>
                    <w:spacing w:line="400" w:lineRule="exact"/>
                    <w:ind w:firstLine="0" w:firstLineChars="0"/>
                    <w:jc w:val="center"/>
                    <w:rPr>
                      <w:rFonts w:ascii="宋体" w:hAnsi="宋体"/>
                      <w:szCs w:val="21"/>
                    </w:rPr>
                  </w:pPr>
                </w:p>
              </w:tc>
              <w:tc>
                <w:tcPr>
                  <w:tcW w:w="653" w:type="dxa"/>
                  <w:vMerge w:val="continue"/>
                  <w:vAlign w:val="center"/>
                </w:tcPr>
                <w:p>
                  <w:pPr>
                    <w:pStyle w:val="8"/>
                    <w:spacing w:line="400" w:lineRule="exact"/>
                    <w:ind w:firstLine="0" w:firstLineChars="0"/>
                    <w:jc w:val="center"/>
                    <w:rPr>
                      <w:rFonts w:ascii="宋体" w:hAnsi="宋体"/>
                      <w:szCs w:val="21"/>
                    </w:rPr>
                  </w:pPr>
                </w:p>
              </w:tc>
              <w:tc>
                <w:tcPr>
                  <w:tcW w:w="715" w:type="dxa"/>
                  <w:tcBorders>
                    <w:top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hint="eastAsia" w:ascii="宋体" w:hAnsi="宋体"/>
                      <w:szCs w:val="21"/>
                    </w:rPr>
                    <w:t>2:</w:t>
                  </w:r>
                  <w:r>
                    <w:rPr>
                      <w:rFonts w:ascii="宋体" w:hAnsi="宋体"/>
                      <w:szCs w:val="21"/>
                    </w:rPr>
                    <w:t>00</w:t>
                  </w:r>
                </w:p>
              </w:tc>
              <w:tc>
                <w:tcPr>
                  <w:tcW w:w="715"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8</w:t>
                  </w:r>
                  <w:r>
                    <w:rPr>
                      <w:rFonts w:hint="eastAsia" w:ascii="宋体" w:hAnsi="宋体"/>
                      <w:szCs w:val="21"/>
                    </w:rPr>
                    <w:t>:</w:t>
                  </w:r>
                  <w:r>
                    <w:rPr>
                      <w:rFonts w:ascii="宋体" w:hAnsi="宋体"/>
                      <w:szCs w:val="21"/>
                    </w:rPr>
                    <w:t>00</w:t>
                  </w:r>
                </w:p>
              </w:tc>
              <w:tc>
                <w:tcPr>
                  <w:tcW w:w="741"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14</w:t>
                  </w:r>
                  <w:r>
                    <w:rPr>
                      <w:rFonts w:hint="eastAsia" w:ascii="宋体" w:hAnsi="宋体"/>
                      <w:szCs w:val="21"/>
                    </w:rPr>
                    <w:t>:</w:t>
                  </w:r>
                  <w:r>
                    <w:rPr>
                      <w:rFonts w:ascii="宋体" w:hAnsi="宋体"/>
                      <w:szCs w:val="21"/>
                    </w:rPr>
                    <w:t>00</w:t>
                  </w:r>
                </w:p>
              </w:tc>
              <w:tc>
                <w:tcPr>
                  <w:tcW w:w="741" w:type="dxa"/>
                  <w:tcBorders>
                    <w:top w:val="single" w:color="auto" w:sz="4" w:space="0"/>
                    <w:left w:val="single" w:color="auto" w:sz="4" w:space="0"/>
                  </w:tcBorders>
                  <w:vAlign w:val="center"/>
                </w:tcPr>
                <w:p>
                  <w:pPr>
                    <w:pStyle w:val="8"/>
                    <w:spacing w:line="400" w:lineRule="exact"/>
                    <w:ind w:firstLine="0" w:firstLineChars="0"/>
                    <w:jc w:val="center"/>
                    <w:rPr>
                      <w:rFonts w:ascii="宋体" w:hAnsi="宋体"/>
                      <w:szCs w:val="21"/>
                    </w:rPr>
                  </w:pPr>
                  <w:r>
                    <w:rPr>
                      <w:rFonts w:hint="eastAsia" w:ascii="宋体" w:hAnsi="宋体"/>
                      <w:szCs w:val="21"/>
                    </w:rPr>
                    <w:t>2</w:t>
                  </w:r>
                  <w:r>
                    <w:rPr>
                      <w:rFonts w:ascii="宋体" w:hAnsi="宋体"/>
                      <w:szCs w:val="21"/>
                    </w:rPr>
                    <w:t>0</w:t>
                  </w:r>
                  <w:r>
                    <w:rPr>
                      <w:rFonts w:hint="eastAsia" w:ascii="宋体" w:hAnsi="宋体"/>
                      <w:szCs w:val="21"/>
                    </w:rPr>
                    <w:t>:</w:t>
                  </w:r>
                  <w:r>
                    <w:rPr>
                      <w:rFonts w:ascii="宋体" w:hAnsi="宋体"/>
                      <w:szCs w:val="21"/>
                    </w:rPr>
                    <w:t>00</w:t>
                  </w:r>
                </w:p>
              </w:tc>
              <w:tc>
                <w:tcPr>
                  <w:tcW w:w="1194" w:type="dxa"/>
                  <w:vMerge w:val="continue"/>
                  <w:vAlign w:val="center"/>
                </w:tcPr>
                <w:p>
                  <w:pPr>
                    <w:pStyle w:val="8"/>
                    <w:spacing w:line="400" w:lineRule="exact"/>
                    <w:ind w:firstLine="0" w:firstLineChars="0"/>
                    <w:rPr>
                      <w:rFonts w:ascii="宋体" w:hAnsi="宋体"/>
                      <w:szCs w:val="21"/>
                    </w:rPr>
                  </w:pPr>
                </w:p>
              </w:tc>
              <w:tc>
                <w:tcPr>
                  <w:tcW w:w="653" w:type="dxa"/>
                  <w:vMerge w:val="continue"/>
                  <w:vAlign w:val="center"/>
                </w:tcPr>
                <w:p>
                  <w:pPr>
                    <w:pStyle w:val="8"/>
                    <w:spacing w:line="400" w:lineRule="exact"/>
                    <w:ind w:firstLine="0" w:firstLineChars="0"/>
                    <w:jc w:val="center"/>
                    <w:rPr>
                      <w:rFonts w:ascii="宋体" w:hAnsi="宋体"/>
                      <w:szCs w:val="21"/>
                    </w:rPr>
                  </w:pPr>
                </w:p>
              </w:tc>
              <w:tc>
                <w:tcPr>
                  <w:tcW w:w="663" w:type="dxa"/>
                  <w:vMerge w:val="continue"/>
                  <w:vAlign w:val="center"/>
                </w:tcPr>
                <w:p>
                  <w:pPr>
                    <w:spacing w:line="400" w:lineRule="exact"/>
                    <w:jc w:val="center"/>
                    <w:rPr>
                      <w:rFonts w:ascii="宋体" w:hAnsi="宋体"/>
                      <w:szCs w:val="21"/>
                    </w:rPr>
                  </w:pPr>
                </w:p>
              </w:tc>
              <w:tc>
                <w:tcPr>
                  <w:tcW w:w="667" w:type="dxa"/>
                  <w:vMerge w:val="continue"/>
                  <w:vAlign w:val="center"/>
                </w:tcPr>
                <w:p>
                  <w:pPr>
                    <w:spacing w:line="400" w:lineRule="exact"/>
                    <w:jc w:val="center"/>
                    <w:rPr>
                      <w:rFonts w:ascii="宋体" w:hAnsi="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2" w:hRule="atLeast"/>
                <w:jc w:val="center"/>
              </w:trPr>
              <w:tc>
                <w:tcPr>
                  <w:tcW w:w="697" w:type="dxa"/>
                  <w:vMerge w:val="restart"/>
                  <w:vAlign w:val="center"/>
                </w:tcPr>
                <w:p>
                  <w:pPr>
                    <w:pStyle w:val="8"/>
                    <w:spacing w:line="400" w:lineRule="exact"/>
                    <w:ind w:firstLine="0" w:firstLineChars="0"/>
                    <w:jc w:val="center"/>
                    <w:rPr>
                      <w:rFonts w:ascii="宋体" w:hAnsi="宋体"/>
                      <w:szCs w:val="21"/>
                    </w:rPr>
                  </w:pPr>
                  <w:r>
                    <w:rPr>
                      <w:rFonts w:ascii="宋体" w:hAnsi="宋体"/>
                      <w:szCs w:val="21"/>
                      <w:lang w:bidi="ar"/>
                    </w:rPr>
                    <w:t>厂区</w:t>
                  </w:r>
                </w:p>
              </w:tc>
              <w:tc>
                <w:tcPr>
                  <w:tcW w:w="729" w:type="dxa"/>
                  <w:vMerge w:val="restart"/>
                  <w:vAlign w:val="center"/>
                </w:tcPr>
                <w:p>
                  <w:pPr>
                    <w:pStyle w:val="8"/>
                    <w:spacing w:line="400" w:lineRule="exact"/>
                    <w:ind w:firstLine="0" w:firstLineChars="0"/>
                    <w:jc w:val="center"/>
                    <w:rPr>
                      <w:rFonts w:ascii="宋体" w:hAnsi="宋体"/>
                      <w:szCs w:val="21"/>
                    </w:rPr>
                  </w:pPr>
                  <w:r>
                    <w:rPr>
                      <w:rFonts w:ascii="宋体" w:hAnsi="宋体"/>
                      <w:szCs w:val="21"/>
                      <w:lang w:bidi="ar"/>
                    </w:rPr>
                    <w:t>氨</w:t>
                  </w: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.20</w:t>
                  </w:r>
                </w:p>
              </w:tc>
              <w:tc>
                <w:tcPr>
                  <w:tcW w:w="715" w:type="dxa"/>
                  <w:tcBorders>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5" w:type="dxa"/>
                  <w:tcBorders>
                    <w:left w:val="single" w:color="auto" w:sz="4" w:space="0"/>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741" w:type="dxa"/>
                  <w:tcBorders>
                    <w:left w:val="single" w:color="auto" w:sz="4" w:space="0"/>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41" w:type="dxa"/>
                  <w:tcBorders>
                    <w:lef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1194" w:type="dxa"/>
                  <w:vMerge w:val="restart"/>
                  <w:vAlign w:val="center"/>
                </w:tcPr>
                <w:p>
                  <w:pPr>
                    <w:pStyle w:val="8"/>
                    <w:spacing w:line="400" w:lineRule="exact"/>
                    <w:ind w:firstLine="0" w:firstLineChars="0"/>
                    <w:jc w:val="center"/>
                    <w:rPr>
                      <w:rFonts w:ascii="宋体" w:hAnsi="宋体"/>
                      <w:szCs w:val="21"/>
                      <w:lang w:bidi="ar"/>
                    </w:rPr>
                  </w:pPr>
                  <w:r>
                    <w:rPr>
                      <w:rFonts w:ascii="宋体" w:hAnsi="宋体"/>
                      <w:szCs w:val="21"/>
                    </w:rPr>
                    <w:t>0.2</w:t>
                  </w: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0.4</w:t>
                  </w:r>
                </w:p>
              </w:tc>
              <w:tc>
                <w:tcPr>
                  <w:tcW w:w="663" w:type="dxa"/>
                  <w:vAlign w:val="center"/>
                </w:tcPr>
                <w:p>
                  <w:pPr>
                    <w:pStyle w:val="24"/>
                    <w:widowControl w:val="0"/>
                    <w:spacing w:before="0" w:beforeAutospacing="0" w:after="0" w:afterAutospacing="0" w:line="400" w:lineRule="exact"/>
                    <w:jc w:val="center"/>
                    <w:rPr>
                      <w:sz w:val="21"/>
                      <w:szCs w:val="21"/>
                    </w:rPr>
                  </w:pPr>
                  <w:r>
                    <w:rPr>
                      <w:sz w:val="21"/>
                      <w:szCs w:val="21"/>
                      <w:lang w:bidi="ar"/>
                    </w:rPr>
                    <w:t>0</w:t>
                  </w:r>
                </w:p>
              </w:tc>
              <w:tc>
                <w:tcPr>
                  <w:tcW w:w="667"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6"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.21</w:t>
                  </w:r>
                </w:p>
              </w:tc>
              <w:tc>
                <w:tcPr>
                  <w:tcW w:w="715"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.09</w:t>
                  </w:r>
                </w:p>
              </w:tc>
              <w:tc>
                <w:tcPr>
                  <w:tcW w:w="715"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41"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.10</w:t>
                  </w:r>
                </w:p>
              </w:tc>
              <w:tc>
                <w:tcPr>
                  <w:tcW w:w="741"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.09</w:t>
                  </w:r>
                </w:p>
              </w:tc>
              <w:tc>
                <w:tcPr>
                  <w:tcW w:w="1194"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0.5</w:t>
                  </w:r>
                </w:p>
              </w:tc>
              <w:tc>
                <w:tcPr>
                  <w:tcW w:w="663"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67"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8"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.22</w:t>
                  </w:r>
                </w:p>
              </w:tc>
              <w:tc>
                <w:tcPr>
                  <w:tcW w:w="715"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5"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741"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.09</w:t>
                  </w:r>
                </w:p>
              </w:tc>
              <w:tc>
                <w:tcPr>
                  <w:tcW w:w="741"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.09</w:t>
                  </w:r>
                </w:p>
              </w:tc>
              <w:tc>
                <w:tcPr>
                  <w:tcW w:w="1194"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0.45</w:t>
                  </w:r>
                </w:p>
              </w:tc>
              <w:tc>
                <w:tcPr>
                  <w:tcW w:w="663"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67"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6"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硫化氢</w:t>
                  </w: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.20</w:t>
                  </w:r>
                </w:p>
              </w:tc>
              <w:tc>
                <w:tcPr>
                  <w:tcW w:w="715"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15"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41"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41"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1194" w:type="dxa"/>
                  <w:vMerge w:val="restart"/>
                  <w:vAlign w:val="center"/>
                </w:tcPr>
                <w:p>
                  <w:pPr>
                    <w:pStyle w:val="24"/>
                    <w:widowControl w:val="0"/>
                    <w:spacing w:before="0" w:beforeAutospacing="0" w:after="0" w:afterAutospacing="0" w:line="400" w:lineRule="exact"/>
                    <w:jc w:val="center"/>
                    <w:rPr>
                      <w:sz w:val="21"/>
                      <w:szCs w:val="21"/>
                    </w:rPr>
                  </w:pPr>
                  <w:r>
                    <w:rPr>
                      <w:sz w:val="21"/>
                      <w:szCs w:val="21"/>
                      <w:lang w:bidi="ar"/>
                    </w:rPr>
                    <w:t>0.01</w:t>
                  </w: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63" w:type="dxa"/>
                  <w:vAlign w:val="center"/>
                </w:tcPr>
                <w:p>
                  <w:pPr>
                    <w:pStyle w:val="24"/>
                    <w:widowControl w:val="0"/>
                    <w:spacing w:before="0" w:beforeAutospacing="0" w:after="0" w:afterAutospacing="0" w:line="400" w:lineRule="exact"/>
                    <w:jc w:val="center"/>
                    <w:rPr>
                      <w:sz w:val="21"/>
                      <w:szCs w:val="21"/>
                      <w:lang w:bidi="ar"/>
                    </w:rPr>
                  </w:pPr>
                  <w:r>
                    <w:rPr>
                      <w:sz w:val="21"/>
                      <w:szCs w:val="21"/>
                      <w:lang w:bidi="ar"/>
                    </w:rPr>
                    <w:t>0</w:t>
                  </w:r>
                </w:p>
              </w:tc>
              <w:tc>
                <w:tcPr>
                  <w:tcW w:w="667" w:type="dxa"/>
                  <w:vAlign w:val="center"/>
                </w:tcPr>
                <w:p>
                  <w:pPr>
                    <w:spacing w:line="400" w:lineRule="exact"/>
                    <w:jc w:val="center"/>
                    <w:rPr>
                      <w:rFonts w:ascii="宋体" w:hAnsi="宋体"/>
                      <w:szCs w:val="21"/>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1"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.21</w:t>
                  </w:r>
                </w:p>
              </w:tc>
              <w:tc>
                <w:tcPr>
                  <w:tcW w:w="715" w:type="dxa"/>
                  <w:vAlign w:val="center"/>
                </w:tcPr>
                <w:p>
                  <w:pPr>
                    <w:snapToGrid w:val="0"/>
                    <w:spacing w:line="400" w:lineRule="exact"/>
                    <w:jc w:val="center"/>
                    <w:rPr>
                      <w:rFonts w:ascii="宋体" w:hAnsi="宋体"/>
                      <w:szCs w:val="21"/>
                    </w:rPr>
                  </w:pPr>
                  <w:r>
                    <w:rPr>
                      <w:rFonts w:ascii="宋体" w:hAnsi="宋体"/>
                      <w:szCs w:val="21"/>
                    </w:rPr>
                    <w:t>ND</w:t>
                  </w:r>
                </w:p>
              </w:tc>
              <w:tc>
                <w:tcPr>
                  <w:tcW w:w="715" w:type="dxa"/>
                  <w:vAlign w:val="center"/>
                </w:tcPr>
                <w:p>
                  <w:pPr>
                    <w:snapToGrid w:val="0"/>
                    <w:spacing w:line="400" w:lineRule="exact"/>
                    <w:jc w:val="center"/>
                    <w:rPr>
                      <w:rFonts w:ascii="宋体" w:hAnsi="宋体"/>
                      <w:szCs w:val="21"/>
                    </w:rPr>
                  </w:pPr>
                  <w:r>
                    <w:rPr>
                      <w:rFonts w:ascii="宋体" w:hAnsi="宋体"/>
                      <w:szCs w:val="21"/>
                    </w:rPr>
                    <w:t>ND</w:t>
                  </w:r>
                </w:p>
              </w:tc>
              <w:tc>
                <w:tcPr>
                  <w:tcW w:w="741" w:type="dxa"/>
                  <w:vAlign w:val="center"/>
                </w:tcPr>
                <w:p>
                  <w:pPr>
                    <w:snapToGrid w:val="0"/>
                    <w:spacing w:line="400" w:lineRule="exact"/>
                    <w:jc w:val="center"/>
                    <w:rPr>
                      <w:rFonts w:ascii="宋体" w:hAnsi="宋体"/>
                      <w:szCs w:val="21"/>
                    </w:rPr>
                  </w:pPr>
                  <w:r>
                    <w:rPr>
                      <w:rFonts w:ascii="宋体" w:hAnsi="宋体"/>
                      <w:szCs w:val="21"/>
                    </w:rPr>
                    <w:t>ND</w:t>
                  </w:r>
                </w:p>
              </w:tc>
              <w:tc>
                <w:tcPr>
                  <w:tcW w:w="741" w:type="dxa"/>
                  <w:vAlign w:val="center"/>
                </w:tcPr>
                <w:p>
                  <w:pPr>
                    <w:snapToGrid w:val="0"/>
                    <w:spacing w:line="400" w:lineRule="exact"/>
                    <w:jc w:val="center"/>
                    <w:rPr>
                      <w:rFonts w:ascii="宋体" w:hAnsi="宋体"/>
                      <w:szCs w:val="21"/>
                    </w:rPr>
                  </w:pPr>
                  <w:r>
                    <w:rPr>
                      <w:rFonts w:ascii="宋体" w:hAnsi="宋体"/>
                      <w:szCs w:val="21"/>
                    </w:rPr>
                    <w:t>ND</w:t>
                  </w:r>
                </w:p>
              </w:tc>
              <w:tc>
                <w:tcPr>
                  <w:tcW w:w="1194"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63"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67" w:type="dxa"/>
                  <w:vAlign w:val="center"/>
                </w:tcPr>
                <w:p>
                  <w:pPr>
                    <w:spacing w:line="400" w:lineRule="exact"/>
                    <w:jc w:val="center"/>
                    <w:rPr>
                      <w:rFonts w:ascii="宋体" w:hAnsi="宋体"/>
                      <w:szCs w:val="21"/>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0" w:hRule="atLeast"/>
                <w:jc w:val="center"/>
              </w:trPr>
              <w:tc>
                <w:tcPr>
                  <w:tcW w:w="697" w:type="dxa"/>
                  <w:vMerge w:val="continue"/>
                  <w:vAlign w:val="center"/>
                </w:tcPr>
                <w:p>
                  <w:pPr>
                    <w:pStyle w:val="8"/>
                    <w:spacing w:line="400" w:lineRule="exact"/>
                    <w:ind w:firstLine="0" w:firstLineChars="0"/>
                    <w:jc w:val="center"/>
                    <w:rPr>
                      <w:rFonts w:ascii="宋体" w:hAnsi="宋体"/>
                      <w:szCs w:val="21"/>
                    </w:rPr>
                  </w:pPr>
                </w:p>
              </w:tc>
              <w:tc>
                <w:tcPr>
                  <w:tcW w:w="729"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.22</w:t>
                  </w:r>
                </w:p>
              </w:tc>
              <w:tc>
                <w:tcPr>
                  <w:tcW w:w="715" w:type="dxa"/>
                  <w:vAlign w:val="center"/>
                </w:tcPr>
                <w:p>
                  <w:pPr>
                    <w:snapToGrid w:val="0"/>
                    <w:spacing w:line="400" w:lineRule="exact"/>
                    <w:jc w:val="center"/>
                    <w:rPr>
                      <w:rFonts w:ascii="宋体" w:hAnsi="宋体"/>
                      <w:szCs w:val="21"/>
                    </w:rPr>
                  </w:pPr>
                  <w:r>
                    <w:rPr>
                      <w:rFonts w:ascii="宋体" w:hAnsi="宋体"/>
                      <w:szCs w:val="21"/>
                    </w:rPr>
                    <w:t>ND</w:t>
                  </w:r>
                </w:p>
              </w:tc>
              <w:tc>
                <w:tcPr>
                  <w:tcW w:w="715" w:type="dxa"/>
                  <w:vAlign w:val="center"/>
                </w:tcPr>
                <w:p>
                  <w:pPr>
                    <w:snapToGrid w:val="0"/>
                    <w:spacing w:line="400" w:lineRule="exact"/>
                    <w:jc w:val="center"/>
                    <w:rPr>
                      <w:rFonts w:ascii="宋体" w:hAnsi="宋体"/>
                      <w:szCs w:val="21"/>
                    </w:rPr>
                  </w:pPr>
                  <w:r>
                    <w:rPr>
                      <w:rFonts w:ascii="宋体" w:hAnsi="宋体"/>
                      <w:szCs w:val="21"/>
                    </w:rPr>
                    <w:t>ND</w:t>
                  </w:r>
                </w:p>
              </w:tc>
              <w:tc>
                <w:tcPr>
                  <w:tcW w:w="741" w:type="dxa"/>
                  <w:vAlign w:val="center"/>
                </w:tcPr>
                <w:p>
                  <w:pPr>
                    <w:snapToGrid w:val="0"/>
                    <w:spacing w:line="400" w:lineRule="exact"/>
                    <w:jc w:val="center"/>
                    <w:rPr>
                      <w:rFonts w:ascii="宋体" w:hAnsi="宋体"/>
                      <w:szCs w:val="21"/>
                    </w:rPr>
                  </w:pPr>
                  <w:r>
                    <w:rPr>
                      <w:rFonts w:ascii="宋体" w:hAnsi="宋体"/>
                      <w:szCs w:val="21"/>
                    </w:rPr>
                    <w:t>ND</w:t>
                  </w:r>
                </w:p>
              </w:tc>
              <w:tc>
                <w:tcPr>
                  <w:tcW w:w="741" w:type="dxa"/>
                  <w:vAlign w:val="center"/>
                </w:tcPr>
                <w:p>
                  <w:pPr>
                    <w:snapToGrid w:val="0"/>
                    <w:spacing w:line="400" w:lineRule="exact"/>
                    <w:jc w:val="center"/>
                    <w:rPr>
                      <w:rFonts w:ascii="宋体" w:hAnsi="宋体"/>
                      <w:szCs w:val="21"/>
                    </w:rPr>
                  </w:pPr>
                  <w:r>
                    <w:rPr>
                      <w:rFonts w:ascii="宋体" w:hAnsi="宋体"/>
                      <w:szCs w:val="21"/>
                    </w:rPr>
                    <w:t>ND</w:t>
                  </w:r>
                </w:p>
              </w:tc>
              <w:tc>
                <w:tcPr>
                  <w:tcW w:w="1194" w:type="dxa"/>
                  <w:vMerge w:val="continue"/>
                  <w:vAlign w:val="center"/>
                </w:tcPr>
                <w:p>
                  <w:pPr>
                    <w:pStyle w:val="8"/>
                    <w:spacing w:line="400" w:lineRule="exact"/>
                    <w:ind w:firstLine="0" w:firstLineChars="0"/>
                    <w:jc w:val="center"/>
                    <w:rPr>
                      <w:rFonts w:ascii="宋体" w:hAnsi="宋体"/>
                      <w:szCs w:val="21"/>
                    </w:rPr>
                  </w:pPr>
                </w:p>
              </w:tc>
              <w:tc>
                <w:tcPr>
                  <w:tcW w:w="653"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63"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67" w:type="dxa"/>
                  <w:vAlign w:val="center"/>
                </w:tcPr>
                <w:p>
                  <w:pPr>
                    <w:spacing w:line="400" w:lineRule="exact"/>
                    <w:jc w:val="center"/>
                    <w:rPr>
                      <w:rFonts w:ascii="宋体" w:hAnsi="宋体"/>
                      <w:szCs w:val="21"/>
                    </w:rPr>
                  </w:pPr>
                  <w:r>
                    <w:rPr>
                      <w:rFonts w:ascii="宋体" w:hAnsi="宋体"/>
                      <w:szCs w:val="21"/>
                      <w:lang w:bidi="ar"/>
                    </w:rPr>
                    <w:t>达标</w:t>
                  </w:r>
                </w:p>
              </w:tc>
            </w:tr>
          </w:tbl>
          <w:p>
            <w:pPr>
              <w:adjustRightInd w:val="0"/>
              <w:snapToGrid w:val="0"/>
              <w:spacing w:line="500" w:lineRule="exact"/>
              <w:ind w:firstLine="480" w:firstLineChars="200"/>
              <w:jc w:val="left"/>
              <w:rPr>
                <w:sz w:val="24"/>
              </w:rPr>
            </w:pPr>
            <w:r>
              <w:rPr>
                <w:sz w:val="24"/>
              </w:rPr>
              <w:t>由监测数据可知，本项目区域氨、硫化氢满足《环境影响评价技术导则大气环境》（HJ2.2-2018）附录D中的标准。</w:t>
            </w:r>
          </w:p>
          <w:p>
            <w:pPr>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二、地表水环境质量现状</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1、环境功能区划</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据现场调查了解，本项目评价区地表水体为湫水河。</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根据《山西省地表水环境功能区划》(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)，项目所在地地表河属湫水河东峁村-碛口段，该河段规划主导功能为农业与一般景观水保护，水质保护目标为《地表水环境质量标准》(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w:t>
            </w:r>
            <w:r>
              <w:rPr>
                <w:rFonts w:asciiTheme="minorEastAsia" w:hAnsiTheme="minorEastAsia" w:eastAsiaTheme="minorEastAsia"/>
                <w:kern w:val="10"/>
                <w:sz w:val="24"/>
              </w:rPr>
              <w:fldChar w:fldCharType="begin"/>
            </w:r>
            <w:r>
              <w:rPr>
                <w:rFonts w:asciiTheme="minorEastAsia" w:hAnsiTheme="minorEastAsia" w:eastAsiaTheme="minorEastAsia"/>
                <w:kern w:val="10"/>
                <w:sz w:val="24"/>
              </w:rPr>
              <w:instrText xml:space="preserve"> = 4 \* ROMAN </w:instrText>
            </w:r>
            <w:r>
              <w:rPr>
                <w:rFonts w:asciiTheme="minorEastAsia" w:hAnsiTheme="minorEastAsia" w:eastAsiaTheme="minorEastAsia"/>
                <w:kern w:val="10"/>
                <w:sz w:val="24"/>
              </w:rPr>
              <w:fldChar w:fldCharType="separate"/>
            </w:r>
            <w:r>
              <w:rPr>
                <w:rFonts w:asciiTheme="minorEastAsia" w:hAnsiTheme="minorEastAsia" w:eastAsiaTheme="minorEastAsia"/>
                <w:kern w:val="10"/>
                <w:sz w:val="24"/>
              </w:rPr>
              <w:t>IV</w:t>
            </w:r>
            <w:r>
              <w:rPr>
                <w:rFonts w:asciiTheme="minorEastAsia" w:hAnsiTheme="minorEastAsia" w:eastAsiaTheme="minorEastAsia"/>
                <w:kern w:val="10"/>
                <w:sz w:val="24"/>
              </w:rPr>
              <w:fldChar w:fldCharType="end"/>
            </w:r>
            <w:r>
              <w:rPr>
                <w:rFonts w:hint="eastAsia" w:asciiTheme="minorEastAsia" w:hAnsiTheme="minorEastAsia" w:eastAsiaTheme="minorEastAsia"/>
                <w:kern w:val="10"/>
                <w:sz w:val="24"/>
              </w:rPr>
              <w:t>类标准。</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2、地表水环境质量现状监测</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w:t>
            </w:r>
            <w:r>
              <w:rPr>
                <w:rFonts w:ascii="宋体" w:hAnsi="宋体"/>
                <w:sz w:val="24"/>
                <w:lang w:bidi="ar"/>
              </w:rPr>
              <w:t>2022年9月20日～9月22日</w:t>
            </w:r>
            <w:r>
              <w:rPr>
                <w:rFonts w:hint="eastAsia" w:asciiTheme="minorEastAsia" w:hAnsiTheme="minorEastAsia" w:eastAsiaTheme="minorEastAsia"/>
                <w:kern w:val="10"/>
                <w:sz w:val="24"/>
              </w:rPr>
              <w:t>对排放口河道湫水河设置3个监测断面了解地表水现状。</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1)监测断面布设</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根据地表水体的流向，在</w:t>
            </w:r>
            <w:r>
              <w:rPr>
                <w:rFonts w:hint="eastAsia" w:asciiTheme="minorEastAsia" w:hAnsiTheme="minorEastAsia" w:eastAsiaTheme="minorEastAsia"/>
                <w:bCs/>
                <w:kern w:val="10"/>
                <w:sz w:val="24"/>
              </w:rPr>
              <w:t>污水处理厂出口排污河道</w:t>
            </w:r>
            <w:r>
              <w:rPr>
                <w:rFonts w:hint="eastAsia" w:asciiTheme="minorEastAsia" w:hAnsiTheme="minorEastAsia" w:eastAsiaTheme="minorEastAsia"/>
                <w:kern w:val="10"/>
                <w:sz w:val="24"/>
              </w:rPr>
              <w:t>湫水河</w:t>
            </w:r>
            <w:r>
              <w:rPr>
                <w:rFonts w:asciiTheme="minorEastAsia" w:hAnsiTheme="minorEastAsia" w:eastAsiaTheme="minorEastAsia"/>
                <w:bCs/>
                <w:kern w:val="10"/>
                <w:sz w:val="24"/>
              </w:rPr>
              <w:t>设置</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个监测断面，监测断面位置见图</w:t>
            </w:r>
            <w:r>
              <w:rPr>
                <w:rFonts w:hint="eastAsia" w:asciiTheme="minorEastAsia" w:hAnsiTheme="minorEastAsia" w:eastAsiaTheme="minorEastAsia"/>
                <w:bCs/>
                <w:kern w:val="10"/>
                <w:sz w:val="24"/>
              </w:rPr>
              <w:t>3-1</w:t>
            </w:r>
            <w:r>
              <w:rPr>
                <w:rFonts w:asciiTheme="minorEastAsia" w:hAnsiTheme="minorEastAsia" w:eastAsiaTheme="minorEastAsia"/>
                <w:bCs/>
                <w:kern w:val="10"/>
                <w:sz w:val="24"/>
              </w:rPr>
              <w:t>。</w:t>
            </w:r>
          </w:p>
          <w:p>
            <w:pPr>
              <w:widowControl/>
              <w:snapToGrid w:val="0"/>
              <w:jc w:val="center"/>
              <w:rPr>
                <w:rFonts w:asciiTheme="minorEastAsia" w:hAnsiTheme="minorEastAsia" w:eastAsiaTheme="minorEastAsia"/>
                <w:bCs/>
                <w:kern w:val="10"/>
                <w:sz w:val="24"/>
              </w:rPr>
            </w:pPr>
            <w:r>
              <w:drawing>
                <wp:inline distT="0" distB="0" distL="0" distR="0">
                  <wp:extent cx="3448050" cy="38766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448050" cy="3876675"/>
                          </a:xfrm>
                          <a:prstGeom prst="rect">
                            <a:avLst/>
                          </a:prstGeom>
                        </pic:spPr>
                      </pic:pic>
                    </a:graphicData>
                  </a:graphic>
                </wp:inline>
              </w:drawing>
            </w:r>
          </w:p>
          <w:p>
            <w:pPr>
              <w:widowControl/>
              <w:snapToGrid w:val="0"/>
              <w:spacing w:line="500" w:lineRule="exact"/>
              <w:ind w:firstLine="480" w:firstLineChars="200"/>
              <w:jc w:val="center"/>
              <w:rPr>
                <w:rFonts w:asciiTheme="minorEastAsia" w:hAnsiTheme="minorEastAsia" w:eastAsiaTheme="minorEastAsia"/>
                <w:bCs/>
                <w:kern w:val="10"/>
                <w:sz w:val="24"/>
              </w:rPr>
            </w:pPr>
            <w:r>
              <w:rPr>
                <w:rFonts w:hint="eastAsia" w:asciiTheme="minorEastAsia" w:hAnsiTheme="minorEastAsia" w:eastAsiaTheme="minorEastAsia"/>
                <w:bCs/>
                <w:kern w:val="10"/>
                <w:sz w:val="24"/>
              </w:rPr>
              <w:t>图3-1</w:t>
            </w:r>
            <w:r>
              <w:rPr>
                <w:rFonts w:asciiTheme="minorEastAsia" w:hAnsiTheme="minorEastAsia" w:eastAsiaTheme="minorEastAsia"/>
                <w:bCs/>
                <w:kern w:val="10"/>
                <w:sz w:val="24"/>
              </w:rPr>
              <w:t xml:space="preserve">    </w:t>
            </w:r>
            <w:r>
              <w:rPr>
                <w:rFonts w:hint="eastAsia" w:asciiTheme="minorEastAsia" w:hAnsiTheme="minorEastAsia" w:eastAsiaTheme="minorEastAsia"/>
                <w:bCs/>
                <w:kern w:val="10"/>
                <w:sz w:val="24"/>
              </w:rPr>
              <w:t>地表水监测布点图</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监测断面布设如下：</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Ⅰ</w:t>
            </w:r>
            <w:r>
              <w:rPr>
                <w:rFonts w:asciiTheme="minorEastAsia" w:hAnsiTheme="minorEastAsia" w:eastAsiaTheme="minorEastAsia"/>
                <w:bCs/>
                <w:kern w:val="10"/>
                <w:sz w:val="24"/>
              </w:rPr>
              <w:t>断面：以污水处理厂排污口为中心，入水口上游500m处；</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Ⅱ</w:t>
            </w:r>
            <w:r>
              <w:rPr>
                <w:rFonts w:asciiTheme="minorEastAsia" w:hAnsiTheme="minorEastAsia" w:eastAsiaTheme="minorEastAsia"/>
                <w:bCs/>
                <w:kern w:val="10"/>
                <w:sz w:val="24"/>
              </w:rPr>
              <w:t>断面：以污水处理厂排污口为中心，入水口下游500m处；</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Ⅲ</w:t>
            </w:r>
            <w:r>
              <w:rPr>
                <w:rFonts w:asciiTheme="minorEastAsia" w:hAnsiTheme="minorEastAsia" w:eastAsiaTheme="minorEastAsia"/>
                <w:bCs/>
                <w:kern w:val="10"/>
                <w:sz w:val="24"/>
              </w:rPr>
              <w:t>断面：以污水处理厂排污口为中心，入水口下游</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000m处；</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2)监测项目</w:t>
            </w:r>
          </w:p>
          <w:p>
            <w:pPr>
              <w:snapToGrid w:val="0"/>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kern w:val="10"/>
                <w:sz w:val="24"/>
              </w:rPr>
              <w:t>地表水监测项目为</w:t>
            </w:r>
            <w:r>
              <w:rPr>
                <w:rFonts w:asciiTheme="minorEastAsia" w:hAnsiTheme="minorEastAsia" w:eastAsiaTheme="minorEastAsia"/>
                <w:bCs/>
                <w:sz w:val="24"/>
              </w:rPr>
              <w:t>pH、COD、BOD</w:t>
            </w:r>
            <w:r>
              <w:rPr>
                <w:rFonts w:asciiTheme="minorEastAsia" w:hAnsiTheme="minorEastAsia" w:eastAsiaTheme="minorEastAsia"/>
                <w:bCs/>
                <w:sz w:val="24"/>
                <w:vertAlign w:val="subscript"/>
              </w:rPr>
              <w:t>5</w:t>
            </w:r>
            <w:r>
              <w:rPr>
                <w:rFonts w:asciiTheme="minorEastAsia" w:hAnsiTheme="minorEastAsia" w:eastAsiaTheme="minorEastAsia"/>
                <w:bCs/>
                <w:sz w:val="24"/>
              </w:rPr>
              <w:t>、氨氮、</w:t>
            </w:r>
            <w:r>
              <w:rPr>
                <w:rFonts w:hint="eastAsia" w:asciiTheme="minorEastAsia" w:hAnsiTheme="minorEastAsia" w:eastAsiaTheme="minorEastAsia"/>
                <w:bCs/>
                <w:sz w:val="24"/>
              </w:rPr>
              <w:t>总磷、总氮、</w:t>
            </w:r>
            <w:r>
              <w:rPr>
                <w:rFonts w:asciiTheme="minorEastAsia" w:hAnsiTheme="minorEastAsia" w:eastAsiaTheme="minorEastAsia"/>
                <w:bCs/>
                <w:sz w:val="24"/>
              </w:rPr>
              <w:t>SS、石油类，</w:t>
            </w:r>
            <w:r>
              <w:rPr>
                <w:rFonts w:asciiTheme="minorEastAsia" w:hAnsiTheme="minorEastAsia" w:eastAsiaTheme="minorEastAsia"/>
                <w:sz w:val="24"/>
              </w:rPr>
              <w:t>共</w:t>
            </w:r>
            <w:r>
              <w:rPr>
                <w:rFonts w:hint="eastAsia" w:asciiTheme="minorEastAsia" w:hAnsiTheme="minorEastAsia" w:eastAsiaTheme="minorEastAsia"/>
                <w:sz w:val="24"/>
              </w:rPr>
              <w:t>8</w:t>
            </w:r>
            <w:r>
              <w:rPr>
                <w:rFonts w:asciiTheme="minorEastAsia" w:hAnsiTheme="minorEastAsia" w:eastAsiaTheme="minorEastAsia"/>
                <w:sz w:val="24"/>
              </w:rPr>
              <w:t>项</w:t>
            </w:r>
            <w:r>
              <w:rPr>
                <w:rFonts w:asciiTheme="minorEastAsia" w:hAnsiTheme="minorEastAsia" w:eastAsiaTheme="minorEastAsia"/>
                <w:bCs/>
                <w:kern w:val="10"/>
                <w:sz w:val="24"/>
              </w:rPr>
              <w:t>，同时测定各监测断面的水温、流速和流量。</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3)监测时间及采样频率</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监测时间</w:t>
            </w:r>
            <w:r>
              <w:rPr>
                <w:rFonts w:ascii="宋体" w:hAnsi="宋体"/>
                <w:sz w:val="24"/>
                <w:lang w:bidi="ar"/>
              </w:rPr>
              <w:t>2022年9月20日～9月22日</w:t>
            </w:r>
            <w:r>
              <w:rPr>
                <w:rFonts w:asciiTheme="minorEastAsia" w:hAnsiTheme="minorEastAsia" w:eastAsiaTheme="minorEastAsia"/>
                <w:bCs/>
                <w:kern w:val="10"/>
                <w:sz w:val="24"/>
              </w:rPr>
              <w:t>，连续监测</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天，每天各断面采集一个样品。</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4)采样及分析方法</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地表水采样依据《地表水和污水监测技术规范》(HJ/T91-2002)。</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kern w:val="10"/>
                <w:sz w:val="24"/>
              </w:rPr>
              <w:t>5</w:t>
            </w:r>
            <w:r>
              <w:rPr>
                <w:rFonts w:asciiTheme="minorEastAsia" w:hAnsiTheme="minorEastAsia" w:eastAsiaTheme="minorEastAsia"/>
                <w:bCs/>
                <w:kern w:val="10"/>
                <w:sz w:val="24"/>
              </w:rPr>
              <w:t>)</w:t>
            </w:r>
            <w:r>
              <w:rPr>
                <w:rFonts w:asciiTheme="minorEastAsia" w:hAnsiTheme="minorEastAsia" w:eastAsiaTheme="minorEastAsia"/>
                <w:sz w:val="24"/>
              </w:rPr>
              <w:t>评价方法</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采用标准指数法对地下水环境现状监测统计结果进行评价，评价公式为：</w:t>
            </w:r>
          </w:p>
          <w:p>
            <w:pPr>
              <w:spacing w:before="120" w:beforeLines="50" w:line="360" w:lineRule="auto"/>
              <w:ind w:firstLine="499"/>
              <w:rPr>
                <w:rFonts w:asciiTheme="minorEastAsia" w:hAnsiTheme="minorEastAsia" w:eastAsiaTheme="minorEastAsia"/>
                <w:sz w:val="24"/>
              </w:rPr>
            </w:pPr>
            <w:r>
              <w:rPr>
                <w:rFonts w:asciiTheme="minorEastAsia" w:hAnsiTheme="minorEastAsia" w:eastAsiaTheme="minorEastAsia"/>
                <w:sz w:val="24"/>
              </w:rPr>
              <w:pict>
                <v:shape id="对象 4782" o:spid="_x0000_s1042" o:spt="75" type="#_x0000_t75" style="position:absolute;left:0pt;margin-left:74.6pt;margin-top:1.6pt;height:31pt;width:46pt;z-index:251662336;mso-width-relative:page;mso-height-relative:page;" o:ole="t" filled="f" o:preferrelative="t" stroked="f" coordsize="21600,21600">
                  <v:path/>
                  <v:fill on="f" focussize="0,0"/>
                  <v:stroke on="f" joinstyle="miter"/>
                  <v:imagedata r:id="rId28" o:title=""/>
                  <o:lock v:ext="edit" aspectratio="t"/>
                </v:shape>
                <o:OLEObject Type="Embed" ProgID="Equation.3" ShapeID="对象 4782" DrawAspect="Content" ObjectID="_1468075727" r:id="rId27">
                  <o:LockedField>false</o:LockedField>
                </o:OLEObject>
              </w:pic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式中Pi——第i个水质因子的标准指数；</w:t>
            </w:r>
          </w:p>
          <w:p>
            <w:pPr>
              <w:spacing w:line="500" w:lineRule="exact"/>
              <w:ind w:firstLine="1068" w:firstLineChars="445"/>
              <w:rPr>
                <w:rFonts w:asciiTheme="minorEastAsia" w:hAnsiTheme="minorEastAsia" w:eastAsiaTheme="minorEastAsia"/>
                <w:sz w:val="24"/>
              </w:rPr>
            </w:pPr>
            <w:r>
              <w:rPr>
                <w:rFonts w:asciiTheme="minorEastAsia" w:hAnsiTheme="minorEastAsia" w:eastAsiaTheme="minorEastAsia"/>
                <w:sz w:val="24"/>
              </w:rPr>
              <w:t>Ci——第i个水质因子的监测浓度值，mg/L；</w:t>
            </w:r>
          </w:p>
          <w:p>
            <w:pPr>
              <w:spacing w:line="500" w:lineRule="exact"/>
              <w:ind w:firstLine="950" w:firstLineChars="396"/>
              <w:rPr>
                <w:rFonts w:asciiTheme="minorEastAsia" w:hAnsiTheme="minorEastAsia" w:eastAsiaTheme="minorEastAsia"/>
                <w:sz w:val="24"/>
              </w:rPr>
            </w:pPr>
            <w:r>
              <w:rPr>
                <w:rFonts w:asciiTheme="minorEastAsia" w:hAnsiTheme="minorEastAsia" w:eastAsiaTheme="minorEastAsia"/>
                <w:sz w:val="24"/>
              </w:rPr>
              <w:t>Csi——第i个水质因子的标准浓度值，mg/L。</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对pH值进行评价的公式为：</w:t>
            </w:r>
          </w:p>
          <w:p>
            <w:pPr>
              <w:spacing w:line="360" w:lineRule="auto"/>
              <w:ind w:firstLine="499"/>
              <w:rPr>
                <w:rFonts w:asciiTheme="minorEastAsia" w:hAnsiTheme="minorEastAsia" w:eastAsiaTheme="minorEastAsia"/>
                <w:sz w:val="24"/>
              </w:rPr>
            </w:pPr>
            <w:r>
              <w:rPr>
                <w:rFonts w:asciiTheme="minorEastAsia" w:hAnsiTheme="minorEastAsia" w:eastAsiaTheme="minorEastAsia"/>
                <w:sz w:val="24"/>
              </w:rPr>
              <w:pict>
                <v:shape id="对象 4781" o:spid="_x0000_s1041" o:spt="75" type="#_x0000_t75" style="position:absolute;left:0pt;margin-left:40.4pt;margin-top:13pt;height:71.95pt;width:168pt;z-index:251663360;mso-width-relative:page;mso-height-relative:page;" o:ole="t" filled="f" o:preferrelative="t" stroked="f" coordsize="21600,21600">
                  <v:path/>
                  <v:fill on="f" focussize="0,0"/>
                  <v:stroke on="f" joinstyle="miter"/>
                  <v:imagedata r:id="rId30" o:title=""/>
                  <o:lock v:ext="edit" aspectratio="t"/>
                </v:shape>
                <o:OLEObject Type="Embed" ProgID="Equation.3" ShapeID="对象 4781" DrawAspect="Content" ObjectID="_1468075728" r:id="rId29">
                  <o:LockedField>false</o:LockedField>
                </o:OLEObject>
              </w:pict>
            </w:r>
          </w:p>
          <w:p>
            <w:pPr>
              <w:spacing w:line="360" w:lineRule="auto"/>
              <w:ind w:firstLine="499"/>
              <w:rPr>
                <w:rFonts w:asciiTheme="minorEastAsia" w:hAnsiTheme="minorEastAsia" w:eastAsiaTheme="minorEastAsia"/>
                <w:sz w:val="24"/>
              </w:rPr>
            </w:pPr>
          </w:p>
          <w:p>
            <w:pPr>
              <w:spacing w:line="360" w:lineRule="auto"/>
              <w:ind w:firstLine="499"/>
              <w:rPr>
                <w:rFonts w:asciiTheme="minorEastAsia" w:hAnsiTheme="minorEastAsia" w:eastAsiaTheme="minorEastAsia"/>
                <w:sz w:val="24"/>
              </w:rPr>
            </w:pPr>
          </w:p>
          <w:p>
            <w:pPr>
              <w:spacing w:line="360" w:lineRule="auto"/>
              <w:ind w:firstLine="499"/>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asciiTheme="minorEastAsia" w:hAnsiTheme="minorEastAsia" w:eastAsiaTheme="minorEastAsia"/>
                <w:sz w:val="24"/>
              </w:rPr>
              <w:t>式中:</w:t>
            </w:r>
            <w:r>
              <w:rPr>
                <w:rFonts w:asciiTheme="minorEastAsia" w:hAnsiTheme="minorEastAsia" w:eastAsiaTheme="minorEastAsia"/>
                <w:i/>
                <w:iCs/>
                <w:sz w:val="24"/>
              </w:rPr>
              <w:t>P</w:t>
            </w:r>
            <w:r>
              <w:rPr>
                <w:rFonts w:asciiTheme="minorEastAsia" w:hAnsiTheme="minorEastAsia" w:eastAsiaTheme="minorEastAsia"/>
                <w:i/>
                <w:iCs/>
                <w:sz w:val="24"/>
                <w:vertAlign w:val="subscript"/>
              </w:rPr>
              <w:t>PH</w:t>
            </w:r>
            <w:r>
              <w:rPr>
                <w:rFonts w:asciiTheme="minorEastAsia" w:hAnsiTheme="minorEastAsia" w:eastAsiaTheme="minorEastAsia"/>
                <w:sz w:val="24"/>
              </w:rPr>
              <w:t>——pH的标准指数，无量纲；</w:t>
            </w:r>
          </w:p>
          <w:p>
            <w:pPr>
              <w:spacing w:line="360" w:lineRule="auto"/>
              <w:ind w:firstLine="500"/>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sz w:val="24"/>
              </w:rPr>
              <w:t>——pH监测值；</w:t>
            </w:r>
          </w:p>
          <w:p>
            <w:pPr>
              <w:spacing w:line="360" w:lineRule="auto"/>
              <w:ind w:firstLine="804" w:firstLineChars="335"/>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i/>
                <w:iCs/>
                <w:sz w:val="24"/>
                <w:vertAlign w:val="subscript"/>
              </w:rPr>
              <w:t>sd</w:t>
            </w:r>
            <w:r>
              <w:rPr>
                <w:rFonts w:asciiTheme="minorEastAsia" w:hAnsiTheme="minorEastAsia" w:eastAsiaTheme="minorEastAsia"/>
                <w:sz w:val="24"/>
              </w:rPr>
              <w:t>——标准中pH的下限值；</w:t>
            </w:r>
          </w:p>
          <w:p>
            <w:pPr>
              <w:spacing w:line="360" w:lineRule="auto"/>
              <w:ind w:firstLine="398" w:firstLineChars="166"/>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i/>
                <w:iCs/>
                <w:sz w:val="24"/>
                <w:vertAlign w:val="subscript"/>
              </w:rPr>
              <w:t>su</w:t>
            </w:r>
            <w:r>
              <w:rPr>
                <w:rFonts w:asciiTheme="minorEastAsia" w:hAnsiTheme="minorEastAsia" w:eastAsiaTheme="minorEastAsia"/>
                <w:sz w:val="24"/>
              </w:rPr>
              <w:t>——标准中pH的上限值。</w:t>
            </w:r>
          </w:p>
          <w:p>
            <w:pPr>
              <w:spacing w:line="500" w:lineRule="exact"/>
              <w:ind w:firstLine="480" w:firstLineChars="200"/>
              <w:rPr>
                <w:rFonts w:cs="宋体" w:asciiTheme="minorEastAsia" w:hAnsiTheme="minorEastAsia" w:eastAsiaTheme="minorEastAsia"/>
                <w:kern w:val="0"/>
                <w:szCs w:val="21"/>
              </w:rPr>
            </w:pPr>
            <w:r>
              <w:rPr>
                <w:rFonts w:asciiTheme="minorEastAsia" w:hAnsiTheme="minorEastAsia" w:eastAsiaTheme="minorEastAsia"/>
                <w:sz w:val="24"/>
              </w:rPr>
              <w:t>评价结果：</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6</w:t>
            </w:r>
            <w:r>
              <w:rPr>
                <w:rFonts w:asciiTheme="minorEastAsia" w:hAnsiTheme="minorEastAsia" w:eastAsiaTheme="minorEastAsia"/>
                <w:bCs/>
                <w:kern w:val="10"/>
                <w:sz w:val="24"/>
              </w:rPr>
              <w:t>)评价结果</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8"/>
                <w:szCs w:val="21"/>
              </w:rPr>
            </w:pPr>
            <w:r>
              <w:rPr>
                <w:rFonts w:asciiTheme="minorEastAsia" w:hAnsiTheme="minorEastAsia" w:eastAsiaTheme="minorEastAsia"/>
                <w:bCs/>
                <w:kern w:val="10"/>
                <w:sz w:val="24"/>
              </w:rPr>
              <w:t>根据所选评价标准和评价方法，分别计算出各监测断面各污染物单因子指数Sij值，</w:t>
            </w:r>
            <w:r>
              <w:rPr>
                <w:rFonts w:hint="eastAsia" w:asciiTheme="minorEastAsia" w:hAnsiTheme="minorEastAsia" w:eastAsiaTheme="minorEastAsia"/>
                <w:bCs/>
                <w:kern w:val="10"/>
                <w:sz w:val="24"/>
              </w:rPr>
              <w:t>地表水现状评价</w:t>
            </w:r>
            <w:r>
              <w:rPr>
                <w:rFonts w:asciiTheme="minorEastAsia" w:hAnsiTheme="minorEastAsia" w:eastAsiaTheme="minorEastAsia"/>
                <w:bCs/>
                <w:kern w:val="10"/>
                <w:sz w:val="24"/>
              </w:rPr>
              <w:t>结果见表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3。</w:t>
            </w:r>
          </w:p>
          <w:p>
            <w:pPr>
              <w:widowControl/>
              <w:autoSpaceDE w:val="0"/>
              <w:autoSpaceDN w:val="0"/>
              <w:adjustRightInd w:val="0"/>
              <w:spacing w:line="500" w:lineRule="exact"/>
              <w:ind w:firstLine="480" w:firstLineChars="200"/>
              <w:jc w:val="center"/>
              <w:rPr>
                <w:rFonts w:asciiTheme="minorEastAsia" w:hAnsiTheme="minorEastAsia" w:eastAsiaTheme="minorEastAsia"/>
                <w:bCs/>
                <w:kern w:val="10"/>
                <w:sz w:val="24"/>
              </w:rPr>
            </w:pPr>
            <w:r>
              <w:rPr>
                <w:rFonts w:asciiTheme="minorEastAsia" w:hAnsiTheme="minorEastAsia" w:eastAsiaTheme="minorEastAsia"/>
                <w:bCs/>
                <w:kern w:val="10"/>
                <w:sz w:val="24"/>
              </w:rPr>
              <w:t>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3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179"/>
              <w:gridCol w:w="1676"/>
              <w:gridCol w:w="958"/>
              <w:gridCol w:w="949"/>
              <w:gridCol w:w="886"/>
              <w:gridCol w:w="886"/>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Align w:val="center"/>
                </w:tcPr>
                <w:p>
                  <w:pPr>
                    <w:widowControl/>
                    <w:autoSpaceDE w:val="0"/>
                    <w:autoSpaceDN w:val="0"/>
                    <w:adjustRightInd w:val="0"/>
                    <w:spacing w:line="300" w:lineRule="exact"/>
                    <w:jc w:val="center"/>
                    <w:rPr>
                      <w:rFonts w:ascii="宋体" w:hAnsi="宋体"/>
                      <w:kern w:val="10"/>
                      <w:szCs w:val="21"/>
                    </w:rPr>
                  </w:pPr>
                  <w:r>
                    <w:rPr>
                      <w:rFonts w:hint="eastAsia" w:ascii="宋体" w:hAnsi="宋体"/>
                      <w:kern w:val="10"/>
                      <w:szCs w:val="21"/>
                    </w:rPr>
                    <w:t>监测断面</w:t>
                  </w:r>
                </w:p>
              </w:tc>
              <w:tc>
                <w:tcPr>
                  <w:tcW w:w="688"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项目</w:t>
                  </w:r>
                </w:p>
              </w:tc>
              <w:tc>
                <w:tcPr>
                  <w:tcW w:w="978" w:type="pct"/>
                  <w:vAlign w:val="center"/>
                </w:tcPr>
                <w:p>
                  <w:pPr>
                    <w:widowControl/>
                    <w:autoSpaceDE w:val="0"/>
                    <w:autoSpaceDN w:val="0"/>
                    <w:adjustRightInd w:val="0"/>
                    <w:spacing w:line="300" w:lineRule="exact"/>
                    <w:jc w:val="center"/>
                    <w:rPr>
                      <w:rFonts w:ascii="宋体" w:hAnsi="宋体"/>
                      <w:bCs/>
                      <w:kern w:val="10"/>
                      <w:szCs w:val="21"/>
                    </w:rPr>
                  </w:pPr>
                  <w:r>
                    <w:rPr>
                      <w:rFonts w:hint="eastAsia" w:ascii="宋体" w:hAnsi="宋体"/>
                      <w:bCs/>
                      <w:kern w:val="10"/>
                      <w:szCs w:val="21"/>
                    </w:rPr>
                    <w:t>浓度范围</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9" w:type="pct"/>
                  <w:vAlign w:val="center"/>
                </w:tcPr>
                <w:p>
                  <w:pPr>
                    <w:widowControl/>
                    <w:autoSpaceDE w:val="0"/>
                    <w:autoSpaceDN w:val="0"/>
                    <w:adjustRightInd w:val="0"/>
                    <w:spacing w:line="300" w:lineRule="exact"/>
                    <w:jc w:val="center"/>
                    <w:rPr>
                      <w:rFonts w:ascii="宋体" w:hAnsi="宋体"/>
                      <w:kern w:val="10"/>
                      <w:szCs w:val="21"/>
                    </w:rPr>
                  </w:pPr>
                  <w:r>
                    <w:rPr>
                      <w:rFonts w:ascii="宋体" w:hAnsi="宋体"/>
                      <w:kern w:val="10"/>
                      <w:szCs w:val="21"/>
                    </w:rPr>
                    <w:t>平均值</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4"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P</w:t>
                  </w:r>
                  <w:r>
                    <w:rPr>
                      <w:rFonts w:ascii="宋体" w:hAnsi="宋体"/>
                      <w:kern w:val="10"/>
                      <w:szCs w:val="21"/>
                      <w:vertAlign w:val="subscript"/>
                    </w:rPr>
                    <w:t>i</w:t>
                  </w:r>
                </w:p>
              </w:tc>
              <w:tc>
                <w:tcPr>
                  <w:tcW w:w="517" w:type="pct"/>
                  <w:vAlign w:val="center"/>
                </w:tcPr>
                <w:p>
                  <w:pPr>
                    <w:autoSpaceDN w:val="0"/>
                    <w:spacing w:line="300" w:lineRule="exact"/>
                    <w:jc w:val="center"/>
                    <w:textAlignment w:val="center"/>
                    <w:rPr>
                      <w:rFonts w:ascii="宋体" w:hAnsi="宋体"/>
                      <w:bCs/>
                      <w:kern w:val="10"/>
                      <w:szCs w:val="21"/>
                    </w:rPr>
                  </w:pPr>
                  <w:r>
                    <w:rPr>
                      <w:rFonts w:ascii="宋体" w:hAnsi="宋体"/>
                      <w:kern w:val="10"/>
                      <w:szCs w:val="21"/>
                    </w:rPr>
                    <w:t>超标率</w:t>
                  </w:r>
                  <w:r>
                    <w:rPr>
                      <w:rFonts w:hint="eastAsia" w:ascii="宋体" w:hAnsi="宋体"/>
                      <w:kern w:val="10"/>
                      <w:szCs w:val="21"/>
                    </w:rPr>
                    <w:t>%</w:t>
                  </w:r>
                </w:p>
              </w:tc>
              <w:tc>
                <w:tcPr>
                  <w:tcW w:w="517" w:type="pct"/>
                  <w:vAlign w:val="center"/>
                </w:tcPr>
                <w:p>
                  <w:pPr>
                    <w:autoSpaceDN w:val="0"/>
                    <w:spacing w:line="300" w:lineRule="exact"/>
                    <w:jc w:val="center"/>
                    <w:textAlignment w:val="center"/>
                    <w:rPr>
                      <w:rFonts w:ascii="宋体" w:hAnsi="宋体"/>
                      <w:kern w:val="10"/>
                      <w:szCs w:val="21"/>
                    </w:rPr>
                  </w:pPr>
                  <w:r>
                    <w:rPr>
                      <w:rFonts w:ascii="宋体" w:hAnsi="宋体"/>
                      <w:kern w:val="10"/>
                      <w:szCs w:val="21"/>
                    </w:rPr>
                    <w:t>达标分析</w:t>
                  </w:r>
                </w:p>
              </w:tc>
              <w:tc>
                <w:tcPr>
                  <w:tcW w:w="684" w:type="pct"/>
                  <w:vAlign w:val="center"/>
                </w:tcPr>
                <w:p>
                  <w:pPr>
                    <w:autoSpaceDN w:val="0"/>
                    <w:spacing w:line="300" w:lineRule="exact"/>
                    <w:jc w:val="center"/>
                    <w:textAlignment w:val="center"/>
                    <w:rPr>
                      <w:rFonts w:ascii="宋体" w:hAnsi="宋体"/>
                      <w:bCs/>
                      <w:kern w:val="10"/>
                      <w:szCs w:val="21"/>
                    </w:rPr>
                  </w:pPr>
                  <w:r>
                    <w:rPr>
                      <w:rFonts w:hint="eastAsia" w:ascii="宋体" w:hAnsi="宋体"/>
                      <w:bCs/>
                      <w:kern w:val="10"/>
                      <w:szCs w:val="21"/>
                    </w:rPr>
                    <w:t>标准值</w:t>
                  </w:r>
                </w:p>
                <w:p>
                  <w:pPr>
                    <w:autoSpaceDN w:val="0"/>
                    <w:spacing w:line="300" w:lineRule="exact"/>
                    <w:jc w:val="center"/>
                    <w:textAlignment w:val="center"/>
                    <w:rPr>
                      <w:rFonts w:ascii="宋体" w:hAnsi="宋体"/>
                      <w:bCs/>
                      <w:kern w:val="10"/>
                      <w:szCs w:val="21"/>
                    </w:rPr>
                  </w:pPr>
                  <w:r>
                    <w:rPr>
                      <w:rFonts w:hint="eastAsia" w:ascii="宋体" w:hAnsi="宋体"/>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restart"/>
                  <w:vAlign w:val="center"/>
                </w:tcPr>
                <w:p>
                  <w:pPr>
                    <w:spacing w:line="400" w:lineRule="exact"/>
                    <w:jc w:val="center"/>
                    <w:rPr>
                      <w:rFonts w:ascii="宋体" w:hAnsi="宋体"/>
                      <w:szCs w:val="21"/>
                    </w:rPr>
                  </w:pPr>
                  <w:r>
                    <w:rPr>
                      <w:rFonts w:hint="eastAsia" w:ascii="宋体" w:hAnsi="宋体"/>
                      <w:szCs w:val="21"/>
                    </w:rPr>
                    <w:t>1#</w:t>
                  </w:r>
                </w:p>
                <w:p>
                  <w:pPr>
                    <w:spacing w:line="400" w:lineRule="exact"/>
                    <w:jc w:val="center"/>
                    <w:rPr>
                      <w:rFonts w:ascii="宋体" w:hAnsi="宋体"/>
                      <w:szCs w:val="21"/>
                    </w:rPr>
                  </w:pPr>
                  <w:r>
                    <w:rPr>
                      <w:rFonts w:ascii="宋体" w:hAnsi="宋体"/>
                      <w:szCs w:val="21"/>
                    </w:rPr>
                    <w:t>排污口上游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8.11-8.3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9-14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2.0-3.2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2.47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0.094-0.147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122</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0.17-0.20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3.63-4.11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160</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0.07-0.08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8.4-18.6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25.8-26.7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restart"/>
                  <w:vAlign w:val="center"/>
                </w:tcPr>
                <w:p>
                  <w:pPr>
                    <w:spacing w:line="400" w:lineRule="exact"/>
                    <w:jc w:val="center"/>
                    <w:rPr>
                      <w:rFonts w:ascii="宋体" w:hAnsi="宋体"/>
                      <w:szCs w:val="21"/>
                    </w:rPr>
                  </w:pPr>
                  <w:r>
                    <w:rPr>
                      <w:rFonts w:hint="eastAsia" w:ascii="宋体" w:hAnsi="宋体"/>
                      <w:szCs w:val="21"/>
                    </w:rPr>
                    <w:t>2#</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.97-8.39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56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7-18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17.3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.9-3.8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3.17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.14-0.172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.26-0.28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0.89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4.37-4.55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4.45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2.97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197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.05-0.10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2-19.3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5.9-26.3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restart"/>
                  <w:vAlign w:val="center"/>
                </w:tcPr>
                <w:p>
                  <w:pPr>
                    <w:spacing w:line="400" w:lineRule="exact"/>
                    <w:jc w:val="center"/>
                    <w:rPr>
                      <w:rFonts w:ascii="宋体" w:hAnsi="宋体"/>
                      <w:szCs w:val="21"/>
                    </w:rPr>
                  </w:pPr>
                  <w:r>
                    <w:rPr>
                      <w:rFonts w:hint="eastAsia" w:ascii="宋体" w:hAnsi="宋体"/>
                      <w:szCs w:val="21"/>
                    </w:rPr>
                    <w:t>3#</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1</w:t>
                  </w:r>
                  <w:r>
                    <w:rPr>
                      <w:rFonts w:ascii="宋体" w:hAnsi="宋体"/>
                      <w:szCs w:val="21"/>
                    </w:rPr>
                    <w:t>0</w:t>
                  </w:r>
                  <w:r>
                    <w:rPr>
                      <w:rFonts w:hint="eastAsia" w:ascii="宋体" w:hAnsi="宋体"/>
                      <w:szCs w:val="21"/>
                    </w:rPr>
                    <w:t>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.82-8.18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7.99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4-16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14.67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.5-3.2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.47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.109-0.159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0.137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0.092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.22-0.27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.81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.03-4.24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4.15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2.77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177</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.05-0.1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0.076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9.4-29.7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6.1-26.5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bl>
          <w:p>
            <w:pPr>
              <w:widowControl/>
              <w:autoSpaceDE w:val="0"/>
              <w:autoSpaceDN w:val="0"/>
              <w:adjustRightInd w:val="0"/>
              <w:spacing w:line="460" w:lineRule="exact"/>
              <w:rPr>
                <w:rFonts w:asciiTheme="minorEastAsia" w:hAnsiTheme="minorEastAsia" w:eastAsiaTheme="minorEastAsia"/>
                <w:bCs/>
                <w:kern w:val="10"/>
                <w:sz w:val="24"/>
              </w:rPr>
            </w:pPr>
            <w:r>
              <w:rPr>
                <w:rFonts w:asciiTheme="minorEastAsia" w:hAnsiTheme="minorEastAsia" w:eastAsiaTheme="minorEastAsia"/>
                <w:kern w:val="10"/>
                <w:szCs w:val="21"/>
              </w:rPr>
              <w:t>备注：低于检出限的数据，以ND加最低检出限报出；</w:t>
            </w:r>
          </w:p>
          <w:p>
            <w:pPr>
              <w:pStyle w:val="91"/>
              <w:tabs>
                <w:tab w:val="clear" w:pos="2340"/>
              </w:tabs>
              <w:spacing w:line="500" w:lineRule="exact"/>
              <w:ind w:firstLine="480"/>
              <w:rPr>
                <w:rFonts w:asciiTheme="minorEastAsia" w:hAnsiTheme="minorEastAsia" w:eastAsiaTheme="minorEastAsia"/>
                <w:kern w:val="10"/>
                <w:sz w:val="24"/>
                <w:szCs w:val="24"/>
              </w:rPr>
            </w:pPr>
            <w:r>
              <w:rPr>
                <w:rFonts w:asciiTheme="minorEastAsia" w:hAnsiTheme="minorEastAsia" w:eastAsiaTheme="minorEastAsia"/>
                <w:kern w:val="10"/>
                <w:sz w:val="24"/>
                <w:szCs w:val="24"/>
              </w:rPr>
              <w:t>4)结果分析</w:t>
            </w:r>
          </w:p>
          <w:p>
            <w:pPr>
              <w:widowControl/>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由表</w:t>
            </w:r>
            <w:r>
              <w:rPr>
                <w:rFonts w:hint="eastAsia" w:asciiTheme="minorEastAsia" w:hAnsiTheme="minorEastAsia" w:eastAsiaTheme="minorEastAsia"/>
                <w:kern w:val="10"/>
                <w:sz w:val="24"/>
              </w:rPr>
              <w:t>3-</w:t>
            </w:r>
            <w:r>
              <w:rPr>
                <w:rFonts w:asciiTheme="minorEastAsia" w:hAnsiTheme="minorEastAsia" w:eastAsiaTheme="minorEastAsia"/>
                <w:kern w:val="10"/>
                <w:sz w:val="24"/>
              </w:rPr>
              <w:t>3可知，在地表水体</w:t>
            </w:r>
            <w:r>
              <w:rPr>
                <w:rFonts w:hint="eastAsia" w:asciiTheme="minorEastAsia" w:hAnsiTheme="minorEastAsia" w:eastAsiaTheme="minorEastAsia"/>
                <w:kern w:val="10"/>
                <w:sz w:val="24"/>
              </w:rPr>
              <w:t>湫水</w:t>
            </w:r>
            <w:r>
              <w:rPr>
                <w:rFonts w:asciiTheme="minorEastAsia" w:hAnsiTheme="minorEastAsia" w:eastAsiaTheme="minorEastAsia"/>
                <w:kern w:val="10"/>
                <w:sz w:val="24"/>
              </w:rPr>
              <w:t>河的</w:t>
            </w:r>
            <w:r>
              <w:rPr>
                <w:rFonts w:hint="eastAsia" w:asciiTheme="minorEastAsia" w:hAnsiTheme="minorEastAsia" w:eastAsiaTheme="minorEastAsia"/>
                <w:kern w:val="10"/>
                <w:sz w:val="24"/>
              </w:rPr>
              <w:t>3</w:t>
            </w:r>
            <w:r>
              <w:rPr>
                <w:rFonts w:asciiTheme="minorEastAsia" w:hAnsiTheme="minorEastAsia" w:eastAsiaTheme="minorEastAsia"/>
                <w:kern w:val="10"/>
                <w:sz w:val="24"/>
              </w:rPr>
              <w:t>个监测断面中，</w:t>
            </w:r>
            <w:r>
              <w:rPr>
                <w:rFonts w:hint="eastAsia" w:asciiTheme="minorEastAsia" w:hAnsiTheme="minorEastAsia" w:eastAsiaTheme="minorEastAsia"/>
                <w:kern w:val="10"/>
                <w:sz w:val="24"/>
              </w:rPr>
              <w:t>除</w:t>
            </w:r>
            <w:r>
              <w:rPr>
                <w:rFonts w:asciiTheme="minorEastAsia" w:hAnsiTheme="minorEastAsia" w:eastAsiaTheme="minorEastAsia"/>
                <w:sz w:val="24"/>
              </w:rPr>
              <w:t>总氮</w:t>
            </w:r>
            <w:r>
              <w:rPr>
                <w:rFonts w:hint="eastAsia" w:asciiTheme="minorEastAsia" w:hAnsiTheme="minorEastAsia" w:eastAsiaTheme="minorEastAsia"/>
                <w:sz w:val="24"/>
              </w:rPr>
              <w:t>指标超过</w:t>
            </w:r>
            <w:r>
              <w:rPr>
                <w:rFonts w:asciiTheme="minorEastAsia" w:hAnsiTheme="minorEastAsia" w:eastAsiaTheme="minorEastAsia"/>
                <w:kern w:val="10"/>
                <w:sz w:val="24"/>
              </w:rPr>
              <w:t>满足《地表水环境质量标准》(GB3838-2002)中IV类标准要求</w:t>
            </w:r>
            <w:r>
              <w:rPr>
                <w:rFonts w:hint="eastAsia" w:asciiTheme="minorEastAsia" w:hAnsiTheme="minorEastAsia" w:eastAsiaTheme="minorEastAsia"/>
                <w:kern w:val="10"/>
                <w:sz w:val="24"/>
              </w:rPr>
              <w:t>，其余</w:t>
            </w:r>
            <w:r>
              <w:rPr>
                <w:rFonts w:asciiTheme="minorEastAsia" w:hAnsiTheme="minorEastAsia" w:eastAsiaTheme="minorEastAsia"/>
                <w:kern w:val="10"/>
                <w:sz w:val="24"/>
              </w:rPr>
              <w:t>各项监测指标均满足《地表水环境质量标准》(GB3838-2002)中IV类标准要求。</w:t>
            </w:r>
            <w:r>
              <w:rPr>
                <w:rFonts w:hint="eastAsia" w:asciiTheme="minorEastAsia" w:hAnsiTheme="minorEastAsia" w:eastAsiaTheme="minorEastAsia"/>
                <w:kern w:val="10"/>
                <w:sz w:val="24"/>
              </w:rPr>
              <w:t>超标原因为上游未处理的生活污水直接排入湫水河造成的。</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三、声环境质量现状</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为</w:t>
            </w:r>
            <w:r>
              <w:rPr>
                <w:rFonts w:hint="eastAsia" w:asciiTheme="minorEastAsia" w:hAnsiTheme="minorEastAsia" w:eastAsiaTheme="minorEastAsia"/>
                <w:kern w:val="10"/>
                <w:sz w:val="24"/>
              </w:rPr>
              <w:t>了解</w:t>
            </w:r>
            <w:r>
              <w:rPr>
                <w:rFonts w:asciiTheme="minorEastAsia" w:hAnsiTheme="minorEastAsia" w:eastAsiaTheme="minorEastAsia"/>
                <w:kern w:val="10"/>
                <w:sz w:val="24"/>
              </w:rPr>
              <w:t>本项目所在地声环境本底状况，准确预测分析本项目投产后可能造成的噪声影响程度</w:t>
            </w: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有限公司于2022年9</w:t>
            </w:r>
            <w:r>
              <w:rPr>
                <w:rFonts w:hint="eastAsia" w:asciiTheme="minorEastAsia" w:hAnsiTheme="minorEastAsia" w:eastAsiaTheme="minorEastAsia"/>
                <w:kern w:val="10"/>
                <w:sz w:val="24"/>
              </w:rPr>
              <w:t>月</w:t>
            </w:r>
            <w:r>
              <w:rPr>
                <w:rFonts w:asciiTheme="minorEastAsia" w:hAnsiTheme="minorEastAsia" w:eastAsiaTheme="minorEastAsia"/>
                <w:kern w:val="10"/>
                <w:sz w:val="24"/>
              </w:rPr>
              <w:t>21</w:t>
            </w:r>
            <w:r>
              <w:rPr>
                <w:rFonts w:hint="eastAsia" w:asciiTheme="minorEastAsia" w:hAnsiTheme="minorEastAsia" w:eastAsiaTheme="minorEastAsia"/>
                <w:kern w:val="10"/>
                <w:sz w:val="24"/>
              </w:rPr>
              <w:t>日</w:t>
            </w:r>
            <w:r>
              <w:rPr>
                <w:rFonts w:asciiTheme="minorEastAsia" w:hAnsiTheme="minorEastAsia" w:eastAsiaTheme="minorEastAsia"/>
                <w:kern w:val="10"/>
                <w:sz w:val="24"/>
              </w:rPr>
              <w:t>对</w:t>
            </w:r>
            <w:r>
              <w:rPr>
                <w:rFonts w:hint="eastAsia" w:asciiTheme="minorEastAsia" w:hAnsiTheme="minorEastAsia" w:eastAsiaTheme="minorEastAsia"/>
                <w:kern w:val="10"/>
                <w:sz w:val="24"/>
              </w:rPr>
              <w:t>污水处理厂</w:t>
            </w:r>
            <w:r>
              <w:rPr>
                <w:rFonts w:asciiTheme="minorEastAsia" w:hAnsiTheme="minorEastAsia" w:eastAsiaTheme="minorEastAsia"/>
                <w:kern w:val="10"/>
                <w:sz w:val="24"/>
              </w:rPr>
              <w:t>所在地场界四周进行了噪声现状监测</w:t>
            </w:r>
            <w:r>
              <w:rPr>
                <w:rFonts w:hint="eastAsia" w:asciiTheme="minorEastAsia" w:hAnsiTheme="minorEastAsia" w:eastAsiaTheme="minorEastAsia"/>
                <w:kern w:val="10"/>
                <w:sz w:val="24"/>
              </w:rPr>
              <w:t>。</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监测布点</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根据工程特征和具体环境状况，</w:t>
            </w:r>
            <w:r>
              <w:rPr>
                <w:rFonts w:hint="eastAsia" w:asciiTheme="minorEastAsia" w:hAnsiTheme="minorEastAsia" w:eastAsiaTheme="minorEastAsia"/>
                <w:kern w:val="10"/>
                <w:sz w:val="24"/>
              </w:rPr>
              <w:t>污水处理厂周边5</w:t>
            </w:r>
            <w:r>
              <w:rPr>
                <w:rFonts w:asciiTheme="minorEastAsia" w:hAnsiTheme="minorEastAsia" w:eastAsiaTheme="minorEastAsia"/>
                <w:kern w:val="10"/>
                <w:sz w:val="24"/>
              </w:rPr>
              <w:t>0m</w:t>
            </w:r>
            <w:r>
              <w:rPr>
                <w:rFonts w:hint="eastAsia" w:asciiTheme="minorEastAsia" w:hAnsiTheme="minorEastAsia" w:eastAsiaTheme="minorEastAsia"/>
                <w:kern w:val="10"/>
                <w:sz w:val="24"/>
              </w:rPr>
              <w:t>范围内没有敏感点存在，故仅在污水处理厂四周各设1个监测点，共设4个监测点。</w:t>
            </w:r>
          </w:p>
          <w:p>
            <w:pPr>
              <w:spacing w:line="500" w:lineRule="exact"/>
              <w:ind w:firstLine="480" w:firstLineChars="200"/>
              <w:rPr>
                <w:rFonts w:asciiTheme="minorEastAsia" w:hAnsiTheme="minorEastAsia" w:eastAsiaTheme="minorEastAsia"/>
                <w:spacing w:val="4"/>
                <w:sz w:val="24"/>
              </w:rPr>
            </w:pPr>
            <w:r>
              <w:rPr>
                <w:rFonts w:asciiTheme="minorEastAsia" w:hAnsiTheme="minorEastAsia" w:eastAsiaTheme="minorEastAsia"/>
                <w:kern w:val="10"/>
                <w:sz w:val="24"/>
              </w:rPr>
              <w:t>监测布点情况</w:t>
            </w:r>
            <w:r>
              <w:rPr>
                <w:rFonts w:hint="eastAsia" w:asciiTheme="minorEastAsia" w:hAnsiTheme="minorEastAsia" w:eastAsiaTheme="minorEastAsia"/>
                <w:kern w:val="10"/>
                <w:sz w:val="24"/>
              </w:rPr>
              <w:t>见</w:t>
            </w:r>
            <w:r>
              <w:rPr>
                <w:rFonts w:asciiTheme="minorEastAsia" w:hAnsiTheme="minorEastAsia" w:eastAsiaTheme="minorEastAsia"/>
                <w:kern w:val="10"/>
                <w:sz w:val="24"/>
              </w:rPr>
              <w:t>图</w:t>
            </w:r>
            <w:r>
              <w:rPr>
                <w:rFonts w:hint="eastAsia" w:asciiTheme="minorEastAsia" w:hAnsiTheme="minorEastAsia" w:eastAsiaTheme="minorEastAsia"/>
                <w:kern w:val="10"/>
                <w:sz w:val="24"/>
              </w:rPr>
              <w:t>3-2</w:t>
            </w:r>
            <w:r>
              <w:rPr>
                <w:rFonts w:asciiTheme="minorEastAsia" w:hAnsiTheme="minorEastAsia" w:eastAsiaTheme="minorEastAsia"/>
                <w:kern w:val="10"/>
                <w:sz w:val="24"/>
              </w:rPr>
              <w:t>。</w:t>
            </w:r>
          </w:p>
          <w:p>
            <w:pPr>
              <w:ind w:firstLine="420" w:firstLineChars="200"/>
              <w:jc w:val="center"/>
              <w:rPr>
                <w:rFonts w:asciiTheme="minorEastAsia" w:hAnsiTheme="minorEastAsia" w:eastAsiaTheme="minorEastAsia"/>
                <w:spacing w:val="4"/>
                <w:sz w:val="24"/>
              </w:rPr>
            </w:pPr>
            <w:r>
              <w:drawing>
                <wp:inline distT="0" distB="0" distL="0" distR="0">
                  <wp:extent cx="4048125" cy="2714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4048125" cy="2714625"/>
                          </a:xfrm>
                          <a:prstGeom prst="rect">
                            <a:avLst/>
                          </a:prstGeom>
                        </pic:spPr>
                      </pic:pic>
                    </a:graphicData>
                  </a:graphic>
                </wp:inline>
              </w:drawing>
            </w:r>
          </w:p>
          <w:p>
            <w:pPr>
              <w:spacing w:line="500" w:lineRule="exact"/>
              <w:jc w:val="center"/>
              <w:rPr>
                <w:rFonts w:asciiTheme="minorEastAsia" w:hAnsiTheme="minorEastAsia" w:eastAsiaTheme="minorEastAsia"/>
                <w:spacing w:val="4"/>
                <w:sz w:val="24"/>
              </w:rPr>
            </w:pPr>
            <w:r>
              <w:rPr>
                <w:rFonts w:asciiTheme="minorEastAsia" w:hAnsiTheme="minorEastAsia" w:eastAsiaTheme="minorEastAsia"/>
                <w:spacing w:val="4"/>
                <w:sz w:val="24"/>
              </w:rPr>
              <w:t>图</w:t>
            </w:r>
            <w:r>
              <w:rPr>
                <w:rFonts w:hint="eastAsia" w:asciiTheme="minorEastAsia" w:hAnsiTheme="minorEastAsia" w:eastAsiaTheme="minorEastAsia"/>
                <w:spacing w:val="4"/>
                <w:sz w:val="24"/>
              </w:rPr>
              <w:t>3-2</w:t>
            </w:r>
            <w:r>
              <w:rPr>
                <w:rFonts w:asciiTheme="minorEastAsia" w:hAnsiTheme="minorEastAsia" w:eastAsiaTheme="minorEastAsia"/>
                <w:spacing w:val="4"/>
                <w:sz w:val="24"/>
              </w:rPr>
              <w:t xml:space="preserve">    </w:t>
            </w:r>
            <w:r>
              <w:rPr>
                <w:rFonts w:hint="eastAsia" w:asciiTheme="minorEastAsia" w:hAnsiTheme="minorEastAsia" w:eastAsiaTheme="minorEastAsia"/>
                <w:spacing w:val="4"/>
                <w:sz w:val="24"/>
              </w:rPr>
              <w:t>污水处理厂周边噪声监测点位示意图</w:t>
            </w:r>
          </w:p>
          <w:p>
            <w:pPr>
              <w:spacing w:line="500" w:lineRule="exact"/>
              <w:rPr>
                <w:rFonts w:asciiTheme="minorEastAsia" w:hAnsiTheme="minorEastAsia" w:eastAsiaTheme="minorEastAsia"/>
                <w:spacing w:val="4"/>
                <w:sz w:val="24"/>
              </w:rPr>
            </w:pP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2、</w:t>
            </w:r>
            <w:r>
              <w:rPr>
                <w:rFonts w:asciiTheme="minorEastAsia" w:hAnsiTheme="minorEastAsia" w:eastAsiaTheme="minorEastAsia"/>
                <w:spacing w:val="4"/>
                <w:sz w:val="24"/>
              </w:rPr>
              <w:t>监测时间与时段</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本次噪声现状监测于2022年9</w:t>
            </w:r>
            <w:r>
              <w:rPr>
                <w:rFonts w:hint="eastAsia" w:asciiTheme="minorEastAsia" w:hAnsiTheme="minorEastAsia" w:eastAsiaTheme="minorEastAsia"/>
                <w:spacing w:val="4"/>
                <w:sz w:val="24"/>
              </w:rPr>
              <w:t>月</w:t>
            </w:r>
            <w:r>
              <w:rPr>
                <w:rFonts w:asciiTheme="minorEastAsia" w:hAnsiTheme="minorEastAsia" w:eastAsiaTheme="minorEastAsia"/>
                <w:spacing w:val="4"/>
                <w:sz w:val="24"/>
              </w:rPr>
              <w:t>21</w:t>
            </w:r>
            <w:r>
              <w:rPr>
                <w:rFonts w:hint="eastAsia" w:asciiTheme="minorEastAsia" w:hAnsiTheme="minorEastAsia" w:eastAsiaTheme="minorEastAsia"/>
                <w:spacing w:val="4"/>
                <w:sz w:val="24"/>
              </w:rPr>
              <w:t>日</w:t>
            </w:r>
            <w:r>
              <w:rPr>
                <w:rFonts w:asciiTheme="minorEastAsia" w:hAnsiTheme="minorEastAsia" w:eastAsiaTheme="minorEastAsia"/>
                <w:spacing w:val="4"/>
                <w:sz w:val="24"/>
              </w:rPr>
              <w:t>进行，监测1天，昼、夜各测1次，昼间监测在8</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00～12</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00和14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00～18</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00进行，夜间在23</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00～次晨</w:t>
            </w:r>
            <w:r>
              <w:rPr>
                <w:rFonts w:hint="eastAsia" w:asciiTheme="minorEastAsia" w:hAnsiTheme="minorEastAsia" w:eastAsiaTheme="minorEastAsia"/>
                <w:spacing w:val="4"/>
                <w:sz w:val="24"/>
              </w:rPr>
              <w:t>6:</w:t>
            </w:r>
            <w:r>
              <w:rPr>
                <w:rFonts w:asciiTheme="minorEastAsia" w:hAnsiTheme="minorEastAsia" w:eastAsiaTheme="minorEastAsia"/>
                <w:spacing w:val="4"/>
                <w:sz w:val="24"/>
              </w:rPr>
              <w:t>00进行。</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3、</w:t>
            </w:r>
            <w:r>
              <w:rPr>
                <w:rFonts w:asciiTheme="minorEastAsia" w:hAnsiTheme="minorEastAsia" w:eastAsiaTheme="minorEastAsia"/>
                <w:spacing w:val="4"/>
                <w:sz w:val="24"/>
              </w:rPr>
              <w:t>监测结果</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噪声监测结果汇总于表</w:t>
            </w:r>
            <w:r>
              <w:rPr>
                <w:rFonts w:hint="eastAsia" w:asciiTheme="minorEastAsia" w:hAnsiTheme="minorEastAsia" w:eastAsiaTheme="minorEastAsia"/>
                <w:spacing w:val="4"/>
                <w:sz w:val="24"/>
              </w:rPr>
              <w:t>3-</w:t>
            </w:r>
            <w:r>
              <w:rPr>
                <w:rFonts w:asciiTheme="minorEastAsia" w:hAnsiTheme="minorEastAsia" w:eastAsiaTheme="minorEastAsia"/>
                <w:spacing w:val="4"/>
                <w:sz w:val="24"/>
              </w:rPr>
              <w:t>4中，表中数据反映了厂址周围环境噪声现状。</w:t>
            </w:r>
          </w:p>
          <w:p>
            <w:pPr>
              <w:spacing w:line="500" w:lineRule="exact"/>
              <w:ind w:firstLine="48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3-</w:t>
            </w:r>
            <w:r>
              <w:rPr>
                <w:rFonts w:asciiTheme="minorEastAsia" w:hAnsiTheme="minorEastAsia" w:eastAsiaTheme="minorEastAsia"/>
                <w:sz w:val="24"/>
              </w:rPr>
              <w:t>4    声环境质量现状监测结果表</w:t>
            </w: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953"/>
              <w:gridCol w:w="912"/>
              <w:gridCol w:w="913"/>
              <w:gridCol w:w="913"/>
              <w:gridCol w:w="915"/>
              <w:gridCol w:w="954"/>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测点编号</w:t>
                  </w:r>
                </w:p>
              </w:tc>
              <w:tc>
                <w:tcPr>
                  <w:tcW w:w="556"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监测时段</w:t>
                  </w:r>
                </w:p>
              </w:tc>
              <w:tc>
                <w:tcPr>
                  <w:tcW w:w="2132" w:type="pct"/>
                  <w:gridSpan w:val="4"/>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监测结果</w:t>
                  </w:r>
                </w:p>
              </w:tc>
              <w:tc>
                <w:tcPr>
                  <w:tcW w:w="557"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标准</w:t>
                  </w:r>
                </w:p>
              </w:tc>
              <w:tc>
                <w:tcPr>
                  <w:tcW w:w="604"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Merge w:val="continue"/>
                  <w:vAlign w:val="center"/>
                </w:tcPr>
                <w:p>
                  <w:pPr>
                    <w:spacing w:line="400" w:lineRule="exact"/>
                    <w:jc w:val="center"/>
                    <w:rPr>
                      <w:rFonts w:asciiTheme="minorEastAsia" w:hAnsiTheme="minorEastAsia" w:eastAsiaTheme="minorEastAsia"/>
                      <w:szCs w:val="21"/>
                    </w:rPr>
                  </w:pPr>
                </w:p>
              </w:tc>
              <w:tc>
                <w:tcPr>
                  <w:tcW w:w="2132" w:type="pct"/>
                  <w:gridSpan w:val="4"/>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2022年9月21日</w:t>
                  </w:r>
                </w:p>
              </w:tc>
              <w:tc>
                <w:tcPr>
                  <w:tcW w:w="557" w:type="pct"/>
                  <w:vMerge w:val="continue"/>
                </w:tcPr>
                <w:p>
                  <w:pPr>
                    <w:spacing w:line="400" w:lineRule="exact"/>
                    <w:jc w:val="center"/>
                    <w:rPr>
                      <w:rFonts w:asciiTheme="minorEastAsia" w:hAnsiTheme="minorEastAsia" w:eastAsiaTheme="minorEastAsia"/>
                      <w:szCs w:val="21"/>
                    </w:rPr>
                  </w:pPr>
                </w:p>
              </w:tc>
              <w:tc>
                <w:tcPr>
                  <w:tcW w:w="604" w:type="pct"/>
                  <w:vMerge w:val="continue"/>
                </w:tcPr>
                <w:p>
                  <w:pPr>
                    <w:spacing w:line="4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Merge w:val="continue"/>
                  <w:vAlign w:val="center"/>
                </w:tcPr>
                <w:p>
                  <w:pPr>
                    <w:spacing w:line="400" w:lineRule="exact"/>
                    <w:jc w:val="center"/>
                    <w:rPr>
                      <w:rFonts w:asciiTheme="minorEastAsia" w:hAnsiTheme="minorEastAsia" w:eastAsiaTheme="minorEastAsia"/>
                      <w:szCs w:val="21"/>
                    </w:rPr>
                  </w:pPr>
                </w:p>
              </w:tc>
              <w:tc>
                <w:tcPr>
                  <w:tcW w:w="53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Leq</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L90</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L50</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L10</w:t>
                  </w:r>
                </w:p>
              </w:tc>
              <w:tc>
                <w:tcPr>
                  <w:tcW w:w="557" w:type="pct"/>
                  <w:vMerge w:val="continue"/>
                </w:tcPr>
                <w:p>
                  <w:pPr>
                    <w:spacing w:line="400" w:lineRule="exact"/>
                    <w:jc w:val="center"/>
                    <w:rPr>
                      <w:rFonts w:asciiTheme="minorEastAsia" w:hAnsiTheme="minorEastAsia" w:eastAsiaTheme="minorEastAsia"/>
                      <w:szCs w:val="21"/>
                    </w:rPr>
                  </w:pPr>
                </w:p>
              </w:tc>
              <w:tc>
                <w:tcPr>
                  <w:tcW w:w="604" w:type="pct"/>
                  <w:vMerge w:val="continue"/>
                </w:tcPr>
                <w:p>
                  <w:pPr>
                    <w:spacing w:line="4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1#污水处理厂</w:t>
                  </w:r>
                  <w:r>
                    <w:rPr>
                      <w:rFonts w:hint="eastAsia" w:asciiTheme="minorEastAsia" w:hAnsiTheme="minorEastAsia" w:eastAsiaTheme="minorEastAsia"/>
                      <w:szCs w:val="21"/>
                    </w:rPr>
                    <w:t>北</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9.9</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7.2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9.4</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1.8</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3</w:t>
                  </w:r>
                  <w:r>
                    <w:rPr>
                      <w:rFonts w:asciiTheme="minorEastAsia" w:hAnsiTheme="minorEastAsia" w:eastAsiaTheme="minorEastAsia"/>
                      <w:spacing w:val="6"/>
                      <w:szCs w:val="21"/>
                    </w:rPr>
                    <w:t>9.8</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0.7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2.1</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2#污水处理厂</w:t>
                  </w:r>
                  <w:r>
                    <w:rPr>
                      <w:rFonts w:hint="eastAsia" w:asciiTheme="minorEastAsia" w:hAnsiTheme="minorEastAsia" w:eastAsiaTheme="minorEastAsia"/>
                      <w:szCs w:val="21"/>
                    </w:rPr>
                    <w:t>东</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0.7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8.3</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0.2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2.5</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1.1</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3</w:t>
                  </w:r>
                  <w:r>
                    <w:rPr>
                      <w:rFonts w:asciiTheme="minorEastAsia" w:hAnsiTheme="minorEastAsia" w:eastAsiaTheme="minorEastAsia"/>
                      <w:spacing w:val="6"/>
                      <w:szCs w:val="21"/>
                    </w:rPr>
                    <w:t>9.9</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0.7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2.1</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3#污水处理厂</w:t>
                  </w:r>
                  <w:r>
                    <w:rPr>
                      <w:rFonts w:hint="eastAsia" w:asciiTheme="minorEastAsia" w:hAnsiTheme="minorEastAsia" w:eastAsiaTheme="minorEastAsia"/>
                      <w:szCs w:val="21"/>
                    </w:rPr>
                    <w:t>南</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1.8</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9.4</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1.1</w:t>
                  </w:r>
                </w:p>
              </w:tc>
              <w:tc>
                <w:tcPr>
                  <w:tcW w:w="533"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3.5</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1.0</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3</w:t>
                  </w:r>
                  <w:r>
                    <w:rPr>
                      <w:rFonts w:asciiTheme="minorEastAsia" w:hAnsiTheme="minorEastAsia" w:eastAsiaTheme="minorEastAsia"/>
                      <w:spacing w:val="6"/>
                      <w:szCs w:val="21"/>
                    </w:rPr>
                    <w:t>9.5</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40.2</w:t>
                  </w:r>
                </w:p>
              </w:tc>
              <w:tc>
                <w:tcPr>
                  <w:tcW w:w="533"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2.1</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污水处理厂</w:t>
                  </w:r>
                  <w:r>
                    <w:rPr>
                      <w:rFonts w:hint="eastAsia" w:asciiTheme="minorEastAsia" w:hAnsiTheme="minorEastAsia" w:eastAsiaTheme="minorEastAsia"/>
                      <w:szCs w:val="21"/>
                    </w:rPr>
                    <w:t>西</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1.2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9.5</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0.4</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2.1</w:t>
                  </w:r>
                </w:p>
              </w:tc>
              <w:tc>
                <w:tcPr>
                  <w:tcW w:w="557"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6</w:t>
                  </w:r>
                  <w:r>
                    <w:rPr>
                      <w:rFonts w:asciiTheme="minorEastAsia" w:hAnsiTheme="minorEastAsia" w:eastAsiaTheme="minorEastAsia"/>
                      <w:spacing w:val="6"/>
                      <w:szCs w:val="21"/>
                    </w:rPr>
                    <w:t>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1.3</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3</w:t>
                  </w:r>
                  <w:r>
                    <w:rPr>
                      <w:rFonts w:asciiTheme="minorEastAsia" w:hAnsiTheme="minorEastAsia" w:eastAsiaTheme="minorEastAsia"/>
                      <w:spacing w:val="6"/>
                      <w:szCs w:val="21"/>
                    </w:rPr>
                    <w:t>9.8</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0.7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2.9</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4、</w:t>
            </w:r>
            <w:r>
              <w:rPr>
                <w:rFonts w:asciiTheme="minorEastAsia" w:hAnsiTheme="minorEastAsia" w:eastAsiaTheme="minorEastAsia"/>
                <w:kern w:val="10"/>
                <w:sz w:val="24"/>
              </w:rPr>
              <w:t>声环境质量现状评价</w:t>
            </w:r>
          </w:p>
          <w:p>
            <w:pPr>
              <w:spacing w:line="500" w:lineRule="exact"/>
              <w:ind w:firstLine="496" w:firstLineChars="200"/>
              <w:rPr>
                <w:rFonts w:asciiTheme="minorEastAsia" w:hAnsiTheme="minorEastAsia" w:eastAsiaTheme="minorEastAsia"/>
                <w:spacing w:val="4"/>
                <w:sz w:val="24"/>
              </w:rPr>
            </w:pPr>
            <w:r>
              <w:rPr>
                <w:rFonts w:hint="eastAsia" w:cs="宋体" w:asciiTheme="minorEastAsia" w:hAnsiTheme="minorEastAsia" w:eastAsiaTheme="minorEastAsia"/>
                <w:spacing w:val="4"/>
                <w:sz w:val="24"/>
              </w:rPr>
              <w:t>①</w:t>
            </w:r>
            <w:r>
              <w:rPr>
                <w:rFonts w:asciiTheme="minorEastAsia" w:hAnsiTheme="minorEastAsia" w:eastAsiaTheme="minorEastAsia"/>
                <w:spacing w:val="4"/>
                <w:sz w:val="24"/>
              </w:rPr>
              <w:t>评价方法及标准</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根据监测统计结果，采用比标法对评价范围声环境质量现状进行评价。项目污水处理厂四周执行《声环境质量标准》(GB3096-2008)中2类标准。</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②</w:t>
            </w:r>
            <w:r>
              <w:rPr>
                <w:rFonts w:asciiTheme="minorEastAsia" w:hAnsiTheme="minorEastAsia" w:eastAsiaTheme="minorEastAsia"/>
                <w:spacing w:val="4"/>
                <w:sz w:val="24"/>
              </w:rPr>
              <w:t>声环境现状评价</w:t>
            </w:r>
          </w:p>
          <w:p>
            <w:pPr>
              <w:tabs>
                <w:tab w:val="left" w:pos="900"/>
              </w:tabs>
              <w:spacing w:line="500" w:lineRule="exact"/>
              <w:ind w:firstLine="496" w:firstLineChars="200"/>
              <w:rPr>
                <w:rFonts w:asciiTheme="minorEastAsia" w:hAnsiTheme="minorEastAsia" w:eastAsiaTheme="minorEastAsia"/>
                <w:sz w:val="24"/>
                <w:lang w:val="zh-CN"/>
              </w:rPr>
            </w:pPr>
            <w:r>
              <w:rPr>
                <w:rFonts w:asciiTheme="minorEastAsia" w:hAnsiTheme="minorEastAsia" w:eastAsiaTheme="minorEastAsia"/>
                <w:spacing w:val="4"/>
                <w:sz w:val="24"/>
              </w:rPr>
              <w:t>由表3-4可知，污水处理厂四周</w:t>
            </w:r>
            <w:r>
              <w:rPr>
                <w:rFonts w:hint="eastAsia" w:asciiTheme="minorEastAsia" w:hAnsiTheme="minorEastAsia" w:eastAsiaTheme="minorEastAsia"/>
                <w:spacing w:val="4"/>
                <w:sz w:val="24"/>
              </w:rPr>
              <w:t>1#-</w:t>
            </w: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监测点满足《声环境质量标准》(GB3096-2008)2类区标准限值要求，项目所在地声环境质量较好。</w:t>
            </w:r>
          </w:p>
          <w:p>
            <w:pPr>
              <w:pStyle w:val="24"/>
              <w:rPr>
                <w:rFonts w:asciiTheme="minorEastAsia" w:hAnsiTheme="minorEastAsia" w:eastAsiaTheme="minorEastAsia"/>
                <w:b/>
                <w:snapToGrid w:val="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环境</w:t>
            </w:r>
          </w:p>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保护</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目标</w:t>
            </w:r>
          </w:p>
        </w:tc>
        <w:tc>
          <w:tcPr>
            <w:tcW w:w="8794" w:type="dxa"/>
            <w:vAlign w:val="center"/>
          </w:tcPr>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1、大气和声环境保护目标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经现场踏勘了解，污水处理</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自然保护区、风景名胜区、文化区，涉及500</w:t>
            </w:r>
            <w:r>
              <w:rPr>
                <w:rFonts w:asciiTheme="minorEastAsia" w:hAnsiTheme="minorEastAsia" w:eastAsiaTheme="minorEastAsia"/>
                <w:sz w:val="24"/>
                <w:lang w:val="zh-CN"/>
              </w:rPr>
              <w:t>m范围内</w:t>
            </w:r>
            <w:r>
              <w:rPr>
                <w:rFonts w:asciiTheme="minorEastAsia" w:hAnsiTheme="minorEastAsia" w:eastAsiaTheme="minorEastAsia"/>
                <w:sz w:val="24"/>
              </w:rPr>
              <w:t>大气环境保护目标仅有污水处理</w:t>
            </w:r>
            <w:r>
              <w:rPr>
                <w:rFonts w:asciiTheme="minorEastAsia" w:hAnsiTheme="minorEastAsia" w:eastAsiaTheme="minorEastAsia"/>
                <w:sz w:val="24"/>
                <w:lang w:val="zh-CN"/>
              </w:rPr>
              <w:t>厂厂区边界</w:t>
            </w:r>
            <w:r>
              <w:rPr>
                <w:rFonts w:hint="eastAsia" w:asciiTheme="minorEastAsia" w:hAnsiTheme="minorEastAsia" w:eastAsiaTheme="minorEastAsia"/>
                <w:sz w:val="24"/>
                <w:lang w:val="zh-CN"/>
              </w:rPr>
              <w:t>东</w:t>
            </w:r>
            <w:r>
              <w:rPr>
                <w:rFonts w:asciiTheme="minorEastAsia" w:hAnsiTheme="minorEastAsia" w:eastAsiaTheme="minorEastAsia"/>
                <w:sz w:val="24"/>
              </w:rPr>
              <w:t>侧25</w:t>
            </w:r>
            <w:r>
              <w:rPr>
                <w:rFonts w:hint="eastAsia" w:asciiTheme="minorEastAsia" w:hAnsiTheme="minorEastAsia" w:eastAsiaTheme="minorEastAsia"/>
                <w:sz w:val="24"/>
              </w:rPr>
              <w:t>0</w:t>
            </w:r>
            <w:r>
              <w:rPr>
                <w:rFonts w:asciiTheme="minorEastAsia" w:hAnsiTheme="minorEastAsia" w:eastAsiaTheme="minorEastAsia"/>
                <w:sz w:val="24"/>
              </w:rPr>
              <w:t>m的</w:t>
            </w:r>
            <w:r>
              <w:rPr>
                <w:rFonts w:hint="eastAsia" w:asciiTheme="minorEastAsia" w:hAnsiTheme="minorEastAsia" w:eastAsiaTheme="minorEastAsia"/>
                <w:sz w:val="24"/>
              </w:rPr>
              <w:t>歧道</w:t>
            </w:r>
            <w:r>
              <w:rPr>
                <w:rFonts w:asciiTheme="minorEastAsia" w:hAnsiTheme="minorEastAsia" w:eastAsiaTheme="minorEastAsia"/>
                <w:sz w:val="24"/>
              </w:rPr>
              <w:t>村。污水处理</w:t>
            </w:r>
            <w:r>
              <w:rPr>
                <w:rFonts w:asciiTheme="minorEastAsia" w:hAnsiTheme="minorEastAsia" w:eastAsiaTheme="minorEastAsia"/>
                <w:sz w:val="24"/>
                <w:lang w:val="zh-CN"/>
              </w:rPr>
              <w:t>厂厂区边界向外延伸</w:t>
            </w:r>
            <w:r>
              <w:rPr>
                <w:rFonts w:asciiTheme="minorEastAsia" w:hAnsiTheme="minorEastAsia" w:eastAsiaTheme="minorEastAsia"/>
                <w:sz w:val="24"/>
              </w:rPr>
              <w:t>50</w:t>
            </w:r>
            <w:r>
              <w:rPr>
                <w:rFonts w:asciiTheme="minorEastAsia" w:hAnsiTheme="minorEastAsia" w:eastAsiaTheme="minorEastAsia"/>
                <w:sz w:val="24"/>
                <w:lang w:val="zh-CN"/>
              </w:rPr>
              <w:t>m范围内无声环境保护目标。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、地下水环境保护目标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地下水型集中式饮用水水源和热水、矿泉水、温泉等特殊地下水资源。</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本项目主要环境保护目标见表</w:t>
            </w:r>
            <w:r>
              <w:rPr>
                <w:rFonts w:hint="eastAsia" w:asciiTheme="minorEastAsia" w:hAnsiTheme="minorEastAsia" w:eastAsiaTheme="minorEastAsia"/>
                <w:sz w:val="24"/>
              </w:rPr>
              <w:t>3-</w:t>
            </w:r>
            <w:r>
              <w:rPr>
                <w:rFonts w:asciiTheme="minorEastAsia" w:hAnsiTheme="minorEastAsia" w:eastAsiaTheme="minorEastAsia"/>
                <w:sz w:val="24"/>
              </w:rPr>
              <w:t>5。</w:t>
            </w:r>
          </w:p>
          <w:p>
            <w:pPr>
              <w:widowControl/>
              <w:adjustRightInd w:val="0"/>
              <w:snapToGrid w:val="0"/>
              <w:spacing w:line="500" w:lineRule="exact"/>
              <w:ind w:firstLine="480" w:firstLineChars="200"/>
              <w:rPr>
                <w:rFonts w:asciiTheme="minorEastAsia" w:hAnsiTheme="minorEastAsia" w:eastAsiaTheme="minorEastAsia"/>
                <w:color w:val="FF0000"/>
                <w:sz w:val="24"/>
              </w:rPr>
            </w:pPr>
          </w:p>
          <w:p>
            <w:pPr>
              <w:widowControl/>
              <w:adjustRightInd w:val="0"/>
              <w:snapToGrid w:val="0"/>
              <w:spacing w:line="500" w:lineRule="exact"/>
              <w:ind w:firstLine="480" w:firstLineChars="200"/>
              <w:rPr>
                <w:rFonts w:asciiTheme="minorEastAsia" w:hAnsiTheme="minorEastAsia" w:eastAsiaTheme="minorEastAsia"/>
                <w:color w:val="FF0000"/>
                <w:sz w:val="24"/>
              </w:rPr>
            </w:pPr>
          </w:p>
          <w:p>
            <w:pPr>
              <w:widowControl/>
              <w:adjustRightInd w:val="0"/>
              <w:snapToGrid w:val="0"/>
              <w:spacing w:line="500" w:lineRule="exact"/>
              <w:ind w:firstLine="480" w:firstLineChars="200"/>
              <w:rPr>
                <w:rFonts w:asciiTheme="minorEastAsia" w:hAnsiTheme="minorEastAsia" w:eastAsiaTheme="minorEastAsia"/>
                <w:color w:val="FF0000"/>
                <w:sz w:val="24"/>
              </w:rPr>
            </w:pPr>
          </w:p>
          <w:p>
            <w:pPr>
              <w:widowControl/>
              <w:adjustRightInd w:val="0"/>
              <w:snapToGrid w:val="0"/>
              <w:spacing w:line="500" w:lineRule="exact"/>
              <w:ind w:firstLine="480" w:firstLineChars="200"/>
              <w:rPr>
                <w:rFonts w:asciiTheme="minorEastAsia" w:hAnsiTheme="minorEastAsia" w:eastAsiaTheme="minorEastAsia"/>
                <w:color w:val="FF0000"/>
                <w:sz w:val="24"/>
              </w:rPr>
            </w:pPr>
          </w:p>
          <w:p>
            <w:pPr>
              <w:widowControl/>
              <w:adjustRightInd w:val="0"/>
              <w:snapToGrid w:val="0"/>
              <w:spacing w:line="500" w:lineRule="exact"/>
              <w:ind w:firstLine="480" w:firstLineChars="200"/>
              <w:rPr>
                <w:rFonts w:asciiTheme="minorEastAsia" w:hAnsiTheme="minorEastAsia" w:eastAsiaTheme="minorEastAsia"/>
                <w:color w:val="FF0000"/>
                <w:sz w:val="24"/>
              </w:rPr>
            </w:pPr>
          </w:p>
          <w:p>
            <w:pPr>
              <w:adjustRightInd w:val="0"/>
              <w:snapToGrid w:val="0"/>
              <w:jc w:val="center"/>
              <w:rPr>
                <w:rFonts w:cs="宋体" w:asciiTheme="minorEastAsia" w:hAnsiTheme="minorEastAsia" w:eastAsiaTheme="minorEastAsia"/>
                <w:color w:val="FF0000"/>
                <w:kern w:val="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p>
      <w:pPr>
        <w:snapToGrid w:val="0"/>
        <w:spacing w:line="50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表3-5    主要环境保护目标一览表</w:t>
      </w:r>
    </w:p>
    <w:tbl>
      <w:tblPr>
        <w:tblStyle w:val="28"/>
        <w:tblW w:w="501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83"/>
        <w:gridCol w:w="681"/>
        <w:gridCol w:w="1730"/>
        <w:gridCol w:w="1297"/>
        <w:gridCol w:w="1297"/>
        <w:gridCol w:w="1753"/>
        <w:gridCol w:w="1114"/>
        <w:gridCol w:w="2967"/>
        <w:gridCol w:w="1094"/>
        <w:gridCol w:w="11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54" w:type="pct"/>
            <w:gridSpan w:val="2"/>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环境要素</w:t>
            </w:r>
          </w:p>
        </w:tc>
        <w:tc>
          <w:tcPr>
            <w:tcW w:w="607"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保护目标</w:t>
            </w:r>
          </w:p>
        </w:tc>
        <w:tc>
          <w:tcPr>
            <w:tcW w:w="910"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坐标</w:t>
            </w:r>
          </w:p>
        </w:tc>
        <w:tc>
          <w:tcPr>
            <w:tcW w:w="615"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保护目标</w:t>
            </w:r>
          </w:p>
        </w:tc>
        <w:tc>
          <w:tcPr>
            <w:tcW w:w="391"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保护内容</w:t>
            </w:r>
          </w:p>
        </w:tc>
        <w:tc>
          <w:tcPr>
            <w:tcW w:w="1041" w:type="pct"/>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方位</w:t>
            </w:r>
          </w:p>
        </w:tc>
        <w:tc>
          <w:tcPr>
            <w:tcW w:w="398" w:type="pct"/>
            <w:vMerge w:val="restar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距离</w:t>
            </w:r>
            <w:r>
              <w:rPr>
                <w:rFonts w:hint="eastAsia" w:asciiTheme="minorEastAsia" w:hAnsiTheme="minorEastAsia" w:eastAsiaTheme="minorEastAsia"/>
                <w:szCs w:val="21"/>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654" w:type="pct"/>
            <w:gridSpan w:val="2"/>
            <w:vMerge w:val="continue"/>
            <w:vAlign w:val="center"/>
          </w:tcPr>
          <w:p>
            <w:pPr>
              <w:spacing w:line="360" w:lineRule="exact"/>
              <w:jc w:val="center"/>
              <w:rPr>
                <w:rFonts w:asciiTheme="minorEastAsia" w:hAnsiTheme="minorEastAsia" w:eastAsiaTheme="minorEastAsia"/>
                <w:szCs w:val="21"/>
              </w:rPr>
            </w:pPr>
          </w:p>
        </w:tc>
        <w:tc>
          <w:tcPr>
            <w:tcW w:w="607"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X东经</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Y北纬</w:t>
            </w:r>
          </w:p>
        </w:tc>
        <w:tc>
          <w:tcPr>
            <w:tcW w:w="615" w:type="pct"/>
            <w:vMerge w:val="continue"/>
            <w:vAlign w:val="center"/>
          </w:tcPr>
          <w:p>
            <w:pPr>
              <w:spacing w:line="360" w:lineRule="exact"/>
              <w:jc w:val="center"/>
              <w:rPr>
                <w:rFonts w:asciiTheme="minorEastAsia" w:hAnsiTheme="minorEastAsia" w:eastAsiaTheme="minorEastAsia"/>
                <w:szCs w:val="21"/>
              </w:rPr>
            </w:pPr>
          </w:p>
        </w:tc>
        <w:tc>
          <w:tcPr>
            <w:tcW w:w="391" w:type="pct"/>
            <w:vMerge w:val="continue"/>
            <w:vAlign w:val="center"/>
          </w:tcPr>
          <w:p>
            <w:pPr>
              <w:spacing w:line="360" w:lineRule="exact"/>
              <w:jc w:val="center"/>
              <w:rPr>
                <w:rFonts w:asciiTheme="minorEastAsia" w:hAnsiTheme="minorEastAsia" w:eastAsiaTheme="minorEastAsia"/>
                <w:szCs w:val="21"/>
              </w:rPr>
            </w:pP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39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环境空气</w:t>
            </w:r>
          </w:p>
        </w:tc>
        <w:tc>
          <w:tcPr>
            <w:tcW w:w="239" w:type="pct"/>
            <w:vMerge w:val="restart"/>
            <w:tcBorders>
              <w:left w:val="single" w:color="auto" w:sz="4" w:space="0"/>
            </w:tcBorders>
            <w:vAlign w:val="center"/>
          </w:tcPr>
          <w:p>
            <w:pPr>
              <w:widowControl/>
              <w:spacing w:line="360" w:lineRule="exact"/>
              <w:jc w:val="left"/>
              <w:rPr>
                <w:rFonts w:asciiTheme="minorEastAsia" w:hAnsiTheme="minorEastAsia" w:eastAsiaTheme="minorEastAsia"/>
                <w:szCs w:val="21"/>
              </w:rPr>
            </w:pPr>
            <w:r>
              <w:rPr>
                <w:rFonts w:hint="eastAsia" w:asciiTheme="minorEastAsia" w:hAnsiTheme="minorEastAsia" w:eastAsiaTheme="minorEastAsia"/>
                <w:szCs w:val="21"/>
              </w:rPr>
              <w:t>污水处理厂</w:t>
            </w:r>
          </w:p>
        </w:tc>
        <w:tc>
          <w:tcPr>
            <w:tcW w:w="607" w:type="pct"/>
            <w:tcBorders>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歧道村</w:t>
            </w:r>
          </w:p>
        </w:tc>
        <w:tc>
          <w:tcPr>
            <w:tcW w:w="455"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110.</w:t>
            </w:r>
            <w:r>
              <w:rPr>
                <w:rFonts w:asciiTheme="minorEastAsia" w:hAnsiTheme="minorEastAsia" w:eastAsiaTheme="minorEastAsia"/>
              </w:rPr>
              <w:t>947795</w:t>
            </w:r>
          </w:p>
        </w:tc>
        <w:tc>
          <w:tcPr>
            <w:tcW w:w="455" w:type="pct"/>
            <w:tcBorders>
              <w:lef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37.</w:t>
            </w:r>
            <w:r>
              <w:rPr>
                <w:rFonts w:asciiTheme="minorEastAsia" w:hAnsiTheme="minorEastAsia" w:eastAsiaTheme="minorEastAsia"/>
              </w:rPr>
              <w:t>767819</w:t>
            </w:r>
          </w:p>
        </w:tc>
        <w:tc>
          <w:tcPr>
            <w:tcW w:w="61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歧道村</w:t>
            </w:r>
          </w:p>
        </w:tc>
        <w:tc>
          <w:tcPr>
            <w:tcW w:w="391"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shd w:val="clear" w:color="auto" w:fill="auto"/>
            <w:vAlign w:val="center"/>
          </w:tcPr>
          <w:p>
            <w:pPr>
              <w:spacing w:line="320" w:lineRule="exact"/>
              <w:jc w:val="center"/>
              <w:rPr>
                <w:rFonts w:asciiTheme="minorEastAsia" w:hAnsiTheme="minorEastAsia" w:eastAsiaTheme="minorEastAsia"/>
                <w:szCs w:val="21"/>
              </w:rPr>
            </w:pPr>
            <w:r>
              <w:rPr>
                <w:rFonts w:asciiTheme="minorEastAsia" w:hAnsiTheme="minorEastAsia" w:eastAsiaTheme="minorEastAsia"/>
                <w:szCs w:val="21"/>
              </w:rPr>
              <w:t>《环境空气质量标准》(GB3095-2012)中二级标准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东</w:t>
            </w:r>
          </w:p>
        </w:tc>
        <w:tc>
          <w:tcPr>
            <w:tcW w:w="398" w:type="pct"/>
            <w:tcBorders>
              <w:left w:val="single" w:color="auto" w:sz="4" w:space="0"/>
            </w:tcBorders>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地表水</w:t>
            </w:r>
          </w:p>
        </w:tc>
        <w:tc>
          <w:tcPr>
            <w:tcW w:w="239"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1517"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湫水河</w:t>
            </w:r>
          </w:p>
        </w:tc>
        <w:tc>
          <w:tcPr>
            <w:tcW w:w="615" w:type="pct"/>
            <w:vAlign w:val="center"/>
          </w:tcPr>
          <w:p>
            <w:pPr>
              <w:spacing w:line="360" w:lineRule="exact"/>
              <w:jc w:val="center"/>
              <w:rPr>
                <w:rFonts w:asciiTheme="minorEastAsia" w:hAnsiTheme="minorEastAsia" w:eastAsiaTheme="minorEastAsia"/>
                <w:szCs w:val="21"/>
              </w:rPr>
            </w:pPr>
          </w:p>
        </w:tc>
        <w:tc>
          <w:tcPr>
            <w:tcW w:w="391" w:type="pct"/>
            <w:vAlign w:val="center"/>
          </w:tcPr>
          <w:p>
            <w:pPr>
              <w:spacing w:line="360" w:lineRule="exact"/>
              <w:jc w:val="center"/>
              <w:rPr>
                <w:rFonts w:asciiTheme="minorEastAsia" w:hAnsiTheme="minorEastAsia" w:eastAsiaTheme="minorEastAsia"/>
                <w:szCs w:val="21"/>
              </w:rPr>
            </w:pPr>
          </w:p>
        </w:tc>
        <w:tc>
          <w:tcPr>
            <w:tcW w:w="1041" w:type="pct"/>
            <w:vAlign w:val="center"/>
          </w:tcPr>
          <w:p>
            <w:pPr>
              <w:pStyle w:val="85"/>
              <w:rPr>
                <w:rFonts w:asciiTheme="minorEastAsia" w:hAnsiTheme="minorEastAsia" w:eastAsiaTheme="minorEastAsia"/>
                <w:color w:val="auto"/>
              </w:rPr>
            </w:pPr>
            <w:r>
              <w:rPr>
                <w:rFonts w:asciiTheme="minorEastAsia" w:hAnsiTheme="minorEastAsia" w:eastAsiaTheme="minorEastAsia"/>
                <w:color w:val="auto"/>
              </w:rPr>
              <w:t>《地表水环境质量标准》(GB3838-2002)IV类</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西</w:t>
            </w:r>
          </w:p>
        </w:tc>
        <w:tc>
          <w:tcPr>
            <w:tcW w:w="398" w:type="pct"/>
            <w:tcBorders>
              <w:lef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地下水</w:t>
            </w:r>
          </w:p>
        </w:tc>
        <w:tc>
          <w:tcPr>
            <w:tcW w:w="239"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1517"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区域地下水</w:t>
            </w:r>
          </w:p>
        </w:tc>
        <w:tc>
          <w:tcPr>
            <w:tcW w:w="615"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1041" w:type="pct"/>
            <w:vAlign w:val="center"/>
          </w:tcPr>
          <w:p>
            <w:pPr>
              <w:pStyle w:val="85"/>
              <w:rPr>
                <w:rFonts w:asciiTheme="minorEastAsia" w:hAnsiTheme="minorEastAsia" w:eastAsiaTheme="minorEastAsia"/>
                <w:color w:val="auto"/>
              </w:rPr>
            </w:pPr>
            <w:r>
              <w:rPr>
                <w:rFonts w:asciiTheme="minorEastAsia" w:hAnsiTheme="minorEastAsia" w:eastAsiaTheme="minorEastAsia"/>
                <w:color w:val="auto"/>
              </w:rPr>
              <w:t>《地下水质量标准》(GB/T14848-2017)Ⅲ类标准</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w:t>
            </w:r>
          </w:p>
        </w:tc>
        <w:tc>
          <w:tcPr>
            <w:tcW w:w="398" w:type="pct"/>
            <w:tcBorders>
              <w:lef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声环境</w:t>
            </w:r>
          </w:p>
        </w:tc>
        <w:tc>
          <w:tcPr>
            <w:tcW w:w="239"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2523" w:type="pct"/>
            <w:gridSpan w:val="5"/>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厂界环境噪声</w:t>
            </w:r>
          </w:p>
        </w:tc>
        <w:tc>
          <w:tcPr>
            <w:tcW w:w="1041" w:type="pct"/>
            <w:shd w:val="clear" w:color="auto" w:fill="auto"/>
            <w:vAlign w:val="center"/>
          </w:tcPr>
          <w:p>
            <w:pPr>
              <w:pStyle w:val="85"/>
              <w:rPr>
                <w:rFonts w:asciiTheme="minorEastAsia" w:hAnsiTheme="minorEastAsia" w:eastAsiaTheme="minorEastAsia"/>
                <w:color w:val="auto"/>
              </w:rPr>
            </w:pPr>
            <w:r>
              <w:rPr>
                <w:rFonts w:hint="eastAsia" w:asciiTheme="minorEastAsia" w:hAnsiTheme="minorEastAsia" w:eastAsiaTheme="minorEastAsia"/>
                <w:color w:val="auto"/>
              </w:rPr>
              <w:t>《声环境质量标准》(GB3096-2008)中2类标准</w:t>
            </w:r>
          </w:p>
        </w:tc>
        <w:tc>
          <w:tcPr>
            <w:tcW w:w="782" w:type="pct"/>
            <w:gridSpan w:val="2"/>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654" w:type="pct"/>
            <w:gridSpan w:val="2"/>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环境要素</w:t>
            </w:r>
          </w:p>
        </w:tc>
        <w:tc>
          <w:tcPr>
            <w:tcW w:w="607"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保护目标</w:t>
            </w:r>
          </w:p>
        </w:tc>
        <w:tc>
          <w:tcPr>
            <w:tcW w:w="910"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坐标</w:t>
            </w:r>
          </w:p>
        </w:tc>
        <w:tc>
          <w:tcPr>
            <w:tcW w:w="615"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保护目标</w:t>
            </w:r>
          </w:p>
        </w:tc>
        <w:tc>
          <w:tcPr>
            <w:tcW w:w="391"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保护内容</w:t>
            </w:r>
          </w:p>
        </w:tc>
        <w:tc>
          <w:tcPr>
            <w:tcW w:w="1041" w:type="pct"/>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方位</w:t>
            </w:r>
          </w:p>
        </w:tc>
        <w:tc>
          <w:tcPr>
            <w:tcW w:w="398" w:type="pct"/>
            <w:vMerge w:val="restar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距离</w:t>
            </w:r>
            <w:r>
              <w:rPr>
                <w:rFonts w:hint="eastAsia" w:asciiTheme="minorEastAsia" w:hAnsiTheme="minorEastAsia" w:eastAsiaTheme="minorEastAsia"/>
                <w:szCs w:val="21"/>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654" w:type="pct"/>
            <w:gridSpan w:val="2"/>
            <w:vMerge w:val="continue"/>
            <w:vAlign w:val="center"/>
          </w:tcPr>
          <w:p>
            <w:pPr>
              <w:spacing w:line="360" w:lineRule="exact"/>
              <w:jc w:val="center"/>
              <w:rPr>
                <w:rFonts w:asciiTheme="minorEastAsia" w:hAnsiTheme="minorEastAsia" w:eastAsiaTheme="minorEastAsia"/>
                <w:szCs w:val="21"/>
              </w:rPr>
            </w:pPr>
          </w:p>
        </w:tc>
        <w:tc>
          <w:tcPr>
            <w:tcW w:w="607"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X东经</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Y北纬</w:t>
            </w:r>
          </w:p>
        </w:tc>
        <w:tc>
          <w:tcPr>
            <w:tcW w:w="615" w:type="pct"/>
            <w:vMerge w:val="continue"/>
            <w:vAlign w:val="center"/>
          </w:tcPr>
          <w:p>
            <w:pPr>
              <w:spacing w:line="360" w:lineRule="exact"/>
              <w:jc w:val="center"/>
              <w:rPr>
                <w:rFonts w:asciiTheme="minorEastAsia" w:hAnsiTheme="minorEastAsia" w:eastAsiaTheme="minorEastAsia"/>
                <w:szCs w:val="21"/>
              </w:rPr>
            </w:pPr>
          </w:p>
        </w:tc>
        <w:tc>
          <w:tcPr>
            <w:tcW w:w="391" w:type="pct"/>
            <w:vMerge w:val="continue"/>
            <w:vAlign w:val="center"/>
          </w:tcPr>
          <w:p>
            <w:pPr>
              <w:spacing w:line="360" w:lineRule="exact"/>
              <w:jc w:val="center"/>
              <w:rPr>
                <w:rFonts w:asciiTheme="minorEastAsia" w:hAnsiTheme="minorEastAsia" w:eastAsiaTheme="minorEastAsia"/>
                <w:szCs w:val="21"/>
              </w:rPr>
            </w:pP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39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restart"/>
            <w:tcBorders>
              <w:right w:val="single" w:color="auto" w:sz="4" w:space="0"/>
            </w:tcBorders>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环境</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空气和声环境</w:t>
            </w:r>
          </w:p>
        </w:tc>
        <w:tc>
          <w:tcPr>
            <w:tcW w:w="239" w:type="pct"/>
            <w:vMerge w:val="restart"/>
            <w:tcBorders>
              <w:left w:val="single" w:color="auto" w:sz="4" w:space="0"/>
            </w:tcBorders>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污水管网</w:t>
            </w:r>
          </w:p>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工程</w:t>
            </w: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大峪沟村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10.982521</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7.859498</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大峪沟村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《环境空气质量标准》(GB3095-2012)中二级标准</w:t>
            </w:r>
          </w:p>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rPr>
              <w:t>《声环境质量标准》(GB3096-2008)中</w:t>
            </w:r>
            <w:r>
              <w:rPr>
                <w:rFonts w:asciiTheme="minorEastAsia" w:hAnsiTheme="minorEastAsia" w:eastAsiaTheme="minorEastAsia"/>
              </w:rPr>
              <w:t>2</w:t>
            </w:r>
            <w:r>
              <w:rPr>
                <w:rFonts w:hint="eastAsia" w:asciiTheme="minorEastAsia" w:hAnsiTheme="minorEastAsia" w:eastAsiaTheme="minorEastAsia"/>
              </w:rPr>
              <w:t>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歧道村</w:t>
            </w:r>
          </w:p>
        </w:tc>
        <w:tc>
          <w:tcPr>
            <w:tcW w:w="455" w:type="pct"/>
            <w:tcBorders>
              <w:top w:val="single" w:color="auto" w:sz="4" w:space="0"/>
              <w:left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110.</w:t>
            </w:r>
            <w:r>
              <w:rPr>
                <w:rFonts w:asciiTheme="minorEastAsia" w:hAnsiTheme="minorEastAsia" w:eastAsiaTheme="minorEastAsia"/>
              </w:rPr>
              <w:t>947795</w:t>
            </w:r>
          </w:p>
        </w:tc>
        <w:tc>
          <w:tcPr>
            <w:tcW w:w="455" w:type="pct"/>
            <w:tcBorders>
              <w:top w:val="single" w:color="auto" w:sz="4" w:space="0"/>
              <w:lef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37.</w:t>
            </w:r>
            <w:r>
              <w:rPr>
                <w:rFonts w:asciiTheme="minorEastAsia" w:hAnsiTheme="minorEastAsia" w:eastAsiaTheme="minorEastAsia"/>
              </w:rPr>
              <w:t>767819</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歧道村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府底村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10.989352</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7.846892</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府底村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东</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前刘家庄村</w:t>
            </w:r>
          </w:p>
        </w:tc>
        <w:tc>
          <w:tcPr>
            <w:tcW w:w="455" w:type="pct"/>
            <w:tcBorders>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10.993733</w:t>
            </w:r>
          </w:p>
        </w:tc>
        <w:tc>
          <w:tcPr>
            <w:tcW w:w="455" w:type="pct"/>
            <w:tcBorders>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7.861295</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前刘家庄村</w:t>
            </w:r>
          </w:p>
        </w:tc>
        <w:tc>
          <w:tcPr>
            <w:tcW w:w="391"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东</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后刘家庄村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11.023856</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7.866849</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后刘家庄村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善庆峪村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10.977550</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7.856990</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善庆峪村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西</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西沟村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10.976263</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7.841876</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西沟村</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西</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07" w:type="pct"/>
            <w:tcBorders>
              <w:right w:val="single" w:color="auto" w:sz="4" w:space="0"/>
            </w:tcBorders>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刘家圪垯村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11.000283</w:t>
            </w:r>
          </w:p>
        </w:tc>
        <w:tc>
          <w:tcPr>
            <w:tcW w:w="455"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7.850553</w:t>
            </w:r>
          </w:p>
        </w:tc>
        <w:tc>
          <w:tcPr>
            <w:tcW w:w="615"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刘家圪垯村</w:t>
            </w:r>
          </w:p>
        </w:tc>
        <w:tc>
          <w:tcPr>
            <w:tcW w:w="391"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地表水</w:t>
            </w: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1517"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湫水河</w:t>
            </w:r>
          </w:p>
        </w:tc>
        <w:tc>
          <w:tcPr>
            <w:tcW w:w="615" w:type="pct"/>
            <w:vAlign w:val="center"/>
          </w:tcPr>
          <w:p>
            <w:pPr>
              <w:spacing w:line="360" w:lineRule="exact"/>
              <w:jc w:val="center"/>
              <w:rPr>
                <w:rFonts w:asciiTheme="minorEastAsia" w:hAnsiTheme="minorEastAsia" w:eastAsiaTheme="minorEastAsia"/>
                <w:szCs w:val="21"/>
              </w:rPr>
            </w:pPr>
          </w:p>
        </w:tc>
        <w:tc>
          <w:tcPr>
            <w:tcW w:w="391" w:type="pct"/>
            <w:vAlign w:val="center"/>
          </w:tcPr>
          <w:p>
            <w:pPr>
              <w:spacing w:line="360" w:lineRule="exact"/>
              <w:jc w:val="center"/>
              <w:rPr>
                <w:rFonts w:asciiTheme="minorEastAsia" w:hAnsiTheme="minorEastAsia" w:eastAsiaTheme="minorEastAsia"/>
                <w:szCs w:val="21"/>
              </w:rPr>
            </w:pP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《地表水环境质量标准》(GB3838-2002)IV类</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管网两侧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03-1.3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地下水</w:t>
            </w:r>
          </w:p>
        </w:tc>
        <w:tc>
          <w:tcPr>
            <w:tcW w:w="239"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1517"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区域地下水</w:t>
            </w:r>
          </w:p>
        </w:tc>
        <w:tc>
          <w:tcPr>
            <w:tcW w:w="615"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391"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《地下水质量标准》(GB/T14848-2017)Ⅲ类标准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w:t>
            </w:r>
          </w:p>
        </w:tc>
      </w:tr>
    </w:tbl>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135" w:right="1418" w:bottom="993"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8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983" w:type="dxa"/>
            <w:tcMar>
              <w:left w:w="28" w:type="dxa"/>
              <w:right w:w="28" w:type="dxa"/>
            </w:tcMar>
            <w:vAlign w:val="center"/>
          </w:tcPr>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污</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染</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物</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排</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放</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控</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制</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标</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 w:val="24"/>
                <w:szCs w:val="21"/>
              </w:rPr>
              <w:t>准</w:t>
            </w:r>
          </w:p>
        </w:tc>
        <w:tc>
          <w:tcPr>
            <w:tcW w:w="8068" w:type="dxa"/>
            <w:vAlign w:val="center"/>
          </w:tcPr>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1、废气</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施工期大气污染执行《大气污染物综合排放标准》(</w:t>
            </w:r>
            <w:r>
              <w:rPr>
                <w:rFonts w:asciiTheme="minorEastAsia" w:hAnsiTheme="minorEastAsia" w:eastAsiaTheme="minorEastAsia"/>
                <w:bCs/>
                <w:kern w:val="10"/>
                <w:sz w:val="24"/>
              </w:rPr>
              <w:t>GB16297-1996</w:t>
            </w:r>
            <w:r>
              <w:rPr>
                <w:rFonts w:hint="eastAsia" w:asciiTheme="minorEastAsia" w:hAnsiTheme="minorEastAsia" w:eastAsiaTheme="minorEastAsia"/>
                <w:bCs/>
                <w:kern w:val="10"/>
                <w:sz w:val="24"/>
              </w:rPr>
              <w:t>)中有关标准。</w:t>
            </w:r>
          </w:p>
          <w:p>
            <w:pPr>
              <w:spacing w:line="500" w:lineRule="exact"/>
              <w:jc w:val="center"/>
              <w:rPr>
                <w:rFonts w:asciiTheme="minorEastAsia" w:hAnsiTheme="minorEastAsia" w:eastAsiaTheme="minorEastAsia"/>
                <w:bCs/>
                <w:kern w:val="10"/>
                <w:sz w:val="24"/>
              </w:rPr>
            </w:pPr>
            <w:r>
              <w:rPr>
                <w:rFonts w:asciiTheme="minorEastAsia" w:hAnsiTheme="minorEastAsia" w:eastAsiaTheme="minorEastAsia"/>
                <w:bCs/>
                <w:kern w:val="10"/>
                <w:sz w:val="24"/>
              </w:rPr>
              <w:t>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6    大气污染物综合排放标准</w:t>
            </w:r>
          </w:p>
          <w:tbl>
            <w:tblPr>
              <w:tblStyle w:val="2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54"/>
              <w:gridCol w:w="50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污染物</w:t>
                  </w:r>
                </w:p>
              </w:tc>
              <w:tc>
                <w:tcPr>
                  <w:tcW w:w="3243"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无组织排放监控浓度限值(mg/m</w:t>
                  </w:r>
                  <w:r>
                    <w:rPr>
                      <w:rFonts w:asciiTheme="minorEastAsia" w:hAnsiTheme="minorEastAsia" w:eastAsiaTheme="minorEastAsia"/>
                      <w:kern w:val="10"/>
                      <w:sz w:val="21"/>
                      <w:vertAlign w:val="superscript"/>
                    </w:rPr>
                    <w:t>3</w:t>
                  </w:r>
                  <w:r>
                    <w:rPr>
                      <w:rFonts w:asciiTheme="minorEastAsia" w:hAnsiTheme="minorEastAsia" w:eastAsiaTheme="minorEastAsia"/>
                      <w:kern w:val="10"/>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颗粒物</w:t>
                  </w:r>
                </w:p>
              </w:tc>
              <w:tc>
                <w:tcPr>
                  <w:tcW w:w="3243"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1.0(周界外浓度最高点)</w:t>
                  </w:r>
                </w:p>
              </w:tc>
            </w:tr>
          </w:tbl>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运营期：污水处理厂</w:t>
            </w:r>
            <w:r>
              <w:rPr>
                <w:rFonts w:hint="eastAsia" w:asciiTheme="minorEastAsia" w:hAnsiTheme="minorEastAsia" w:eastAsiaTheme="minorEastAsia"/>
                <w:sz w:val="24"/>
                <w:lang w:val="zh-CN"/>
              </w:rPr>
              <w:t>除臭装置排气筒</w:t>
            </w:r>
            <w:r>
              <w:rPr>
                <w:rFonts w:hint="eastAsia" w:asciiTheme="minorEastAsia" w:hAnsiTheme="minorEastAsia" w:eastAsiaTheme="minorEastAsia"/>
                <w:sz w:val="24"/>
              </w:rPr>
              <w:t>废气污染物排放，执行</w:t>
            </w:r>
            <w:r>
              <w:rPr>
                <w:rFonts w:asciiTheme="minorEastAsia" w:hAnsiTheme="minorEastAsia" w:eastAsiaTheme="minorEastAsia"/>
                <w:sz w:val="24"/>
              </w:rPr>
              <w:t>《恶臭污染物排放标准》(GB14554-93)中恶臭污染物</w:t>
            </w:r>
            <w:r>
              <w:rPr>
                <w:rFonts w:hint="eastAsia" w:asciiTheme="minorEastAsia" w:hAnsiTheme="minorEastAsia" w:eastAsiaTheme="minorEastAsia"/>
                <w:sz w:val="24"/>
              </w:rPr>
              <w:t>排放标准</w:t>
            </w:r>
            <w:r>
              <w:rPr>
                <w:rFonts w:asciiTheme="minorEastAsia" w:hAnsiTheme="minorEastAsia" w:eastAsiaTheme="minorEastAsia"/>
                <w:sz w:val="24"/>
              </w:rPr>
              <w:t>值；</w:t>
            </w:r>
          </w:p>
          <w:p>
            <w:pPr>
              <w:pStyle w:val="17"/>
              <w:spacing w:after="0" w:line="500" w:lineRule="exact"/>
              <w:ind w:left="0" w:leftChars="0"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表</w:t>
            </w:r>
            <w:r>
              <w:rPr>
                <w:rFonts w:hint="eastAsia" w:asciiTheme="minorEastAsia" w:hAnsiTheme="minorEastAsia" w:eastAsiaTheme="minorEastAsia"/>
                <w:bCs/>
                <w:sz w:val="24"/>
              </w:rPr>
              <w:t>3-</w:t>
            </w:r>
            <w:r>
              <w:rPr>
                <w:rFonts w:asciiTheme="minorEastAsia" w:hAnsiTheme="minorEastAsia" w:eastAsiaTheme="minorEastAsia"/>
                <w:bCs/>
                <w:sz w:val="24"/>
              </w:rPr>
              <w:t xml:space="preserve">7    </w:t>
            </w:r>
            <w:r>
              <w:rPr>
                <w:rFonts w:asciiTheme="minorEastAsia" w:hAnsiTheme="minorEastAsia" w:eastAsiaTheme="minorEastAsia"/>
                <w:sz w:val="24"/>
              </w:rPr>
              <w:t>恶臭污染物排放标准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2903"/>
              <w:gridCol w:w="2012"/>
              <w:gridCol w:w="20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控制项目</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排气筒高度(m)</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排放速率(kg/h)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硫化氢</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氨</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臭气浓度(无量纲)</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2000</w:t>
                  </w:r>
                </w:p>
              </w:tc>
            </w:tr>
          </w:tbl>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本项目污水处理厂厂界废气污染物执行</w:t>
            </w:r>
            <w:r>
              <w:rPr>
                <w:rFonts w:asciiTheme="minorEastAsia" w:hAnsiTheme="minorEastAsia" w:eastAsiaTheme="minorEastAsia"/>
                <w:sz w:val="24"/>
              </w:rPr>
              <w:t>《城镇污水处理厂污染物排放标准》(GB18918-2002)中表4厂界(防护带边缘)废气排放量最高允许浓度</w:t>
            </w:r>
            <w:r>
              <w:rPr>
                <w:rFonts w:asciiTheme="minorEastAsia" w:hAnsiTheme="minorEastAsia" w:eastAsiaTheme="minorEastAsia"/>
                <w:kern w:val="0"/>
                <w:sz w:val="24"/>
              </w:rPr>
              <w:t>二级标准</w:t>
            </w:r>
            <w:r>
              <w:rPr>
                <w:rFonts w:hint="eastAsia" w:asciiTheme="minorEastAsia" w:hAnsiTheme="minorEastAsia" w:eastAsiaTheme="minorEastAsia"/>
                <w:sz w:val="24"/>
              </w:rPr>
              <w:t>值。</w:t>
            </w:r>
          </w:p>
          <w:p>
            <w:pPr>
              <w:pStyle w:val="17"/>
              <w:spacing w:after="0" w:line="500" w:lineRule="exact"/>
              <w:ind w:left="0" w:leftChars="0"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表</w:t>
            </w:r>
            <w:r>
              <w:rPr>
                <w:rFonts w:hint="eastAsia" w:asciiTheme="minorEastAsia" w:hAnsiTheme="minorEastAsia" w:eastAsiaTheme="minorEastAsia"/>
                <w:bCs/>
                <w:sz w:val="24"/>
              </w:rPr>
              <w:t>3-</w:t>
            </w:r>
            <w:r>
              <w:rPr>
                <w:rFonts w:asciiTheme="minorEastAsia" w:hAnsiTheme="minorEastAsia" w:eastAsiaTheme="minorEastAsia"/>
                <w:bCs/>
                <w:sz w:val="24"/>
              </w:rPr>
              <w:t>8    厂界(防护带边缘)废气排放最高允许浓度</w:t>
            </w:r>
            <w:r>
              <w:rPr>
                <w:rFonts w:hint="eastAsia" w:asciiTheme="minorEastAsia" w:hAnsiTheme="minorEastAsia" w:eastAsiaTheme="minorEastAsia"/>
                <w:bCs/>
                <w:sz w:val="24"/>
              </w:rPr>
              <w:t xml:space="preserve"> </w:t>
            </w:r>
            <w:r>
              <w:rPr>
                <w:rFonts w:asciiTheme="minorEastAsia" w:hAnsiTheme="minorEastAsia" w:eastAsiaTheme="minorEastAsia"/>
                <w:bCs/>
                <w:sz w:val="24"/>
              </w:rPr>
              <w:t xml:space="preserve">  单位</w:t>
            </w:r>
            <w:r>
              <w:rPr>
                <w:rFonts w:hint="eastAsia" w:asciiTheme="minorEastAsia" w:hAnsiTheme="minorEastAsia" w:eastAsiaTheme="minorEastAsia"/>
                <w:bCs/>
                <w:sz w:val="24"/>
              </w:rPr>
              <w:t>：</w:t>
            </w:r>
            <w:r>
              <w:rPr>
                <w:rFonts w:asciiTheme="minorEastAsia" w:hAnsiTheme="minorEastAsia" w:eastAsiaTheme="minorEastAsia"/>
                <w:bCs/>
                <w:sz w:val="24"/>
              </w:rPr>
              <w:t>mg/</w:t>
            </w:r>
            <w:r>
              <w:rPr>
                <w:rFonts w:hint="eastAsia" w:asciiTheme="minorEastAsia" w:hAnsiTheme="minorEastAsia" w:eastAsiaTheme="minorEastAsia"/>
                <w:bCs/>
                <w:sz w:val="24"/>
              </w:rPr>
              <w:t>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1"/>
              <w:gridCol w:w="4213"/>
              <w:gridCol w:w="24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序号</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控制项目</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氨</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2</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硫化氢</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3</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臭气浓度(无量纲)</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4</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甲烷(厂区最高体积分数，%)</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w:t>
                  </w:r>
                </w:p>
              </w:tc>
            </w:tr>
          </w:tbl>
          <w:p>
            <w:pPr>
              <w:spacing w:before="120" w:beforeLines="50"/>
              <w:ind w:firstLine="480" w:firstLineChars="200"/>
              <w:rPr>
                <w:rFonts w:asciiTheme="minorEastAsia" w:hAnsiTheme="minorEastAsia" w:eastAsiaTheme="minorEastAsia"/>
                <w:bCs/>
                <w:sz w:val="24"/>
              </w:rPr>
            </w:pPr>
            <w:r>
              <w:rPr>
                <w:rFonts w:asciiTheme="minorEastAsia" w:hAnsiTheme="minorEastAsia" w:eastAsiaTheme="minorEastAsia"/>
                <w:bCs/>
                <w:sz w:val="24"/>
              </w:rPr>
              <w:t>2、水污染物</w:t>
            </w:r>
          </w:p>
          <w:p>
            <w:pPr>
              <w:pStyle w:val="87"/>
              <w:ind w:firstLine="480"/>
              <w:jc w:val="both"/>
              <w:rPr>
                <w:rFonts w:asciiTheme="minorEastAsia" w:hAnsiTheme="minorEastAsia" w:eastAsiaTheme="minorEastAsia"/>
                <w:szCs w:val="24"/>
              </w:rPr>
            </w:pPr>
            <w:r>
              <w:rPr>
                <w:rFonts w:asciiTheme="minorEastAsia" w:hAnsiTheme="minorEastAsia" w:eastAsiaTheme="minorEastAsia"/>
                <w:szCs w:val="24"/>
              </w:rPr>
              <w:t>本次污水处理厂建成运</w:t>
            </w:r>
            <w:r>
              <w:rPr>
                <w:rFonts w:hint="eastAsia" w:asciiTheme="minorEastAsia" w:hAnsiTheme="minorEastAsia" w:eastAsiaTheme="minorEastAsia"/>
                <w:szCs w:val="24"/>
              </w:rPr>
              <w:t>营</w:t>
            </w:r>
            <w:r>
              <w:rPr>
                <w:rFonts w:asciiTheme="minorEastAsia" w:hAnsiTheme="minorEastAsia" w:eastAsiaTheme="minorEastAsia"/>
                <w:szCs w:val="24"/>
              </w:rPr>
              <w:t>后，出水水质COD、TP和NH</w:t>
            </w:r>
            <w:r>
              <w:rPr>
                <w:rFonts w:asciiTheme="minorEastAsia" w:hAnsiTheme="minorEastAsia" w:eastAsiaTheme="minorEastAsia"/>
                <w:szCs w:val="24"/>
                <w:vertAlign w:val="subscript"/>
              </w:rPr>
              <w:t>3</w:t>
            </w:r>
            <w:r>
              <w:rPr>
                <w:rFonts w:asciiTheme="minorEastAsia" w:hAnsiTheme="minorEastAsia" w:eastAsiaTheme="minorEastAsia"/>
                <w:szCs w:val="24"/>
              </w:rPr>
              <w:t>-N三项指标</w:t>
            </w:r>
            <w:r>
              <w:rPr>
                <w:rFonts w:hint="eastAsia" w:asciiTheme="minorEastAsia" w:hAnsiTheme="minorEastAsia" w:eastAsiaTheme="minorEastAsia"/>
                <w:szCs w:val="24"/>
              </w:rPr>
              <w:t>执行山西省</w:t>
            </w:r>
            <w:r>
              <w:rPr>
                <w:rFonts w:asciiTheme="minorEastAsia" w:hAnsiTheme="minorEastAsia" w:eastAsiaTheme="minorEastAsia"/>
                <w:szCs w:val="24"/>
              </w:rPr>
              <w:t>《污水综合排放标准》(DB14</w:t>
            </w:r>
            <w:r>
              <w:rPr>
                <w:rFonts w:hint="eastAsia" w:asciiTheme="minorEastAsia" w:hAnsiTheme="minorEastAsia" w:eastAsiaTheme="minorEastAsia"/>
                <w:szCs w:val="24"/>
              </w:rPr>
              <w:t>/</w:t>
            </w:r>
            <w:r>
              <w:rPr>
                <w:rFonts w:asciiTheme="minorEastAsia" w:hAnsiTheme="minorEastAsia" w:eastAsiaTheme="minorEastAsia"/>
                <w:szCs w:val="24"/>
              </w:rPr>
              <w:t>1928-2019)中的表2标准要求，其余出水水质指标执行《城镇污水处理厂污染物排放标准》(GB18918-2002)中的一级A标准。</w:t>
            </w:r>
          </w:p>
          <w:p>
            <w:pPr>
              <w:pStyle w:val="87"/>
              <w:ind w:firstLine="480"/>
              <w:jc w:val="both"/>
              <w:rPr>
                <w:rFonts w:asciiTheme="minorEastAsia" w:hAnsiTheme="minorEastAsia" w:eastAsiaTheme="minorEastAsia"/>
                <w:szCs w:val="24"/>
              </w:rPr>
            </w:pPr>
          </w:p>
          <w:p>
            <w:pPr>
              <w:pStyle w:val="87"/>
              <w:ind w:firstLine="480"/>
              <w:jc w:val="both"/>
              <w:rPr>
                <w:rFonts w:asciiTheme="minorEastAsia" w:hAnsiTheme="minorEastAsia" w:eastAsiaTheme="minorEastAsia"/>
                <w:szCs w:val="24"/>
              </w:rPr>
            </w:pPr>
          </w:p>
          <w:p>
            <w:pPr>
              <w:pStyle w:val="87"/>
              <w:ind w:firstLine="480"/>
              <w:jc w:val="both"/>
              <w:rPr>
                <w:rFonts w:asciiTheme="minorEastAsia" w:hAnsiTheme="minorEastAsia" w:eastAsiaTheme="minorEastAsia"/>
                <w:szCs w:val="24"/>
              </w:rPr>
            </w:pPr>
          </w:p>
          <w:p>
            <w:pPr>
              <w:pStyle w:val="8"/>
              <w:spacing w:before="120" w:beforeLines="50"/>
              <w:ind w:firstLine="480"/>
              <w:jc w:val="center"/>
              <w:rPr>
                <w:rFonts w:asciiTheme="minorEastAsia" w:hAnsiTheme="minorEastAsia" w:eastAsiaTheme="minorEastAsia"/>
                <w:kern w:val="0"/>
                <w:sz w:val="24"/>
              </w:rPr>
            </w:pPr>
            <w:r>
              <w:rPr>
                <w:rFonts w:asciiTheme="minorEastAsia" w:hAnsiTheme="minorEastAsia" w:eastAsiaTheme="minorEastAsia"/>
                <w:kern w:val="0"/>
                <w:sz w:val="24"/>
              </w:rPr>
              <w:t>表</w:t>
            </w:r>
            <w:r>
              <w:rPr>
                <w:rFonts w:hint="eastAsia" w:asciiTheme="minorEastAsia" w:hAnsiTheme="minorEastAsia" w:eastAsiaTheme="minorEastAsia"/>
                <w:kern w:val="0"/>
                <w:sz w:val="24"/>
              </w:rPr>
              <w:t>3-</w:t>
            </w:r>
            <w:r>
              <w:rPr>
                <w:rFonts w:asciiTheme="minorEastAsia" w:hAnsiTheme="minorEastAsia" w:eastAsiaTheme="minorEastAsia"/>
                <w:kern w:val="0"/>
                <w:sz w:val="24"/>
              </w:rPr>
              <w:t>9    基本控制项目最高允许排放浓度</w:t>
            </w:r>
            <w:r>
              <w:rPr>
                <w:rFonts w:hint="eastAsia" w:asciiTheme="minorEastAsia" w:hAnsiTheme="minorEastAsia" w:eastAsiaTheme="minorEastAsia"/>
                <w:kern w:val="0"/>
                <w:sz w:val="24"/>
              </w:rPr>
              <w:t>(</w:t>
            </w:r>
            <w:r>
              <w:rPr>
                <w:rFonts w:asciiTheme="minorEastAsia" w:hAnsiTheme="minorEastAsia" w:eastAsiaTheme="minorEastAsia"/>
                <w:kern w:val="0"/>
                <w:sz w:val="24"/>
              </w:rPr>
              <w:t>单位</w:t>
            </w:r>
            <w:r>
              <w:rPr>
                <w:rFonts w:hint="eastAsia" w:asciiTheme="minorEastAsia" w:hAnsiTheme="minorEastAsia" w:eastAsiaTheme="minorEastAsia"/>
                <w:kern w:val="0"/>
                <w:sz w:val="24"/>
              </w:rPr>
              <w:t>：</w:t>
            </w:r>
            <w:r>
              <w:rPr>
                <w:rFonts w:asciiTheme="minorEastAsia" w:hAnsiTheme="minorEastAsia" w:eastAsiaTheme="minorEastAsia"/>
                <w:kern w:val="0"/>
                <w:sz w:val="24"/>
              </w:rPr>
              <w:t>mg/L</w:t>
            </w:r>
            <w:r>
              <w:rPr>
                <w:rFonts w:hint="eastAsia" w:asciiTheme="minorEastAsia" w:hAnsiTheme="minorEastAsia" w:eastAsiaTheme="minorEastAsia"/>
                <w:kern w:val="0"/>
                <w:sz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127"/>
              <w:gridCol w:w="2695"/>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序号</w:t>
                  </w:r>
                </w:p>
              </w:tc>
              <w:tc>
                <w:tcPr>
                  <w:tcW w:w="1356"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基本控制项目</w:t>
                  </w:r>
                </w:p>
              </w:tc>
              <w:tc>
                <w:tcPr>
                  <w:tcW w:w="1718"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《城镇污水处理厂污染物排放标准》(GB18918-2002)的一级A标准</w:t>
                  </w:r>
                </w:p>
              </w:tc>
              <w:tc>
                <w:tcPr>
                  <w:tcW w:w="1459" w:type="pct"/>
                  <w:vAlign w:val="center"/>
                </w:tcPr>
                <w:p>
                  <w:pPr>
                    <w:pStyle w:val="69"/>
                    <w:spacing w:line="240" w:lineRule="auto"/>
                    <w:jc w:val="both"/>
                    <w:rPr>
                      <w:rFonts w:asciiTheme="minorEastAsia" w:hAnsiTheme="minorEastAsia" w:eastAsiaTheme="minorEastAsia"/>
                      <w:bCs/>
                      <w:sz w:val="21"/>
                      <w:szCs w:val="21"/>
                    </w:rPr>
                  </w:pPr>
                  <w:r>
                    <w:rPr>
                      <w:rFonts w:asciiTheme="minorEastAsia" w:hAnsiTheme="minorEastAsia" w:eastAsiaTheme="minorEastAsia"/>
                      <w:bCs/>
                      <w:sz w:val="21"/>
                      <w:szCs w:val="21"/>
                    </w:rPr>
                    <w:t>《污水综合排放标准》(DB14</w:t>
                  </w:r>
                  <w:r>
                    <w:rPr>
                      <w:rFonts w:hint="eastAsia" w:asciiTheme="minorEastAsia" w:hAnsiTheme="minorEastAsia" w:eastAsiaTheme="minorEastAsia"/>
                      <w:bCs/>
                      <w:sz w:val="21"/>
                      <w:szCs w:val="21"/>
                    </w:rPr>
                    <w:t>/</w:t>
                  </w:r>
                  <w:r>
                    <w:rPr>
                      <w:rFonts w:asciiTheme="minorEastAsia" w:hAnsiTheme="minorEastAsia" w:eastAsiaTheme="minorEastAsia"/>
                      <w:bCs/>
                      <w:sz w:val="21"/>
                      <w:szCs w:val="21"/>
                    </w:rPr>
                    <w:t>1928-2019)中的表2标准要求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COD</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9"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2</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BOD</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3</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SS</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4</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动</w:t>
                  </w:r>
                  <w:r>
                    <w:rPr>
                      <w:rFonts w:hint="eastAsia" w:asciiTheme="minorEastAsia" w:hAnsiTheme="minorEastAsia" w:eastAsiaTheme="minorEastAsia"/>
                      <w:bCs/>
                      <w:sz w:val="21"/>
                      <w:szCs w:val="21"/>
                    </w:rPr>
                    <w:t>植</w:t>
                  </w:r>
                  <w:r>
                    <w:rPr>
                      <w:rFonts w:asciiTheme="minorEastAsia" w:hAnsiTheme="minorEastAsia" w:eastAsiaTheme="minorEastAsia"/>
                      <w:bCs/>
                      <w:sz w:val="21"/>
                      <w:szCs w:val="21"/>
                    </w:rPr>
                    <w:t>物油</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5</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石油类</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6</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阴离子表面活性剂</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0.5</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7</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总氮</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15</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8</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NH</w:t>
                  </w:r>
                  <w:r>
                    <w:rPr>
                      <w:rFonts w:asciiTheme="minorEastAsia" w:hAnsiTheme="minorEastAsia" w:eastAsiaTheme="minorEastAsia"/>
                      <w:bCs/>
                      <w:sz w:val="21"/>
                      <w:szCs w:val="21"/>
                      <w:vertAlign w:val="subscript"/>
                    </w:rPr>
                    <w:t>3</w:t>
                  </w:r>
                  <w:r>
                    <w:rPr>
                      <w:rFonts w:asciiTheme="minorEastAsia" w:hAnsiTheme="minorEastAsia" w:eastAsiaTheme="minorEastAsia"/>
                      <w:bCs/>
                      <w:sz w:val="21"/>
                      <w:szCs w:val="21"/>
                    </w:rPr>
                    <w:t>-N</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9"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9</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总磷</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9"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色度</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30</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11</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PH</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6-9</w:t>
                  </w:r>
                </w:p>
              </w:tc>
              <w:tc>
                <w:tcPr>
                  <w:tcW w:w="1459"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7"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12</w:t>
                  </w:r>
                </w:p>
              </w:tc>
              <w:tc>
                <w:tcPr>
                  <w:tcW w:w="1356"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粪大肠菌群数</w:t>
                  </w:r>
                  <w:r>
                    <w:rPr>
                      <w:rFonts w:hint="eastAsia" w:asciiTheme="minorEastAsia" w:hAnsiTheme="minorEastAsia" w:eastAsiaTheme="minorEastAsia"/>
                      <w:bCs/>
                      <w:sz w:val="21"/>
                      <w:szCs w:val="21"/>
                    </w:rPr>
                    <w:t>(个/L)</w:t>
                  </w:r>
                </w:p>
              </w:tc>
              <w:tc>
                <w:tcPr>
                  <w:tcW w:w="1718"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r>
                    <w:rPr>
                      <w:rFonts w:asciiTheme="minorEastAsia" w:hAnsiTheme="minorEastAsia" w:eastAsiaTheme="minorEastAsia"/>
                      <w:bCs/>
                      <w:sz w:val="21"/>
                      <w:szCs w:val="21"/>
                      <w:vertAlign w:val="superscript"/>
                    </w:rPr>
                    <w:t>3</w:t>
                  </w:r>
                </w:p>
              </w:tc>
              <w:tc>
                <w:tcPr>
                  <w:tcW w:w="1459" w:type="pct"/>
                  <w:vAlign w:val="center"/>
                </w:tcPr>
                <w:p>
                  <w:pPr>
                    <w:pStyle w:val="69"/>
                    <w:spacing w:line="400" w:lineRule="exact"/>
                    <w:rPr>
                      <w:rFonts w:asciiTheme="minorEastAsia" w:hAnsiTheme="minorEastAsia" w:eastAsiaTheme="minorEastAsia"/>
                      <w:bCs/>
                      <w:sz w:val="21"/>
                      <w:szCs w:val="21"/>
                    </w:rPr>
                  </w:pPr>
                </w:p>
              </w:tc>
            </w:tr>
          </w:tbl>
          <w:p>
            <w:pPr>
              <w:spacing w:line="50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、噪声</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施工期噪声执行《建筑施工场界环境噪声排放标准》(GB12523-2011)：即昼间70dB(A)，夜间55dB(A)；</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运营期厂界噪声</w:t>
            </w:r>
            <w:r>
              <w:rPr>
                <w:rFonts w:asciiTheme="minorEastAsia" w:hAnsiTheme="minorEastAsia" w:eastAsiaTheme="minorEastAsia"/>
                <w:kern w:val="10"/>
                <w:sz w:val="24"/>
              </w:rPr>
              <w:t>执行《</w:t>
            </w:r>
            <w:r>
              <w:rPr>
                <w:rFonts w:hint="eastAsia" w:asciiTheme="minorEastAsia" w:hAnsiTheme="minorEastAsia" w:eastAsiaTheme="minorEastAsia"/>
                <w:kern w:val="10"/>
                <w:sz w:val="24"/>
              </w:rPr>
              <w:t>工业企业厂界环境噪声排放标准</w:t>
            </w:r>
            <w:r>
              <w:rPr>
                <w:rFonts w:asciiTheme="minorEastAsia" w:hAnsiTheme="minorEastAsia" w:eastAsiaTheme="minorEastAsia"/>
                <w:kern w:val="10"/>
                <w:sz w:val="24"/>
              </w:rPr>
              <w:t>》(GB</w:t>
            </w:r>
            <w:r>
              <w:rPr>
                <w:rFonts w:hint="eastAsia" w:asciiTheme="minorEastAsia" w:hAnsiTheme="minorEastAsia" w:eastAsiaTheme="minorEastAsia"/>
                <w:kern w:val="10"/>
                <w:sz w:val="24"/>
              </w:rPr>
              <w:t>12348</w:t>
            </w:r>
            <w:r>
              <w:rPr>
                <w:rFonts w:asciiTheme="minorEastAsia" w:hAnsiTheme="minorEastAsia" w:eastAsiaTheme="minorEastAsia"/>
                <w:kern w:val="10"/>
                <w:sz w:val="24"/>
              </w:rPr>
              <w:t>-2008)中的</w:t>
            </w:r>
            <w:r>
              <w:rPr>
                <w:rFonts w:hint="eastAsia" w:asciiTheme="minorEastAsia" w:hAnsiTheme="minorEastAsia" w:eastAsiaTheme="minorEastAsia"/>
                <w:kern w:val="10"/>
                <w:sz w:val="24"/>
              </w:rPr>
              <w:t>2</w:t>
            </w:r>
            <w:r>
              <w:rPr>
                <w:rFonts w:asciiTheme="minorEastAsia" w:hAnsiTheme="minorEastAsia" w:eastAsiaTheme="minorEastAsia"/>
                <w:kern w:val="10"/>
                <w:sz w:val="24"/>
              </w:rPr>
              <w:t>类标准</w:t>
            </w:r>
            <w:r>
              <w:rPr>
                <w:rFonts w:hint="eastAsia" w:asciiTheme="minorEastAsia" w:hAnsiTheme="minorEastAsia" w:eastAsiaTheme="minorEastAsia"/>
                <w:kern w:val="10"/>
                <w:sz w:val="24"/>
              </w:rPr>
              <w:t>，即昼间</w:t>
            </w:r>
            <w:r>
              <w:rPr>
                <w:rFonts w:asciiTheme="minorEastAsia" w:hAnsiTheme="minorEastAsia" w:eastAsiaTheme="minorEastAsia"/>
                <w:kern w:val="10"/>
                <w:sz w:val="24"/>
              </w:rPr>
              <w:t>6</w:t>
            </w:r>
            <w:r>
              <w:rPr>
                <w:rFonts w:hint="eastAsia" w:asciiTheme="minorEastAsia" w:hAnsiTheme="minorEastAsia" w:eastAsiaTheme="minorEastAsia"/>
                <w:kern w:val="10"/>
                <w:sz w:val="24"/>
              </w:rPr>
              <w:t>0dB(A)，夜间</w:t>
            </w:r>
            <w:r>
              <w:rPr>
                <w:rFonts w:asciiTheme="minorEastAsia" w:hAnsiTheme="minorEastAsia" w:eastAsiaTheme="minorEastAsia"/>
                <w:kern w:val="10"/>
                <w:sz w:val="24"/>
              </w:rPr>
              <w:t>50</w:t>
            </w:r>
            <w:r>
              <w:rPr>
                <w:rFonts w:hint="eastAsia" w:asciiTheme="minorEastAsia" w:hAnsiTheme="minorEastAsia" w:eastAsiaTheme="minorEastAsia"/>
                <w:kern w:val="10"/>
                <w:sz w:val="24"/>
              </w:rPr>
              <w:t>dB(A)；</w:t>
            </w:r>
          </w:p>
          <w:p>
            <w:pPr>
              <w:spacing w:line="46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4</w:t>
            </w:r>
            <w:r>
              <w:rPr>
                <w:rFonts w:hint="eastAsia" w:asciiTheme="minorEastAsia" w:hAnsiTheme="minorEastAsia" w:eastAsiaTheme="minorEastAsia"/>
                <w:kern w:val="10"/>
                <w:sz w:val="24"/>
              </w:rPr>
              <w:t>、固体废物</w:t>
            </w:r>
          </w:p>
          <w:p>
            <w:pPr>
              <w:spacing w:line="500" w:lineRule="exact"/>
              <w:ind w:firstLine="482"/>
              <w:rPr>
                <w:rFonts w:asciiTheme="minorEastAsia" w:hAnsiTheme="minorEastAsia" w:eastAsiaTheme="minorEastAsia"/>
                <w:bCs/>
                <w:kern w:val="10"/>
                <w:sz w:val="24"/>
              </w:rPr>
            </w:pPr>
            <w:r>
              <w:rPr>
                <w:rFonts w:hint="eastAsia" w:asciiTheme="minorEastAsia" w:hAnsiTheme="minorEastAsia" w:eastAsiaTheme="minorEastAsia"/>
                <w:bCs/>
                <w:kern w:val="10"/>
                <w:sz w:val="24"/>
              </w:rPr>
              <w:t>污水处理站废物执行</w:t>
            </w:r>
            <w:r>
              <w:rPr>
                <w:rFonts w:hint="eastAsia" w:asciiTheme="minorEastAsia" w:hAnsiTheme="minorEastAsia" w:eastAsiaTheme="minorEastAsia"/>
                <w:kern w:val="10"/>
                <w:sz w:val="24"/>
              </w:rPr>
              <w:t>《城镇污水处理厂污染物排放标准》(GB18918-2002)表5污泥稳定化控制指标。</w:t>
            </w:r>
          </w:p>
          <w:p>
            <w:pPr>
              <w:spacing w:line="500" w:lineRule="exact"/>
              <w:ind w:firstLine="482"/>
              <w:rPr>
                <w:rFonts w:asciiTheme="minorEastAsia" w:hAnsiTheme="minorEastAsia" w:eastAsiaTheme="minorEastAsia"/>
                <w:kern w:val="10"/>
                <w:sz w:val="24"/>
              </w:rPr>
            </w:pPr>
            <w:r>
              <w:rPr>
                <w:rFonts w:hint="eastAsia" w:asciiTheme="minorEastAsia" w:hAnsiTheme="minorEastAsia" w:eastAsiaTheme="minorEastAsia"/>
                <w:bCs/>
                <w:kern w:val="10"/>
                <w:sz w:val="24"/>
              </w:rPr>
              <w:t>表3-</w:t>
            </w:r>
            <w:r>
              <w:rPr>
                <w:rFonts w:asciiTheme="minorEastAsia" w:hAnsiTheme="minorEastAsia" w:eastAsiaTheme="minorEastAsia"/>
                <w:bCs/>
                <w:kern w:val="10"/>
                <w:sz w:val="24"/>
              </w:rPr>
              <w:t xml:space="preserve">10    </w:t>
            </w:r>
            <w:r>
              <w:rPr>
                <w:rFonts w:hint="eastAsia" w:asciiTheme="minorEastAsia" w:hAnsiTheme="minorEastAsia" w:eastAsiaTheme="minorEastAsia"/>
                <w:kern w:val="10"/>
                <w:sz w:val="24"/>
              </w:rPr>
              <w:t>城镇污水处理厂污染物排放标准(污泥稳定化控制指标)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611"/>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稳定化方法</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控制项目</w:t>
                  </w:r>
                </w:p>
              </w:tc>
              <w:tc>
                <w:tcPr>
                  <w:tcW w:w="2839" w:type="dxa"/>
                  <w:vAlign w:val="center"/>
                </w:tcPr>
                <w:p>
                  <w:pPr>
                    <w:autoSpaceDE w:val="0"/>
                    <w:autoSpaceDN w:val="0"/>
                    <w:adjustRightInd w:val="0"/>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厌氧消化</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autoSpaceDE w:val="0"/>
                    <w:autoSpaceDN w:val="0"/>
                    <w:adjustRightInd w:val="0"/>
                    <w:spacing w:line="400" w:lineRule="exact"/>
                    <w:jc w:val="center"/>
                    <w:rPr>
                      <w:rFonts w:asciiTheme="minorEastAsia" w:hAnsiTheme="minorEastAsia" w:eastAsiaTheme="minorEastAsia"/>
                      <w:kern w:val="10"/>
                      <w:sz w:val="24"/>
                    </w:rPr>
                  </w:pPr>
                  <w:r>
                    <w:rPr>
                      <w:rFonts w:cs="宋体" w:asciiTheme="minorEastAsia" w:hAnsiTheme="minorEastAsia" w:eastAsiaTheme="minorEastAsia"/>
                      <w:kern w:val="10"/>
                      <w:szCs w:val="21"/>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好氧消化</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asciiTheme="minorEastAsia" w:hAnsiTheme="minorEastAsia" w:eastAsiaTheme="minorEastAsia"/>
                      <w:kern w:val="10"/>
                      <w:sz w:val="24"/>
                    </w:rPr>
                  </w:pPr>
                  <w:r>
                    <w:rPr>
                      <w:rFonts w:cs="宋体" w:asciiTheme="minorEastAsia" w:hAnsiTheme="minorEastAsia" w:eastAsiaTheme="minorEastAsia"/>
                      <w:kern w:val="10"/>
                      <w:szCs w:val="21"/>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restart"/>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好氧堆肥</w:t>
                  </w: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含水率(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autoSpaceDE w:val="0"/>
                    <w:autoSpaceDN w:val="0"/>
                    <w:adjustRightInd w:val="0"/>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&lt;65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蠕虫卵死亡率(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粪大肠菌群菌值</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&gt;0.01</w:t>
                  </w:r>
                </w:p>
              </w:tc>
            </w:tr>
          </w:tbl>
          <w:p>
            <w:pPr>
              <w:tabs>
                <w:tab w:val="left" w:pos="7500"/>
              </w:tabs>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bCs/>
                <w:kern w:val="10"/>
                <w:sz w:val="24"/>
              </w:rPr>
              <w:t>施工垃圾：施工弃土、建筑垃圾</w:t>
            </w:r>
            <w:r>
              <w:rPr>
                <w:rFonts w:asciiTheme="minorEastAsia" w:hAnsiTheme="minorEastAsia" w:eastAsiaTheme="minorEastAsia"/>
                <w:bCs/>
                <w:kern w:val="10"/>
                <w:sz w:val="24"/>
              </w:rPr>
              <w:t>废物</w:t>
            </w:r>
            <w:r>
              <w:rPr>
                <w:rFonts w:hint="eastAsia" w:asciiTheme="minorEastAsia" w:hAnsiTheme="minorEastAsia" w:eastAsiaTheme="minorEastAsia"/>
                <w:kern w:val="10"/>
                <w:sz w:val="24"/>
              </w:rPr>
              <w:t>执行《中华人民共和国固体废物污染环境防治法》和《一般工业固体废物贮存和填埋污染控制标准》</w:t>
            </w:r>
            <w:r>
              <w:rPr>
                <w:rFonts w:asciiTheme="minorEastAsia" w:hAnsiTheme="minorEastAsia" w:eastAsiaTheme="minorEastAsia"/>
                <w:kern w:val="10"/>
                <w:sz w:val="24"/>
              </w:rPr>
              <w:t>(GB18599-2020)。</w:t>
            </w:r>
          </w:p>
          <w:p>
            <w:pPr>
              <w:tabs>
                <w:tab w:val="left" w:pos="7500"/>
              </w:tabs>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w:t>
            </w:r>
            <w:r>
              <w:rPr>
                <w:rFonts w:hint="eastAsia" w:asciiTheme="minorEastAsia" w:hAnsiTheme="minorEastAsia" w:eastAsiaTheme="minorEastAsia"/>
                <w:sz w:val="24"/>
              </w:rPr>
              <w:t>险废物的</w:t>
            </w:r>
            <w:r>
              <w:rPr>
                <w:rFonts w:asciiTheme="minorEastAsia" w:hAnsiTheme="minorEastAsia" w:eastAsiaTheme="minorEastAsia"/>
                <w:sz w:val="24"/>
              </w:rPr>
              <w:t>贮存、管理执行《危险废物贮存污染控制标准》(GB18597-2001)及2013年修改单中标准。</w:t>
            </w:r>
          </w:p>
          <w:p>
            <w:pPr>
              <w:tabs>
                <w:tab w:val="left" w:pos="7500"/>
              </w:tabs>
              <w:spacing w:line="480" w:lineRule="exact"/>
              <w:ind w:firstLine="420" w:firstLineChars="200"/>
              <w:jc w:val="left"/>
              <w:rPr>
                <w:rFonts w:cs="宋体" w:asciiTheme="minorEastAsia" w:hAnsiTheme="minorEastAsia" w:eastAsiaTheme="minorEastAsia"/>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983" w:type="dxa"/>
            <w:vAlign w:val="center"/>
          </w:tcPr>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总量</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控制</w:t>
            </w:r>
          </w:p>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 w:val="24"/>
                <w:szCs w:val="21"/>
              </w:rPr>
              <w:t>指标</w:t>
            </w:r>
          </w:p>
        </w:tc>
        <w:tc>
          <w:tcPr>
            <w:tcW w:w="8068" w:type="dxa"/>
            <w:vAlign w:val="center"/>
          </w:tcPr>
          <w:p>
            <w:pPr>
              <w:widowControl/>
              <w:spacing w:line="500" w:lineRule="exact"/>
              <w:ind w:firstLine="480" w:firstLineChars="200"/>
              <w:rPr>
                <w:rFonts w:cs="宋体" w:asciiTheme="minorEastAsia" w:hAnsiTheme="minorEastAsia" w:eastAsiaTheme="minorEastAsia"/>
                <w:kern w:val="0"/>
                <w:sz w:val="24"/>
              </w:rPr>
            </w:pPr>
            <w:r>
              <w:rPr>
                <w:rFonts w:cs="宋体" w:asciiTheme="minorEastAsia" w:hAnsiTheme="minorEastAsia" w:eastAsiaTheme="minorEastAsia"/>
                <w:kern w:val="0"/>
                <w:sz w:val="24"/>
              </w:rPr>
              <w:t>根据晋环发[201</w:t>
            </w:r>
            <w:r>
              <w:rPr>
                <w:rFonts w:hint="eastAsia" w:cs="宋体" w:asciiTheme="minorEastAsia" w:hAnsiTheme="minorEastAsia" w:eastAsiaTheme="minorEastAsia"/>
                <w:kern w:val="0"/>
                <w:sz w:val="24"/>
              </w:rPr>
              <w:t>5</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25</w:t>
            </w:r>
            <w:r>
              <w:rPr>
                <w:rFonts w:cs="宋体" w:asciiTheme="minorEastAsia" w:hAnsiTheme="minorEastAsia" w:eastAsiaTheme="minorEastAsia"/>
                <w:kern w:val="0"/>
                <w:sz w:val="24"/>
              </w:rPr>
              <w:t>号山西省环境保护厅关于印发《山西省环境保护厅建设项目主要污染物排放总量核定办法》的通知第三条规定：属于环境统计</w:t>
            </w:r>
            <w:r>
              <w:rPr>
                <w:rFonts w:hint="eastAsia" w:cs="宋体" w:asciiTheme="minorEastAsia" w:hAnsiTheme="minorEastAsia" w:eastAsiaTheme="minorEastAsia"/>
                <w:kern w:val="0"/>
                <w:sz w:val="24"/>
              </w:rPr>
              <w:t>重点</w:t>
            </w:r>
            <w:r>
              <w:rPr>
                <w:rFonts w:cs="宋体" w:asciiTheme="minorEastAsia" w:hAnsiTheme="minorEastAsia" w:eastAsiaTheme="minorEastAsia"/>
                <w:kern w:val="0"/>
                <w:sz w:val="24"/>
              </w:rPr>
              <w:t>工业源调查行业范围内(《国民经济行业分类》(GB/T4754-2011)中采矿业、制造业，电力、燃气及水的生产和供应业，3个门类39个行业的企业)新增主要污染物排放总量的建设项目，在环境影响评价文件审批前，由建设单位按本办法规定向环境保护主管部门申请核定主要污染物排放总量指标。</w:t>
            </w:r>
            <w:r>
              <w:rPr>
                <w:rFonts w:hint="eastAsia" w:cs="宋体" w:asciiTheme="minorEastAsia" w:hAnsiTheme="minorEastAsia" w:eastAsiaTheme="minorEastAsia"/>
                <w:kern w:val="0"/>
                <w:sz w:val="24"/>
              </w:rPr>
              <w:t>其他行业的建设项目，由负责环境影响评价文件审批的环境保护主管部门在建设项目环境影响评价审批文件中对主要污染物防治及总量控制措施提出要求，暂不需要核定主要污染物排放总量指标。</w:t>
            </w:r>
          </w:p>
          <w:p>
            <w:pPr>
              <w:widowControl/>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本项目不需申请污染物排放总量指标。</w:t>
            </w:r>
          </w:p>
          <w:p>
            <w:pPr>
              <w:pStyle w:val="26"/>
              <w:spacing w:after="0" w:line="500" w:lineRule="exact"/>
              <w:ind w:firstLine="480" w:firstLineChars="200"/>
              <w:rPr>
                <w:rFonts w:asciiTheme="minorEastAsia" w:hAnsiTheme="minorEastAsia" w:eastAsiaTheme="minorEastAsia"/>
                <w:sz w:val="24"/>
              </w:rPr>
            </w:pPr>
          </w:p>
          <w:p>
            <w:pPr>
              <w:pStyle w:val="26"/>
              <w:spacing w:after="0" w:line="500" w:lineRule="exact"/>
              <w:ind w:firstLine="480" w:firstLineChars="200"/>
              <w:rPr>
                <w:rFonts w:asciiTheme="minorEastAsia" w:hAnsiTheme="minorEastAsia" w:eastAsiaTheme="minorEastAsia"/>
                <w:sz w:val="24"/>
              </w:rPr>
            </w:pPr>
          </w:p>
          <w:p>
            <w:pPr>
              <w:pStyle w:val="26"/>
              <w:spacing w:after="0" w:line="500" w:lineRule="exact"/>
              <w:ind w:firstLine="480" w:firstLineChars="200"/>
              <w:rPr>
                <w:rFonts w:asciiTheme="minorEastAsia" w:hAnsiTheme="minorEastAsia" w:eastAsiaTheme="minorEastAsia"/>
                <w:sz w:val="24"/>
              </w:rPr>
            </w:pPr>
          </w:p>
          <w:p>
            <w:pPr>
              <w:pStyle w:val="26"/>
              <w:spacing w:after="0" w:line="500" w:lineRule="exact"/>
              <w:ind w:firstLine="480" w:firstLineChars="200"/>
              <w:rPr>
                <w:rFonts w:asciiTheme="minorEastAsia" w:hAnsiTheme="minorEastAsia" w:eastAsiaTheme="minorEastAsia"/>
                <w:sz w:val="24"/>
              </w:rPr>
            </w:pPr>
          </w:p>
          <w:p>
            <w:pPr>
              <w:pStyle w:val="26"/>
              <w:spacing w:after="0" w:line="500" w:lineRule="exact"/>
              <w:ind w:firstLine="480" w:firstLineChars="200"/>
              <w:rPr>
                <w:rFonts w:asciiTheme="minorEastAsia" w:hAnsiTheme="minorEastAsia" w:eastAsiaTheme="minorEastAsia"/>
                <w:sz w:val="24"/>
              </w:rPr>
            </w:pPr>
          </w:p>
          <w:p>
            <w:pPr>
              <w:pStyle w:val="26"/>
              <w:spacing w:after="0" w:line="500" w:lineRule="exact"/>
              <w:ind w:firstLineChars="200"/>
              <w:rPr>
                <w:rFonts w:cs="宋体" w:asciiTheme="minorEastAsia" w:hAnsiTheme="minorEastAsia" w:eastAsiaTheme="minorEastAsia"/>
                <w:kern w:val="0"/>
                <w:szCs w:val="21"/>
              </w:rPr>
            </w:pPr>
          </w:p>
        </w:tc>
      </w:tr>
    </w:tbl>
    <w:p>
      <w:pPr>
        <w:spacing w:line="500" w:lineRule="exact"/>
        <w:jc w:val="center"/>
        <w:rPr>
          <w:rFonts w:asciiTheme="minorEastAsia" w:hAnsiTheme="minorEastAsia" w:eastAsiaTheme="minorEastAsia"/>
          <w:snapToGrid w:val="0"/>
          <w:color w:val="FF0000"/>
          <w:sz w:val="36"/>
          <w:szCs w:val="36"/>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四、主要环境影响和保护措施</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41" w:type="dxa"/>
            <w:tcMar>
              <w:left w:w="28" w:type="dxa"/>
              <w:right w:w="28" w:type="dxa"/>
            </w:tcMar>
            <w:vAlign w:val="center"/>
          </w:tcPr>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施</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工</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期</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环</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境</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保</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护</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措</w:t>
            </w:r>
          </w:p>
          <w:p>
            <w:pPr>
              <w:pStyle w:val="24"/>
              <w:adjustRightInd w:val="0"/>
              <w:snapToGrid w:val="0"/>
              <w:spacing w:before="0" w:beforeAutospacing="0" w:after="0" w:afterAutospacing="0"/>
              <w:jc w:val="center"/>
              <w:rPr>
                <w:rFonts w:cs="宋体" w:asciiTheme="minorEastAsia" w:hAnsiTheme="minorEastAsia" w:eastAsiaTheme="minorEastAsia"/>
                <w:bCs/>
                <w:color w:val="FF0000"/>
                <w:kern w:val="2"/>
                <w:sz w:val="21"/>
                <w:szCs w:val="21"/>
              </w:rPr>
            </w:pPr>
            <w:r>
              <w:rPr>
                <w:rFonts w:hint="eastAsia" w:cs="宋体" w:asciiTheme="minorEastAsia" w:hAnsiTheme="minorEastAsia" w:eastAsiaTheme="minorEastAsia"/>
                <w:kern w:val="2"/>
                <w:sz w:val="21"/>
                <w:szCs w:val="21"/>
              </w:rPr>
              <w:t>施</w:t>
            </w:r>
          </w:p>
        </w:tc>
        <w:tc>
          <w:tcPr>
            <w:tcW w:w="8210" w:type="dxa"/>
            <w:vAlign w:val="center"/>
          </w:tcPr>
          <w:p>
            <w:pPr>
              <w:spacing w:line="500" w:lineRule="exact"/>
              <w:jc w:val="left"/>
              <w:rPr>
                <w:rFonts w:asciiTheme="minorEastAsia" w:hAnsiTheme="minorEastAsia" w:eastAsiaTheme="minorEastAsia"/>
                <w:b/>
                <w:kern w:val="10"/>
                <w:sz w:val="30"/>
                <w:szCs w:val="28"/>
              </w:rPr>
            </w:pPr>
            <w:r>
              <w:rPr>
                <w:rFonts w:asciiTheme="minorEastAsia" w:hAnsiTheme="minorEastAsia" w:eastAsiaTheme="minorEastAsia"/>
                <w:b/>
                <w:kern w:val="10"/>
                <w:sz w:val="30"/>
                <w:szCs w:val="28"/>
              </w:rPr>
              <w:t>施工期环境影响分析</w:t>
            </w:r>
          </w:p>
          <w:p>
            <w:pPr>
              <w:snapToGrid w:val="0"/>
              <w:spacing w:line="500" w:lineRule="exact"/>
              <w:ind w:firstLine="480" w:firstLineChars="200"/>
              <w:rPr>
                <w:rFonts w:asciiTheme="minorEastAsia" w:hAnsiTheme="minorEastAsia" w:eastAsiaTheme="minorEastAsia"/>
                <w:sz w:val="24"/>
              </w:rPr>
            </w:pPr>
            <w:bookmarkStart w:id="20" w:name="_Toc161199584"/>
            <w:bookmarkStart w:id="21" w:name="_Toc218846722"/>
            <w:bookmarkStart w:id="22" w:name="_Toc219178750"/>
            <w:bookmarkStart w:id="23" w:name="_Toc219514340"/>
            <w:bookmarkStart w:id="24" w:name="_Toc219514448"/>
            <w:bookmarkStart w:id="25" w:name="_Toc222543776"/>
            <w:r>
              <w:rPr>
                <w:rFonts w:hint="eastAsia" w:asciiTheme="minorEastAsia" w:hAnsiTheme="minorEastAsia" w:eastAsiaTheme="minorEastAsia"/>
                <w:sz w:val="24"/>
              </w:rPr>
              <w:t>一、环境空气影响分析</w:t>
            </w:r>
          </w:p>
          <w:p>
            <w:pPr>
              <w:tabs>
                <w:tab w:val="left" w:pos="4962"/>
              </w:tabs>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建设单位工程施工过程中应该按照</w:t>
            </w:r>
            <w:r>
              <w:rPr>
                <w:rFonts w:asciiTheme="minorEastAsia" w:hAnsiTheme="minorEastAsia" w:eastAsiaTheme="minorEastAsia"/>
                <w:bCs/>
                <w:sz w:val="24"/>
              </w:rPr>
              <w:t>《</w:t>
            </w:r>
            <w:r>
              <w:rPr>
                <w:rFonts w:hint="eastAsia" w:asciiTheme="minorEastAsia" w:hAnsiTheme="minorEastAsia" w:eastAsiaTheme="minorEastAsia"/>
                <w:bCs/>
                <w:sz w:val="24"/>
              </w:rPr>
              <w:t>山西省大气污染防治2018年行动计划</w:t>
            </w:r>
            <w:r>
              <w:rPr>
                <w:rFonts w:asciiTheme="minorEastAsia" w:hAnsiTheme="minorEastAsia" w:eastAsiaTheme="minorEastAsia"/>
                <w:bCs/>
                <w:sz w:val="24"/>
              </w:rPr>
              <w:t>》</w:t>
            </w:r>
            <w:r>
              <w:rPr>
                <w:rFonts w:hint="eastAsia" w:asciiTheme="minorEastAsia" w:hAnsiTheme="minorEastAsia" w:eastAsiaTheme="minorEastAsia"/>
                <w:bCs/>
                <w:sz w:val="24"/>
              </w:rPr>
              <w:t>的</w:t>
            </w:r>
            <w:r>
              <w:rPr>
                <w:rFonts w:hint="eastAsia" w:asciiTheme="minorEastAsia" w:hAnsiTheme="minorEastAsia" w:eastAsiaTheme="minorEastAsia"/>
                <w:sz w:val="24"/>
              </w:rPr>
              <w:t>相关规定，为有效控制建设项目施工期对环境的影响，评价要求采取以下措施：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施工单位，应当在项目开工前向市环保部门提供扬尘污染防治方案，方案中要明确施工过程中的各项防尘措施。扬尘污染防治方案经审核批准后，方可到建设部门办理《施工许可证》。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建设单位要按照相关规定，将防治扬尘污染的费用列入工程概算，并在与施工单位签订的施工承发包合同中明确施工单位是全面落实扬尘污染防治方案的责任方。</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施工单位必须设置环境保护牌，标明扬尘防治措施、责任人及环保监督电话等。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施工单位应当合理安排工期，在风速达四级以上的天气情况下，应当停止易产生扬尘污染的施工作业，并采取相应的防尘措施。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(5)建筑工地要严格落实工地周边围挡、物料堆放覆盖、土方开挖湿法作业、路面硬化、出入车辆清洗、渣土车辆密闭运输“6个100%”措施，严禁施工、清扫过程高空抛洒残渣废土。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(6)渣土运输车辆100%安装全密闭运输机械装置或密闭苫盖装置和卫星定位系统并确保正常使用。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禁止在施工工地围档外堆放施工材料、建筑垃圾和渣土。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同时，施工单位还应保证施工机械的良好运转，及时维修，提高设备的运行效率，合理降低施工机械的运行时间，较少废气的排放。</w:t>
            </w:r>
          </w:p>
          <w:p>
            <w:pPr>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二、水环境影响分析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施工期产生的废水主要为施工废水。施工初期场地平整、基础的开挖和混凝土养护等，将产生浑浊的施工废水；燃油动力机械是施工作业的主要工具，在维护和冲洗时，将产生少量含SS和石油类的废水；</w:t>
            </w:r>
            <w:r>
              <w:rPr>
                <w:rFonts w:asciiTheme="minorEastAsia" w:hAnsiTheme="minorEastAsia" w:eastAsiaTheme="minorEastAsia"/>
                <w:sz w:val="24"/>
              </w:rPr>
              <w:t>以及施工人员和现场管理人员产生的生活污水</w:t>
            </w:r>
            <w:r>
              <w:rPr>
                <w:rFonts w:hint="eastAsia" w:asciiTheme="minorEastAsia" w:hAnsiTheme="minorEastAsia" w:eastAsiaTheme="minorEastAsia"/>
                <w:sz w:val="24"/>
              </w:rPr>
              <w:t>，其用水量有限，绝大部分都蒸发掉；少量的施工废水排入临时沉淀池，沉淀后用于抑尘等，不外排。</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三、声环境影响分析</w:t>
            </w:r>
            <w:bookmarkEnd w:id="20"/>
            <w:bookmarkEnd w:id="21"/>
            <w:bookmarkEnd w:id="22"/>
            <w:bookmarkEnd w:id="23"/>
            <w:bookmarkEnd w:id="24"/>
            <w:bookmarkEnd w:id="25"/>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施工期噪声主要来源是高噪声的施工机械设备。由于施工阶段一般为露天作业且无隔声与降噪措施，影响范围较大。</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本报告针对施工期主要噪声源进行环境影响预测分析。采用点声源几何衰减计算公式预测，预测公式如下：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)－20lg(r/r</w:t>
            </w:r>
            <w:r>
              <w:rPr>
                <w:rFonts w:asciiTheme="minorEastAsia" w:hAnsiTheme="minorEastAsia" w:eastAsiaTheme="minorEastAsia"/>
                <w:sz w:val="24"/>
                <w:vertAlign w:val="subscript"/>
              </w:rPr>
              <w:t>0</w:t>
            </w:r>
            <w:r>
              <w:rPr>
                <w:rFonts w:asciiTheme="minorEastAsia" w:hAnsiTheme="minorEastAsia" w:eastAsiaTheme="minorEastAsia"/>
                <w:sz w:val="24"/>
              </w:rPr>
              <w:t>)</w:t>
            </w:r>
          </w:p>
          <w:p>
            <w:pPr>
              <w:spacing w:line="500" w:lineRule="exact"/>
              <w:rPr>
                <w:rFonts w:asciiTheme="minorEastAsia" w:hAnsiTheme="minorEastAsia" w:eastAsiaTheme="minorEastAsia"/>
                <w:sz w:val="24"/>
              </w:rPr>
            </w:pPr>
            <w:r>
              <w:rPr>
                <w:rFonts w:asciiTheme="minorEastAsia" w:hAnsiTheme="minorEastAsia" w:eastAsiaTheme="minorEastAsia"/>
                <w:sz w:val="24"/>
              </w:rPr>
              <w:t>式中：L</w:t>
            </w:r>
            <w:r>
              <w:rPr>
                <w:rFonts w:asciiTheme="minorEastAsia" w:hAnsiTheme="minorEastAsia" w:eastAsiaTheme="minorEastAsia"/>
                <w:sz w:val="24"/>
                <w:vertAlign w:val="subscript"/>
              </w:rPr>
              <w:t>A</w:t>
            </w:r>
            <w:r>
              <w:rPr>
                <w:rFonts w:asciiTheme="minorEastAsia" w:hAnsiTheme="minorEastAsia" w:eastAsiaTheme="minorEastAsia"/>
                <w:sz w:val="24"/>
              </w:rPr>
              <w:t>(r)——预测点处的声压级，dB(A)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)——参考点r</w:t>
            </w:r>
            <w:r>
              <w:rPr>
                <w:rFonts w:asciiTheme="minorEastAsia" w:hAnsiTheme="minorEastAsia" w:eastAsiaTheme="minorEastAsia"/>
                <w:sz w:val="24"/>
                <w:vertAlign w:val="subscript"/>
              </w:rPr>
              <w:t>0</w:t>
            </w:r>
            <w:r>
              <w:rPr>
                <w:rFonts w:asciiTheme="minorEastAsia" w:hAnsiTheme="minorEastAsia" w:eastAsiaTheme="minorEastAsia"/>
                <w:sz w:val="24"/>
              </w:rPr>
              <w:t>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r——噪声源至预测点的距离，m</w:t>
            </w:r>
          </w:p>
          <w:p>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通过噪声衰减公式，估算出主要施工机械设备噪声值随距离衰减的情况，见表</w:t>
            </w:r>
            <w:r>
              <w:rPr>
                <w:rFonts w:hint="eastAsia" w:asciiTheme="minorEastAsia" w:hAnsiTheme="minorEastAsia" w:eastAsiaTheme="minorEastAsia"/>
                <w:bCs/>
                <w:sz w:val="24"/>
              </w:rPr>
              <w:t>4-1</w:t>
            </w:r>
            <w:r>
              <w:rPr>
                <w:rFonts w:asciiTheme="minorEastAsia" w:hAnsiTheme="minorEastAsia" w:eastAsiaTheme="minorEastAsia"/>
                <w:bCs/>
                <w:sz w:val="24"/>
              </w:rPr>
              <w:t>。</w:t>
            </w:r>
          </w:p>
          <w:p>
            <w:pPr>
              <w:spacing w:line="500" w:lineRule="exact"/>
              <w:ind w:firstLine="744" w:firstLineChars="300"/>
              <w:rPr>
                <w:rFonts w:asciiTheme="minorEastAsia" w:hAnsiTheme="minorEastAsia" w:eastAsiaTheme="minorEastAsia"/>
                <w:b/>
                <w:bCs/>
                <w:sz w:val="24"/>
              </w:rPr>
            </w:pPr>
            <w:r>
              <w:rPr>
                <w:rStyle w:val="92"/>
                <w:rFonts w:asciiTheme="minorEastAsia" w:hAnsiTheme="minorEastAsia" w:eastAsiaTheme="minorEastAsia"/>
                <w:b w:val="0"/>
                <w:sz w:val="24"/>
              </w:rPr>
              <w:t>表</w:t>
            </w:r>
            <w:r>
              <w:rPr>
                <w:rFonts w:hint="eastAsia" w:asciiTheme="minorEastAsia" w:hAnsiTheme="minorEastAsia" w:eastAsiaTheme="minorEastAsia"/>
                <w:bCs/>
                <w:spacing w:val="4"/>
                <w:sz w:val="24"/>
              </w:rPr>
              <w:t>4-1</w:t>
            </w:r>
            <w:r>
              <w:rPr>
                <w:rFonts w:asciiTheme="minorEastAsia" w:hAnsiTheme="minorEastAsia" w:eastAsiaTheme="minorEastAsia"/>
                <w:bCs/>
                <w:spacing w:val="4"/>
                <w:sz w:val="24"/>
              </w:rPr>
              <w:t xml:space="preserve">    </w:t>
            </w:r>
            <w:r>
              <w:rPr>
                <w:rStyle w:val="92"/>
                <w:rFonts w:asciiTheme="minorEastAsia" w:hAnsiTheme="minorEastAsia" w:eastAsiaTheme="minorEastAsia"/>
                <w:b w:val="0"/>
                <w:sz w:val="24"/>
              </w:rPr>
              <w:t>主要施工机械声级随距离衰减情况</w:t>
            </w:r>
            <w:r>
              <w:rPr>
                <w:rFonts w:asciiTheme="minorEastAsia" w:hAnsiTheme="minorEastAsia" w:eastAsiaTheme="minorEastAsia"/>
                <w:bCs/>
                <w:spacing w:val="4"/>
                <w:sz w:val="24"/>
              </w:rPr>
              <w:t>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856"/>
              <w:gridCol w:w="813"/>
              <w:gridCol w:w="813"/>
              <w:gridCol w:w="813"/>
              <w:gridCol w:w="813"/>
              <w:gridCol w:w="813"/>
              <w:gridCol w:w="813"/>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声源</w:t>
                  </w:r>
                </w:p>
              </w:tc>
              <w:tc>
                <w:tcPr>
                  <w:tcW w:w="536"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噪声级</w:t>
                  </w:r>
                </w:p>
              </w:tc>
              <w:tc>
                <w:tcPr>
                  <w:tcW w:w="3562" w:type="pct"/>
                  <w:gridSpan w:val="7"/>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距声源不同距离处的噪声值(dB(A))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continue"/>
                  <w:vAlign w:val="center"/>
                </w:tcPr>
                <w:p>
                  <w:pPr>
                    <w:spacing w:line="400" w:lineRule="exact"/>
                    <w:jc w:val="center"/>
                    <w:rPr>
                      <w:rFonts w:asciiTheme="minorEastAsia" w:hAnsiTheme="minorEastAsia" w:eastAsiaTheme="minorEastAsia"/>
                      <w:szCs w:val="21"/>
                    </w:rPr>
                  </w:pPr>
                </w:p>
              </w:tc>
              <w:tc>
                <w:tcPr>
                  <w:tcW w:w="536" w:type="pct"/>
                  <w:vMerge w:val="continue"/>
                  <w:vAlign w:val="center"/>
                </w:tcPr>
                <w:p>
                  <w:pPr>
                    <w:spacing w:line="400" w:lineRule="exact"/>
                    <w:jc w:val="center"/>
                    <w:rPr>
                      <w:rFonts w:asciiTheme="minorEastAsia" w:hAnsiTheme="minorEastAsia" w:eastAsiaTheme="minorEastAsia"/>
                      <w:szCs w:val="21"/>
                    </w:rPr>
                  </w:pP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150m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挖掘机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65.5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58.1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51.5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推土机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94</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64.5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57.1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48.0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装载机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53.1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46.5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40.5</w:t>
                  </w:r>
                </w:p>
              </w:tc>
            </w:tr>
          </w:tbl>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z w:val="24"/>
              </w:rPr>
              <w:t>由表</w:t>
            </w:r>
            <w:r>
              <w:rPr>
                <w:rFonts w:hint="eastAsia" w:asciiTheme="minorEastAsia" w:hAnsiTheme="minorEastAsia" w:eastAsiaTheme="minorEastAsia"/>
                <w:sz w:val="24"/>
              </w:rPr>
              <w:t>4-1</w:t>
            </w:r>
            <w:r>
              <w:rPr>
                <w:rFonts w:asciiTheme="minorEastAsia" w:hAnsiTheme="minorEastAsia" w:eastAsiaTheme="minorEastAsia"/>
                <w:sz w:val="24"/>
              </w:rPr>
              <w:t>可见，距声源10m处，噪声源的最大影响噪声为75.0dB(A)，达到《建筑施工场界环境噪声排放标准》(GB12523-2011)昼间75dB(A)限值要求；距声源100m处，最大预测噪声为55dB(A)，接近《建筑施工厂界环境噪声排放标准》(GB12523-2011)夜间标准55dB(A)限值要求。因此，昼间施工的噪声影响范围为10m，夜间施工的影响范围为100m。</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根据施工期噪声受影响范围，应采取以下噪声控制措施：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(1)制定严格合理的施工计划，集中安排高噪声施工阶段，便于合理控制；</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(2)施工前应做好准备工作，包括人、物、材料等，并有专人指挥施工，争取在短时间内完工，尽量缩短施工噪声对民众的影响；</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(3)优化施工时间</w:t>
            </w:r>
            <w:r>
              <w:rPr>
                <w:rFonts w:asciiTheme="minorEastAsia" w:hAnsiTheme="minorEastAsia" w:eastAsiaTheme="minorEastAsia"/>
                <w:sz w:val="24"/>
              </w:rPr>
              <w:t>，夜间20：00～次日</w:t>
            </w:r>
            <w:r>
              <w:rPr>
                <w:rFonts w:hint="eastAsia" w:asciiTheme="minorEastAsia" w:hAnsiTheme="minorEastAsia" w:eastAsiaTheme="minorEastAsia"/>
                <w:sz w:val="24"/>
              </w:rPr>
              <w:t>6</w:t>
            </w:r>
            <w:r>
              <w:rPr>
                <w:rFonts w:asciiTheme="minorEastAsia" w:hAnsiTheme="minorEastAsia" w:eastAsiaTheme="minorEastAsia"/>
                <w:sz w:val="24"/>
              </w:rPr>
              <w:t>：00</w:t>
            </w:r>
            <w:r>
              <w:rPr>
                <w:rFonts w:hint="eastAsia" w:asciiTheme="minorEastAsia" w:hAnsiTheme="minorEastAsia" w:eastAsiaTheme="minorEastAsia"/>
                <w:sz w:val="24"/>
              </w:rPr>
              <w:t>应</w:t>
            </w:r>
            <w:r>
              <w:rPr>
                <w:rFonts w:asciiTheme="minorEastAsia" w:hAnsiTheme="minorEastAsia" w:eastAsiaTheme="minorEastAsia"/>
                <w:sz w:val="24"/>
              </w:rPr>
              <w:t>禁止施工</w:t>
            </w:r>
            <w:r>
              <w:rPr>
                <w:rFonts w:hint="eastAsia" w:asciiTheme="minorEastAsia" w:hAnsiTheme="minorEastAsia" w:eastAsiaTheme="minorEastAsia"/>
                <w:sz w:val="24"/>
              </w:rPr>
              <w:t>；</w:t>
            </w:r>
            <w:r>
              <w:rPr>
                <w:rFonts w:asciiTheme="minorEastAsia" w:hAnsiTheme="minorEastAsia" w:eastAsiaTheme="minorEastAsia"/>
                <w:snapToGrid w:val="0"/>
                <w:sz w:val="24"/>
              </w:rPr>
              <w:t>夜间必须连续施工作业必需向周边居民公布施工的时间，并征求附近易受影响居民对工程建设的意见和建议，协调好与周边住户之间的关系，取得民众的理解，避免引起噪声投诉；</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(4)施工设备尽量使用性能好、低噪声设备，避免在同一地点安排大量动力机械设备；</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(5)施工区实施严格的隔离措施，对位置相对固定的产噪设备，能设在棚内的应尽量进入操作间，不能入棚的也应当建立围隔声障；</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(6)与施工单位签订控噪协议，督促和监督其施工控噪工作的有效实施。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施工期噪声影响是间断的、局部的、短期的，它会随着施工的结束而消失。</w:t>
            </w:r>
            <w:bookmarkStart w:id="26" w:name="_Toc161199587"/>
            <w:bookmarkStart w:id="27" w:name="_Toc219514343"/>
            <w:bookmarkStart w:id="28" w:name="_Toc218846725"/>
            <w:bookmarkStart w:id="29" w:name="_Toc219178753"/>
            <w:bookmarkStart w:id="30" w:name="_Toc219514451"/>
            <w:bookmarkStart w:id="31" w:name="_Toc222543779"/>
          </w:p>
          <w:p>
            <w:pPr>
              <w:snapToGrid w:val="0"/>
              <w:spacing w:line="5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四</w:t>
            </w:r>
            <w:r>
              <w:rPr>
                <w:rFonts w:asciiTheme="minorEastAsia" w:hAnsiTheme="minorEastAsia" w:eastAsiaTheme="minorEastAsia"/>
                <w:b/>
                <w:bCs/>
                <w:sz w:val="24"/>
              </w:rPr>
              <w:t>、固体废物影响分析</w:t>
            </w:r>
            <w:bookmarkEnd w:id="26"/>
            <w:bookmarkEnd w:id="27"/>
            <w:bookmarkEnd w:id="28"/>
            <w:bookmarkEnd w:id="29"/>
            <w:bookmarkEnd w:id="30"/>
            <w:bookmarkEnd w:id="31"/>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本项目施工期</w:t>
            </w:r>
            <w:r>
              <w:rPr>
                <w:rFonts w:asciiTheme="minorEastAsia" w:hAnsiTheme="minorEastAsia" w:eastAsiaTheme="minorEastAsia"/>
                <w:kern w:val="44"/>
                <w:sz w:val="24"/>
              </w:rPr>
              <w:t>固体废物主要</w:t>
            </w:r>
            <w:r>
              <w:rPr>
                <w:rFonts w:hint="eastAsia" w:asciiTheme="minorEastAsia" w:hAnsiTheme="minorEastAsia" w:eastAsiaTheme="minorEastAsia"/>
                <w:kern w:val="44"/>
                <w:sz w:val="24"/>
              </w:rPr>
              <w:t>来自污水收集管网开挖产生的弃土、路</w:t>
            </w:r>
            <w:r>
              <w:rPr>
                <w:rFonts w:asciiTheme="minorEastAsia" w:hAnsiTheme="minorEastAsia" w:eastAsiaTheme="minorEastAsia"/>
                <w:kern w:val="44"/>
                <w:sz w:val="24"/>
              </w:rPr>
              <w:t>面</w:t>
            </w:r>
            <w:r>
              <w:rPr>
                <w:rFonts w:hint="eastAsia" w:asciiTheme="minorEastAsia" w:hAnsiTheme="minorEastAsia" w:eastAsiaTheme="minorEastAsia"/>
                <w:kern w:val="44"/>
                <w:sz w:val="24"/>
              </w:rPr>
              <w:t>弃渣、</w:t>
            </w:r>
            <w:r>
              <w:rPr>
                <w:rFonts w:asciiTheme="minorEastAsia" w:hAnsiTheme="minorEastAsia" w:eastAsiaTheme="minorEastAsia"/>
                <w:kern w:val="44"/>
                <w:sz w:val="24"/>
              </w:rPr>
              <w:t>建筑垃圾</w:t>
            </w:r>
            <w:r>
              <w:rPr>
                <w:rFonts w:hint="eastAsia" w:asciiTheme="minorEastAsia" w:hAnsiTheme="minorEastAsia" w:eastAsiaTheme="minorEastAsia"/>
                <w:kern w:val="44"/>
                <w:sz w:val="24"/>
              </w:rPr>
              <w:t>以及污水处理厂厂区建设过程中产生的弃土和建筑垃圾</w:t>
            </w:r>
            <w:r>
              <w:rPr>
                <w:rFonts w:asciiTheme="minorEastAsia" w:hAnsiTheme="minorEastAsia" w:eastAsiaTheme="minorEastAsia"/>
                <w:kern w:val="44"/>
                <w:sz w:val="24"/>
              </w:rPr>
              <w:t>。</w:t>
            </w:r>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(1)挖填平衡分析</w:t>
            </w:r>
          </w:p>
          <w:p>
            <w:pPr>
              <w:spacing w:line="500" w:lineRule="exact"/>
              <w:ind w:firstLine="480" w:firstLineChars="200"/>
              <w:rPr>
                <w:rFonts w:asciiTheme="minorEastAsia" w:hAnsiTheme="minorEastAsia" w:eastAsiaTheme="minorEastAsia"/>
                <w:spacing w:val="2"/>
                <w:sz w:val="24"/>
              </w:rPr>
            </w:pPr>
            <w:r>
              <w:rPr>
                <w:rFonts w:hint="eastAsia" w:asciiTheme="minorEastAsia" w:hAnsiTheme="minorEastAsia" w:eastAsiaTheme="minorEastAsia"/>
                <w:sz w:val="24"/>
              </w:rPr>
              <w:t>本工程管线土方挖方量约为</w:t>
            </w:r>
            <w:r>
              <w:rPr>
                <w:rFonts w:asciiTheme="minorEastAsia" w:hAnsiTheme="minorEastAsia" w:eastAsiaTheme="minorEastAsia"/>
                <w:sz w:val="24"/>
              </w:rPr>
              <w:t>38</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38</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，挖填平衡；污水厂施工过程中挖方量约为</w:t>
            </w:r>
            <w:r>
              <w:rPr>
                <w:rFonts w:asciiTheme="minorEastAsia" w:hAnsiTheme="minorEastAsia" w:eastAsiaTheme="minorEastAsia"/>
                <w:sz w:val="24"/>
              </w:rPr>
              <w:t>13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13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，挖填平衡，工程无弃土。</w:t>
            </w:r>
            <w:r>
              <w:rPr>
                <w:rFonts w:hint="eastAsia" w:asciiTheme="minorEastAsia" w:hAnsiTheme="minorEastAsia" w:eastAsiaTheme="minorEastAsia"/>
                <w:spacing w:val="2"/>
                <w:sz w:val="24"/>
              </w:rPr>
              <w:t>工程的土石方平衡见下表4-2。</w:t>
            </w:r>
          </w:p>
          <w:p>
            <w:pPr>
              <w:pStyle w:val="9"/>
              <w:keepNext/>
              <w:spacing w:line="500" w:lineRule="exact"/>
              <w:ind w:firstLine="200"/>
              <w:jc w:val="center"/>
              <w:rPr>
                <w:rFonts w:asciiTheme="minorEastAsia" w:hAnsiTheme="minorEastAsia" w:eastAsiaTheme="minorEastAsia"/>
                <w:bCs/>
                <w:sz w:val="24"/>
                <w:szCs w:val="24"/>
                <w:highlight w:val="yellow"/>
              </w:rPr>
            </w:pPr>
            <w:r>
              <w:rPr>
                <w:rFonts w:hint="eastAsia" w:asciiTheme="minorEastAsia" w:hAnsiTheme="minorEastAsia" w:eastAsiaTheme="minorEastAsia"/>
                <w:bCs/>
                <w:sz w:val="24"/>
                <w:szCs w:val="24"/>
              </w:rPr>
              <w:t>表4-2</w:t>
            </w:r>
            <w:r>
              <w:rPr>
                <w:rFonts w:asciiTheme="minorEastAsia" w:hAnsiTheme="minorEastAsia" w:eastAsiaTheme="minorEastAsia"/>
                <w:bCs/>
                <w:sz w:val="24"/>
                <w:szCs w:val="24"/>
              </w:rPr>
              <w:t xml:space="preserve">    </w:t>
            </w:r>
            <w:r>
              <w:rPr>
                <w:rFonts w:hint="eastAsia" w:asciiTheme="minorEastAsia" w:hAnsiTheme="minorEastAsia" w:eastAsiaTheme="minorEastAsia"/>
                <w:bCs/>
                <w:sz w:val="24"/>
                <w:szCs w:val="24"/>
              </w:rPr>
              <w:t>本项目土石方平衡表(</w:t>
            </w:r>
            <w:r>
              <w:rPr>
                <w:rFonts w:asciiTheme="minorEastAsia" w:hAnsiTheme="minorEastAsia" w:eastAsiaTheme="minorEastAsia"/>
                <w:bCs/>
                <w:sz w:val="24"/>
                <w:szCs w:val="24"/>
              </w:rPr>
              <w:t>m</w:t>
            </w:r>
            <w:r>
              <w:rPr>
                <w:rFonts w:asciiTheme="minorEastAsia" w:hAnsiTheme="minorEastAsia" w:eastAsiaTheme="minorEastAsia"/>
                <w:bCs/>
                <w:sz w:val="24"/>
                <w:szCs w:val="24"/>
                <w:vertAlign w:val="superscript"/>
              </w:rPr>
              <w:t>3</w:t>
            </w:r>
            <w:r>
              <w:rPr>
                <w:rFonts w:hint="eastAsia" w:asciiTheme="minorEastAsia" w:hAnsiTheme="minorEastAsia" w:eastAsiaTheme="minorEastAsia"/>
                <w:bCs/>
                <w:sz w:val="24"/>
                <w:szCs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242"/>
              <w:gridCol w:w="1139"/>
              <w:gridCol w:w="1139"/>
              <w:gridCol w:w="113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778"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数量(m)</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挖方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填方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弃方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补方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污水收集管网</w:t>
                  </w:r>
                </w:p>
              </w:tc>
              <w:tc>
                <w:tcPr>
                  <w:tcW w:w="778" w:type="pct"/>
                  <w:vAlign w:val="center"/>
                </w:tcPr>
                <w:p>
                  <w:pPr>
                    <w:spacing w:line="400" w:lineRule="exact"/>
                    <w:jc w:val="center"/>
                    <w:rPr>
                      <w:rFonts w:asciiTheme="minorEastAsia" w:hAnsiTheme="minorEastAsia" w:eastAsiaTheme="minorEastAsia"/>
                      <w:szCs w:val="21"/>
                    </w:rPr>
                  </w:pPr>
                  <w:r>
                    <w:rPr>
                      <w:rFonts w:ascii="宋体" w:hAnsi="宋体" w:cs="TimesNewRomanPSMT"/>
                      <w:kern w:val="0"/>
                      <w:szCs w:val="21"/>
                    </w:rPr>
                    <w:t>8814</w:t>
                  </w:r>
                </w:p>
              </w:tc>
              <w:tc>
                <w:tcPr>
                  <w:tcW w:w="713" w:type="pct"/>
                  <w:vAlign w:val="center"/>
                </w:tcPr>
                <w:p>
                  <w:pPr>
                    <w:adjustRightInd w:val="0"/>
                    <w:snapToGrid w:val="0"/>
                    <w:spacing w:line="400" w:lineRule="exact"/>
                    <w:jc w:val="center"/>
                    <w:rPr>
                      <w:rFonts w:asciiTheme="minorEastAsia" w:hAnsiTheme="minorEastAsia" w:eastAsiaTheme="minorEastAsia"/>
                    </w:rPr>
                  </w:pPr>
                  <w:r>
                    <w:rPr>
                      <w:rFonts w:asciiTheme="minorEastAsia" w:hAnsiTheme="minorEastAsia" w:eastAsiaTheme="minorEastAsia"/>
                      <w:szCs w:val="21"/>
                    </w:rPr>
                    <w:t>3800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3800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污水处理厂厂区</w:t>
                  </w:r>
                </w:p>
              </w:tc>
              <w:tc>
                <w:tcPr>
                  <w:tcW w:w="77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78" w:type="pct"/>
                  <w:vAlign w:val="center"/>
                </w:tcPr>
                <w:p>
                  <w:pPr>
                    <w:adjustRightInd w:val="0"/>
                    <w:snapToGrid w:val="0"/>
                    <w:spacing w:line="400" w:lineRule="exact"/>
                    <w:jc w:val="center"/>
                    <w:rPr>
                      <w:rFonts w:asciiTheme="minorEastAsia" w:hAnsiTheme="minorEastAsia" w:eastAsiaTheme="minorEastAsia"/>
                      <w:szCs w:val="21"/>
                    </w:rPr>
                  </w:pP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5100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5100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bl>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(2)</w:t>
            </w:r>
            <w:r>
              <w:rPr>
                <w:rFonts w:asciiTheme="minorEastAsia" w:hAnsiTheme="minorEastAsia" w:eastAsiaTheme="minorEastAsia"/>
                <w:kern w:val="44"/>
                <w:sz w:val="24"/>
              </w:rPr>
              <w:t>施工建筑垃圾</w:t>
            </w:r>
          </w:p>
          <w:p>
            <w:pPr>
              <w:spacing w:line="460" w:lineRule="exact"/>
              <w:ind w:firstLine="480" w:firstLineChars="200"/>
              <w:rPr>
                <w:rFonts w:asciiTheme="minorEastAsia" w:hAnsiTheme="minorEastAsia" w:eastAsiaTheme="minorEastAsia"/>
                <w:kern w:val="44"/>
                <w:sz w:val="24"/>
              </w:rPr>
            </w:pPr>
            <w:r>
              <w:rPr>
                <w:rFonts w:asciiTheme="minorEastAsia" w:hAnsiTheme="minorEastAsia" w:eastAsiaTheme="minorEastAsia"/>
                <w:kern w:val="44"/>
                <w:sz w:val="24"/>
              </w:rPr>
              <w:t>施工过程中产生的建筑垃圾主要是</w:t>
            </w:r>
            <w:r>
              <w:rPr>
                <w:rFonts w:hint="eastAsia" w:asciiTheme="minorEastAsia" w:hAnsiTheme="minorEastAsia" w:eastAsiaTheme="minorEastAsia"/>
                <w:kern w:val="44"/>
                <w:sz w:val="24"/>
              </w:rPr>
              <w:t>管沟</w:t>
            </w:r>
            <w:r>
              <w:rPr>
                <w:rFonts w:asciiTheme="minorEastAsia" w:hAnsiTheme="minorEastAsia" w:eastAsiaTheme="minorEastAsia"/>
                <w:kern w:val="44"/>
                <w:sz w:val="24"/>
              </w:rPr>
              <w:t>开挖时破路</w:t>
            </w:r>
            <w:r>
              <w:rPr>
                <w:rFonts w:hint="eastAsia" w:asciiTheme="minorEastAsia" w:hAnsiTheme="minorEastAsia" w:eastAsiaTheme="minorEastAsia"/>
                <w:kern w:val="44"/>
                <w:sz w:val="24"/>
              </w:rPr>
              <w:t>而</w:t>
            </w:r>
            <w:r>
              <w:rPr>
                <w:rFonts w:asciiTheme="minorEastAsia" w:hAnsiTheme="minorEastAsia" w:eastAsiaTheme="minorEastAsia"/>
                <w:kern w:val="44"/>
                <w:sz w:val="24"/>
              </w:rPr>
              <w:t>产生的路面弃渣</w:t>
            </w:r>
            <w:r>
              <w:rPr>
                <w:rFonts w:hint="eastAsia" w:asciiTheme="minorEastAsia" w:hAnsiTheme="minorEastAsia" w:eastAsiaTheme="minorEastAsia"/>
                <w:kern w:val="44"/>
                <w:sz w:val="24"/>
              </w:rPr>
              <w:t>和污水处理厂厂区建设过程中产生的建筑垃圾</w:t>
            </w:r>
            <w:r>
              <w:rPr>
                <w:rFonts w:asciiTheme="minorEastAsia" w:hAnsiTheme="minorEastAsia" w:eastAsiaTheme="minorEastAsia"/>
                <w:kern w:val="44"/>
                <w:sz w:val="24"/>
              </w:rPr>
              <w:t>等</w:t>
            </w:r>
            <w:r>
              <w:rPr>
                <w:rFonts w:hint="eastAsia" w:asciiTheme="minorEastAsia" w:hAnsiTheme="minorEastAsia" w:eastAsiaTheme="minorEastAsia"/>
                <w:kern w:val="44"/>
                <w:sz w:val="24"/>
              </w:rPr>
              <w:t>。本项目施工期间共产生弃渣、建筑垃圾约</w:t>
            </w:r>
            <w:r>
              <w:rPr>
                <w:rFonts w:asciiTheme="minorEastAsia" w:hAnsiTheme="minorEastAsia" w:eastAsiaTheme="minorEastAsia"/>
                <w:kern w:val="44"/>
                <w:sz w:val="24"/>
              </w:rPr>
              <w:t>155</w:t>
            </w:r>
            <w:r>
              <w:rPr>
                <w:rFonts w:hint="eastAsia" w:asciiTheme="minorEastAsia" w:hAnsiTheme="minorEastAsia" w:eastAsiaTheme="minorEastAsia"/>
                <w:kern w:val="44"/>
                <w:sz w:val="24"/>
              </w:rPr>
              <w:t>t，先临时堆存于施工场地，而后</w:t>
            </w:r>
            <w:r>
              <w:rPr>
                <w:rFonts w:asciiTheme="minorEastAsia" w:hAnsiTheme="minorEastAsia" w:eastAsiaTheme="minorEastAsia"/>
                <w:kern w:val="44"/>
                <w:sz w:val="24"/>
              </w:rPr>
              <w:t>统一送至</w:t>
            </w:r>
            <w:r>
              <w:rPr>
                <w:rFonts w:hint="eastAsia" w:asciiTheme="minorEastAsia" w:hAnsiTheme="minorEastAsia" w:eastAsiaTheme="minorEastAsia"/>
                <w:kern w:val="44"/>
                <w:sz w:val="24"/>
              </w:rPr>
              <w:t>临县建筑垃圾填埋场填埋处置</w:t>
            </w:r>
            <w:r>
              <w:rPr>
                <w:rFonts w:asciiTheme="minorEastAsia" w:hAnsiTheme="minorEastAsia" w:eastAsiaTheme="minorEastAsia"/>
                <w:kern w:val="44"/>
                <w:sz w:val="24"/>
              </w:rPr>
              <w:t>。</w:t>
            </w:r>
          </w:p>
          <w:p>
            <w:pPr>
              <w:spacing w:line="46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施工期结束</w:t>
            </w:r>
            <w:r>
              <w:rPr>
                <w:rFonts w:asciiTheme="minorEastAsia" w:hAnsiTheme="minorEastAsia" w:eastAsiaTheme="minorEastAsia"/>
                <w:kern w:val="44"/>
                <w:sz w:val="24"/>
              </w:rPr>
              <w:t>后</w:t>
            </w:r>
            <w:r>
              <w:rPr>
                <w:rFonts w:hint="eastAsia" w:asciiTheme="minorEastAsia" w:hAnsiTheme="minorEastAsia" w:eastAsiaTheme="minorEastAsia"/>
                <w:kern w:val="44"/>
                <w:sz w:val="24"/>
              </w:rPr>
              <w:t>采取覆土、硬化路面、绿化等措施。覆土厚度为0.8~1.0m，然后种植适合当地生长、耐旱、繁植力强的草种。减免水土流失，进行生态恢复。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(3)施工人员生活垃圾</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本项目施工人员为20人，施工期预计为</w:t>
            </w:r>
            <w:r>
              <w:rPr>
                <w:rFonts w:asciiTheme="minorEastAsia" w:hAnsiTheme="minorEastAsia" w:eastAsiaTheme="minorEastAsia"/>
                <w:sz w:val="24"/>
              </w:rPr>
              <w:t>10</w:t>
            </w:r>
            <w:r>
              <w:rPr>
                <w:rFonts w:hint="eastAsia" w:asciiTheme="minorEastAsia" w:hAnsiTheme="minorEastAsia" w:eastAsiaTheme="minorEastAsia"/>
                <w:sz w:val="24"/>
              </w:rPr>
              <w:t>个月，生活垃圾产生量按0.5kg/人·d，则施工期施工人员的生活垃圾量约为3t。</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为减缓上述不利影响，主要采取以下措施：</w:t>
            </w:r>
          </w:p>
          <w:p>
            <w:pPr>
              <w:spacing w:line="4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a、</w:t>
            </w:r>
            <w:r>
              <w:rPr>
                <w:rFonts w:asciiTheme="minorEastAsia" w:hAnsiTheme="minorEastAsia" w:eastAsiaTheme="minorEastAsia"/>
                <w:sz w:val="24"/>
              </w:rPr>
              <w:t>施工期的土石方量和建筑弃渣，尽可能用于回填和平整场地；</w:t>
            </w:r>
            <w:r>
              <w:rPr>
                <w:rFonts w:hint="eastAsia" w:asciiTheme="minorEastAsia" w:hAnsiTheme="minorEastAsia" w:eastAsiaTheme="minorEastAsia"/>
                <w:sz w:val="24"/>
              </w:rPr>
              <w:t>尽可能</w:t>
            </w:r>
            <w:r>
              <w:rPr>
                <w:rFonts w:asciiTheme="minorEastAsia" w:hAnsiTheme="minorEastAsia" w:eastAsiaTheme="minorEastAsia"/>
                <w:sz w:val="24"/>
              </w:rPr>
              <w:t>将水土流失降至最低。</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b、</w:t>
            </w:r>
            <w:r>
              <w:rPr>
                <w:rFonts w:asciiTheme="minorEastAsia" w:hAnsiTheme="minorEastAsia" w:eastAsiaTheme="minorEastAsia"/>
                <w:sz w:val="24"/>
              </w:rPr>
              <w:t>在进</w:t>
            </w:r>
            <w:r>
              <w:rPr>
                <w:rFonts w:hint="eastAsia" w:asciiTheme="minorEastAsia" w:hAnsiTheme="minorEastAsia" w:eastAsiaTheme="minorEastAsia"/>
                <w:sz w:val="24"/>
              </w:rPr>
              <w:t>厂</w:t>
            </w:r>
            <w:r>
              <w:rPr>
                <w:rFonts w:asciiTheme="minorEastAsia" w:hAnsiTheme="minorEastAsia" w:eastAsiaTheme="minorEastAsia"/>
                <w:sz w:val="24"/>
              </w:rPr>
              <w:t>道路与</w:t>
            </w:r>
            <w:r>
              <w:rPr>
                <w:rFonts w:hint="eastAsia" w:asciiTheme="minorEastAsia" w:hAnsiTheme="minorEastAsia" w:eastAsiaTheme="minorEastAsia"/>
                <w:sz w:val="24"/>
              </w:rPr>
              <w:t>厂区</w:t>
            </w:r>
            <w:r>
              <w:rPr>
                <w:rFonts w:asciiTheme="minorEastAsia" w:hAnsiTheme="minorEastAsia" w:eastAsiaTheme="minorEastAsia"/>
                <w:sz w:val="24"/>
              </w:rPr>
              <w:t>道路结合处设置洗车场，防止运输车辆将浮土带入道路影响</w:t>
            </w:r>
            <w:r>
              <w:rPr>
                <w:rFonts w:hint="eastAsia" w:asciiTheme="minorEastAsia" w:hAnsiTheme="minorEastAsia" w:eastAsiaTheme="minorEastAsia"/>
                <w:sz w:val="24"/>
              </w:rPr>
              <w:t>城</w:t>
            </w:r>
            <w:r>
              <w:rPr>
                <w:rFonts w:asciiTheme="minorEastAsia" w:hAnsiTheme="minorEastAsia" w:eastAsiaTheme="minorEastAsia"/>
                <w:sz w:val="24"/>
              </w:rPr>
              <w:t>环境卫生。</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w:t>
            </w:r>
            <w:r>
              <w:rPr>
                <w:rFonts w:asciiTheme="minorEastAsia" w:hAnsiTheme="minorEastAsia" w:eastAsiaTheme="minorEastAsia"/>
                <w:sz w:val="24"/>
              </w:rPr>
              <w:t>施工过程中产生的各类污染都是暂时的，随着施工工程的结束，这些污染也将消失，不会对环境产生明显影响。</w:t>
            </w:r>
          </w:p>
          <w:p>
            <w:pPr>
              <w:spacing w:line="46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五、生态环境影响分析及防护措施</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生态环境影响因素分析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施工期生态环境影响主要表现在</w:t>
            </w:r>
            <w:r>
              <w:rPr>
                <w:rFonts w:asciiTheme="minorEastAsia" w:hAnsiTheme="minorEastAsia" w:eastAsiaTheme="minorEastAsia"/>
                <w:kern w:val="44"/>
                <w:sz w:val="24"/>
              </w:rPr>
              <w:t>管沟开挖、设备运输等会对周围环境产生影响，</w:t>
            </w:r>
            <w:r>
              <w:rPr>
                <w:rFonts w:hint="eastAsia" w:asciiTheme="minorEastAsia" w:hAnsiTheme="minorEastAsia" w:eastAsiaTheme="minorEastAsia"/>
                <w:kern w:val="44"/>
                <w:sz w:val="24"/>
              </w:rPr>
              <w:t>污水处理厂</w:t>
            </w:r>
            <w:r>
              <w:rPr>
                <w:rFonts w:asciiTheme="minorEastAsia" w:hAnsiTheme="minorEastAsia" w:eastAsiaTheme="minorEastAsia"/>
                <w:sz w:val="24"/>
              </w:rPr>
              <w:t>占用土地、对地表植被的破坏、土方、建筑材料等堆放易造成施工场地水土流失及对周围</w:t>
            </w:r>
            <w:r>
              <w:rPr>
                <w:rFonts w:hint="eastAsia" w:asciiTheme="minorEastAsia" w:hAnsiTheme="minorEastAsia" w:eastAsiaTheme="minorEastAsia"/>
                <w:sz w:val="24"/>
              </w:rPr>
              <w:t>环境</w:t>
            </w:r>
            <w:r>
              <w:rPr>
                <w:rFonts w:asciiTheme="minorEastAsia" w:hAnsiTheme="minorEastAsia" w:eastAsiaTheme="minorEastAsia"/>
                <w:sz w:val="24"/>
              </w:rPr>
              <w:t>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施工占地的影响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过程需对建设场地进行挖掘、填筑和平整，使原有的植被被铲除，改变了土地的原有使用功能，从而使绿化面积有所减少。但这只是暂时性的，施工完成后，项目将进行大面积绿化美化，因此尽管施工期对建设区域植被有一定的不利影响，但随着施工期的结束和绿地设施的完善，这种影响也将随之消失。</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2)施工扬尘对植被的影响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施工填挖、建筑材料运输和堆放将产生大量扬尘，产生的扬尘散落在植被上，将会影响植被对阳光的吸收，直接影响到其光合作用的完成。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3)施工废水对植</w:t>
            </w:r>
            <w:r>
              <w:rPr>
                <w:rFonts w:hint="eastAsia" w:asciiTheme="minorEastAsia" w:hAnsiTheme="minorEastAsia" w:eastAsiaTheme="minorEastAsia"/>
                <w:sz w:val="24"/>
              </w:rPr>
              <w:t>被的影响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施工场地施工机械车辆冲洗废水，施工期间的生活污水任意泼洒，其中的污染物将会通过土壤进入植被，从而影响植被的正常生长。</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4)水</w:t>
            </w:r>
            <w:r>
              <w:rPr>
                <w:rFonts w:hint="eastAsia" w:asciiTheme="minorEastAsia" w:hAnsiTheme="minorEastAsia" w:eastAsiaTheme="minorEastAsia"/>
                <w:sz w:val="24"/>
              </w:rPr>
              <w:t>土流失</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在土地平整过程中，土方的开挖会造成原地貌的剧烈</w:t>
            </w:r>
            <w:r>
              <w:rPr>
                <w:rFonts w:asciiTheme="minorEastAsia" w:hAnsiTheme="minorEastAsia" w:eastAsiaTheme="minorEastAsia"/>
                <w:sz w:val="24"/>
              </w:rPr>
              <w:t>破坏，同时由于开挖点、填方点土方的松散性及不整合性，降低或丧失了原地貌的水土保持功能，再加上区域内降水集中，加剧了水土流失的发生和发展。</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生态环境影响防治措施</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①严格划定施工区域，不能扩大施工范围，同时杜绝对占地范围之外植被进行破坏。</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②施工期采取临时苫盖、洒水等措施，防止空气污染对周围植被生长产生的影响。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③设临时</w:t>
            </w:r>
            <w:r>
              <w:rPr>
                <w:rFonts w:hint="eastAsia" w:asciiTheme="minorEastAsia" w:hAnsiTheme="minorEastAsia" w:eastAsiaTheme="minorEastAsia"/>
                <w:sz w:val="24"/>
              </w:rPr>
              <w:t>废水收集池</w:t>
            </w:r>
            <w:r>
              <w:rPr>
                <w:rFonts w:asciiTheme="minorEastAsia" w:hAnsiTheme="minorEastAsia" w:eastAsiaTheme="minorEastAsia"/>
                <w:sz w:val="24"/>
              </w:rPr>
              <w:t>，</w:t>
            </w:r>
            <w:r>
              <w:rPr>
                <w:rFonts w:hint="eastAsia" w:asciiTheme="minorEastAsia" w:hAnsiTheme="minorEastAsia" w:eastAsiaTheme="minorEastAsia"/>
                <w:sz w:val="24"/>
              </w:rPr>
              <w:t>集中收集沉淀后用于施工场地洒水抑尘，杜绝排入黄河，且不能够任意排放</w:t>
            </w:r>
            <w:r>
              <w:rPr>
                <w:rFonts w:asciiTheme="minorEastAsia" w:hAnsiTheme="minorEastAsia" w:eastAsiaTheme="minorEastAsia"/>
                <w:sz w:val="24"/>
              </w:rPr>
              <w:t>，减少对生态的破坏和水土流失的产生。</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④施工期将导致一些地表裸露，改变土壤结构，使沿线地区的生态结构和功能发生变化，进而影响生态系统的稳定性。因此，应加强施工人员的环保意识的宣教工作，禁止施工人员破坏设计用地以外的植被。</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⑤</w:t>
            </w:r>
            <w:r>
              <w:rPr>
                <w:rFonts w:hint="eastAsia" w:asciiTheme="minorEastAsia" w:hAnsiTheme="minorEastAsia" w:eastAsiaTheme="minorEastAsia"/>
                <w:kern w:val="44"/>
                <w:sz w:val="24"/>
              </w:rPr>
              <w:t>管网工程施工占地集中于城市道路，管网敷设完成后夯实土地，路面恢复为沥青或砖石路面。</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w:t>
            </w:r>
            <w:r>
              <w:rPr>
                <w:rFonts w:asciiTheme="minorEastAsia" w:hAnsiTheme="minorEastAsia" w:eastAsiaTheme="minorEastAsia"/>
                <w:sz w:val="24"/>
              </w:rPr>
              <w:t>施工结束后，结合水土保持工作，搞好施工场地的生态恢复工作。</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经采取以上措施后，工程施工期间的生态环境影响可降至最低限度，且随着工程施工期的结束，这些影响也将消失。</w:t>
            </w:r>
          </w:p>
          <w:p>
            <w:pPr>
              <w:spacing w:line="46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六、小结</w:t>
            </w:r>
          </w:p>
          <w:p>
            <w:pPr>
              <w:spacing w:line="46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总之，尽管施工过程中采取多种措施，由于施工过程的诸多不确定性和短期性，施工过程仍将对周围环境产生一定的影响。但施工期影响是短期的、可逆和局部的，影响范围和程度有限，待工程完成后，所有影响将一同消失</w:t>
            </w:r>
            <w:r>
              <w:rPr>
                <w:rFonts w:hint="eastAsia" w:asciiTheme="minorEastAsia" w:hAnsiTheme="minorEastAsia" w:eastAsiaTheme="minorEastAsia"/>
                <w:kern w:val="10"/>
                <w:sz w:val="24"/>
              </w:rPr>
              <w:t>，影响较小。</w:t>
            </w:r>
          </w:p>
          <w:p>
            <w:pPr>
              <w:spacing w:line="480" w:lineRule="exact"/>
              <w:ind w:firstLine="480" w:firstLineChars="200"/>
              <w:rPr>
                <w:rFonts w:asciiTheme="minorEastAsia" w:hAnsiTheme="minorEastAsia" w:eastAsiaTheme="minorEastAsia"/>
                <w:color w:val="FF0000"/>
                <w:kern w:val="10"/>
                <w:sz w:val="24"/>
              </w:rPr>
            </w:pPr>
          </w:p>
          <w:p>
            <w:pPr>
              <w:spacing w:line="480" w:lineRule="exact"/>
              <w:ind w:firstLine="380" w:firstLineChars="200"/>
              <w:rPr>
                <w:rFonts w:cs="宋体" w:asciiTheme="minorEastAsia" w:hAnsiTheme="minorEastAsia" w:eastAsiaTheme="minorEastAsia"/>
                <w:bCs/>
                <w:color w:val="FF0000"/>
                <w:spacing w:val="-10"/>
                <w:szCs w:val="21"/>
              </w:rPr>
            </w:pPr>
          </w:p>
          <w:p>
            <w:pPr>
              <w:spacing w:line="480" w:lineRule="exact"/>
              <w:ind w:firstLine="380" w:firstLineChars="200"/>
              <w:rPr>
                <w:rFonts w:cs="宋体" w:asciiTheme="minorEastAsia" w:hAnsiTheme="minorEastAsia" w:eastAsiaTheme="minorEastAsia"/>
                <w:bCs/>
                <w:color w:val="FF0000"/>
                <w:spacing w:val="-10"/>
                <w:szCs w:val="21"/>
              </w:rPr>
            </w:pPr>
          </w:p>
          <w:p>
            <w:pPr>
              <w:spacing w:line="480" w:lineRule="exact"/>
              <w:ind w:firstLine="380" w:firstLineChars="200"/>
              <w:rPr>
                <w:rFonts w:cs="宋体" w:asciiTheme="minorEastAsia" w:hAnsiTheme="minorEastAsia" w:eastAsiaTheme="minorEastAsia"/>
                <w:bCs/>
                <w:color w:val="FF0000"/>
                <w:spacing w:val="-1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运</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营</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期</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环</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境</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影</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响</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和</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保</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护</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措</w:t>
            </w:r>
          </w:p>
          <w:p>
            <w:pPr>
              <w:jc w:val="center"/>
              <w:rPr>
                <w:rFonts w:asciiTheme="minorEastAsia" w:hAnsiTheme="minorEastAsia" w:eastAsiaTheme="minorEastAsia"/>
                <w:color w:val="FF0000"/>
              </w:rPr>
            </w:pPr>
            <w:r>
              <w:rPr>
                <w:rFonts w:hint="eastAsia" w:cs="宋体" w:asciiTheme="minorEastAsia" w:hAnsiTheme="minorEastAsia" w:eastAsiaTheme="minorEastAsia"/>
                <w:bCs/>
                <w:kern w:val="10"/>
                <w:sz w:val="24"/>
                <w:szCs w:val="21"/>
              </w:rPr>
              <w:t>施</w:t>
            </w:r>
          </w:p>
        </w:tc>
        <w:tc>
          <w:tcPr>
            <w:tcW w:w="13148" w:type="dxa"/>
          </w:tcPr>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一、大气环境影响分析</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1、废气主要污染物产生及预计排放情况</w:t>
            </w:r>
          </w:p>
          <w:p>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表4-3    主要污染物产生及预计排放情况一览表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9"/>
              <w:gridCol w:w="1739"/>
              <w:gridCol w:w="992"/>
              <w:gridCol w:w="850"/>
              <w:gridCol w:w="1135"/>
              <w:gridCol w:w="1303"/>
              <w:gridCol w:w="2225"/>
              <w:gridCol w:w="910"/>
              <w:gridCol w:w="734"/>
              <w:gridCol w:w="830"/>
              <w:gridCol w:w="848"/>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05"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673"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产排污环节</w:t>
                  </w:r>
                </w:p>
              </w:tc>
              <w:tc>
                <w:tcPr>
                  <w:tcW w:w="384" w:type="pct"/>
                  <w:vMerge w:val="restar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污染物种类</w:t>
                  </w:r>
                </w:p>
              </w:tc>
              <w:tc>
                <w:tcPr>
                  <w:tcW w:w="768" w:type="pct"/>
                  <w:gridSpan w:val="2"/>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产生浓度和产生量</w:t>
                  </w:r>
                </w:p>
              </w:tc>
              <w:tc>
                <w:tcPr>
                  <w:tcW w:w="1717"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污染治理设施</w:t>
                  </w:r>
                </w:p>
              </w:tc>
              <w:tc>
                <w:tcPr>
                  <w:tcW w:w="284" w:type="pct"/>
                  <w:vMerge w:val="restart"/>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排放形式</w:t>
                  </w:r>
                </w:p>
              </w:tc>
              <w:tc>
                <w:tcPr>
                  <w:tcW w:w="969"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排放浓度和排放量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9"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产生浓度</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mg/m</w:t>
                  </w:r>
                  <w:r>
                    <w:rPr>
                      <w:rFonts w:asciiTheme="minorEastAsia" w:hAnsiTheme="minorEastAsia" w:eastAsiaTheme="minorEastAsia"/>
                      <w:sz w:val="18"/>
                      <w:szCs w:val="18"/>
                      <w:vertAlign w:val="superscript"/>
                    </w:rPr>
                    <w:t>3</w:t>
                  </w:r>
                </w:p>
              </w:tc>
              <w:tc>
                <w:tcPr>
                  <w:tcW w:w="439"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产生量</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t/a</w:t>
                  </w:r>
                </w:p>
              </w:tc>
              <w:tc>
                <w:tcPr>
                  <w:tcW w:w="504"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名称</w:t>
                  </w:r>
                </w:p>
              </w:tc>
              <w:tc>
                <w:tcPr>
                  <w:tcW w:w="861"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相关设计参数</w:t>
                  </w:r>
                </w:p>
              </w:tc>
              <w:tc>
                <w:tcPr>
                  <w:tcW w:w="352"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是否为可行技术</w:t>
                  </w: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1"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排放浓度mg/m</w:t>
                  </w:r>
                  <w:r>
                    <w:rPr>
                      <w:rFonts w:asciiTheme="minorEastAsia" w:hAnsiTheme="minorEastAsia" w:eastAsiaTheme="minorEastAsia"/>
                      <w:sz w:val="18"/>
                      <w:szCs w:val="18"/>
                      <w:vertAlign w:val="superscript"/>
                    </w:rPr>
                    <w:t>3</w:t>
                  </w:r>
                </w:p>
              </w:tc>
              <w:tc>
                <w:tcPr>
                  <w:tcW w:w="328" w:type="pct"/>
                  <w:tcBorders>
                    <w:right w:val="single" w:color="auto" w:sz="4" w:space="0"/>
                  </w:tcBorders>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排放速率</w:t>
                  </w:r>
                </w:p>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kg/h</w:t>
                  </w:r>
                </w:p>
              </w:tc>
              <w:tc>
                <w:tcPr>
                  <w:tcW w:w="320" w:type="pct"/>
                  <w:tcBorders>
                    <w:left w:val="single" w:color="auto" w:sz="4" w:space="0"/>
                  </w:tcBorders>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673" w:type="pct"/>
                  <w:vAlign w:val="center"/>
                </w:tcPr>
                <w:p>
                  <w:pPr>
                    <w:pStyle w:val="95"/>
                    <w:spacing w:line="300" w:lineRule="exact"/>
                    <w:rPr>
                      <w:rFonts w:asciiTheme="minorEastAsia" w:hAnsiTheme="minorEastAsia" w:eastAsiaTheme="minorEastAsia"/>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H</w:t>
                  </w:r>
                  <w:r>
                    <w:rPr>
                      <w:rFonts w:asciiTheme="minorEastAsia" w:hAnsiTheme="minorEastAsia" w:eastAsiaTheme="minorEastAsia"/>
                      <w:spacing w:val="4"/>
                      <w:sz w:val="18"/>
                      <w:szCs w:val="18"/>
                      <w:vertAlign w:val="subscript"/>
                    </w:rPr>
                    <w:t>2</w:t>
                  </w:r>
                  <w:r>
                    <w:rPr>
                      <w:rFonts w:asciiTheme="minorEastAsia" w:hAnsiTheme="minorEastAsia" w:eastAsiaTheme="minorEastAsia"/>
                      <w:spacing w:val="4"/>
                      <w:sz w:val="18"/>
                      <w:szCs w:val="18"/>
                    </w:rPr>
                    <w:t>S</w:t>
                  </w:r>
                </w:p>
              </w:tc>
              <w:tc>
                <w:tcPr>
                  <w:tcW w:w="32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6.48</w:t>
                  </w:r>
                </w:p>
              </w:tc>
              <w:tc>
                <w:tcPr>
                  <w:tcW w:w="43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0.482</w:t>
                  </w:r>
                </w:p>
              </w:tc>
              <w:tc>
                <w:tcPr>
                  <w:tcW w:w="504" w:type="pc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臭气收集后经生物除臭法处理</w:t>
                  </w:r>
                </w:p>
              </w:tc>
              <w:tc>
                <w:tcPr>
                  <w:tcW w:w="861" w:type="pct"/>
                  <w:vAlign w:val="center"/>
                </w:tcPr>
                <w:p>
                  <w:pPr>
                    <w:pStyle w:val="95"/>
                    <w:spacing w:line="300" w:lineRule="exact"/>
                    <w:rPr>
                      <w:rFonts w:asciiTheme="minorEastAsia" w:hAnsiTheme="minorEastAsia" w:eastAsiaTheme="minorEastAsia"/>
                      <w:sz w:val="18"/>
                      <w:szCs w:val="18"/>
                    </w:rPr>
                  </w:pPr>
                  <w:r>
                    <w:rPr>
                      <w:rFonts w:hint="eastAsia" w:asciiTheme="minorEastAsia" w:hAnsiTheme="minorEastAsia" w:eastAsiaTheme="minorEastAsia"/>
                      <w:bCs/>
                      <w:sz w:val="18"/>
                      <w:szCs w:val="18"/>
                    </w:rPr>
                    <w:t>设计处理风量</w:t>
                  </w:r>
                  <w:r>
                    <w:rPr>
                      <w:rFonts w:asciiTheme="minorEastAsia" w:hAnsiTheme="minorEastAsia" w:eastAsiaTheme="minorEastAsia"/>
                      <w:spacing w:val="4"/>
                      <w:sz w:val="18"/>
                      <w:szCs w:val="18"/>
                    </w:rPr>
                    <w:t>85</w:t>
                  </w:r>
                  <w:r>
                    <w:rPr>
                      <w:rFonts w:hint="eastAsia" w:asciiTheme="minorEastAsia" w:hAnsiTheme="minorEastAsia" w:eastAsiaTheme="minorEastAsia"/>
                      <w:spacing w:val="4"/>
                      <w:sz w:val="18"/>
                      <w:szCs w:val="18"/>
                    </w:rPr>
                    <w:t>00</w:t>
                  </w:r>
                  <w:r>
                    <w:rPr>
                      <w:rFonts w:asciiTheme="minorEastAsia" w:hAnsiTheme="minorEastAsia" w:eastAsiaTheme="minorEastAsia"/>
                      <w:spacing w:val="4"/>
                      <w:sz w:val="18"/>
                      <w:szCs w:val="18"/>
                    </w:rPr>
                    <w:t>m</w:t>
                  </w:r>
                  <w:r>
                    <w:rPr>
                      <w:rFonts w:asciiTheme="minorEastAsia" w:hAnsiTheme="minorEastAsia" w:eastAsiaTheme="minorEastAsia"/>
                      <w:spacing w:val="4"/>
                      <w:sz w:val="18"/>
                      <w:szCs w:val="18"/>
                      <w:vertAlign w:val="superscript"/>
                    </w:rPr>
                    <w:t>3</w:t>
                  </w:r>
                  <w:r>
                    <w:rPr>
                      <w:rFonts w:asciiTheme="minorEastAsia" w:hAnsiTheme="minorEastAsia" w:eastAsiaTheme="minorEastAsia"/>
                      <w:spacing w:val="4"/>
                      <w:sz w:val="18"/>
                      <w:szCs w:val="18"/>
                    </w:rPr>
                    <w:t>/h，</w:t>
                  </w:r>
                  <w:r>
                    <w:rPr>
                      <w:rFonts w:asciiTheme="minorEastAsia" w:hAnsiTheme="minorEastAsia" w:eastAsiaTheme="minorEastAsia"/>
                      <w:sz w:val="18"/>
                      <w:szCs w:val="18"/>
                    </w:rPr>
                    <w:t>收集效率为9</w:t>
                  </w:r>
                  <w:r>
                    <w:rPr>
                      <w:rFonts w:hint="eastAsia" w:asciiTheme="minorEastAsia" w:hAnsiTheme="minorEastAsia" w:eastAsiaTheme="minorEastAsia"/>
                      <w:sz w:val="18"/>
                      <w:szCs w:val="18"/>
                    </w:rPr>
                    <w:t>0</w:t>
                  </w:r>
                  <w:r>
                    <w:rPr>
                      <w:rFonts w:asciiTheme="minorEastAsia" w:hAnsiTheme="minorEastAsia" w:eastAsiaTheme="minorEastAsia"/>
                      <w:sz w:val="18"/>
                      <w:szCs w:val="18"/>
                    </w:rPr>
                    <w:t>%、去除效率9</w:t>
                  </w:r>
                  <w:r>
                    <w:rPr>
                      <w:rFonts w:hint="eastAsia" w:asciiTheme="minorEastAsia" w:hAnsiTheme="minorEastAsia" w:eastAsiaTheme="minorEastAsia"/>
                      <w:sz w:val="18"/>
                      <w:szCs w:val="18"/>
                    </w:rPr>
                    <w:t>5</w:t>
                  </w:r>
                  <w:r>
                    <w:rPr>
                      <w:rFonts w:asciiTheme="minorEastAsia" w:hAnsiTheme="minorEastAsia" w:eastAsiaTheme="minorEastAsia"/>
                      <w:sz w:val="18"/>
                      <w:szCs w:val="18"/>
                    </w:rPr>
                    <w:t>%。</w:t>
                  </w:r>
                </w:p>
              </w:tc>
              <w:tc>
                <w:tcPr>
                  <w:tcW w:w="352"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tc>
                <w:tcPr>
                  <w:tcW w:w="284"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321"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0.33</w:t>
                  </w:r>
                </w:p>
              </w:tc>
              <w:tc>
                <w:tcPr>
                  <w:tcW w:w="328" w:type="pct"/>
                  <w:tcBorders>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028</w:t>
                  </w:r>
                </w:p>
              </w:tc>
              <w:tc>
                <w:tcPr>
                  <w:tcW w:w="320" w:type="pct"/>
                  <w:tcBorders>
                    <w:lef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022</w:t>
                  </w:r>
                </w:p>
              </w:tc>
            </w:tr>
          </w:tbl>
          <w:p>
            <w:pPr>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(2)排放口基本情况</w:t>
            </w:r>
          </w:p>
          <w:p>
            <w:pPr>
              <w:widowControl/>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表4-4    有组织排放口基本情况一览表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1693"/>
              <w:gridCol w:w="1473"/>
              <w:gridCol w:w="1176"/>
              <w:gridCol w:w="1178"/>
              <w:gridCol w:w="1178"/>
              <w:gridCol w:w="1178"/>
              <w:gridCol w:w="1178"/>
              <w:gridCol w:w="2055"/>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34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排气筒编号</w:t>
                  </w:r>
                </w:p>
              </w:tc>
              <w:tc>
                <w:tcPr>
                  <w:tcW w:w="65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产排污环节</w:t>
                  </w:r>
                </w:p>
              </w:tc>
              <w:tc>
                <w:tcPr>
                  <w:tcW w:w="570" w:type="pct"/>
                  <w:vMerge w:val="restar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地理坐标</w:t>
                  </w:r>
                </w:p>
              </w:tc>
              <w:tc>
                <w:tcPr>
                  <w:tcW w:w="455"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排气筒底部海拔高度</w:t>
                  </w:r>
                </w:p>
              </w:tc>
              <w:tc>
                <w:tcPr>
                  <w:tcW w:w="1368" w:type="pct"/>
                  <w:gridSpan w:val="3"/>
                  <w:tcBorders>
                    <w:left w:val="single" w:color="auto" w:sz="4" w:space="0"/>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排放口情况</w:t>
                  </w:r>
                </w:p>
              </w:tc>
              <w:tc>
                <w:tcPr>
                  <w:tcW w:w="456"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排放口类型</w:t>
                  </w:r>
                </w:p>
              </w:tc>
              <w:tc>
                <w:tcPr>
                  <w:tcW w:w="79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排放标准</w:t>
                  </w:r>
                </w:p>
              </w:tc>
              <w:tc>
                <w:tcPr>
                  <w:tcW w:w="356"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45" w:type="pct"/>
                  <w:vMerge w:val="continue"/>
                  <w:vAlign w:val="center"/>
                </w:tcPr>
                <w:p>
                  <w:pPr>
                    <w:pStyle w:val="95"/>
                    <w:jc w:val="center"/>
                    <w:rPr>
                      <w:rFonts w:asciiTheme="minorEastAsia" w:hAnsiTheme="minorEastAsia" w:eastAsiaTheme="minorEastAsia"/>
                      <w:sz w:val="18"/>
                      <w:szCs w:val="18"/>
                    </w:rPr>
                  </w:pPr>
                </w:p>
              </w:tc>
              <w:tc>
                <w:tcPr>
                  <w:tcW w:w="655" w:type="pct"/>
                  <w:vMerge w:val="continue"/>
                  <w:vAlign w:val="center"/>
                </w:tcPr>
                <w:p>
                  <w:pPr>
                    <w:pStyle w:val="95"/>
                    <w:jc w:val="center"/>
                    <w:rPr>
                      <w:rFonts w:asciiTheme="minorEastAsia" w:hAnsiTheme="minorEastAsia" w:eastAsiaTheme="minorEastAsia"/>
                      <w:kern w:val="10"/>
                      <w:sz w:val="18"/>
                      <w:szCs w:val="18"/>
                    </w:rPr>
                  </w:pPr>
                </w:p>
              </w:tc>
              <w:tc>
                <w:tcPr>
                  <w:tcW w:w="570" w:type="pct"/>
                  <w:vMerge w:val="continue"/>
                  <w:tcBorders>
                    <w:right w:val="single" w:color="auto" w:sz="4" w:space="0"/>
                  </w:tcBorders>
                  <w:vAlign w:val="center"/>
                </w:tcPr>
                <w:p>
                  <w:pPr>
                    <w:pStyle w:val="95"/>
                    <w:jc w:val="center"/>
                    <w:rPr>
                      <w:rFonts w:asciiTheme="minorEastAsia" w:hAnsiTheme="minorEastAsia" w:eastAsiaTheme="minorEastAsia"/>
                      <w:sz w:val="18"/>
                      <w:szCs w:val="18"/>
                    </w:rPr>
                  </w:pPr>
                </w:p>
              </w:tc>
              <w:tc>
                <w:tcPr>
                  <w:tcW w:w="455"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排气筒高度</w:t>
                  </w: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出口内径</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烟气温度</w:t>
                  </w:r>
                </w:p>
              </w:tc>
              <w:tc>
                <w:tcPr>
                  <w:tcW w:w="456"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795" w:type="pct"/>
                  <w:vMerge w:val="continue"/>
                  <w:vAlign w:val="center"/>
                </w:tcPr>
                <w:p>
                  <w:pPr>
                    <w:pStyle w:val="95"/>
                    <w:jc w:val="center"/>
                    <w:rPr>
                      <w:rFonts w:asciiTheme="minorEastAsia" w:hAnsiTheme="minorEastAsia" w:eastAsiaTheme="minorEastAsia"/>
                      <w:kern w:val="10"/>
                      <w:sz w:val="18"/>
                      <w:szCs w:val="18"/>
                    </w:rPr>
                  </w:pPr>
                </w:p>
              </w:tc>
              <w:tc>
                <w:tcPr>
                  <w:tcW w:w="356" w:type="pct"/>
                  <w:vMerge w:val="continue"/>
                  <w:vAlign w:val="center"/>
                </w:tcPr>
                <w:p>
                  <w:pPr>
                    <w:pStyle w:val="95"/>
                    <w:jc w:val="center"/>
                    <w:rPr>
                      <w:rFonts w:asciiTheme="minorEastAsia" w:hAnsiTheme="minorEastAsia" w:eastAsiaTheme="minorEastAsia"/>
                      <w:kern w:val="1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345"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DA001</w:t>
                  </w:r>
                </w:p>
              </w:tc>
              <w:tc>
                <w:tcPr>
                  <w:tcW w:w="65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570" w:type="pct"/>
                  <w:tcBorders>
                    <w:right w:val="single" w:color="auto" w:sz="4" w:space="0"/>
                  </w:tcBorders>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N110.</w:t>
                  </w:r>
                  <w:r>
                    <w:rPr>
                      <w:rFonts w:asciiTheme="minorEastAsia" w:hAnsiTheme="minorEastAsia" w:eastAsiaTheme="minorEastAsia"/>
                      <w:sz w:val="18"/>
                      <w:szCs w:val="18"/>
                    </w:rPr>
                    <w:t>979766</w:t>
                  </w:r>
                </w:p>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E37.</w:t>
                  </w:r>
                  <w:r>
                    <w:rPr>
                      <w:rFonts w:asciiTheme="minorEastAsia" w:hAnsiTheme="minorEastAsia" w:eastAsiaTheme="minorEastAsia"/>
                      <w:sz w:val="18"/>
                      <w:szCs w:val="18"/>
                    </w:rPr>
                    <w:t>842438</w:t>
                  </w:r>
                </w:p>
              </w:tc>
              <w:tc>
                <w:tcPr>
                  <w:tcW w:w="455"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878</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3</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56"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9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《恶臭污染物排放标准》(GB14554-93)</w:t>
                  </w:r>
                </w:p>
              </w:tc>
              <w:tc>
                <w:tcPr>
                  <w:tcW w:w="356"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一年一次</w:t>
                  </w:r>
                </w:p>
              </w:tc>
            </w:tr>
          </w:tbl>
          <w:p>
            <w:pPr>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表4-5    无组织排放口基本情况一览表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1558"/>
              <w:gridCol w:w="1876"/>
              <w:gridCol w:w="1238"/>
              <w:gridCol w:w="1147"/>
              <w:gridCol w:w="1889"/>
              <w:gridCol w:w="136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排放口名称</w:t>
                  </w:r>
                </w:p>
              </w:tc>
              <w:tc>
                <w:tcPr>
                  <w:tcW w:w="603"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污染物名称</w:t>
                  </w:r>
                </w:p>
              </w:tc>
              <w:tc>
                <w:tcPr>
                  <w:tcW w:w="726"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排放速率Kg/h</w:t>
                  </w:r>
                </w:p>
              </w:tc>
              <w:tc>
                <w:tcPr>
                  <w:tcW w:w="479"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面源长度/m</w:t>
                  </w:r>
                </w:p>
              </w:tc>
              <w:tc>
                <w:tcPr>
                  <w:tcW w:w="444"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面源宽度/m</w:t>
                  </w:r>
                </w:p>
              </w:tc>
              <w:tc>
                <w:tcPr>
                  <w:tcW w:w="731"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面源有效排放高度/m</w:t>
                  </w:r>
                </w:p>
              </w:tc>
              <w:tc>
                <w:tcPr>
                  <w:tcW w:w="527"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年排放小时数</w:t>
                  </w:r>
                </w:p>
              </w:tc>
              <w:tc>
                <w:tcPr>
                  <w:tcW w:w="382"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Merge w:val="restar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rPr>
                    <w:t>格栅间、</w:t>
                  </w:r>
                  <w:r>
                    <w:rPr>
                      <w:rFonts w:hint="eastAsia" w:asciiTheme="minorEastAsia" w:hAnsiTheme="minorEastAsia" w:eastAsiaTheme="minorEastAsia"/>
                      <w:sz w:val="18"/>
                    </w:rPr>
                    <w:t>调节沉砂池、生化池、污泥浓缩池、</w:t>
                  </w:r>
                  <w:r>
                    <w:rPr>
                      <w:rFonts w:asciiTheme="minorEastAsia" w:hAnsiTheme="minorEastAsia" w:eastAsiaTheme="minorEastAsia"/>
                      <w:sz w:val="18"/>
                    </w:rPr>
                    <w:t>污泥脱水间</w:t>
                  </w: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H</w:t>
                  </w:r>
                  <w:r>
                    <w:rPr>
                      <w:rFonts w:asciiTheme="minorEastAsia" w:hAnsiTheme="minorEastAsia" w:eastAsiaTheme="minorEastAsia"/>
                      <w:spacing w:val="4"/>
                      <w:sz w:val="18"/>
                      <w:vertAlign w:val="subscript"/>
                    </w:rPr>
                    <w:t>2</w:t>
                  </w:r>
                  <w:r>
                    <w:rPr>
                      <w:rFonts w:asciiTheme="minorEastAsia" w:hAnsiTheme="minorEastAsia" w:eastAsiaTheme="minorEastAsia"/>
                      <w:spacing w:val="4"/>
                      <w:sz w:val="18"/>
                    </w:rPr>
                    <w:t>S</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0.0005</w:t>
                  </w:r>
                </w:p>
              </w:tc>
              <w:tc>
                <w:tcPr>
                  <w:tcW w:w="479"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w:t>
                  </w:r>
                </w:p>
              </w:tc>
              <w:tc>
                <w:tcPr>
                  <w:tcW w:w="444"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w:t>
                  </w:r>
                </w:p>
              </w:tc>
              <w:tc>
                <w:tcPr>
                  <w:tcW w:w="731"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w:t>
                  </w:r>
                </w:p>
              </w:tc>
              <w:tc>
                <w:tcPr>
                  <w:tcW w:w="527"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8760</w:t>
                  </w:r>
                </w:p>
              </w:tc>
              <w:tc>
                <w:tcPr>
                  <w:tcW w:w="382" w:type="pct"/>
                  <w:vMerge w:val="restar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NH</w:t>
                  </w:r>
                  <w:r>
                    <w:rPr>
                      <w:rFonts w:asciiTheme="minorEastAsia" w:hAnsiTheme="minorEastAsia" w:eastAsiaTheme="minorEastAsia"/>
                      <w:spacing w:val="4"/>
                      <w:sz w:val="18"/>
                      <w:vertAlign w:val="subscript"/>
                    </w:rPr>
                    <w:t>3</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0.0002</w:t>
                  </w:r>
                </w:p>
              </w:tc>
              <w:tc>
                <w:tcPr>
                  <w:tcW w:w="479" w:type="pct"/>
                  <w:vMerge w:val="continue"/>
                  <w:vAlign w:val="center"/>
                </w:tcPr>
                <w:p>
                  <w:pPr>
                    <w:spacing w:line="280" w:lineRule="exact"/>
                    <w:jc w:val="center"/>
                    <w:rPr>
                      <w:rFonts w:asciiTheme="minorEastAsia" w:hAnsiTheme="minorEastAsia" w:eastAsiaTheme="minorEastAsia"/>
                      <w:sz w:val="18"/>
                      <w:szCs w:val="18"/>
                    </w:rPr>
                  </w:pPr>
                </w:p>
              </w:tc>
              <w:tc>
                <w:tcPr>
                  <w:tcW w:w="444" w:type="pct"/>
                  <w:vMerge w:val="continue"/>
                  <w:vAlign w:val="center"/>
                </w:tcPr>
                <w:p>
                  <w:pPr>
                    <w:spacing w:line="280" w:lineRule="exact"/>
                    <w:jc w:val="center"/>
                    <w:rPr>
                      <w:rFonts w:asciiTheme="minorEastAsia" w:hAnsiTheme="minorEastAsia" w:eastAsiaTheme="minorEastAsia"/>
                      <w:sz w:val="18"/>
                      <w:szCs w:val="18"/>
                    </w:rPr>
                  </w:pPr>
                </w:p>
              </w:tc>
              <w:tc>
                <w:tcPr>
                  <w:tcW w:w="731" w:type="pct"/>
                  <w:vMerge w:val="continue"/>
                  <w:vAlign w:val="center"/>
                </w:tcPr>
                <w:p>
                  <w:pPr>
                    <w:spacing w:line="280" w:lineRule="exact"/>
                    <w:jc w:val="center"/>
                    <w:rPr>
                      <w:rFonts w:asciiTheme="minorEastAsia" w:hAnsiTheme="minorEastAsia" w:eastAsiaTheme="minorEastAsia"/>
                      <w:sz w:val="18"/>
                      <w:szCs w:val="18"/>
                    </w:rPr>
                  </w:pPr>
                </w:p>
              </w:tc>
              <w:tc>
                <w:tcPr>
                  <w:tcW w:w="527" w:type="pct"/>
                  <w:vMerge w:val="continue"/>
                  <w:vAlign w:val="center"/>
                </w:tcPr>
                <w:p>
                  <w:pPr>
                    <w:spacing w:line="280" w:lineRule="exact"/>
                    <w:jc w:val="center"/>
                    <w:rPr>
                      <w:rFonts w:asciiTheme="minorEastAsia" w:hAnsiTheme="minorEastAsia" w:eastAsiaTheme="minorEastAsia"/>
                      <w:sz w:val="18"/>
                      <w:szCs w:val="18"/>
                    </w:rPr>
                  </w:pPr>
                </w:p>
              </w:tc>
              <w:tc>
                <w:tcPr>
                  <w:tcW w:w="382" w:type="pct"/>
                  <w:vMerge w:val="continue"/>
                  <w:vAlign w:val="center"/>
                </w:tcPr>
                <w:p>
                  <w:pPr>
                    <w:spacing w:line="28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臭气浓度</w:t>
                  </w:r>
                </w:p>
              </w:tc>
              <w:tc>
                <w:tcPr>
                  <w:tcW w:w="726" w:type="pc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w:t>
                  </w:r>
                  <w:r>
                    <w:rPr>
                      <w:rFonts w:asciiTheme="minorEastAsia" w:hAnsiTheme="minorEastAsia" w:eastAsiaTheme="minorEastAsia"/>
                      <w:sz w:val="18"/>
                    </w:rPr>
                    <w:t>(无量纲)</w:t>
                  </w:r>
                </w:p>
              </w:tc>
              <w:tc>
                <w:tcPr>
                  <w:tcW w:w="479" w:type="pct"/>
                  <w:vMerge w:val="continue"/>
                  <w:vAlign w:val="center"/>
                </w:tcPr>
                <w:p>
                  <w:pPr>
                    <w:spacing w:line="280" w:lineRule="exact"/>
                    <w:jc w:val="center"/>
                    <w:rPr>
                      <w:rFonts w:asciiTheme="minorEastAsia" w:hAnsiTheme="minorEastAsia" w:eastAsiaTheme="minorEastAsia"/>
                      <w:sz w:val="18"/>
                      <w:szCs w:val="18"/>
                    </w:rPr>
                  </w:pPr>
                </w:p>
              </w:tc>
              <w:tc>
                <w:tcPr>
                  <w:tcW w:w="444" w:type="pct"/>
                  <w:vMerge w:val="continue"/>
                  <w:vAlign w:val="center"/>
                </w:tcPr>
                <w:p>
                  <w:pPr>
                    <w:spacing w:line="280" w:lineRule="exact"/>
                    <w:jc w:val="center"/>
                    <w:rPr>
                      <w:rFonts w:asciiTheme="minorEastAsia" w:hAnsiTheme="minorEastAsia" w:eastAsiaTheme="minorEastAsia"/>
                      <w:sz w:val="18"/>
                      <w:szCs w:val="18"/>
                    </w:rPr>
                  </w:pPr>
                </w:p>
              </w:tc>
              <w:tc>
                <w:tcPr>
                  <w:tcW w:w="731" w:type="pct"/>
                  <w:vMerge w:val="continue"/>
                  <w:vAlign w:val="center"/>
                </w:tcPr>
                <w:p>
                  <w:pPr>
                    <w:spacing w:line="280" w:lineRule="exact"/>
                    <w:jc w:val="center"/>
                    <w:rPr>
                      <w:rFonts w:asciiTheme="minorEastAsia" w:hAnsiTheme="minorEastAsia" w:eastAsiaTheme="minorEastAsia"/>
                      <w:sz w:val="18"/>
                      <w:szCs w:val="18"/>
                    </w:rPr>
                  </w:pPr>
                </w:p>
              </w:tc>
              <w:tc>
                <w:tcPr>
                  <w:tcW w:w="527" w:type="pct"/>
                  <w:vMerge w:val="continue"/>
                  <w:vAlign w:val="center"/>
                </w:tcPr>
                <w:p>
                  <w:pPr>
                    <w:spacing w:line="280" w:lineRule="exact"/>
                    <w:jc w:val="center"/>
                    <w:rPr>
                      <w:rFonts w:asciiTheme="minorEastAsia" w:hAnsiTheme="minorEastAsia" w:eastAsiaTheme="minorEastAsia"/>
                      <w:sz w:val="18"/>
                      <w:szCs w:val="18"/>
                    </w:rPr>
                  </w:pPr>
                </w:p>
              </w:tc>
              <w:tc>
                <w:tcPr>
                  <w:tcW w:w="382" w:type="pct"/>
                  <w:vMerge w:val="continue"/>
                  <w:vAlign w:val="center"/>
                </w:tcPr>
                <w:p>
                  <w:pPr>
                    <w:spacing w:line="280" w:lineRule="exact"/>
                    <w:jc w:val="center"/>
                    <w:rPr>
                      <w:rFonts w:asciiTheme="minorEastAsia" w:hAnsiTheme="minorEastAsia" w:eastAsiaTheme="minorEastAsia"/>
                      <w:sz w:val="18"/>
                      <w:szCs w:val="18"/>
                    </w:rPr>
                  </w:pPr>
                </w:p>
              </w:tc>
            </w:tr>
          </w:tbl>
          <w:p>
            <w:pPr>
              <w:adjustRightInd w:val="0"/>
              <w:snapToGrid w:val="0"/>
              <w:spacing w:line="500" w:lineRule="exact"/>
              <w:jc w:val="center"/>
              <w:rPr>
                <w:rFonts w:asciiTheme="minorEastAsia" w:hAnsiTheme="minorEastAsia" w:eastAsiaTheme="minorEastAsia"/>
                <w:color w:val="FF0000"/>
                <w:sz w:val="24"/>
              </w:rPr>
            </w:pPr>
          </w:p>
          <w:p>
            <w:pPr>
              <w:rPr>
                <w:rFonts w:asciiTheme="minorEastAsia" w:hAnsiTheme="minorEastAsia" w:eastAsiaTheme="minorEastAsia"/>
                <w:color w:val="FF0000"/>
              </w:rPr>
            </w:pPr>
          </w:p>
        </w:tc>
      </w:tr>
    </w:tbl>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418" w:right="1418" w:bottom="1418" w:left="1418" w:header="851" w:footer="851" w:gutter="0"/>
          <w:cols w:space="720" w:num="1"/>
          <w:docGrid w:linePitch="312" w:charSpace="0"/>
        </w:sectPr>
      </w:pPr>
    </w:p>
    <w:tbl>
      <w:tblPr>
        <w:tblStyle w:val="28"/>
        <w:tblW w:w="50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86" w:type="pct"/>
            <w:tcMar>
              <w:left w:w="28" w:type="dxa"/>
              <w:right w:w="28" w:type="dxa"/>
            </w:tcMar>
            <w:vAlign w:val="center"/>
          </w:tcPr>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运</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营</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期</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环</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境</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影</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响</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和</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保</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护</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措</w:t>
            </w:r>
          </w:p>
          <w:p>
            <w:pPr>
              <w:adjustRightInd w:val="0"/>
              <w:snapToGrid w:val="0"/>
              <w:spacing w:line="500" w:lineRule="exact"/>
              <w:jc w:val="center"/>
              <w:rPr>
                <w:rFonts w:cs="宋体" w:asciiTheme="minorEastAsia" w:hAnsiTheme="minorEastAsia" w:eastAsiaTheme="minorEastAsia"/>
                <w:bCs/>
                <w:color w:val="FF0000"/>
                <w:szCs w:val="21"/>
              </w:rPr>
            </w:pPr>
            <w:r>
              <w:rPr>
                <w:rFonts w:hint="eastAsia" w:cs="宋体" w:asciiTheme="minorEastAsia" w:hAnsiTheme="minorEastAsia" w:eastAsiaTheme="minorEastAsia"/>
                <w:bCs/>
                <w:sz w:val="24"/>
                <w:szCs w:val="21"/>
              </w:rPr>
              <w:t>施</w:t>
            </w:r>
          </w:p>
        </w:tc>
        <w:tc>
          <w:tcPr>
            <w:tcW w:w="4614" w:type="pct"/>
            <w:vAlign w:val="center"/>
          </w:tcPr>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2、源强计算</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废气污染源</w:t>
            </w:r>
          </w:p>
          <w:p>
            <w:pPr>
              <w:spacing w:line="500" w:lineRule="exact"/>
              <w:ind w:firstLine="480" w:firstLineChars="200"/>
              <w:rPr>
                <w:rFonts w:asciiTheme="minorEastAsia" w:hAnsiTheme="minorEastAsia" w:eastAsiaTheme="minorEastAsia"/>
                <w:spacing w:val="4"/>
                <w:sz w:val="24"/>
              </w:rPr>
            </w:pPr>
            <w:r>
              <w:rPr>
                <w:rFonts w:asciiTheme="minorEastAsia" w:hAnsiTheme="minorEastAsia" w:eastAsiaTheme="minorEastAsia"/>
                <w:sz w:val="24"/>
              </w:rPr>
              <w:t>本项目为污水处理厂废气主要由格栅间、</w:t>
            </w:r>
            <w:r>
              <w:rPr>
                <w:rFonts w:hint="eastAsia" w:asciiTheme="minorEastAsia" w:hAnsiTheme="minorEastAsia" w:eastAsiaTheme="minorEastAsia"/>
                <w:sz w:val="24"/>
              </w:rPr>
              <w:t>沉砂池、反应池</w:t>
            </w:r>
            <w:r>
              <w:rPr>
                <w:rFonts w:asciiTheme="minorEastAsia" w:hAnsiTheme="minorEastAsia" w:eastAsiaTheme="minorEastAsia"/>
                <w:sz w:val="24"/>
              </w:rPr>
              <w:t>、污泥脱水间</w:t>
            </w:r>
            <w:r>
              <w:rPr>
                <w:rFonts w:hint="eastAsia" w:asciiTheme="minorEastAsia" w:hAnsiTheme="minorEastAsia" w:eastAsiaTheme="minorEastAsia"/>
                <w:sz w:val="24"/>
              </w:rPr>
              <w:t>、污泥浓缩池</w:t>
            </w:r>
            <w:r>
              <w:rPr>
                <w:rFonts w:asciiTheme="minorEastAsia" w:hAnsiTheme="minorEastAsia" w:eastAsiaTheme="minorEastAsia"/>
                <w:sz w:val="24"/>
              </w:rPr>
              <w:t>等构建筑物间产生，废气</w:t>
            </w:r>
            <w:r>
              <w:rPr>
                <w:rFonts w:asciiTheme="minorEastAsia" w:hAnsiTheme="minorEastAsia" w:eastAsiaTheme="minorEastAsia"/>
                <w:spacing w:val="4"/>
                <w:sz w:val="24"/>
              </w:rPr>
              <w:t>污染物主要为H</w:t>
            </w:r>
            <w:r>
              <w:rPr>
                <w:rFonts w:asciiTheme="minorEastAsia" w:hAnsiTheme="minorEastAsia" w:eastAsiaTheme="minorEastAsia"/>
                <w:spacing w:val="4"/>
                <w:sz w:val="24"/>
                <w:vertAlign w:val="subscript"/>
              </w:rPr>
              <w:t>2</w:t>
            </w:r>
            <w:r>
              <w:rPr>
                <w:rFonts w:asciiTheme="minorEastAsia" w:hAnsiTheme="minorEastAsia" w:eastAsiaTheme="minorEastAsia"/>
                <w:spacing w:val="4"/>
                <w:sz w:val="24"/>
              </w:rPr>
              <w:t>S、NH</w:t>
            </w:r>
            <w:r>
              <w:rPr>
                <w:rFonts w:asciiTheme="minorEastAsia" w:hAnsiTheme="minorEastAsia" w:eastAsiaTheme="minorEastAsia"/>
                <w:spacing w:val="4"/>
                <w:sz w:val="24"/>
                <w:vertAlign w:val="subscript"/>
              </w:rPr>
              <w:t>3</w:t>
            </w:r>
            <w:r>
              <w:rPr>
                <w:rFonts w:asciiTheme="minorEastAsia" w:hAnsiTheme="minorEastAsia" w:eastAsiaTheme="minorEastAsia"/>
                <w:spacing w:val="4"/>
                <w:sz w:val="24"/>
              </w:rPr>
              <w:t>、挥发酸、硫醇等类恶臭气体。</w:t>
            </w:r>
          </w:p>
          <w:p>
            <w:pPr>
              <w:pStyle w:val="94"/>
              <w:spacing w:line="500" w:lineRule="exact"/>
              <w:ind w:firstLine="480"/>
              <w:rPr>
                <w:rFonts w:asciiTheme="minorEastAsia" w:hAnsiTheme="minorEastAsia" w:eastAsiaTheme="minorEastAsia"/>
              </w:rPr>
            </w:pPr>
            <w:r>
              <w:rPr>
                <w:rFonts w:hint="eastAsia" w:asciiTheme="minorEastAsia" w:hAnsiTheme="minorEastAsia" w:eastAsiaTheme="minorEastAsia"/>
              </w:rPr>
              <w:t>(2)废气污染物源强分析</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废气污染物浓度</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项目废气污染物源强核算，参照</w:t>
            </w:r>
            <w:r>
              <w:rPr>
                <w:rFonts w:asciiTheme="minorEastAsia" w:hAnsiTheme="minorEastAsia" w:eastAsiaTheme="minorEastAsia"/>
                <w:bCs/>
                <w:sz w:val="24"/>
              </w:rPr>
              <w:t>国家住建部发布的</w:t>
            </w:r>
            <w:r>
              <w:rPr>
                <w:rFonts w:asciiTheme="minorEastAsia" w:hAnsiTheme="minorEastAsia" w:eastAsiaTheme="minorEastAsia"/>
                <w:sz w:val="24"/>
              </w:rPr>
              <w:t>《</w:t>
            </w:r>
            <w:r>
              <w:rPr>
                <w:rFonts w:asciiTheme="minorEastAsia" w:hAnsiTheme="minorEastAsia" w:eastAsiaTheme="minorEastAsia"/>
                <w:bCs/>
                <w:sz w:val="24"/>
              </w:rPr>
              <w:t>城镇污水处理厂臭气处理技术规程》(CJJ/T243-2016)</w:t>
            </w:r>
            <w:r>
              <w:rPr>
                <w:rFonts w:asciiTheme="minorEastAsia" w:hAnsiTheme="minorEastAsia" w:eastAsiaTheme="minorEastAsia"/>
                <w:sz w:val="24"/>
              </w:rPr>
              <w:t>中</w:t>
            </w:r>
            <w:r>
              <w:rPr>
                <w:rFonts w:asciiTheme="minorEastAsia" w:hAnsiTheme="minorEastAsia" w:eastAsiaTheme="minorEastAsia"/>
                <w:bCs/>
                <w:sz w:val="24"/>
              </w:rPr>
              <w:t>及其编制条文说明</w:t>
            </w:r>
            <w:r>
              <w:rPr>
                <w:rFonts w:hint="eastAsia" w:asciiTheme="minorEastAsia" w:hAnsiTheme="minorEastAsia" w:eastAsiaTheme="minorEastAsia"/>
                <w:bCs/>
                <w:sz w:val="24"/>
              </w:rPr>
              <w:t>。该技术规程给出了污水处理厂臭气污染物浓度，具体见下表。</w:t>
            </w:r>
          </w:p>
          <w:p>
            <w:pPr>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 xml:space="preserve">6    </w:t>
            </w:r>
            <w:r>
              <w:rPr>
                <w:rFonts w:hint="eastAsia" w:asciiTheme="minorEastAsia" w:hAnsiTheme="minorEastAsia" w:eastAsiaTheme="minorEastAsia"/>
                <w:bCs/>
                <w:sz w:val="24"/>
              </w:rPr>
              <w:t>污水处理厂臭气污染物浓度</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7"/>
              <w:gridCol w:w="1486"/>
              <w:gridCol w:w="1791"/>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Cs w:val="21"/>
                    </w:rPr>
                    <w:t>H</w:t>
                  </w:r>
                  <w:r>
                    <w:rPr>
                      <w:rFonts w:asciiTheme="minorEastAsia" w:hAnsiTheme="minorEastAsia" w:eastAsiaTheme="minorEastAsia"/>
                      <w:spacing w:val="4"/>
                      <w:szCs w:val="21"/>
                      <w:vertAlign w:val="subscript"/>
                    </w:rPr>
                    <w:t>2</w:t>
                  </w:r>
                  <w:r>
                    <w:rPr>
                      <w:rFonts w:asciiTheme="minorEastAsia" w:hAnsiTheme="minorEastAsia" w:eastAsiaTheme="minorEastAsia"/>
                      <w:spacing w:val="4"/>
                      <w:szCs w:val="21"/>
                    </w:rPr>
                    <w:t>S</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Cs w:val="21"/>
                    </w:rPr>
                    <w:t>NH</w:t>
                  </w:r>
                  <w:r>
                    <w:rPr>
                      <w:rFonts w:asciiTheme="minorEastAsia" w:hAnsiTheme="minorEastAsia" w:eastAsiaTheme="minorEastAsia"/>
                      <w:spacing w:val="4"/>
                      <w:szCs w:val="21"/>
                      <w:vertAlign w:val="subscript"/>
                    </w:rPr>
                    <w:t>3</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污水预处理和污水处理区域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0.5</w:t>
                  </w:r>
                  <w:r>
                    <w:rPr>
                      <w:rFonts w:asciiTheme="minorEastAsia" w:hAnsiTheme="minorEastAsia" w:eastAsiaTheme="minorEastAsia"/>
                      <w:szCs w:val="21"/>
                    </w:rPr>
                    <w:t>~</w:t>
                  </w:r>
                  <w:r>
                    <w:rPr>
                      <w:rFonts w:hint="eastAsia" w:asciiTheme="minorEastAsia" w:hAnsiTheme="minorEastAsia" w:eastAsiaTheme="minorEastAsia"/>
                      <w:szCs w:val="21"/>
                    </w:rPr>
                    <w:t>5</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100~5000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污泥处理区域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r>
                    <w:rPr>
                      <w:rFonts w:asciiTheme="minorEastAsia" w:hAnsiTheme="minorEastAsia" w:eastAsiaTheme="minorEastAsia"/>
                      <w:szCs w:val="21"/>
                    </w:rPr>
                    <w:t>~</w:t>
                  </w:r>
                  <w:r>
                    <w:rPr>
                      <w:rFonts w:hint="eastAsia" w:asciiTheme="minorEastAsia" w:hAnsiTheme="minorEastAsia" w:eastAsiaTheme="minorEastAsia"/>
                      <w:szCs w:val="21"/>
                    </w:rPr>
                    <w:t>30</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5000~100000</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根据上表经验数据，结合拟建工程污水处理规模，参考</w:t>
            </w:r>
            <w:r>
              <w:rPr>
                <w:rFonts w:asciiTheme="minorEastAsia" w:hAnsiTheme="minorEastAsia" w:eastAsiaTheme="minorEastAsia"/>
                <w:sz w:val="24"/>
                <w:lang w:val="zh-CN"/>
              </w:rPr>
              <w:t>除臭装置排气筒</w:t>
            </w:r>
            <w:r>
              <w:rPr>
                <w:rFonts w:hint="eastAsia" w:asciiTheme="minorEastAsia" w:hAnsiTheme="minorEastAsia" w:eastAsiaTheme="minorEastAsia"/>
                <w:sz w:val="24"/>
                <w:lang w:val="zh-CN"/>
              </w:rPr>
              <w:t>的自行监测数据，确定</w:t>
            </w:r>
            <w:r>
              <w:rPr>
                <w:rFonts w:hint="eastAsia" w:asciiTheme="minorEastAsia" w:hAnsiTheme="minorEastAsia" w:eastAsiaTheme="minorEastAsia"/>
                <w:bCs/>
                <w:sz w:val="24"/>
              </w:rPr>
              <w:t>本项目格栅间、</w:t>
            </w:r>
            <w:r>
              <w:rPr>
                <w:rFonts w:hint="eastAsia" w:asciiTheme="minorEastAsia" w:hAnsiTheme="minorEastAsia" w:eastAsiaTheme="minorEastAsia"/>
                <w:sz w:val="24"/>
              </w:rPr>
              <w:t>曝气沉砂池、</w:t>
            </w:r>
            <w:r>
              <w:rPr>
                <w:rFonts w:hint="eastAsia" w:asciiTheme="minorEastAsia" w:hAnsiTheme="minorEastAsia" w:eastAsiaTheme="minorEastAsia"/>
                <w:bCs/>
                <w:sz w:val="24"/>
              </w:rPr>
              <w:t>生化池等构建筑物间产生的</w:t>
            </w:r>
            <w:r>
              <w:rPr>
                <w:rFonts w:asciiTheme="minorEastAsia" w:hAnsiTheme="minorEastAsia" w:eastAsiaTheme="minorEastAsia"/>
                <w:sz w:val="24"/>
              </w:rPr>
              <w:t>H</w:t>
            </w:r>
            <w:r>
              <w:rPr>
                <w:rFonts w:asciiTheme="minorEastAsia" w:hAnsiTheme="minorEastAsia" w:eastAsiaTheme="minorEastAsia"/>
                <w:sz w:val="24"/>
                <w:vertAlign w:val="subscript"/>
              </w:rPr>
              <w:t>2</w:t>
            </w:r>
            <w:r>
              <w:rPr>
                <w:rFonts w:asciiTheme="minorEastAsia" w:hAnsiTheme="minorEastAsia" w:eastAsiaTheme="minorEastAsia"/>
                <w:sz w:val="24"/>
              </w:rPr>
              <w:t>S</w:t>
            </w:r>
            <w:r>
              <w:rPr>
                <w:rFonts w:hint="eastAsia" w:asciiTheme="minorEastAsia" w:hAnsiTheme="minorEastAsia" w:eastAsiaTheme="minorEastAsia"/>
                <w:bCs/>
                <w:sz w:val="24"/>
              </w:rPr>
              <w:t>取值7</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NH</w:t>
            </w:r>
            <w:r>
              <w:rPr>
                <w:rFonts w:asciiTheme="minorEastAsia" w:hAnsiTheme="minorEastAsia" w:eastAsiaTheme="minorEastAsia"/>
                <w:sz w:val="24"/>
                <w:vertAlign w:val="subscript"/>
              </w:rPr>
              <w:t>3</w:t>
            </w:r>
            <w:r>
              <w:rPr>
                <w:rFonts w:hint="eastAsia" w:asciiTheme="minorEastAsia" w:hAnsiTheme="minorEastAsia" w:eastAsiaTheme="minorEastAsia"/>
                <w:sz w:val="24"/>
              </w:rPr>
              <w:t>取值3</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臭气浓度</w:t>
            </w:r>
            <w:r>
              <w:rPr>
                <w:rFonts w:hint="eastAsia" w:asciiTheme="minorEastAsia" w:hAnsiTheme="minorEastAsia" w:eastAsiaTheme="minorEastAsia"/>
                <w:sz w:val="24"/>
              </w:rPr>
              <w:t>取值2500。</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废气污染物产排量</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结合项目采取的恶臭防治措施、处理控制等因素，水面面积依据各构筑物平面尺寸计算，散发风量依据《城镇污水处理厂臭气处理技术规程》(CJJ/T243-2016)中提出的各构筑物散发风量值。</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项目恶臭污染物产生及排放情况见表4-</w:t>
            </w:r>
            <w:r>
              <w:rPr>
                <w:rFonts w:asciiTheme="minorEastAsia" w:hAnsiTheme="minorEastAsia" w:eastAsiaTheme="minorEastAsia"/>
                <w:bCs/>
                <w:sz w:val="24"/>
              </w:rPr>
              <w:t>7</w:t>
            </w:r>
            <w:r>
              <w:rPr>
                <w:rFonts w:hint="eastAsia" w:asciiTheme="minorEastAsia" w:hAnsiTheme="minorEastAsia" w:eastAsiaTheme="minorEastAsia"/>
                <w:bCs/>
                <w:sz w:val="24"/>
              </w:rPr>
              <w:t>。</w:t>
            </w:r>
          </w:p>
          <w:p>
            <w:pPr>
              <w:adjustRightInd w:val="0"/>
              <w:snapToGrid w:val="0"/>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 xml:space="preserve">7    </w:t>
            </w:r>
            <w:r>
              <w:rPr>
                <w:rFonts w:hint="eastAsia" w:asciiTheme="minorEastAsia" w:hAnsiTheme="minorEastAsia" w:eastAsiaTheme="minorEastAsia"/>
                <w:bCs/>
                <w:sz w:val="24"/>
              </w:rPr>
              <w:t>项目恶臭污染物产生及排放情况</w:t>
            </w:r>
          </w:p>
          <w:tbl>
            <w:tblPr>
              <w:tblStyle w:val="28"/>
              <w:tblW w:w="484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96"/>
              <w:gridCol w:w="985"/>
              <w:gridCol w:w="953"/>
              <w:gridCol w:w="974"/>
              <w:gridCol w:w="976"/>
              <w:gridCol w:w="979"/>
              <w:gridCol w:w="1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32" w:hRule="exac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构筑物名称</w:t>
                  </w:r>
                </w:p>
              </w:tc>
              <w:tc>
                <w:tcPr>
                  <w:tcW w:w="61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生化池</w:t>
                  </w:r>
                </w:p>
              </w:tc>
              <w:tc>
                <w:tcPr>
                  <w:tcW w:w="59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污泥池</w:t>
                  </w:r>
                </w:p>
              </w:tc>
              <w:tc>
                <w:tcPr>
                  <w:tcW w:w="608"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格栅间</w:t>
                  </w:r>
                </w:p>
              </w:tc>
              <w:tc>
                <w:tcPr>
                  <w:tcW w:w="609"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格栅渠</w:t>
                  </w:r>
                </w:p>
              </w:tc>
              <w:tc>
                <w:tcPr>
                  <w:tcW w:w="611" w:type="pct"/>
                  <w:shd w:val="clear" w:color="auto" w:fill="auto"/>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调节池</w:t>
                  </w:r>
                </w:p>
              </w:tc>
              <w:tc>
                <w:tcPr>
                  <w:tcW w:w="654" w:type="pct"/>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脱水间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水面面积(m</w:t>
                  </w:r>
                  <w:r>
                    <w:rPr>
                      <w:rFonts w:asciiTheme="minorEastAsia" w:hAnsiTheme="minorEastAsia" w:eastAsiaTheme="minorEastAsia"/>
                      <w:bCs/>
                      <w:szCs w:val="18"/>
                      <w:vertAlign w:val="superscript"/>
                    </w:rPr>
                    <w:t>2</w:t>
                  </w:r>
                  <w:r>
                    <w:rPr>
                      <w:rFonts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203</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3</w:t>
                  </w:r>
                  <w:r>
                    <w:rPr>
                      <w:rFonts w:asciiTheme="minorEastAsia" w:hAnsiTheme="minorEastAsia" w:eastAsiaTheme="minorEastAsia"/>
                      <w:bCs/>
                      <w:szCs w:val="18"/>
                    </w:rPr>
                    <w:t>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bCs/>
                      <w:szCs w:val="18"/>
                    </w:rPr>
                    <w:t>5</w:t>
                  </w:r>
                  <w:r>
                    <w:rPr>
                      <w:rFonts w:asciiTheme="minorEastAsia" w:hAnsiTheme="minorEastAsia"/>
                      <w:bCs/>
                      <w:szCs w:val="18"/>
                    </w:rPr>
                    <w:t>41.08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2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散发风量</w:t>
                  </w:r>
                </w:p>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/(m</w:t>
                  </w:r>
                  <w:r>
                    <w:rPr>
                      <w:rFonts w:asciiTheme="minorEastAsia" w:hAnsiTheme="minorEastAsia" w:eastAsiaTheme="minorEastAsia"/>
                      <w:bCs/>
                      <w:szCs w:val="18"/>
                      <w:vertAlign w:val="superscript"/>
                    </w:rPr>
                    <w:t>2</w:t>
                  </w:r>
                  <w:r>
                    <w:rPr>
                      <w:rFonts w:asciiTheme="minorEastAsia" w:hAnsiTheme="minorEastAsia" w:eastAsiaTheme="minorEastAsia"/>
                      <w:bCs/>
                      <w:szCs w:val="18"/>
                    </w:rPr>
                    <w:t>·h)</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8</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654" w:type="pct"/>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风量（</w:t>
                  </w: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/h</w:t>
                  </w:r>
                  <w:r>
                    <w:rPr>
                      <w:rFonts w:hint="eastAsia"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030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40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4</w:t>
                  </w:r>
                  <w:r>
                    <w:rPr>
                      <w:rFonts w:asciiTheme="minorEastAsia" w:hAnsiTheme="minorEastAsia" w:eastAsiaTheme="minorEastAsia"/>
                      <w:bCs/>
                      <w:szCs w:val="18"/>
                    </w:rPr>
                    <w:t>328.64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9"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臭气浓度/无量纲</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年排放小时</w:t>
                  </w:r>
                  <w:r>
                    <w:rPr>
                      <w:rFonts w:hint="eastAsia" w:asciiTheme="minorEastAsia" w:hAnsiTheme="minorEastAsia" w:eastAsiaTheme="minorEastAsia"/>
                      <w:bCs/>
                      <w:szCs w:val="18"/>
                    </w:rPr>
                    <w:t>/</w:t>
                  </w:r>
                  <w:r>
                    <w:rPr>
                      <w:rFonts w:asciiTheme="minorEastAsia" w:hAnsiTheme="minorEastAsia" w:eastAsiaTheme="minorEastAsia"/>
                      <w:bCs/>
                      <w:szCs w:val="18"/>
                    </w:rPr>
                    <w:t>h</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asciiTheme="minorEastAsia" w:hAnsiTheme="minorEastAsia" w:eastAsiaTheme="minorEastAsia"/>
                      <w:bCs/>
                      <w:szCs w:val="18"/>
                    </w:rPr>
                    <w:t>8760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0.125</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0.0068</w:t>
                  </w:r>
                </w:p>
              </w:tc>
              <w:tc>
                <w:tcPr>
                  <w:tcW w:w="608"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.0147</w:t>
                  </w:r>
                </w:p>
              </w:tc>
              <w:tc>
                <w:tcPr>
                  <w:tcW w:w="609"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.0032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0.067</w:t>
                  </w:r>
                </w:p>
              </w:tc>
              <w:tc>
                <w:tcPr>
                  <w:tcW w:w="654" w:type="pct"/>
                </w:tcPr>
                <w:p>
                  <w:pPr>
                    <w:spacing w:line="360" w:lineRule="exact"/>
                    <w:jc w:val="center"/>
                    <w:rPr>
                      <w:rFonts w:asciiTheme="minorEastAsia" w:hAnsiTheme="minorEastAsia"/>
                      <w:bCs/>
                      <w:szCs w:val="18"/>
                    </w:rPr>
                  </w:pPr>
                  <w:r>
                    <w:rPr>
                      <w:rFonts w:hint="eastAsia" w:asciiTheme="minorEastAsia" w:hAnsiTheme="minorEastAsia"/>
                      <w:bCs/>
                      <w:szCs w:val="18"/>
                    </w:rPr>
                    <w:t>0</w:t>
                  </w:r>
                  <w:r>
                    <w:rPr>
                      <w:rFonts w:asciiTheme="minorEastAsia" w:hAnsiTheme="minorEastAsia"/>
                      <w:bCs/>
                      <w:szCs w:val="18"/>
                    </w:rPr>
                    <w:t>.265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0.054 </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0.003 </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0.006 </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0.001 </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0.029 </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0.114 </w:t>
                  </w:r>
                </w:p>
              </w:tc>
            </w:tr>
          </w:tbl>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3、废气污染物收集与治理</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工程已</w:t>
            </w:r>
            <w:r>
              <w:rPr>
                <w:rFonts w:asciiTheme="minorEastAsia" w:hAnsiTheme="minorEastAsia" w:eastAsiaTheme="minorEastAsia"/>
                <w:sz w:val="24"/>
              </w:rPr>
              <w:t>对</w:t>
            </w:r>
            <w:r>
              <w:rPr>
                <w:rFonts w:hint="eastAsia" w:asciiTheme="minorEastAsia" w:hAnsiTheme="minorEastAsia" w:eastAsiaTheme="minorEastAsia"/>
                <w:sz w:val="24"/>
              </w:rPr>
              <w:t>粗、细</w:t>
            </w:r>
            <w:r>
              <w:rPr>
                <w:rFonts w:asciiTheme="minorEastAsia" w:hAnsiTheme="minorEastAsia" w:eastAsiaTheme="minorEastAsia"/>
                <w:sz w:val="24"/>
              </w:rPr>
              <w:t>格栅间、</w:t>
            </w:r>
            <w:r>
              <w:rPr>
                <w:rFonts w:hint="eastAsia" w:asciiTheme="minorEastAsia" w:hAnsiTheme="minorEastAsia" w:eastAsiaTheme="minorEastAsia"/>
                <w:sz w:val="24"/>
              </w:rPr>
              <w:t>曝气沉砂池、</w:t>
            </w:r>
            <w:r>
              <w:rPr>
                <w:rFonts w:asciiTheme="minorEastAsia" w:hAnsiTheme="minorEastAsia" w:eastAsiaTheme="minorEastAsia"/>
                <w:sz w:val="24"/>
              </w:rPr>
              <w:t>污泥脱水间</w:t>
            </w:r>
            <w:r>
              <w:rPr>
                <w:rFonts w:hint="eastAsia" w:asciiTheme="minorEastAsia" w:hAnsiTheme="minorEastAsia" w:eastAsiaTheme="minorEastAsia"/>
                <w:sz w:val="24"/>
              </w:rPr>
              <w:t>、生化池、污泥浓缩池</w:t>
            </w:r>
            <w:r>
              <w:rPr>
                <w:rFonts w:asciiTheme="minorEastAsia" w:hAnsiTheme="minorEastAsia" w:eastAsiaTheme="minorEastAsia"/>
                <w:sz w:val="24"/>
              </w:rPr>
              <w:t>进行</w:t>
            </w:r>
            <w:r>
              <w:rPr>
                <w:rFonts w:hint="eastAsia" w:asciiTheme="minorEastAsia" w:hAnsiTheme="minorEastAsia" w:eastAsiaTheme="minorEastAsia"/>
                <w:sz w:val="24"/>
              </w:rPr>
              <w:t>了厂房</w:t>
            </w:r>
            <w:r>
              <w:rPr>
                <w:rFonts w:asciiTheme="minorEastAsia" w:hAnsiTheme="minorEastAsia" w:eastAsiaTheme="minorEastAsia"/>
                <w:sz w:val="24"/>
              </w:rPr>
              <w:t>密闭处理，并配套建设</w:t>
            </w:r>
            <w:r>
              <w:rPr>
                <w:rFonts w:hint="eastAsia" w:asciiTheme="minorEastAsia" w:hAnsiTheme="minorEastAsia" w:eastAsiaTheme="minorEastAsia"/>
                <w:sz w:val="24"/>
              </w:rPr>
              <w:t>空间</w:t>
            </w:r>
            <w:r>
              <w:rPr>
                <w:rFonts w:asciiTheme="minorEastAsia" w:hAnsiTheme="minorEastAsia" w:eastAsiaTheme="minorEastAsia"/>
                <w:sz w:val="24"/>
              </w:rPr>
              <w:t>管路</w:t>
            </w:r>
            <w:r>
              <w:rPr>
                <w:rFonts w:asciiTheme="minorEastAsia" w:hAnsiTheme="minorEastAsia" w:eastAsiaTheme="minorEastAsia"/>
                <w:spacing w:val="4"/>
                <w:sz w:val="24"/>
              </w:rPr>
              <w:t>，将恶臭气体收集并接入生物洗涤塔</w:t>
            </w:r>
            <w:r>
              <w:rPr>
                <w:rFonts w:asciiTheme="minorEastAsia" w:hAnsiTheme="minorEastAsia" w:eastAsiaTheme="minorEastAsia"/>
                <w:sz w:val="24"/>
              </w:rPr>
              <w:t>，经处理后的</w:t>
            </w:r>
            <w:r>
              <w:rPr>
                <w:rFonts w:asciiTheme="minorEastAsia" w:hAnsiTheme="minorEastAsia" w:eastAsiaTheme="minorEastAsia"/>
                <w:spacing w:val="4"/>
                <w:sz w:val="24"/>
              </w:rPr>
              <w:t>恶臭气体</w:t>
            </w:r>
            <w:r>
              <w:rPr>
                <w:rFonts w:asciiTheme="minorEastAsia" w:hAnsiTheme="minorEastAsia" w:eastAsiaTheme="minorEastAsia"/>
                <w:sz w:val="24"/>
              </w:rPr>
              <w:t>通过15</w:t>
            </w:r>
            <w:r>
              <w:rPr>
                <w:rFonts w:hint="eastAsia" w:asciiTheme="minorEastAsia" w:hAnsiTheme="minorEastAsia" w:eastAsiaTheme="minorEastAsia"/>
                <w:sz w:val="24"/>
              </w:rPr>
              <w:t>m</w:t>
            </w:r>
            <w:r>
              <w:rPr>
                <w:rFonts w:asciiTheme="minorEastAsia" w:hAnsiTheme="minorEastAsia" w:eastAsiaTheme="minorEastAsia"/>
                <w:sz w:val="24"/>
              </w:rPr>
              <w:t>排气筒排放。</w:t>
            </w:r>
            <w:r>
              <w:rPr>
                <w:rFonts w:hint="eastAsia" w:asciiTheme="minorEastAsia" w:hAnsiTheme="minorEastAsia" w:eastAsiaTheme="minorEastAsia"/>
                <w:bCs/>
                <w:sz w:val="24"/>
              </w:rPr>
              <w:t>工程设离子除臭法对工程废气进行处理，设计处理风量</w:t>
            </w:r>
            <w:r>
              <w:rPr>
                <w:rFonts w:asciiTheme="minorEastAsia" w:hAnsiTheme="minorEastAsia" w:eastAsiaTheme="minorEastAsia"/>
                <w:spacing w:val="4"/>
                <w:sz w:val="24"/>
              </w:rPr>
              <w:t>7855.84m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/h，配套</w:t>
            </w:r>
            <w:r>
              <w:rPr>
                <w:rFonts w:hint="eastAsia" w:asciiTheme="minorEastAsia" w:hAnsiTheme="minorEastAsia" w:eastAsiaTheme="minorEastAsia"/>
                <w:spacing w:val="4"/>
                <w:sz w:val="24"/>
              </w:rPr>
              <w:t>1台风机</w:t>
            </w:r>
            <w:r>
              <w:rPr>
                <w:rFonts w:asciiTheme="minorEastAsia" w:hAnsiTheme="minorEastAsia" w:eastAsiaTheme="minorEastAsia"/>
                <w:spacing w:val="4"/>
                <w:sz w:val="24"/>
              </w:rPr>
              <w:t>8500m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w:t>
            </w:r>
            <w:r>
              <w:rPr>
                <w:rFonts w:asciiTheme="minorEastAsia" w:hAnsiTheme="minorEastAsia" w:eastAsiaTheme="minorEastAsia"/>
                <w:sz w:val="24"/>
              </w:rPr>
              <w:t>收集效率为9</w:t>
            </w:r>
            <w:r>
              <w:rPr>
                <w:rFonts w:hint="eastAsia" w:asciiTheme="minorEastAsia" w:hAnsiTheme="minorEastAsia" w:eastAsiaTheme="minorEastAsia"/>
                <w:sz w:val="24"/>
              </w:rPr>
              <w:t>0</w:t>
            </w:r>
            <w:r>
              <w:rPr>
                <w:rFonts w:asciiTheme="minorEastAsia" w:hAnsiTheme="minorEastAsia" w:eastAsiaTheme="minorEastAsia"/>
                <w:sz w:val="24"/>
              </w:rPr>
              <w:t>%、去除效率9</w:t>
            </w:r>
            <w:r>
              <w:rPr>
                <w:rFonts w:hint="eastAsia" w:asciiTheme="minorEastAsia" w:hAnsiTheme="minorEastAsia" w:eastAsiaTheme="minorEastAsia"/>
                <w:sz w:val="24"/>
              </w:rPr>
              <w:t>5</w:t>
            </w:r>
            <w:r>
              <w:rPr>
                <w:rFonts w:asciiTheme="minorEastAsia" w:hAnsiTheme="minorEastAsia" w:eastAsiaTheme="minorEastAsia"/>
                <w:sz w:val="24"/>
              </w:rPr>
              <w:t>%。</w:t>
            </w:r>
          </w:p>
          <w:p>
            <w:pPr>
              <w:spacing w:line="500" w:lineRule="exact"/>
              <w:ind w:firstLine="482"/>
              <w:rPr>
                <w:rFonts w:asciiTheme="minorEastAsia" w:hAnsiTheme="minorEastAsia" w:eastAsiaTheme="minorEastAsia"/>
              </w:rPr>
            </w:pPr>
            <w:r>
              <w:rPr>
                <w:rFonts w:asciiTheme="minorEastAsia" w:hAnsiTheme="minorEastAsia" w:eastAsiaTheme="minorEastAsia"/>
                <w:sz w:val="24"/>
              </w:rPr>
              <w:t>污水处理厂恶臭采用全过程除臭工艺</w:t>
            </w:r>
            <w:r>
              <w:rPr>
                <w:rFonts w:hint="eastAsia" w:asciiTheme="minorEastAsia" w:hAnsiTheme="minorEastAsia" w:eastAsiaTheme="minorEastAsia"/>
                <w:sz w:val="24"/>
              </w:rPr>
              <w:t>：该工艺的原理是将含有组合生物填料的培养箱安装于污水处理厂生物池内，活性污泥混合液经过培养箱，其中的生物填料对除臭微生物的生长、增殖产生诱导和促进作用，增殖强化除臭微生物，使得该除臭微生物在活性污泥中占有一定的数量，保证系统除臭效果的实现。该除臭污泥与活性污泥一起在二次沉淀池实现沉淀。为了保证预处理系统的除臭效果，将二沉池排出的、含有除臭微生物的部分活性污泥回流至污水厂进水端，使得除臭微生物与水中的恶臭物质发生吸附、凝聚和生物转化降解等作用，从而实现污水厂预处理构筑物的除臭效果；生物池的除臭由污泥回流中的除臭微生物完成。由于剩余污泥中含有除臭微生物、在污水预处理系统、生物处理系统中除臭微生物已经生物降解原污水中的除臭污染物，从而污泥中不含有产生恶臭的污染物。因此实现了污水处理厂的除臭效果。该除臭系统由两部分组成，包括微生物培养系统和除臭污泥投加系统。微生物培养系统主要是指在污水处理厂生物池内安装一定数量的微生物培养箱，借助生物池构筑物以及一定量的空气，除臭微生物得以在生物系统得到增殖并形成一定的数量规模。除臭污泥投加系统是指将含有除臭微生物的污泥通过污泥泵分别回流至污水处理厂的进水端和生物池的进水端。</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评价认为，工程拟建的废气污染治理措施可行。</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4、监测计划</w:t>
            </w:r>
          </w:p>
          <w:p>
            <w:pPr>
              <w:spacing w:line="500" w:lineRule="exact"/>
              <w:ind w:firstLine="482"/>
              <w:rPr>
                <w:rFonts w:asciiTheme="minorEastAsia" w:hAnsiTheme="minorEastAsia" w:eastAsiaTheme="minorEastAsia"/>
                <w:bCs/>
                <w:sz w:val="24"/>
              </w:rPr>
            </w:pPr>
            <w:r>
              <w:rPr>
                <w:rFonts w:hint="eastAsia" w:asciiTheme="minorEastAsia" w:hAnsiTheme="minorEastAsia" w:eastAsiaTheme="minorEastAsia"/>
                <w:bCs/>
                <w:sz w:val="24"/>
              </w:rPr>
              <w:t>根据《排污单位自行监测技术指南水处理》</w:t>
            </w:r>
            <w:r>
              <w:rPr>
                <w:rFonts w:hint="eastAsia" w:asciiTheme="minorEastAsia" w:hAnsiTheme="minorEastAsia" w:eastAsiaTheme="minorEastAsia"/>
                <w:sz w:val="24"/>
              </w:rPr>
              <w:t>(HJ1083</w:t>
            </w:r>
            <w:r>
              <w:rPr>
                <w:rFonts w:asciiTheme="minorEastAsia" w:hAnsiTheme="minorEastAsia" w:eastAsiaTheme="minorEastAsia"/>
                <w:sz w:val="24"/>
              </w:rPr>
              <w:t>-</w:t>
            </w:r>
            <w:r>
              <w:rPr>
                <w:rFonts w:hint="eastAsia" w:asciiTheme="minorEastAsia" w:hAnsiTheme="minorEastAsia" w:eastAsiaTheme="minorEastAsia"/>
                <w:sz w:val="24"/>
              </w:rPr>
              <w:t>2020)中规定，需对废气排放进行监测。其</w:t>
            </w:r>
            <w:r>
              <w:rPr>
                <w:rFonts w:hint="eastAsia" w:asciiTheme="minorEastAsia" w:hAnsiTheme="minorEastAsia" w:eastAsiaTheme="minorEastAsia"/>
                <w:bCs/>
                <w:sz w:val="24"/>
              </w:rPr>
              <w:t>废气监测点位、监测指标及最低监测</w:t>
            </w:r>
            <w:r>
              <w:rPr>
                <w:rFonts w:hint="eastAsia" w:asciiTheme="minorEastAsia" w:hAnsiTheme="minorEastAsia" w:eastAsiaTheme="minorEastAsia"/>
                <w:bCs/>
                <w:spacing w:val="4"/>
                <w:sz w:val="24"/>
              </w:rPr>
              <w:t>频次</w:t>
            </w:r>
            <w:r>
              <w:rPr>
                <w:rFonts w:hint="eastAsia" w:asciiTheme="minorEastAsia" w:hAnsiTheme="minorEastAsia" w:eastAsiaTheme="minorEastAsia"/>
                <w:sz w:val="24"/>
              </w:rPr>
              <w:t>见下表。</w:t>
            </w:r>
          </w:p>
          <w:p>
            <w:pPr>
              <w:spacing w:before="120" w:beforeLines="50"/>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8    废气监测点位、监测指标及最低监测频次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613"/>
              <w:gridCol w:w="2348"/>
              <w:gridCol w:w="1258"/>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8" w:type="pct"/>
                  <w:vAlign w:val="center"/>
                </w:tcPr>
                <w:p>
                  <w:pPr>
                    <w:spacing w:line="400" w:lineRule="exact"/>
                    <w:ind w:right="-105" w:rightChars="-50"/>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监测要素</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监测点位</w:t>
                  </w:r>
                </w:p>
              </w:tc>
              <w:tc>
                <w:tcPr>
                  <w:tcW w:w="1419"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8"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有组织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除臭装置排气筒</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w:t>
                  </w:r>
                  <w:r>
                    <w:rPr>
                      <w:rFonts w:asciiTheme="minorEastAsia" w:hAnsiTheme="minorEastAsia" w:eastAsiaTheme="minorEastAsia"/>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38" w:type="pct"/>
                  <w:vMerge w:val="restar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无组织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厂界或防护带边缘的浓度最高点a</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38" w:type="pct"/>
                  <w:vMerge w:val="continue"/>
                  <w:vAlign w:val="center"/>
                </w:tcPr>
                <w:p>
                  <w:pPr>
                    <w:spacing w:line="400" w:lineRule="exact"/>
                    <w:jc w:val="center"/>
                    <w:rPr>
                      <w:rFonts w:asciiTheme="minorEastAsia" w:hAnsiTheme="minorEastAsia" w:eastAsiaTheme="minorEastAsia"/>
                      <w:bCs/>
                      <w:spacing w:val="4"/>
                      <w:szCs w:val="21"/>
                    </w:rPr>
                  </w:pP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厂区甲烷体积浓度最高处b</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甲烷</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kern w:val="0"/>
                      <w:szCs w:val="21"/>
                    </w:rPr>
                    <w:t>每年1次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000" w:type="pct"/>
                  <w:gridSpan w:val="4"/>
                  <w:vAlign w:val="center"/>
                </w:tcPr>
                <w:p>
                  <w:pPr>
                    <w:spacing w:line="400" w:lineRule="exact"/>
                    <w:rPr>
                      <w:rFonts w:asciiTheme="minorEastAsia" w:hAnsiTheme="minorEastAsia" w:eastAsiaTheme="minorEastAsia"/>
                      <w:bCs/>
                      <w:spacing w:val="4"/>
                      <w:szCs w:val="21"/>
                    </w:rPr>
                  </w:pPr>
                  <w:r>
                    <w:rPr>
                      <w:rFonts w:asciiTheme="minorEastAsia" w:hAnsiTheme="minorEastAsia" w:eastAsiaTheme="minorEastAsia"/>
                      <w:bCs/>
                      <w:spacing w:val="4"/>
                      <w:szCs w:val="21"/>
                    </w:rPr>
                    <w:t>a：防护带边缘的浓度最高点，通常位于靠近污泥脱水机房附近。</w:t>
                  </w:r>
                </w:p>
                <w:p>
                  <w:pPr>
                    <w:spacing w:line="400" w:lineRule="exact"/>
                    <w:rPr>
                      <w:rFonts w:asciiTheme="minorEastAsia" w:hAnsiTheme="minorEastAsia" w:eastAsiaTheme="minorEastAsia"/>
                      <w:kern w:val="0"/>
                      <w:szCs w:val="21"/>
                    </w:rPr>
                  </w:pPr>
                  <w:r>
                    <w:rPr>
                      <w:rFonts w:asciiTheme="minorEastAsia" w:hAnsiTheme="minorEastAsia" w:eastAsiaTheme="minorEastAsia"/>
                      <w:bCs/>
                      <w:spacing w:val="4"/>
                      <w:szCs w:val="21"/>
                    </w:rPr>
                    <w:t>b：通常位于格栅、初沉池、污泥消化池、污泥浓缩池、污泥脱水机房等位置，选取浓度最高点设置监测点位。</w:t>
                  </w:r>
                </w:p>
              </w:tc>
            </w:tr>
          </w:tbl>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二、废水</w:t>
            </w:r>
          </w:p>
          <w:p>
            <w:pPr>
              <w:pStyle w:val="94"/>
              <w:spacing w:line="500" w:lineRule="exact"/>
              <w:ind w:firstLine="496"/>
              <w:rPr>
                <w:rFonts w:asciiTheme="minorEastAsia" w:hAnsiTheme="minorEastAsia" w:eastAsiaTheme="minorEastAsia"/>
                <w:spacing w:val="4"/>
              </w:rPr>
            </w:pPr>
            <w:r>
              <w:rPr>
                <w:rFonts w:hint="eastAsia" w:asciiTheme="minorEastAsia" w:hAnsiTheme="minorEastAsia" w:eastAsiaTheme="minorEastAsia"/>
                <w:spacing w:val="4"/>
              </w:rPr>
              <w:t>详见地表水专题。</w:t>
            </w:r>
          </w:p>
          <w:p>
            <w:pPr>
              <w:pStyle w:val="94"/>
              <w:spacing w:line="500" w:lineRule="exact"/>
              <w:ind w:firstLine="498"/>
              <w:rPr>
                <w:rFonts w:asciiTheme="minorEastAsia" w:hAnsiTheme="minorEastAsia" w:eastAsiaTheme="minorEastAsia"/>
                <w:b/>
                <w:spacing w:val="4"/>
              </w:rPr>
            </w:pPr>
            <w:r>
              <w:rPr>
                <w:rFonts w:hint="eastAsia" w:asciiTheme="minorEastAsia" w:hAnsiTheme="minorEastAsia" w:eastAsiaTheme="minorEastAsia"/>
                <w:b/>
                <w:spacing w:val="4"/>
              </w:rPr>
              <w:t>三、噪声</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pacing w:val="4"/>
                <w:sz w:val="24"/>
              </w:rPr>
              <w:t>噪声污染源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本项目主要噪声源来源于生产设备的运行，有泵类、脱水机、风机等设备，噪声及</w:t>
            </w:r>
            <w:r>
              <w:rPr>
                <w:rFonts w:asciiTheme="minorEastAsia" w:hAnsiTheme="minorEastAsia" w:eastAsiaTheme="minorEastAsia"/>
                <w:sz w:val="24"/>
              </w:rPr>
              <w:t>范围在70～</w:t>
            </w:r>
            <w:r>
              <w:rPr>
                <w:rFonts w:hint="eastAsia" w:asciiTheme="minorEastAsia" w:hAnsiTheme="minorEastAsia" w:eastAsiaTheme="minorEastAsia"/>
                <w:sz w:val="24"/>
              </w:rPr>
              <w:t>90</w:t>
            </w:r>
            <w:r>
              <w:rPr>
                <w:rFonts w:asciiTheme="minorEastAsia" w:hAnsiTheme="minorEastAsia" w:eastAsiaTheme="minorEastAsia"/>
                <w:sz w:val="24"/>
              </w:rPr>
              <w:t>dB(A)之间。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噪声污染防治措施</w:t>
            </w:r>
          </w:p>
          <w:p>
            <w:pPr>
              <w:pStyle w:val="8"/>
              <w:spacing w:line="500" w:lineRule="exact"/>
              <w:ind w:firstLine="480"/>
              <w:rPr>
                <w:rFonts w:asciiTheme="minorEastAsia" w:hAnsiTheme="minorEastAsia" w:eastAsiaTheme="minorEastAsia"/>
                <w:sz w:val="24"/>
              </w:rPr>
            </w:pPr>
            <w:r>
              <w:rPr>
                <w:rFonts w:asciiTheme="minorEastAsia" w:hAnsiTheme="minorEastAsia" w:eastAsiaTheme="minorEastAsia"/>
                <w:sz w:val="24"/>
              </w:rPr>
              <w:t>为降低噪</w:t>
            </w:r>
            <w:r>
              <w:rPr>
                <w:rFonts w:hint="eastAsia" w:asciiTheme="minorEastAsia" w:hAnsiTheme="minorEastAsia" w:eastAsiaTheme="minorEastAsia"/>
                <w:sz w:val="24"/>
              </w:rPr>
              <w:t>声对周围环境的影响，本次评价提出本工程噪声的防治措施包括以下几方面：</w:t>
            </w:r>
          </w:p>
          <w:p>
            <w:pPr>
              <w:pStyle w:val="8"/>
              <w:numPr>
                <w:ilvl w:val="0"/>
                <w:numId w:val="1"/>
              </w:numPr>
              <w:adjustRightInd w:val="0"/>
              <w:snapToGrid w:val="0"/>
              <w:spacing w:line="500" w:lineRule="exact"/>
              <w:ind w:left="0" w:firstLine="480"/>
              <w:rPr>
                <w:rFonts w:asciiTheme="minorEastAsia" w:hAnsiTheme="minorEastAsia" w:eastAsiaTheme="minorEastAsia"/>
                <w:sz w:val="24"/>
              </w:rPr>
            </w:pPr>
            <w:r>
              <w:rPr>
                <w:rFonts w:hint="eastAsia" w:asciiTheme="minorEastAsia" w:hAnsiTheme="minorEastAsia" w:eastAsiaTheme="minorEastAsia"/>
                <w:sz w:val="24"/>
              </w:rPr>
              <w:t>在设备选型上，应尽可能选择声压级较小、振动小的低噪声设备，从源头上控制噪声产生的级别；</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各种泵类</w:t>
            </w:r>
            <w:r>
              <w:rPr>
                <w:rFonts w:hint="eastAsia" w:asciiTheme="minorEastAsia" w:hAnsiTheme="minorEastAsia" w:eastAsiaTheme="minorEastAsia"/>
                <w:sz w:val="24"/>
              </w:rPr>
              <w:t>、风机</w:t>
            </w:r>
            <w:r>
              <w:rPr>
                <w:rFonts w:asciiTheme="minorEastAsia" w:hAnsiTheme="minorEastAsia" w:eastAsiaTheme="minorEastAsia"/>
                <w:sz w:val="24"/>
              </w:rPr>
              <w:t>等产生噪声较大的设备均设置在室内、</w:t>
            </w:r>
            <w:r>
              <w:rPr>
                <w:rFonts w:hint="eastAsia" w:asciiTheme="minorEastAsia" w:hAnsiTheme="minorEastAsia" w:eastAsiaTheme="minorEastAsia"/>
                <w:sz w:val="24"/>
              </w:rPr>
              <w:t>风机</w:t>
            </w:r>
            <w:r>
              <w:rPr>
                <w:rFonts w:asciiTheme="minorEastAsia" w:hAnsiTheme="minorEastAsia" w:eastAsiaTheme="minorEastAsia"/>
                <w:sz w:val="24"/>
              </w:rPr>
              <w:t>安装消声器，配置隔音罩；</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在厂区产噪声构筑物附近种草种树绿化，减少噪声对周围环境的影响。</w:t>
            </w:r>
          </w:p>
          <w:p>
            <w:pPr>
              <w:pStyle w:val="8"/>
              <w:spacing w:line="500" w:lineRule="exact"/>
              <w:ind w:firstLine="48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噪声</w:t>
            </w:r>
            <w:r>
              <w:rPr>
                <w:rFonts w:hint="eastAsia" w:asciiTheme="minorEastAsia" w:hAnsiTheme="minorEastAsia" w:eastAsiaTheme="minorEastAsia"/>
                <w:sz w:val="24"/>
              </w:rPr>
              <w:t>污染源强</w:t>
            </w:r>
          </w:p>
          <w:p>
            <w:pPr>
              <w:pStyle w:val="8"/>
              <w:spacing w:line="500" w:lineRule="exact"/>
              <w:ind w:firstLine="480"/>
              <w:rPr>
                <w:rFonts w:asciiTheme="minorEastAsia" w:hAnsiTheme="minorEastAsia" w:eastAsiaTheme="minorEastAsia"/>
                <w:sz w:val="24"/>
                <w:szCs w:val="22"/>
              </w:rPr>
            </w:pPr>
            <w:r>
              <w:rPr>
                <w:rFonts w:asciiTheme="minorEastAsia" w:hAnsiTheme="minorEastAsia" w:eastAsiaTheme="minorEastAsia"/>
                <w:sz w:val="24"/>
              </w:rPr>
              <w:t>根据厂界噪声监测数据显示，厂界声环境质量较好。本工程运营后，在采取以上措施后，噪声值可降低15～30dB(A)，因此运营期</w:t>
            </w:r>
            <w:r>
              <w:rPr>
                <w:rFonts w:asciiTheme="minorEastAsia" w:hAnsiTheme="minorEastAsia" w:eastAsiaTheme="minorEastAsia"/>
                <w:sz w:val="24"/>
                <w:szCs w:val="22"/>
              </w:rPr>
              <w:t>对声环境影响较小。</w:t>
            </w:r>
          </w:p>
          <w:p>
            <w:pPr>
              <w:pStyle w:val="8"/>
              <w:spacing w:line="500" w:lineRule="exact"/>
              <w:ind w:firstLine="475" w:firstLineChars="198"/>
              <w:rPr>
                <w:rFonts w:asciiTheme="minorEastAsia" w:hAnsiTheme="minorEastAsia" w:eastAsiaTheme="minorEastAsia"/>
                <w:sz w:val="24"/>
              </w:rPr>
            </w:pPr>
            <w:r>
              <w:rPr>
                <w:rFonts w:hint="eastAsia" w:asciiTheme="minorEastAsia" w:hAnsiTheme="minorEastAsia" w:eastAsiaTheme="minorEastAsia"/>
                <w:sz w:val="24"/>
              </w:rPr>
              <w:t>主要产噪设备声级情况</w:t>
            </w:r>
            <w:r>
              <w:rPr>
                <w:rFonts w:asciiTheme="minorEastAsia" w:hAnsiTheme="minorEastAsia" w:eastAsiaTheme="minorEastAsia"/>
                <w:sz w:val="24"/>
              </w:rPr>
              <w:t>见表</w:t>
            </w:r>
            <w:r>
              <w:rPr>
                <w:rFonts w:hint="eastAsia" w:asciiTheme="minorEastAsia" w:hAnsiTheme="minorEastAsia" w:eastAsiaTheme="minorEastAsia"/>
                <w:sz w:val="24"/>
              </w:rPr>
              <w:t>4-</w:t>
            </w:r>
            <w:r>
              <w:rPr>
                <w:rFonts w:asciiTheme="minorEastAsia" w:hAnsiTheme="minorEastAsia" w:eastAsiaTheme="minorEastAsia"/>
                <w:sz w:val="24"/>
              </w:rPr>
              <w:t>9。</w:t>
            </w:r>
          </w:p>
          <w:p>
            <w:pPr>
              <w:spacing w:before="120" w:beforeLines="5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 xml:space="preserve">9    </w:t>
            </w:r>
            <w:r>
              <w:rPr>
                <w:rFonts w:hint="eastAsia" w:asciiTheme="minorEastAsia" w:hAnsiTheme="minorEastAsia" w:eastAsiaTheme="minorEastAsia"/>
                <w:sz w:val="24"/>
              </w:rPr>
              <w:t>主要产噪设备声级情况</w:t>
            </w:r>
          </w:p>
          <w:tbl>
            <w:tblPr>
              <w:tblStyle w:val="28"/>
              <w:tblW w:w="490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637"/>
              <w:gridCol w:w="1322"/>
              <w:gridCol w:w="1787"/>
              <w:gridCol w:w="1510"/>
              <w:gridCol w:w="11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007"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噪声源</w:t>
                  </w:r>
                </w:p>
              </w:tc>
              <w:tc>
                <w:tcPr>
                  <w:tcW w:w="813"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(套/台)</w:t>
                  </w:r>
                </w:p>
              </w:tc>
              <w:tc>
                <w:tcPr>
                  <w:tcW w:w="109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噪声级</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92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治理后噪声级</w:t>
                  </w: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71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格栅</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w:t>
                  </w: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潜水搅拌机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w:t>
                  </w:r>
                  <w:r>
                    <w:rPr>
                      <w:rFonts w:hint="eastAsia" w:asciiTheme="minorEastAsia" w:hAnsiTheme="minorEastAsia" w:eastAsiaTheme="minorEastAsia"/>
                      <w:szCs w:val="21"/>
                    </w:rPr>
                    <w:t>～</w:t>
                  </w:r>
                  <w:r>
                    <w:rPr>
                      <w:rFonts w:asciiTheme="minorEastAsia" w:hAnsiTheme="minorEastAsia" w:eastAsiaTheme="minorEastAsia"/>
                      <w:szCs w:val="21"/>
                    </w:rPr>
                    <w:t>75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风机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13</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脱水机</w:t>
                  </w:r>
                </w:p>
              </w:tc>
              <w:tc>
                <w:tcPr>
                  <w:tcW w:w="81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泵类</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w:t>
                  </w:r>
                </w:p>
              </w:tc>
              <w:tc>
                <w:tcPr>
                  <w:tcW w:w="109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85～90</w:t>
                  </w:r>
                </w:p>
              </w:tc>
              <w:tc>
                <w:tcPr>
                  <w:tcW w:w="929" w:type="pct"/>
                  <w:vAlign w:val="center"/>
                </w:tcPr>
                <w:p>
                  <w:pPr>
                    <w:spacing w:line="400" w:lineRule="exact"/>
                    <w:jc w:val="center"/>
                    <w:rPr>
                      <w:rFonts w:asciiTheme="minorEastAsia" w:hAnsiTheme="minorEastAsia" w:eastAsiaTheme="minorEastAsia"/>
                      <w:spacing w:val="4"/>
                      <w:szCs w:val="21"/>
                    </w:rPr>
                  </w:pPr>
                  <w:r>
                    <w:rPr>
                      <w:rFonts w:hint="eastAsia" w:asciiTheme="minorEastAsia" w:hAnsiTheme="minorEastAsia" w:eastAsiaTheme="minorEastAsia"/>
                      <w:szCs w:val="21"/>
                    </w:rPr>
                    <w:t>～</w:t>
                  </w:r>
                  <w:r>
                    <w:rPr>
                      <w:rFonts w:asciiTheme="minorEastAsia" w:hAnsiTheme="minorEastAsia" w:eastAsiaTheme="minorEastAsia"/>
                      <w:szCs w:val="21"/>
                    </w:rPr>
                    <w:t>60</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4、监测计划</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根据《排污单位自行监测技术指南水处理》(HJ1083</w:t>
            </w:r>
            <w:r>
              <w:rPr>
                <w:rFonts w:asciiTheme="minorEastAsia" w:hAnsiTheme="minorEastAsia" w:eastAsiaTheme="minorEastAsia"/>
                <w:sz w:val="24"/>
              </w:rPr>
              <w:t>-</w:t>
            </w:r>
            <w:r>
              <w:rPr>
                <w:rFonts w:hint="eastAsia" w:asciiTheme="minorEastAsia" w:hAnsiTheme="minorEastAsia" w:eastAsiaTheme="minorEastAsia"/>
                <w:sz w:val="24"/>
              </w:rPr>
              <w:t>2020)中规定，需对厂界环境噪声进行监测，监测点位应考虑下表噪声源在厂区的分布情况。其厂界环境噪声监测指标及最低监测频次见表4-1</w:t>
            </w:r>
            <w:r>
              <w:rPr>
                <w:rFonts w:asciiTheme="minorEastAsia" w:hAnsiTheme="minorEastAsia" w:eastAsiaTheme="minorEastAsia"/>
                <w:sz w:val="24"/>
              </w:rPr>
              <w:t>0</w:t>
            </w:r>
            <w:r>
              <w:rPr>
                <w:rFonts w:hint="eastAsia" w:asciiTheme="minorEastAsia" w:hAnsiTheme="minorEastAsia" w:eastAsiaTheme="minorEastAsia"/>
                <w:sz w:val="24"/>
              </w:rPr>
              <w:t>。</w:t>
            </w:r>
          </w:p>
          <w:p>
            <w:pPr>
              <w:adjustRightInd w:val="0"/>
              <w:snapToGrid w:val="0"/>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10    厂界环境噪声监测指标及最低监测频次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3087"/>
              <w:gridCol w:w="2474"/>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PrEx>
              <w:trPr>
                <w:trHeight w:val="293"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厂界</w:t>
                  </w:r>
                </w:p>
              </w:tc>
              <w:tc>
                <w:tcPr>
                  <w:tcW w:w="186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149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污水处理厂</w:t>
                  </w:r>
                </w:p>
              </w:tc>
              <w:tc>
                <w:tcPr>
                  <w:tcW w:w="186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等效连续A声级</w:t>
                  </w:r>
                </w:p>
              </w:tc>
              <w:tc>
                <w:tcPr>
                  <w:tcW w:w="149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szCs w:val="21"/>
                    </w:rPr>
                    <w:t>季度/</w:t>
                  </w:r>
                  <w:r>
                    <w:rPr>
                      <w:rFonts w:asciiTheme="minorEastAsia" w:hAnsiTheme="minorEastAsia" w:eastAsiaTheme="minorEastAsia"/>
                      <w:kern w:val="0"/>
                      <w:szCs w:val="21"/>
                    </w:rPr>
                    <w:t>1次</w:t>
                  </w:r>
                </w:p>
              </w:tc>
            </w:tr>
          </w:tbl>
          <w:p>
            <w:pPr>
              <w:adjustRightInd w:val="0"/>
              <w:snapToGrid w:val="0"/>
              <w:spacing w:line="500" w:lineRule="exact"/>
              <w:ind w:firstLine="433" w:firstLineChars="196"/>
              <w:rPr>
                <w:rFonts w:asciiTheme="minorEastAsia" w:hAnsiTheme="minorEastAsia" w:eastAsiaTheme="minorEastAsia"/>
                <w:b/>
                <w:bCs/>
                <w:spacing w:val="-10"/>
                <w:sz w:val="24"/>
              </w:rPr>
            </w:pPr>
            <w:r>
              <w:rPr>
                <w:rFonts w:asciiTheme="minorEastAsia" w:hAnsiTheme="minorEastAsia" w:eastAsiaTheme="minorEastAsia"/>
                <w:b/>
                <w:bCs/>
                <w:spacing w:val="-10"/>
                <w:sz w:val="24"/>
              </w:rPr>
              <w:t>四、固废</w:t>
            </w:r>
          </w:p>
          <w:p>
            <w:pPr>
              <w:spacing w:line="500" w:lineRule="exact"/>
              <w:ind w:firstLine="513" w:firstLineChars="214"/>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固废来源及处置方式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w:t>
            </w:r>
            <w:r>
              <w:rPr>
                <w:rFonts w:asciiTheme="minorEastAsia" w:hAnsiTheme="minorEastAsia" w:eastAsiaTheme="minorEastAsia"/>
                <w:sz w:val="24"/>
              </w:rPr>
              <w:t>项目运营过程中产生的固废主要为栅渣、沉砂、污泥、检验废液等。</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栅渣</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在污水预处理阶段，由格栅分离出一定量的栅渣，主要是粗、细垃圾、悬浮物和漂浮状态的杂物。根据《污水处理厂工艺设计手册》(化学工业出版社，2003年)，污水处理厂栅渣产生量一般为0.5</w:t>
            </w:r>
            <w:r>
              <w:rPr>
                <w:rFonts w:hint="eastAsia" w:asciiTheme="minorEastAsia" w:hAnsiTheme="minorEastAsia" w:eastAsiaTheme="minorEastAsia"/>
                <w:sz w:val="24"/>
              </w:rPr>
              <w:t>-</w:t>
            </w:r>
            <w:r>
              <w:rPr>
                <w:rFonts w:asciiTheme="minorEastAsia" w:hAnsiTheme="minorEastAsia" w:eastAsiaTheme="minorEastAsia"/>
                <w:sz w:val="24"/>
              </w:rPr>
              <w:t>1m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·d，容重为960kg/m</w:t>
            </w:r>
            <w:r>
              <w:rPr>
                <w:rFonts w:asciiTheme="minorEastAsia" w:hAnsiTheme="minorEastAsia" w:eastAsiaTheme="minorEastAsia"/>
                <w:sz w:val="24"/>
                <w:vertAlign w:val="superscript"/>
              </w:rPr>
              <w:t>3</w:t>
            </w:r>
            <w:r>
              <w:rPr>
                <w:rFonts w:asciiTheme="minorEastAsia" w:hAnsiTheme="minorEastAsia" w:eastAsiaTheme="minorEastAsia"/>
                <w:sz w:val="24"/>
              </w:rPr>
              <w:t>。本项目取0.7m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·d，项目污水处理量按最大设计量1000m</w:t>
            </w:r>
            <w:r>
              <w:rPr>
                <w:rFonts w:asciiTheme="minorEastAsia" w:hAnsiTheme="minorEastAsia" w:eastAsiaTheme="minorEastAsia"/>
                <w:sz w:val="24"/>
                <w:vertAlign w:val="superscript"/>
              </w:rPr>
              <w:t>3</w:t>
            </w:r>
            <w:r>
              <w:rPr>
                <w:rFonts w:asciiTheme="minorEastAsia" w:hAnsiTheme="minorEastAsia" w:eastAsiaTheme="minorEastAsia"/>
                <w:sz w:val="24"/>
              </w:rPr>
              <w:t>/d计算，则栅渣产生量为0.7t/d，255.5t/a。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沉砂</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在沉砂池分离出一定量的沉砂，主要为无机沙粒，根据《室外排水设计规范》(GB50014-2006，2016年版)，每立方污水沉砂量0.03L，沉砂容重1.5t/m</w:t>
            </w:r>
            <w:r>
              <w:rPr>
                <w:rFonts w:asciiTheme="minorEastAsia" w:hAnsiTheme="minorEastAsia" w:eastAsiaTheme="minorEastAsia"/>
                <w:sz w:val="24"/>
                <w:vertAlign w:val="superscript"/>
              </w:rPr>
              <w:t>3</w:t>
            </w:r>
            <w:r>
              <w:rPr>
                <w:rFonts w:asciiTheme="minorEastAsia" w:hAnsiTheme="minorEastAsia" w:eastAsiaTheme="minorEastAsia"/>
                <w:sz w:val="24"/>
              </w:rPr>
              <w:t>，含水率60%。项目运行时，沉砂量为0.045t/d，16.55t/a。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污泥</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由污泥过滤机产生的污泥，基本上是生物残体。根据《排污许可证申请与核发技术规范水处理(试行)》(HJ978-2018)，污泥产生量采用下列公式核定：</w:t>
            </w:r>
          </w:p>
          <w:p>
            <w:pPr>
              <w:spacing w:line="500" w:lineRule="exact"/>
              <w:ind w:firstLine="420" w:firstLineChars="200"/>
              <w:rPr>
                <w:rFonts w:asciiTheme="minorEastAsia" w:hAnsiTheme="minorEastAsia" w:eastAsiaTheme="minorEastAsia"/>
                <w:kern w:val="0"/>
                <w:sz w:val="24"/>
                <w:lang w:val="zh-CN"/>
              </w:rPr>
            </w:pPr>
            <w:r>
              <w:rPr>
                <w:rFonts w:asciiTheme="minorEastAsia" w:hAnsiTheme="minorEastAsia" w:eastAsiaTheme="minorEastAsia"/>
              </w:rPr>
              <w:drawing>
                <wp:anchor distT="0" distB="0" distL="114300" distR="114300" simplePos="0" relativeHeight="251661312" behindDoc="0" locked="0" layoutInCell="1" allowOverlap="1">
                  <wp:simplePos x="0" y="0"/>
                  <wp:positionH relativeFrom="column">
                    <wp:posOffset>1077595</wp:posOffset>
                  </wp:positionH>
                  <wp:positionV relativeFrom="paragraph">
                    <wp:posOffset>15875</wp:posOffset>
                  </wp:positionV>
                  <wp:extent cx="1905000" cy="270510"/>
                  <wp:effectExtent l="1905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2"/>
                          <a:srcRect/>
                          <a:stretch>
                            <a:fillRect/>
                          </a:stretch>
                        </pic:blipFill>
                        <pic:spPr>
                          <a:xfrm>
                            <a:off x="0" y="0"/>
                            <a:ext cx="1905166" cy="270344"/>
                          </a:xfrm>
                          <a:prstGeom prst="rect">
                            <a:avLst/>
                          </a:prstGeom>
                          <a:noFill/>
                          <a:ln w="9525">
                            <a:noFill/>
                            <a:miter lim="800000"/>
                            <a:headEnd/>
                            <a:tailEnd/>
                          </a:ln>
                        </pic:spPr>
                      </pic:pic>
                    </a:graphicData>
                  </a:graphic>
                </wp:anchor>
              </w:drawing>
            </w:r>
          </w:p>
          <w:p>
            <w:pPr>
              <w:spacing w:line="500" w:lineRule="exact"/>
              <w:ind w:firstLine="480" w:firstLineChars="200"/>
              <w:rPr>
                <w:rFonts w:asciiTheme="minorEastAsia" w:hAnsiTheme="minorEastAsia" w:eastAsiaTheme="minorEastAsia"/>
                <w:kern w:val="0"/>
                <w:sz w:val="24"/>
                <w:lang w:val="zh-CN"/>
              </w:rPr>
            </w:pPr>
            <w:r>
              <w:rPr>
                <w:rFonts w:asciiTheme="minorEastAsia" w:hAnsiTheme="minorEastAsia" w:eastAsiaTheme="minorEastAsia"/>
                <w:kern w:val="0"/>
                <w:sz w:val="24"/>
                <w:lang w:val="zh-CN"/>
              </w:rPr>
              <w:t>式中：E</w:t>
            </w:r>
            <w:r>
              <w:rPr>
                <w:rFonts w:asciiTheme="minorEastAsia" w:hAnsiTheme="minorEastAsia" w:eastAsiaTheme="minorEastAsia"/>
                <w:kern w:val="0"/>
                <w:sz w:val="24"/>
                <w:vertAlign w:val="subscript"/>
                <w:lang w:val="zh-CN"/>
              </w:rPr>
              <w:t>产生量</w:t>
            </w:r>
            <w:r>
              <w:rPr>
                <w:rFonts w:asciiTheme="minorEastAsia" w:hAnsiTheme="minorEastAsia" w:eastAsiaTheme="minorEastAsia"/>
                <w:kern w:val="0"/>
                <w:sz w:val="24"/>
                <w:lang w:val="zh-CN"/>
              </w:rPr>
              <w:t>--污水处理过程中产生的污泥量，以干泥计，t；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0"/>
                <w:sz w:val="24"/>
                <w:lang w:val="zh-CN"/>
              </w:rPr>
              <w:t>Q--核算时段内排污单位废水排放量，</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W</w:t>
            </w:r>
            <w:r>
              <w:rPr>
                <w:rFonts w:asciiTheme="minorEastAsia" w:hAnsiTheme="minorEastAsia" w:eastAsiaTheme="minorEastAsia"/>
                <w:sz w:val="24"/>
                <w:vertAlign w:val="subscript"/>
              </w:rPr>
              <w:t>深</w:t>
            </w:r>
            <w:r>
              <w:rPr>
                <w:rFonts w:asciiTheme="minorEastAsia" w:hAnsiTheme="minorEastAsia" w:eastAsiaTheme="minorEastAsia"/>
                <w:sz w:val="24"/>
              </w:rPr>
              <w:t>--有深度处理工艺(添加化学药剂)时按2计，无深度处理工艺时按1计，量纲一。</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项目以最大设计污水处理量10</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/d，有深度处理工艺，则污泥预计产生量为：0.34</w:t>
            </w:r>
            <w:r>
              <w:rPr>
                <w:rFonts w:asciiTheme="minorEastAsia" w:hAnsiTheme="minorEastAsia" w:eastAsiaTheme="minorEastAsia"/>
                <w:kern w:val="0"/>
                <w:sz w:val="24"/>
                <w:lang w:val="zh-CN"/>
              </w:rPr>
              <w:t>t/</w:t>
            </w:r>
            <w:r>
              <w:rPr>
                <w:rFonts w:asciiTheme="minorEastAsia" w:hAnsiTheme="minorEastAsia" w:eastAsiaTheme="minorEastAsia"/>
                <w:sz w:val="24"/>
              </w:rPr>
              <w:t>d，124.1t/a。</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工程采用压滤机处理产生的污泥，拟建工程污泥(干泥)预计产生量为0</w:t>
            </w:r>
            <w:r>
              <w:rPr>
                <w:rFonts w:asciiTheme="minorEastAsia" w:hAnsiTheme="minorEastAsia" w:eastAsiaTheme="minorEastAsia"/>
                <w:sz w:val="24"/>
              </w:rPr>
              <w:t>.34</w:t>
            </w:r>
            <w:r>
              <w:rPr>
                <w:rFonts w:hint="eastAsia" w:asciiTheme="minorEastAsia" w:hAnsiTheme="minorEastAsia" w:eastAsiaTheme="minorEastAsia"/>
                <w:sz w:val="24"/>
              </w:rPr>
              <w:t>t/d，压滤前污泥量(以含水率80%计)为</w:t>
            </w:r>
            <w:r>
              <w:rPr>
                <w:rFonts w:asciiTheme="minorEastAsia" w:hAnsiTheme="minorEastAsia" w:eastAsiaTheme="minorEastAsia"/>
                <w:sz w:val="24"/>
              </w:rPr>
              <w:t>1.7</w:t>
            </w:r>
            <w:r>
              <w:rPr>
                <w:rFonts w:hint="eastAsia" w:asciiTheme="minorEastAsia" w:hAnsiTheme="minorEastAsia" w:eastAsiaTheme="minorEastAsia"/>
                <w:sz w:val="24"/>
              </w:rPr>
              <w:t>t/d，6</w:t>
            </w:r>
            <w:r>
              <w:rPr>
                <w:rFonts w:asciiTheme="minorEastAsia" w:hAnsiTheme="minorEastAsia" w:eastAsiaTheme="minorEastAsia"/>
                <w:sz w:val="24"/>
              </w:rPr>
              <w:t>20.5t/a</w:t>
            </w:r>
            <w:r>
              <w:rPr>
                <w:rFonts w:hint="eastAsia" w:asciiTheme="minorEastAsia" w:hAnsiTheme="minorEastAsia" w:eastAsiaTheme="minorEastAsia"/>
                <w:sz w:val="24"/>
              </w:rPr>
              <w:t>。污泥暂存于污泥池内，及时处理，不得长期储存。</w:t>
            </w:r>
          </w:p>
          <w:p>
            <w:pPr>
              <w:spacing w:line="500" w:lineRule="exact"/>
              <w:ind w:firstLine="513" w:firstLineChars="214"/>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4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④</w:t>
            </w:r>
            <w:r>
              <w:rPr>
                <w:rFonts w:asciiTheme="minorEastAsia" w:hAnsiTheme="minorEastAsia" w:eastAsiaTheme="minorEastAsia"/>
                <w:sz w:val="24"/>
              </w:rPr>
              <w:fldChar w:fldCharType="end"/>
            </w:r>
            <w:r>
              <w:rPr>
                <w:rFonts w:asciiTheme="minorEastAsia" w:hAnsiTheme="minorEastAsia" w:eastAsiaTheme="minorEastAsia"/>
                <w:sz w:val="24"/>
              </w:rPr>
              <w:t>检验废液</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化验室及在线设备监测过程中会产生检测废液。依据企业提供资料，检测废液产生量约</w:t>
            </w:r>
            <w:r>
              <w:rPr>
                <w:rFonts w:hint="eastAsia" w:asciiTheme="minorEastAsia" w:hAnsiTheme="minorEastAsia" w:eastAsiaTheme="minorEastAsia"/>
                <w:sz w:val="24"/>
              </w:rPr>
              <w:t>0.1t</w:t>
            </w:r>
            <w:r>
              <w:rPr>
                <w:rFonts w:asciiTheme="minorEastAsia" w:hAnsiTheme="minorEastAsia" w:eastAsiaTheme="minorEastAsia"/>
                <w:sz w:val="24"/>
              </w:rPr>
              <w:t>/a。</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fldChar w:fldCharType="begin"/>
            </w:r>
            <w:r>
              <w:rPr>
                <w:rFonts w:asciiTheme="minorEastAsia" w:hAnsiTheme="minorEastAsia" w:eastAsiaTheme="minorEastAsia"/>
                <w:bCs/>
                <w:sz w:val="24"/>
              </w:rPr>
              <w:instrText xml:space="preserve"> </w:instrText>
            </w:r>
            <w:r>
              <w:rPr>
                <w:rFonts w:hint="eastAsia" w:asciiTheme="minorEastAsia" w:hAnsiTheme="minorEastAsia" w:eastAsiaTheme="minorEastAsia"/>
                <w:bCs/>
                <w:sz w:val="24"/>
              </w:rPr>
              <w:instrText xml:space="preserve">= 5 \* GB3</w:instrText>
            </w:r>
            <w:r>
              <w:rPr>
                <w:rFonts w:asciiTheme="minorEastAsia" w:hAnsiTheme="minorEastAsia" w:eastAsiaTheme="minorEastAsia"/>
                <w:bCs/>
                <w:sz w:val="24"/>
              </w:rPr>
              <w:instrText xml:space="preserve"> </w:instrText>
            </w:r>
            <w:r>
              <w:rPr>
                <w:rFonts w:asciiTheme="minorEastAsia" w:hAnsiTheme="minorEastAsia" w:eastAsiaTheme="minorEastAsia"/>
                <w:bCs/>
                <w:sz w:val="24"/>
              </w:rPr>
              <w:fldChar w:fldCharType="separate"/>
            </w:r>
            <w:r>
              <w:rPr>
                <w:rFonts w:hint="eastAsia" w:asciiTheme="minorEastAsia" w:hAnsiTheme="minorEastAsia" w:eastAsiaTheme="minorEastAsia"/>
                <w:bCs/>
                <w:sz w:val="24"/>
              </w:rPr>
              <w:t>⑤</w:t>
            </w:r>
            <w:r>
              <w:rPr>
                <w:rFonts w:asciiTheme="minorEastAsia" w:hAnsiTheme="minorEastAsia" w:eastAsiaTheme="minorEastAsia"/>
                <w:bCs/>
                <w:sz w:val="24"/>
              </w:rPr>
              <w:fldChar w:fldCharType="end"/>
            </w:r>
            <w:r>
              <w:rPr>
                <w:rFonts w:hint="eastAsia" w:asciiTheme="minorEastAsia" w:hAnsiTheme="minorEastAsia" w:eastAsiaTheme="minorEastAsia"/>
                <w:bCs/>
                <w:sz w:val="24"/>
              </w:rPr>
              <w:t>废机油和废油桶</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各类动力设备维修时</w:t>
            </w:r>
            <w:r>
              <w:rPr>
                <w:rFonts w:asciiTheme="minorEastAsia" w:hAnsiTheme="minorEastAsia" w:eastAsiaTheme="minorEastAsia"/>
                <w:sz w:val="24"/>
              </w:rPr>
              <w:t>会产生</w:t>
            </w:r>
            <w:r>
              <w:rPr>
                <w:rFonts w:hint="eastAsia" w:asciiTheme="minorEastAsia" w:hAnsiTheme="minorEastAsia" w:eastAsiaTheme="minorEastAsia"/>
                <w:bCs/>
                <w:sz w:val="24"/>
              </w:rPr>
              <w:t>废机油</w:t>
            </w:r>
            <w:r>
              <w:rPr>
                <w:rFonts w:asciiTheme="minorEastAsia" w:hAnsiTheme="minorEastAsia" w:eastAsiaTheme="minorEastAsia"/>
                <w:sz w:val="24"/>
              </w:rPr>
              <w:t>。依据企业提供资料，</w:t>
            </w:r>
            <w:r>
              <w:rPr>
                <w:rFonts w:hint="eastAsia" w:asciiTheme="minorEastAsia" w:hAnsiTheme="minorEastAsia" w:eastAsiaTheme="minorEastAsia"/>
                <w:bCs/>
                <w:sz w:val="24"/>
              </w:rPr>
              <w:t>废机油</w:t>
            </w:r>
            <w:r>
              <w:rPr>
                <w:rFonts w:asciiTheme="minorEastAsia" w:hAnsiTheme="minorEastAsia" w:eastAsiaTheme="minorEastAsia"/>
                <w:sz w:val="24"/>
              </w:rPr>
              <w:t>产生量约</w:t>
            </w:r>
            <w:r>
              <w:rPr>
                <w:rFonts w:hint="eastAsia" w:asciiTheme="minorEastAsia" w:hAnsiTheme="minorEastAsia" w:eastAsiaTheme="minorEastAsia"/>
                <w:sz w:val="24"/>
              </w:rPr>
              <w:t>10</w:t>
            </w:r>
            <w:r>
              <w:rPr>
                <w:rFonts w:hint="eastAsia" w:asciiTheme="minorEastAsia" w:hAnsiTheme="minorEastAsia" w:eastAsiaTheme="minorEastAsia"/>
                <w:spacing w:val="-1"/>
                <w:sz w:val="24"/>
              </w:rPr>
              <w:t>kg</w:t>
            </w:r>
            <w:r>
              <w:rPr>
                <w:rFonts w:asciiTheme="minorEastAsia" w:hAnsiTheme="minorEastAsia" w:eastAsiaTheme="minorEastAsia"/>
                <w:sz w:val="24"/>
              </w:rPr>
              <w:t>/a。</w:t>
            </w:r>
            <w:r>
              <w:rPr>
                <w:rFonts w:hint="eastAsia" w:asciiTheme="minorEastAsia" w:hAnsiTheme="minorEastAsia" w:eastAsiaTheme="minorEastAsia"/>
                <w:sz w:val="24"/>
              </w:rPr>
              <w:t>废油桶5个。</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 生活垃圾</w:t>
            </w:r>
          </w:p>
          <w:p>
            <w:pPr>
              <w:spacing w:line="500" w:lineRule="exact"/>
              <w:ind w:firstLine="480" w:firstLineChars="200"/>
              <w:rPr>
                <w:rFonts w:ascii="宋体" w:hAnsi="宋体"/>
                <w:sz w:val="24"/>
              </w:rPr>
            </w:pPr>
            <w:r>
              <w:rPr>
                <w:rFonts w:ascii="宋体" w:hAnsi="宋体"/>
                <w:kern w:val="10"/>
                <w:sz w:val="24"/>
              </w:rPr>
              <w:t>本项目定员6人，生活垃圾产生量按0.5kg/(人·d)计，则生活垃圾的产生量为3kg/d，1.1t/a，</w:t>
            </w:r>
            <w:r>
              <w:rPr>
                <w:rFonts w:hint="eastAsia" w:ascii="宋体" w:hAnsi="宋体"/>
                <w:kern w:val="10"/>
                <w:sz w:val="24"/>
              </w:rPr>
              <w:t>污水处理厂内设</w:t>
            </w:r>
            <w:r>
              <w:rPr>
                <w:rFonts w:ascii="宋体" w:hAnsi="宋体"/>
                <w:sz w:val="24"/>
              </w:rPr>
              <w:t>分类垃圾收集箱</w:t>
            </w:r>
            <w:r>
              <w:rPr>
                <w:rFonts w:hint="eastAsia" w:ascii="宋体" w:hAnsi="宋体"/>
                <w:sz w:val="24"/>
              </w:rPr>
              <w:t>进行收集</w:t>
            </w:r>
            <w:r>
              <w:rPr>
                <w:rFonts w:ascii="宋体" w:hAnsi="宋体"/>
                <w:sz w:val="24"/>
              </w:rPr>
              <w:t>，严禁生活垃圾在厂区内长期堆存，随意丢弃。</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项目固体废物产生情况及处置措施见表</w:t>
            </w:r>
            <w:r>
              <w:rPr>
                <w:rFonts w:hint="eastAsia" w:asciiTheme="minorEastAsia" w:hAnsiTheme="minorEastAsia" w:eastAsiaTheme="minorEastAsia"/>
                <w:bCs/>
                <w:sz w:val="24"/>
              </w:rPr>
              <w:t>4-1</w:t>
            </w:r>
            <w:r>
              <w:rPr>
                <w:rFonts w:asciiTheme="minorEastAsia" w:hAnsiTheme="minorEastAsia" w:eastAsiaTheme="minorEastAsia"/>
                <w:bCs/>
                <w:sz w:val="24"/>
              </w:rPr>
              <w:t>1。</w:t>
            </w:r>
          </w:p>
          <w:p>
            <w:pPr>
              <w:pStyle w:val="98"/>
              <w:ind w:firstLine="200"/>
              <w:rPr>
                <w:rFonts w:asciiTheme="minorEastAsia" w:hAnsiTheme="minorEastAsia" w:eastAsiaTheme="minorEastAsia"/>
                <w:b w:val="0"/>
                <w:bCs/>
                <w:sz w:val="24"/>
              </w:rPr>
            </w:pPr>
            <w:r>
              <w:rPr>
                <w:rFonts w:hint="eastAsia" w:asciiTheme="minorEastAsia" w:hAnsiTheme="minorEastAsia" w:eastAsiaTheme="minorEastAsia"/>
                <w:b w:val="0"/>
                <w:bCs/>
                <w:sz w:val="24"/>
              </w:rPr>
              <w:t>表4-1</w:t>
            </w:r>
            <w:r>
              <w:rPr>
                <w:rFonts w:asciiTheme="minorEastAsia" w:hAnsiTheme="minorEastAsia" w:eastAsiaTheme="minorEastAsia"/>
                <w:b w:val="0"/>
                <w:bCs/>
                <w:sz w:val="24"/>
              </w:rPr>
              <w:t xml:space="preserve">1    </w:t>
            </w:r>
            <w:r>
              <w:rPr>
                <w:rFonts w:hint="eastAsia" w:asciiTheme="minorEastAsia" w:hAnsiTheme="minorEastAsia" w:eastAsiaTheme="minorEastAsia"/>
                <w:b w:val="0"/>
                <w:bCs/>
                <w:sz w:val="24"/>
              </w:rPr>
              <w:t>项目固体废物产生情况及处置措施(单位：</w:t>
            </w:r>
            <w:r>
              <w:rPr>
                <w:rFonts w:asciiTheme="minorEastAsia" w:hAnsiTheme="minorEastAsia" w:eastAsiaTheme="minorEastAsia"/>
                <w:b w:val="0"/>
                <w:bCs/>
                <w:sz w:val="24"/>
              </w:rPr>
              <w:t>t/a</w:t>
            </w:r>
            <w:r>
              <w:rPr>
                <w:rFonts w:hint="eastAsia" w:asciiTheme="minorEastAsia" w:hAnsiTheme="minorEastAsia" w:eastAsiaTheme="minorEastAsia"/>
                <w:b w:val="0"/>
                <w:bCs/>
                <w:sz w:val="24"/>
              </w:rPr>
              <w:t>)</w:t>
            </w:r>
          </w:p>
          <w:tbl>
            <w:tblPr>
              <w:tblStyle w:val="28"/>
              <w:tblW w:w="5000" w:type="pct"/>
              <w:jc w:val="center"/>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013"/>
              <w:gridCol w:w="987"/>
              <w:gridCol w:w="1271"/>
              <w:gridCol w:w="781"/>
              <w:gridCol w:w="1187"/>
              <w:gridCol w:w="1207"/>
              <w:gridCol w:w="1036"/>
              <w:gridCol w:w="795"/>
            </w:tblGrid>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产污环节</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名称</w:t>
                  </w:r>
                </w:p>
              </w:tc>
              <w:tc>
                <w:tcPr>
                  <w:tcW w:w="768"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属性</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产生量</w:t>
                  </w:r>
                </w:p>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t/a</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废物代码</w:t>
                  </w:r>
                </w:p>
              </w:tc>
              <w:tc>
                <w:tcPr>
                  <w:tcW w:w="729"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贮存方式</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利用处置方式</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处置量</w:t>
                  </w:r>
                  <w:r>
                    <w:rPr>
                      <w:rFonts w:asciiTheme="minorEastAsia" w:hAnsiTheme="minorEastAsia" w:eastAsiaTheme="minorEastAsia"/>
                      <w:spacing w:val="-1"/>
                      <w:sz w:val="18"/>
                      <w:szCs w:val="21"/>
                    </w:rPr>
                    <w:t>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格栅间</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栅渣</w:t>
                  </w:r>
                </w:p>
              </w:tc>
              <w:tc>
                <w:tcPr>
                  <w:tcW w:w="768"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一般工业固体废物</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255.5</w:t>
                  </w:r>
                </w:p>
              </w:tc>
              <w:tc>
                <w:tcPr>
                  <w:tcW w:w="717" w:type="pct"/>
                  <w:vAlign w:val="center"/>
                </w:tcPr>
                <w:p>
                  <w:pPr>
                    <w:spacing w:line="360" w:lineRule="exact"/>
                    <w:jc w:val="center"/>
                    <w:rPr>
                      <w:rFonts w:asciiTheme="minorEastAsia" w:hAnsiTheme="minorEastAsia" w:eastAsiaTheme="minorEastAsia"/>
                      <w:sz w:val="18"/>
                      <w:szCs w:val="21"/>
                    </w:rPr>
                  </w:pPr>
                  <w:r>
                    <w:rPr>
                      <w:rFonts w:asciiTheme="minorEastAsia" w:hAnsiTheme="minorEastAsia" w:eastAsiaTheme="minorEastAsia"/>
                      <w:spacing w:val="-1"/>
                      <w:sz w:val="18"/>
                      <w:szCs w:val="21"/>
                    </w:rPr>
                    <w:t>/</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255.5</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砂水分离间</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沉砂</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16.55</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16.55</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污泥脱水机间</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污泥(含水率60%)</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620.5</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SW07</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124.1</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厂区化验室</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检验废液</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(HW49)</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rPr>
                    <w:t>900-047-08</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lang w:val="zh-CN"/>
                    </w:rPr>
                    <w:t>危废暂存间进行暂存</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z w:val="18"/>
                      <w:szCs w:val="21"/>
                      <w:lang w:val="zh-CN"/>
                    </w:rPr>
                    <w:t>定期由委托有资质的单位进行处置</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各类动力设备</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废机油</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(HW08)</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lang w:val="zh-CN"/>
                    </w:rPr>
                    <w:t>900-214-08</w:t>
                  </w:r>
                </w:p>
              </w:tc>
              <w:tc>
                <w:tcPr>
                  <w:tcW w:w="729" w:type="pct"/>
                  <w:vMerge w:val="continue"/>
                  <w:vAlign w:val="center"/>
                </w:tcPr>
                <w:p>
                  <w:pPr>
                    <w:spacing w:line="360" w:lineRule="exact"/>
                    <w:jc w:val="center"/>
                    <w:rPr>
                      <w:rFonts w:asciiTheme="minorEastAsia" w:hAnsiTheme="minorEastAsia" w:eastAsiaTheme="minorEastAsia"/>
                      <w:sz w:val="18"/>
                      <w:szCs w:val="21"/>
                      <w:lang w:val="zh-CN"/>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z w:val="18"/>
                      <w:szCs w:val="21"/>
                      <w:lang w:val="zh-CN"/>
                    </w:rPr>
                  </w:pP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员工</w:t>
                  </w:r>
                </w:p>
              </w:tc>
              <w:tc>
                <w:tcPr>
                  <w:tcW w:w="59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生活垃圾</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w:t>
                  </w:r>
                  <w:r>
                    <w:rPr>
                      <w:rFonts w:asciiTheme="minorEastAsia" w:hAnsiTheme="minorEastAsia" w:eastAsiaTheme="minorEastAsia"/>
                      <w:sz w:val="18"/>
                      <w:szCs w:val="21"/>
                    </w:rPr>
                    <w:t>-</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pacing w:val="-1"/>
                      <w:sz w:val="18"/>
                      <w:szCs w:val="21"/>
                    </w:rPr>
                    <w:t>/</w:t>
                  </w:r>
                </w:p>
              </w:tc>
              <w:tc>
                <w:tcPr>
                  <w:tcW w:w="729" w:type="pc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综上所述，本项目固体废物按照废物的性质分别进行合理的处置，固废处置</w:t>
            </w:r>
            <w:r>
              <w:rPr>
                <w:rFonts w:asciiTheme="minorEastAsia" w:hAnsiTheme="minorEastAsia" w:eastAsiaTheme="minorEastAsia"/>
                <w:sz w:val="24"/>
              </w:rPr>
              <w:t>率100%</w:t>
            </w:r>
            <w:r>
              <w:rPr>
                <w:rFonts w:hint="eastAsia" w:asciiTheme="minorEastAsia" w:hAnsiTheme="minorEastAsia" w:eastAsiaTheme="minorEastAsia"/>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2、危险废物处置要求</w:t>
            </w:r>
          </w:p>
          <w:p>
            <w:pPr>
              <w:spacing w:line="480" w:lineRule="exact"/>
              <w:ind w:firstLine="422" w:firstLineChars="176"/>
              <w:rPr>
                <w:rFonts w:asciiTheme="minorEastAsia" w:hAnsiTheme="minorEastAsia" w:eastAsiaTheme="minorEastAsia"/>
                <w:kern w:val="10"/>
                <w:sz w:val="24"/>
              </w:rPr>
            </w:pPr>
            <w:r>
              <w:rPr>
                <w:rFonts w:asciiTheme="minorEastAsia" w:hAnsiTheme="minorEastAsia" w:eastAsiaTheme="minorEastAsia"/>
                <w:kern w:val="10"/>
                <w:sz w:val="24"/>
              </w:rPr>
              <w:t>项目运营期产生各种危废有：</w:t>
            </w:r>
            <w:r>
              <w:rPr>
                <w:rFonts w:asciiTheme="minorEastAsia" w:hAnsiTheme="minorEastAsia" w:eastAsiaTheme="minorEastAsia"/>
                <w:sz w:val="24"/>
              </w:rPr>
              <w:t>废机油0.0</w:t>
            </w:r>
            <w:r>
              <w:rPr>
                <w:rFonts w:hint="eastAsia" w:asciiTheme="minorEastAsia" w:hAnsiTheme="minorEastAsia" w:eastAsiaTheme="minorEastAsia"/>
                <w:sz w:val="24"/>
              </w:rPr>
              <w:t>1</w:t>
            </w:r>
            <w:r>
              <w:rPr>
                <w:rFonts w:asciiTheme="minorEastAsia" w:hAnsiTheme="minorEastAsia" w:eastAsiaTheme="minorEastAsia"/>
                <w:sz w:val="24"/>
              </w:rPr>
              <w:t>t/a</w:t>
            </w:r>
            <w:r>
              <w:rPr>
                <w:rFonts w:hint="eastAsia" w:asciiTheme="minorEastAsia" w:hAnsiTheme="minorEastAsia" w:eastAsiaTheme="minorEastAsia"/>
                <w:sz w:val="24"/>
              </w:rPr>
              <w:t>和废油桶5个、实验废液0.1t/a</w:t>
            </w:r>
            <w:r>
              <w:rPr>
                <w:rFonts w:asciiTheme="minorEastAsia" w:hAnsiTheme="minorEastAsia" w:eastAsiaTheme="minorEastAsia"/>
                <w:kern w:val="10"/>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依据《建设项目危险废物环境影响评价指南》要求，将危险废物产生情况见下表：</w:t>
            </w:r>
          </w:p>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w:t>
            </w:r>
            <w:r>
              <w:rPr>
                <w:rFonts w:hint="eastAsia" w:asciiTheme="minorEastAsia" w:hAnsiTheme="minorEastAsia" w:eastAsiaTheme="minorEastAsia"/>
                <w:sz w:val="24"/>
              </w:rPr>
              <w:t>1</w:t>
            </w:r>
            <w:r>
              <w:rPr>
                <w:rFonts w:asciiTheme="minorEastAsia" w:hAnsiTheme="minorEastAsia" w:eastAsiaTheme="minorEastAsia"/>
                <w:sz w:val="24"/>
              </w:rPr>
              <w:t>2    危险废物汇总表</w:t>
            </w:r>
          </w:p>
          <w:tbl>
            <w:tblPr>
              <w:tblStyle w:val="29"/>
              <w:tblW w:w="49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3381"/>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2073"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HW08</w:t>
                  </w:r>
                </w:p>
              </w:tc>
              <w:tc>
                <w:tcPr>
                  <w:tcW w:w="1650"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产生量(吨/年)</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0.0</w:t>
                  </w:r>
                  <w:r>
                    <w:rPr>
                      <w:rFonts w:hint="eastAsia" w:asciiTheme="minorEastAsia" w:hAnsiTheme="minorEastAsia" w:eastAsiaTheme="minorEastAsia"/>
                      <w:szCs w:val="21"/>
                    </w:rPr>
                    <w:t>1</w:t>
                  </w:r>
                  <w:r>
                    <w:rPr>
                      <w:rFonts w:asciiTheme="minorEastAsia" w:hAnsiTheme="minorEastAsia" w:eastAsiaTheme="minorEastAsia"/>
                      <w:szCs w:val="21"/>
                    </w:rPr>
                    <w:t>t/a</w:t>
                  </w:r>
                  <w:r>
                    <w:rPr>
                      <w:rFonts w:hint="eastAsia" w:asciiTheme="minorEastAsia" w:hAnsiTheme="minorEastAsia" w:eastAsiaTheme="minorEastAsia"/>
                      <w:szCs w:val="21"/>
                    </w:rPr>
                    <w:t>，5个</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产生工序及装置</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生产工艺及设备养护</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形态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半固态</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主要成分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废矿物油</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实验废物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有害成分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油污</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产废周期</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30天</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危险特性</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topLinePunct/>
                    <w:adjustRightInd w:val="0"/>
                    <w:snapToGrid w:val="0"/>
                    <w:spacing w:line="400" w:lineRule="exact"/>
                    <w:rPr>
                      <w:rFonts w:asciiTheme="minorEastAsia" w:hAnsiTheme="minorEastAsia" w:eastAsiaTheme="minorEastAsia"/>
                      <w:szCs w:val="21"/>
                    </w:rPr>
                  </w:pPr>
                  <w:r>
                    <w:rPr>
                      <w:rFonts w:asciiTheme="minorEastAsia" w:hAnsiTheme="minorEastAsia" w:eastAsiaTheme="minorEastAsia"/>
                      <w:szCs w:val="21"/>
                    </w:rPr>
                    <w:t>污染防治措施</w:t>
                  </w:r>
                </w:p>
              </w:tc>
              <w:tc>
                <w:tcPr>
                  <w:tcW w:w="3723" w:type="pct"/>
                  <w:gridSpan w:val="2"/>
                  <w:vAlign w:val="center"/>
                </w:tcPr>
                <w:p>
                  <w:pPr>
                    <w:spacing w:line="400" w:lineRule="exact"/>
                    <w:rPr>
                      <w:rFonts w:asciiTheme="minorEastAsia" w:hAnsiTheme="minorEastAsia" w:eastAsiaTheme="minorEastAsia"/>
                      <w:szCs w:val="21"/>
                    </w:rPr>
                  </w:pPr>
                  <w:r>
                    <w:rPr>
                      <w:rFonts w:asciiTheme="minorEastAsia" w:hAnsiTheme="minorEastAsia" w:eastAsiaTheme="minorEastAsia"/>
                      <w:szCs w:val="21"/>
                    </w:rPr>
                    <w:t>暂存于厂区危废间内，面积10m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，分类分区存放，内设高密度聚乙烯塑料桶收集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bCs/>
                      <w:kern w:val="10"/>
                      <w:szCs w:val="21"/>
                    </w:rPr>
                    <w:t>有资质的单位回收处理。</w:t>
                  </w:r>
                </w:p>
              </w:tc>
            </w:tr>
          </w:tbl>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表4-13    建设项目危险废物贮存场所(设施)基本情况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323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贮存场所(设施)名称</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HW08 废矿物油与含矿物油废物</w:t>
                  </w:r>
                </w:p>
              </w:tc>
              <w:tc>
                <w:tcPr>
                  <w:tcW w:w="1521"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r>
                    <w:rPr>
                      <w:rFonts w:asciiTheme="minorEastAsia" w:hAnsiTheme="minorEastAsia" w:eastAsiaTheme="minorEastAsia"/>
                      <w:szCs w:val="21"/>
                    </w:rPr>
                    <w:t xml:space="preserve"> </w:t>
                  </w:r>
                  <w:r>
                    <w:rPr>
                      <w:rFonts w:hint="eastAsia" w:asciiTheme="minorEastAsia" w:hAnsiTheme="minorEastAsia" w:eastAsiaTheme="minorEastAsia"/>
                      <w:szCs w:val="21"/>
                    </w:rPr>
                    <w:t>其他废物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位置</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暂存于</w:t>
                  </w:r>
                  <w:r>
                    <w:rPr>
                      <w:rFonts w:asciiTheme="minorEastAsia" w:hAnsiTheme="minorEastAsia" w:eastAsiaTheme="minorEastAsia"/>
                    </w:rPr>
                    <w:t>危废间</w:t>
                  </w:r>
                  <w:r>
                    <w:rPr>
                      <w:rFonts w:asciiTheme="minorEastAsia" w:hAnsiTheme="minorEastAsia" w:eastAsiaTheme="minorEastAsia"/>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占地面积</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r>
                    <w:rPr>
                      <w:rFonts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贮存方式</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贮存能力</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贮存周期</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r>
          </w:tbl>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危险废物分类收集，用专用的废空桶收集，暂存于危废暂存库，并做好记录，随后委托有资质的单位进行回收处置。</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pPr>
              <w:spacing w:line="460" w:lineRule="exact"/>
              <w:ind w:firstLine="480" w:firstLineChars="200"/>
              <w:rPr>
                <w:rFonts w:asciiTheme="minorEastAsia" w:hAnsiTheme="minorEastAsia" w:eastAsiaTheme="minorEastAsia"/>
                <w:kern w:val="10"/>
                <w:sz w:val="24"/>
                <w:szCs w:val="21"/>
              </w:rPr>
            </w:pPr>
            <w:r>
              <w:rPr>
                <w:rFonts w:asciiTheme="minorEastAsia" w:hAnsiTheme="minorEastAsia" w:eastAsiaTheme="minorEastAsia"/>
                <w:sz w:val="24"/>
              </w:rPr>
              <w:t>评价要求企业按照《危险废物贮存污染控制标准》(GB18597-2001)及其修改单的相关要求完善危险废物暂存间内部工程：</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1)评价要求危废暂存库应按照《危险废物贮存污染控制标准》(GB18597-2001)及其修改单(2013年)中的相关规定设计、建设，具体要求如下：</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(1)危险废物暂存库地面与围墙要用坚固防渗的材料建造，同时设有隔离、防风、防晒、防雨设施。</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(2)建议用高密度聚乙烯塑料桶盛装废机油，装载液体、半固体危险废物的容器顶部与液体表面之间留有100mm以上的空间。</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(4)贮存设施外建设径流(雨水)疏导系统，保证能防止25年一遇的暴雨不流到危险废物堆中。</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(5)暂存库要设置明显的贮存危险废物种类标志和警告标志；</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(6)暂存库周围要设置围墙或防护栅栏，避免他人进入。</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2)评价提出对危险废物暂存库的管理要求如下：</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(1)危险废物贮存容器</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应当使用符合标准的容器盛装危险废物；</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装载危险废物的容器及材质要满足相应的强度要求；</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装载危险废物的容器必须完好无损；</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装载危险废物的容器材质和衬里要与危险废物相容(不相互反应)；</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液体危险废物可注入开孔直径不超过70mm并有放气孔的桶中；</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无法装入常用容器的危险废物可用防漏胶袋等盛装。</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(2)危险废物暂存仓的设计原则</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地面与裙角要用坚固、防渗的材料建造，建筑材料必须与危险废物相容；</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必须有泄露液体收集装置；</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设施内要有安全照明设施和观察窗口；</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用以存放装载液体、半固态危险废物容器的地方，必有耐腐蚀的硬化地面，且表面无裂缝；</w:t>
            </w:r>
          </w:p>
          <w:p>
            <w:pPr>
              <w:autoSpaceDE w:val="0"/>
              <w:autoSpaceDN w:val="0"/>
              <w:spacing w:line="460" w:lineRule="exact"/>
              <w:ind w:firstLine="328" w:firstLineChars="137"/>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应设计堵截泄露的裙脚，地面与裙脚所围建的容积不低于堵截最大容器的最大储量或总量的1/5；</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不相容的危险废物必须分开存放，并设有隔离间隔断。</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3)危险废物的堆放</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堆放危险废物的高度应根据地面承载能力确定；</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贮存设施内应有危险废物要放入符合标准的容器内，加上标签；</w:t>
            </w:r>
          </w:p>
          <w:p>
            <w:pPr>
              <w:autoSpaceDE w:val="0"/>
              <w:autoSpaceDN w:val="0"/>
              <w:spacing w:line="46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贮存设施应封闭，贮存具备“四防”要求(防风、防雨、防晒、防渗透)。</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严格按照《危险废物贮存污染控制标准》(GB18597-2001)执行。</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4)废物的转运</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废物应及时转运，废物的转运过程中应装入高密度聚乙烯袋子并封闭，以防散落，转运车辆应加盖蓬布，以防散入路面。</w:t>
            </w:r>
          </w:p>
          <w:p>
            <w:pPr>
              <w:autoSpaceDE w:val="0"/>
              <w:autoSpaceDN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按照《危险废物贮存污染控制标准》(GB18597-2001)及其修改单(2013年)中要求建设厂内危险废物暂存点，可以使危险废物实现减量化和无害化处理，避免其对环境的影响和破坏。</w:t>
            </w:r>
          </w:p>
          <w:p>
            <w:pPr>
              <w:autoSpaceDE w:val="0"/>
              <w:autoSpaceDN w:val="0"/>
              <w:spacing w:line="460" w:lineRule="exact"/>
              <w:ind w:firstLine="480" w:firstLineChars="200"/>
              <w:rPr>
                <w:rFonts w:cs="宋体" w:asciiTheme="minorEastAsia" w:hAnsiTheme="minorEastAsia" w:eastAsiaTheme="minorEastAsia"/>
                <w:b/>
                <w:bCs/>
                <w:spacing w:val="-10"/>
                <w:sz w:val="24"/>
              </w:rPr>
            </w:pPr>
            <w:r>
              <w:rPr>
                <w:rFonts w:asciiTheme="minorEastAsia" w:hAnsiTheme="minorEastAsia" w:eastAsiaTheme="minorEastAsia"/>
                <w:sz w:val="24"/>
              </w:rPr>
              <w:t>六</w:t>
            </w:r>
            <w:r>
              <w:rPr>
                <w:rFonts w:hint="eastAsia" w:cs="宋体" w:asciiTheme="minorEastAsia" w:hAnsiTheme="minorEastAsia" w:eastAsiaTheme="minorEastAsia"/>
                <w:b/>
                <w:bCs/>
                <w:spacing w:val="-10"/>
                <w:sz w:val="24"/>
              </w:rPr>
              <w:t>、地下水</w:t>
            </w:r>
          </w:p>
          <w:p>
            <w:pPr>
              <w:adjustRightInd w:val="0"/>
              <w:snapToGrid w:val="0"/>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、地下水污染途径分析</w:t>
            </w:r>
          </w:p>
          <w:p>
            <w:pPr>
              <w:adjustRightInd w:val="0"/>
              <w:snapToGrid w:val="0"/>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根据本项目运营特征，结合工程分析内容，对地下水可能的污染途径：</w:t>
            </w:r>
          </w:p>
          <w:p>
            <w:pPr>
              <w:adjustRightInd w:val="0"/>
              <w:snapToGrid w:val="0"/>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本项目污水处理厂在运行过程中，厂内的粗格栅池、提升泵池、细格栅池、生物反应池、污泥浓缩池、污泥脱水间及废水管线等</w:t>
            </w:r>
            <w:r>
              <w:rPr>
                <w:rFonts w:hint="eastAsia" w:asciiTheme="minorEastAsia" w:hAnsiTheme="minorEastAsia" w:eastAsiaTheme="minorEastAsia"/>
                <w:spacing w:val="4"/>
                <w:sz w:val="24"/>
              </w:rPr>
              <w:t>各个构筑物</w:t>
            </w:r>
            <w:r>
              <w:rPr>
                <w:rFonts w:hint="eastAsia" w:asciiTheme="minorEastAsia" w:hAnsiTheme="minorEastAsia" w:eastAsiaTheme="minorEastAsia"/>
                <w:sz w:val="24"/>
              </w:rPr>
              <w:t>可能</w:t>
            </w:r>
            <w:r>
              <w:rPr>
                <w:rFonts w:hint="eastAsia" w:asciiTheme="minorEastAsia" w:hAnsiTheme="minorEastAsia" w:eastAsiaTheme="minorEastAsia"/>
                <w:spacing w:val="4"/>
                <w:sz w:val="24"/>
              </w:rPr>
              <w:t>产生渗漏</w:t>
            </w:r>
            <w:r>
              <w:rPr>
                <w:rFonts w:hint="eastAsia" w:asciiTheme="minorEastAsia" w:hAnsiTheme="minorEastAsia" w:eastAsiaTheme="minorEastAsia"/>
                <w:sz w:val="24"/>
              </w:rPr>
              <w:t>而污染地下水。其污染物</w:t>
            </w:r>
            <w:r>
              <w:rPr>
                <w:rFonts w:asciiTheme="minorEastAsia" w:hAnsiTheme="minorEastAsia" w:eastAsiaTheme="minorEastAsia"/>
                <w:sz w:val="24"/>
              </w:rPr>
              <w:t>主要为COD、氨氮、BOD、TN、TP等</w:t>
            </w:r>
            <w:r>
              <w:rPr>
                <w:rFonts w:hint="eastAsia" w:asciiTheme="minorEastAsia" w:hAnsiTheme="minorEastAsia" w:eastAsiaTheme="minorEastAsia"/>
                <w:sz w:val="24"/>
              </w:rPr>
              <w:t>。</w:t>
            </w:r>
          </w:p>
          <w:p>
            <w:pPr>
              <w:keepNext/>
              <w:keepLines/>
              <w:spacing w:line="460" w:lineRule="exact"/>
              <w:ind w:firstLine="440" w:firstLineChars="200"/>
              <w:rPr>
                <w:rFonts w:asciiTheme="minorEastAsia" w:hAnsiTheme="minorEastAsia" w:eastAsiaTheme="minorEastAsia"/>
                <w:bCs/>
                <w:sz w:val="24"/>
              </w:rPr>
            </w:pPr>
            <w:r>
              <w:rPr>
                <w:rFonts w:cs="宋体" w:asciiTheme="minorEastAsia" w:hAnsiTheme="minorEastAsia" w:eastAsiaTheme="minorEastAsia"/>
                <w:bCs/>
                <w:spacing w:val="-10"/>
                <w:sz w:val="24"/>
              </w:rPr>
              <w:t>2</w:t>
            </w:r>
            <w:r>
              <w:rPr>
                <w:rFonts w:hint="eastAsia" w:cs="宋体" w:asciiTheme="minorEastAsia" w:hAnsiTheme="minorEastAsia" w:eastAsiaTheme="minorEastAsia"/>
                <w:bCs/>
                <w:spacing w:val="-10"/>
                <w:sz w:val="24"/>
              </w:rPr>
              <w:t>、保护</w:t>
            </w:r>
            <w:r>
              <w:rPr>
                <w:rFonts w:hint="eastAsia" w:asciiTheme="minorEastAsia" w:hAnsiTheme="minorEastAsia" w:eastAsiaTheme="minorEastAsia"/>
                <w:bCs/>
                <w:sz w:val="24"/>
              </w:rPr>
              <w:t>措施</w:t>
            </w:r>
          </w:p>
          <w:p>
            <w:pPr>
              <w:spacing w:line="46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本项目地下水污染防治措施按照</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源头控制、分区防治、污染监控、应急响应</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相结合的原则，从污染物的产生、入渗、扩散、应急响应全方位进行控制。</w:t>
            </w:r>
          </w:p>
          <w:p>
            <w:pPr>
              <w:spacing w:line="46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1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①</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污染源控制措施</w:t>
            </w:r>
          </w:p>
          <w:p>
            <w:pPr>
              <w:pStyle w:val="8"/>
              <w:spacing w:line="460" w:lineRule="exact"/>
              <w:ind w:firstLine="480"/>
              <w:rPr>
                <w:rFonts w:asciiTheme="minorEastAsia" w:hAnsiTheme="minorEastAsia" w:eastAsiaTheme="minorEastAsia"/>
                <w:sz w:val="24"/>
              </w:rPr>
            </w:pPr>
            <w:r>
              <w:rPr>
                <w:rFonts w:hint="eastAsia" w:asciiTheme="minorEastAsia" w:hAnsiTheme="minorEastAsia" w:eastAsiaTheme="minorEastAsia"/>
                <w:sz w:val="24"/>
              </w:rPr>
              <w:t>项目严格按照国家相关规范要求，对工艺、管道、设备、污水储存及处理构筑物采取相应的措施，以防止和降低可能污染物的跑、冒、滴、漏，将废水泄漏的环境风险事故降低到最低程度。项目运行后，企业制定和实施相应的监管措施，每周巡视各个污水处理池及排污管线是否正常运转，有无破损情况，做到污染物“早发现、早处理”。</w:t>
            </w:r>
          </w:p>
          <w:p>
            <w:pPr>
              <w:spacing w:line="46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2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②</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厂区防渗分区及要求</w:t>
            </w:r>
          </w:p>
          <w:p>
            <w:pPr>
              <w:spacing w:line="46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对厂区可能泄漏污染物的污染区地面进行防渗处理，并及时地将泄漏</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渗漏的污染物收集起来进行处理，可有效防治洒落地面的污染物渗入地下。</w:t>
            </w:r>
          </w:p>
          <w:p>
            <w:pPr>
              <w:spacing w:line="460" w:lineRule="exact"/>
              <w:ind w:firstLine="496" w:firstLineChars="200"/>
              <w:rPr>
                <w:rFonts w:asciiTheme="minorEastAsia" w:hAnsiTheme="minorEastAsia" w:eastAsiaTheme="minorEastAsia"/>
              </w:rPr>
            </w:pPr>
            <w:r>
              <w:rPr>
                <w:rFonts w:hint="eastAsia" w:asciiTheme="minorEastAsia" w:hAnsiTheme="minorEastAsia" w:eastAsiaTheme="minorEastAsia"/>
                <w:spacing w:val="4"/>
                <w:sz w:val="24"/>
              </w:rPr>
              <w:t>根据防渗参照的标准和规范，结合目前施工过程中的可操作性和技术水平，</w:t>
            </w:r>
            <w:r>
              <w:rPr>
                <w:bCs/>
                <w:sz w:val="24"/>
                <w:szCs w:val="22"/>
              </w:rPr>
              <w:t>本项目区域防渗划分及要求见表</w:t>
            </w:r>
            <w:r>
              <w:rPr>
                <w:rFonts w:hint="eastAsia" w:asciiTheme="minorEastAsia" w:hAnsiTheme="minorEastAsia" w:eastAsiaTheme="minorEastAsia"/>
                <w:bCs/>
                <w:sz w:val="24"/>
                <w:szCs w:val="22"/>
              </w:rPr>
              <w:t>4-</w:t>
            </w:r>
            <w:r>
              <w:rPr>
                <w:rFonts w:asciiTheme="minorEastAsia" w:hAnsiTheme="minorEastAsia" w:eastAsiaTheme="minorEastAsia"/>
                <w:bCs/>
                <w:sz w:val="24"/>
                <w:szCs w:val="22"/>
              </w:rPr>
              <w:t>14。</w:t>
            </w:r>
          </w:p>
          <w:p>
            <w:pPr>
              <w:spacing w:line="460" w:lineRule="exact"/>
              <w:ind w:firstLine="720" w:firstLineChars="300"/>
              <w:jc w:val="center"/>
              <w:rPr>
                <w:rFonts w:asciiTheme="minorEastAsia" w:hAnsiTheme="minorEastAsia" w:eastAsiaTheme="minorEastAsia"/>
                <w:sz w:val="24"/>
                <w:szCs w:val="22"/>
              </w:rPr>
            </w:pPr>
            <w:r>
              <w:rPr>
                <w:rFonts w:asciiTheme="minorEastAsia" w:hAnsiTheme="minorEastAsia" w:eastAsiaTheme="minorEastAsia"/>
                <w:sz w:val="24"/>
                <w:szCs w:val="22"/>
              </w:rPr>
              <w:t>表</w:t>
            </w:r>
            <w:r>
              <w:rPr>
                <w:rFonts w:hint="eastAsia" w:asciiTheme="minorEastAsia" w:hAnsiTheme="minorEastAsia" w:eastAsiaTheme="minorEastAsia"/>
                <w:sz w:val="24"/>
                <w:szCs w:val="22"/>
              </w:rPr>
              <w:t>4-</w:t>
            </w:r>
            <w:r>
              <w:rPr>
                <w:rFonts w:asciiTheme="minorEastAsia" w:hAnsiTheme="minorEastAsia" w:eastAsiaTheme="minorEastAsia"/>
                <w:sz w:val="24"/>
                <w:szCs w:val="22"/>
              </w:rPr>
              <w:t xml:space="preserve">14  </w:t>
            </w: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 xml:space="preserve"> 本项目区域防渗划分及要求表</w:t>
            </w:r>
          </w:p>
          <w:tbl>
            <w:tblPr>
              <w:tblStyle w:val="28"/>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410"/>
              <w:gridCol w:w="1418"/>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序号</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场地</w:t>
                  </w:r>
                </w:p>
              </w:tc>
              <w:tc>
                <w:tcPr>
                  <w:tcW w:w="1418"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防渗分区</w:t>
                  </w:r>
                </w:p>
              </w:tc>
              <w:tc>
                <w:tcPr>
                  <w:tcW w:w="3415"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1</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生物反应池、混合反应池、污泥浓缩池</w:t>
                  </w:r>
                  <w:r>
                    <w:rPr>
                      <w:rFonts w:hint="eastAsia" w:asciiTheme="minorEastAsia" w:hAnsiTheme="minorEastAsia" w:eastAsiaTheme="minorEastAsia"/>
                      <w:szCs w:val="21"/>
                    </w:rPr>
                    <w:t>污泥脱水间</w:t>
                  </w:r>
                  <w:r>
                    <w:rPr>
                      <w:rFonts w:asciiTheme="minorEastAsia" w:hAnsiTheme="minorEastAsia" w:eastAsiaTheme="minorEastAsia"/>
                      <w:szCs w:val="21"/>
                    </w:rPr>
                    <w:t>及废水管线</w:t>
                  </w:r>
                </w:p>
              </w:tc>
              <w:tc>
                <w:tcPr>
                  <w:tcW w:w="1418"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重点防渗区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防渗层的防渗性能应等效于6.0m厚渗透系数为1.0×10</w:t>
                  </w:r>
                  <w:r>
                    <w:rPr>
                      <w:rFonts w:hint="eastAsia" w:asciiTheme="minorEastAsia" w:hAnsiTheme="minorEastAsia" w:eastAsiaTheme="minorEastAsia"/>
                      <w:sz w:val="21"/>
                      <w:szCs w:val="21"/>
                      <w:vertAlign w:val="superscript"/>
                    </w:rPr>
                    <w:t>-7</w:t>
                  </w:r>
                  <w:r>
                    <w:rPr>
                      <w:rFonts w:hint="eastAsia" w:asciiTheme="minorEastAsia" w:hAnsiTheme="minorEastAsia" w:eastAsiaTheme="minorEastAsia"/>
                      <w:sz w:val="21"/>
                      <w:szCs w:val="21"/>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2</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药品库、提升泵房及办公楼</w:t>
                  </w:r>
                </w:p>
              </w:tc>
              <w:tc>
                <w:tcPr>
                  <w:tcW w:w="1418"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一般防渗区</w:t>
                  </w:r>
                </w:p>
              </w:tc>
              <w:tc>
                <w:tcPr>
                  <w:tcW w:w="3415"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等效黏土防渗层Mb≥1.5m，K≤1×10</w:t>
                  </w:r>
                  <w:r>
                    <w:rPr>
                      <w:rFonts w:asciiTheme="minorEastAsia" w:hAnsiTheme="minorEastAsia" w:eastAsiaTheme="minorEastAsia"/>
                      <w:sz w:val="21"/>
                      <w:szCs w:val="21"/>
                      <w:vertAlign w:val="superscript"/>
                    </w:rPr>
                    <w:t>-7</w:t>
                  </w:r>
                  <w:r>
                    <w:rPr>
                      <w:rFonts w:asciiTheme="minorEastAsia" w:hAnsiTheme="minorEastAsia" w:eastAsiaTheme="minorEastAsia"/>
                      <w:sz w:val="21"/>
                      <w:szCs w:val="21"/>
                    </w:rPr>
                    <w:t>cm/s；或参照GB16889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410" w:type="dxa"/>
                  <w:vAlign w:val="center"/>
                </w:tcPr>
                <w:p>
                  <w:pPr>
                    <w:pStyle w:val="45"/>
                    <w:tabs>
                      <w:tab w:val="left" w:pos="0"/>
                      <w:tab w:val="left" w:pos="1841"/>
                    </w:tabs>
                    <w:adjustRightInd/>
                    <w:snapToGrid/>
                    <w:spacing w:beforeLines="0" w:afterLines="0" w:line="360" w:lineRule="exact"/>
                    <w:rPr>
                      <w:rFonts w:asciiTheme="minorEastAsia" w:hAnsiTheme="minorEastAsia" w:eastAsiaTheme="minorEastAsia"/>
                      <w:szCs w:val="21"/>
                    </w:rPr>
                  </w:pPr>
                  <w:r>
                    <w:rPr>
                      <w:rFonts w:asciiTheme="minorEastAsia" w:hAnsiTheme="minorEastAsia" w:eastAsiaTheme="minorEastAsia"/>
                      <w:spacing w:val="4"/>
                      <w:szCs w:val="21"/>
                    </w:rPr>
                    <w:t>厂区道路</w:t>
                  </w:r>
                </w:p>
              </w:tc>
              <w:tc>
                <w:tcPr>
                  <w:tcW w:w="141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kern w:val="0"/>
                      <w:szCs w:val="21"/>
                    </w:rPr>
                    <w:t>简单</w:t>
                  </w:r>
                  <w:r>
                    <w:rPr>
                      <w:rFonts w:asciiTheme="minorEastAsia" w:hAnsiTheme="minorEastAsia" w:eastAsiaTheme="minorEastAsia"/>
                      <w:kern w:val="0"/>
                      <w:szCs w:val="21"/>
                    </w:rPr>
                    <w:t>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kern w:val="0"/>
                      <w:sz w:val="21"/>
                      <w:szCs w:val="21"/>
                    </w:rPr>
                    <w:t>水泥</w:t>
                  </w:r>
                  <w:r>
                    <w:rPr>
                      <w:rFonts w:asciiTheme="minorEastAsia" w:hAnsiTheme="minorEastAsia" w:eastAsiaTheme="minorEastAsia"/>
                      <w:kern w:val="0"/>
                      <w:sz w:val="21"/>
                      <w:szCs w:val="21"/>
                    </w:rPr>
                    <w:t>硬化</w:t>
                  </w:r>
                </w:p>
              </w:tc>
            </w:tr>
          </w:tbl>
          <w:p>
            <w:pPr>
              <w:spacing w:line="48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污水处理厂各个构筑物需按照防渗要求进行建设，各排水和水处理设施在运行期间应加强管理，定期进行检修维护，发现问题及时解决，保证各水工建构筑设施正常运行，地下水污染</w:t>
            </w:r>
            <w:r>
              <w:rPr>
                <w:rFonts w:hint="eastAsia" w:asciiTheme="minorEastAsia" w:hAnsiTheme="minorEastAsia" w:eastAsiaTheme="minorEastAsia"/>
                <w:spacing w:val="4"/>
                <w:sz w:val="24"/>
              </w:rPr>
              <w:t>较小</w:t>
            </w:r>
            <w:r>
              <w:rPr>
                <w:rFonts w:asciiTheme="minorEastAsia" w:hAnsiTheme="minorEastAsia" w:eastAsiaTheme="minorEastAsia"/>
                <w:spacing w:val="4"/>
                <w:sz w:val="24"/>
              </w:rPr>
              <w:t>。</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bCs/>
                <w:snapToGrid w:val="0"/>
                <w:sz w:val="24"/>
              </w:rPr>
              <w:t>监测计划</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依据《排污单位自行监测技术指南水处理》</w:t>
            </w:r>
            <w:r>
              <w:rPr>
                <w:rFonts w:asciiTheme="minorEastAsia" w:hAnsiTheme="minorEastAsia" w:eastAsiaTheme="minorEastAsia"/>
                <w:sz w:val="24"/>
              </w:rPr>
              <w:t>(HJ1083-2020)中规定，</w:t>
            </w:r>
            <w:r>
              <w:rPr>
                <w:rFonts w:hint="eastAsia" w:asciiTheme="minorEastAsia" w:hAnsiTheme="minorEastAsia" w:eastAsiaTheme="minorEastAsia"/>
                <w:sz w:val="24"/>
              </w:rPr>
              <w:t>本项目污水处理厂设计处理能力为</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/d，本项目</w:t>
            </w:r>
            <w:r>
              <w:rPr>
                <w:rFonts w:hint="eastAsia" w:asciiTheme="minorEastAsia" w:hAnsiTheme="minorEastAsia" w:eastAsiaTheme="minorEastAsia"/>
                <w:sz w:val="24"/>
              </w:rPr>
              <w:t>废水排放监测情况见下表：</w:t>
            </w:r>
          </w:p>
          <w:p>
            <w:pPr>
              <w:spacing w:line="500" w:lineRule="exact"/>
              <w:rPr>
                <w:rFonts w:asciiTheme="minorEastAsia" w:hAnsiTheme="minorEastAsia" w:eastAsiaTheme="minorEastAsia"/>
                <w:sz w:val="24"/>
              </w:rPr>
            </w:pPr>
          </w:p>
          <w:p>
            <w:pPr>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 xml:space="preserve">表4-15    </w:t>
            </w:r>
            <w:r>
              <w:rPr>
                <w:rFonts w:hint="eastAsia" w:asciiTheme="minorEastAsia" w:hAnsiTheme="minorEastAsia" w:eastAsiaTheme="minorEastAsia"/>
                <w:sz w:val="24"/>
              </w:rPr>
              <w:t>城镇污水处理厂废水排放监测指标及监测频次</w:t>
            </w:r>
            <w:r>
              <w:rPr>
                <w:rFonts w:asciiTheme="minorEastAsia" w:hAnsiTheme="minorEastAsia" w:eastAsiaTheme="minorEastAsia"/>
                <w:sz w:val="24"/>
              </w:rPr>
              <w:t>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4641"/>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78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监测点位</w:t>
                  </w: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监测指标</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pct"/>
                  <w:vMerge w:val="restart"/>
                </w:tcPr>
                <w:p>
                  <w:pPr>
                    <w:spacing w:line="500" w:lineRule="exact"/>
                    <w:jc w:val="center"/>
                    <w:rPr>
                      <w:rFonts w:asciiTheme="minorEastAsia" w:hAnsiTheme="minorEastAsia" w:eastAsiaTheme="minorEastAsia"/>
                      <w:sz w:val="24"/>
                    </w:rPr>
                  </w:pPr>
                  <w:r>
                    <w:rPr>
                      <w:rFonts w:hint="eastAsia" w:asciiTheme="minorEastAsia" w:hAnsiTheme="minorEastAsia" w:eastAsiaTheme="minorEastAsia"/>
                    </w:rPr>
                    <w:t>废水排放总排放口</w:t>
                  </w: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流量、</w:t>
                  </w:r>
                  <w:r>
                    <w:rPr>
                      <w:rFonts w:asciiTheme="minorEastAsia" w:hAnsiTheme="minorEastAsia" w:eastAsiaTheme="minorEastAsia"/>
                    </w:rPr>
                    <w:t>pH</w:t>
                  </w:r>
                  <w:r>
                    <w:rPr>
                      <w:rFonts w:hint="eastAsia" w:asciiTheme="minorEastAsia" w:hAnsiTheme="minorEastAsia" w:eastAsiaTheme="minorEastAsia"/>
                    </w:rPr>
                    <w:t>值、水温、化学需氧量、氨氮、总磷、总氮</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785" w:type="pct"/>
                  <w:vMerge w:val="continue"/>
                </w:tcPr>
                <w:p>
                  <w:pPr>
                    <w:spacing w:line="500" w:lineRule="exact"/>
                    <w:jc w:val="center"/>
                    <w:rPr>
                      <w:rFonts w:asciiTheme="minorEastAsia" w:hAnsiTheme="minorEastAsia" w:eastAsiaTheme="minorEastAsia"/>
                      <w:sz w:val="24"/>
                    </w:rPr>
                  </w:pP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悬浮物、色度、五日生化需氧量、动植物油、石油类、阴离子表面活性剂、粪大肠菌群数</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每季</w:t>
                  </w:r>
                  <w:r>
                    <w:rPr>
                      <w:rFonts w:asciiTheme="minorEastAsia" w:hAnsiTheme="minorEastAsia" w:eastAsiaTheme="minorEastAsia"/>
                    </w:rPr>
                    <w:t>/1</w:t>
                  </w:r>
                  <w:r>
                    <w:rPr>
                      <w:rFonts w:hint="eastAsia" w:asciiTheme="minorEastAsia" w:hAnsiTheme="minorEastAsia" w:eastAsiaTheme="minorEastAsia"/>
                    </w:rPr>
                    <w:t>次</w:t>
                  </w:r>
                </w:p>
              </w:tc>
            </w:tr>
          </w:tbl>
          <w:p>
            <w:pPr>
              <w:adjustRightInd w:val="0"/>
              <w:snapToGrid w:val="0"/>
              <w:spacing w:line="500" w:lineRule="exact"/>
              <w:ind w:firstLine="480" w:firstLineChars="200"/>
              <w:rPr>
                <w:rFonts w:cs="宋体" w:asciiTheme="minorEastAsia" w:hAnsiTheme="minorEastAsia" w:eastAsiaTheme="minorEastAsia"/>
                <w:b/>
                <w:bCs/>
                <w:spacing w:val="-10"/>
                <w:sz w:val="24"/>
                <w:szCs w:val="21"/>
              </w:rPr>
            </w:pPr>
            <w:r>
              <w:rPr>
                <w:rFonts w:hint="eastAsia" w:asciiTheme="minorEastAsia" w:hAnsiTheme="minorEastAsia" w:eastAsiaTheme="minorEastAsia"/>
                <w:sz w:val="24"/>
                <w:szCs w:val="21"/>
              </w:rPr>
              <w:t>七</w:t>
            </w:r>
            <w:r>
              <w:rPr>
                <w:rFonts w:hint="eastAsia" w:cs="宋体" w:asciiTheme="minorEastAsia" w:hAnsiTheme="minorEastAsia" w:eastAsiaTheme="minorEastAsia"/>
                <w:b/>
                <w:bCs/>
                <w:spacing w:val="-10"/>
                <w:sz w:val="24"/>
                <w:szCs w:val="21"/>
              </w:rPr>
              <w:t>、环境风险</w:t>
            </w:r>
          </w:p>
          <w:p>
            <w:pPr>
              <w:adjustRightInd w:val="0"/>
              <w:spacing w:line="500" w:lineRule="exact"/>
              <w:ind w:firstLine="496" w:firstLineChars="200"/>
              <w:textAlignment w:val="baseline"/>
              <w:rPr>
                <w:rFonts w:asciiTheme="minorEastAsia" w:hAnsiTheme="minorEastAsia" w:eastAsiaTheme="minorEastAsia"/>
                <w:sz w:val="24"/>
                <w:szCs w:val="21"/>
                <w:lang w:val="zh-CN"/>
              </w:rPr>
            </w:pPr>
            <w:r>
              <w:rPr>
                <w:rFonts w:hint="eastAsia" w:asciiTheme="minorEastAsia" w:hAnsiTheme="minorEastAsia" w:eastAsiaTheme="minorEastAsia"/>
                <w:spacing w:val="4"/>
                <w:sz w:val="24"/>
                <w:szCs w:val="21"/>
              </w:rPr>
              <w:t>1、</w:t>
            </w:r>
            <w:r>
              <w:rPr>
                <w:rFonts w:hint="eastAsia" w:asciiTheme="minorEastAsia" w:hAnsiTheme="minorEastAsia" w:eastAsiaTheme="minorEastAsia"/>
                <w:sz w:val="24"/>
                <w:szCs w:val="21"/>
                <w:lang w:val="zh-CN"/>
              </w:rPr>
              <w:t>环境风险物质识别及分布</w:t>
            </w:r>
          </w:p>
          <w:p>
            <w:pPr>
              <w:adjustRightInd w:val="0"/>
              <w:snapToGrid w:val="0"/>
              <w:spacing w:line="500" w:lineRule="exact"/>
              <w:ind w:firstLine="496" w:firstLineChars="200"/>
              <w:rPr>
                <w:rFonts w:asciiTheme="minorEastAsia" w:hAnsiTheme="minorEastAsia" w:eastAsiaTheme="minorEastAsia"/>
                <w:spacing w:val="4"/>
                <w:sz w:val="24"/>
                <w:szCs w:val="21"/>
              </w:rPr>
            </w:pPr>
            <w:r>
              <w:rPr>
                <w:rFonts w:hint="eastAsia" w:asciiTheme="minorEastAsia" w:hAnsiTheme="minorEastAsia" w:eastAsiaTheme="minorEastAsia"/>
                <w:spacing w:val="4"/>
                <w:sz w:val="24"/>
                <w:szCs w:val="21"/>
              </w:rPr>
              <w:t>项目主要环境风险物质</w:t>
            </w:r>
            <w:r>
              <w:rPr>
                <w:rFonts w:asciiTheme="minorEastAsia" w:hAnsiTheme="minorEastAsia" w:eastAsiaTheme="minorEastAsia"/>
                <w:spacing w:val="4"/>
                <w:sz w:val="24"/>
                <w:szCs w:val="21"/>
              </w:rPr>
              <w:t>涉及到废机油，属于《建设项目环境风险评价技术导则》(HJ169-2018)附录B中突发环境事件风险物质。</w:t>
            </w:r>
          </w:p>
          <w:p>
            <w:pPr>
              <w:adjustRightInd w:val="0"/>
              <w:snapToGrid w:val="0"/>
              <w:spacing w:line="500" w:lineRule="exact"/>
              <w:ind w:firstLine="496" w:firstLineChars="200"/>
              <w:jc w:val="center"/>
              <w:rPr>
                <w:rFonts w:asciiTheme="minorEastAsia" w:hAnsiTheme="minorEastAsia" w:eastAsiaTheme="minorEastAsia"/>
                <w:spacing w:val="4"/>
                <w:sz w:val="24"/>
                <w:szCs w:val="21"/>
              </w:rPr>
            </w:pPr>
            <w:r>
              <w:rPr>
                <w:rFonts w:asciiTheme="minorEastAsia" w:hAnsiTheme="minorEastAsia" w:eastAsiaTheme="minorEastAsia"/>
                <w:spacing w:val="4"/>
                <w:sz w:val="24"/>
                <w:szCs w:val="21"/>
              </w:rPr>
              <w:t>表</w:t>
            </w:r>
            <w:r>
              <w:rPr>
                <w:rFonts w:hint="eastAsia" w:asciiTheme="minorEastAsia" w:hAnsiTheme="minorEastAsia" w:eastAsiaTheme="minorEastAsia"/>
                <w:spacing w:val="4"/>
                <w:sz w:val="24"/>
                <w:szCs w:val="21"/>
              </w:rPr>
              <w:t>4-1</w:t>
            </w:r>
            <w:r>
              <w:rPr>
                <w:rFonts w:asciiTheme="minorEastAsia" w:hAnsiTheme="minorEastAsia" w:eastAsiaTheme="minorEastAsia"/>
                <w:spacing w:val="4"/>
                <w:sz w:val="24"/>
                <w:szCs w:val="21"/>
              </w:rPr>
              <w:t>6    危险源分布情况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466"/>
              <w:gridCol w:w="1848"/>
              <w:gridCol w:w="1273"/>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危险物质</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CAS号</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最大储存量t</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临界量t</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存储位置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废机油</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0.</w:t>
                  </w:r>
                  <w:r>
                    <w:rPr>
                      <w:rFonts w:hint="eastAsia" w:asciiTheme="minorEastAsia" w:hAnsiTheme="minorEastAsia" w:eastAsiaTheme="minorEastAsia"/>
                    </w:rPr>
                    <w:t>1</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2500</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szCs w:val="21"/>
                      <w:lang w:val="zh-CN"/>
                    </w:rPr>
                    <w:t>危废暂存间</w:t>
                  </w:r>
                </w:p>
              </w:tc>
            </w:tr>
          </w:tbl>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2、环境风险物质影响途径</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①次氯酸钠危险性识别为一般毒性，其放出的氯气会引起中毒。</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asciiTheme="minorEastAsia" w:hAnsiTheme="minorEastAsia" w:eastAsiaTheme="minorEastAsia"/>
                <w:sz w:val="24"/>
                <w:lang w:val="zh-CN"/>
              </w:rPr>
              <w:fldChar w:fldCharType="begin"/>
            </w:r>
            <w:r>
              <w:rPr>
                <w:rFonts w:asciiTheme="minorEastAsia" w:hAnsiTheme="minorEastAsia" w:eastAsiaTheme="minorEastAsia"/>
                <w:sz w:val="24"/>
                <w:lang w:val="zh-CN"/>
              </w:rPr>
              <w:instrText xml:space="preserve"> </w:instrText>
            </w:r>
            <w:r>
              <w:rPr>
                <w:rFonts w:hint="eastAsia" w:asciiTheme="minorEastAsia" w:hAnsiTheme="minorEastAsia" w:eastAsiaTheme="minorEastAsia"/>
                <w:sz w:val="24"/>
                <w:lang w:val="zh-CN"/>
              </w:rPr>
              <w:instrText xml:space="preserve">= 2 \* GB3</w:instrText>
            </w:r>
            <w:r>
              <w:rPr>
                <w:rFonts w:asciiTheme="minorEastAsia" w:hAnsiTheme="minorEastAsia" w:eastAsiaTheme="minorEastAsia"/>
                <w:sz w:val="24"/>
                <w:lang w:val="zh-CN"/>
              </w:rPr>
              <w:instrText xml:space="preserve"> </w:instrText>
            </w:r>
            <w:r>
              <w:rPr>
                <w:rFonts w:asciiTheme="minorEastAsia" w:hAnsiTheme="minorEastAsia" w:eastAsiaTheme="minorEastAsia"/>
                <w:sz w:val="24"/>
                <w:lang w:val="zh-CN"/>
              </w:rPr>
              <w:fldChar w:fldCharType="separate"/>
            </w:r>
            <w:r>
              <w:rPr>
                <w:rFonts w:hint="eastAsia" w:asciiTheme="minorEastAsia" w:hAnsiTheme="minorEastAsia" w:eastAsiaTheme="minorEastAsia"/>
                <w:sz w:val="24"/>
                <w:lang w:val="zh-CN"/>
              </w:rPr>
              <w:t>②</w:t>
            </w:r>
            <w:r>
              <w:rPr>
                <w:rFonts w:asciiTheme="minorEastAsia" w:hAnsiTheme="minorEastAsia" w:eastAsiaTheme="minorEastAsia"/>
                <w:sz w:val="24"/>
                <w:lang w:val="zh-CN"/>
              </w:rPr>
              <w:fldChar w:fldCharType="end"/>
            </w:r>
            <w:r>
              <w:rPr>
                <w:rFonts w:hint="eastAsia" w:asciiTheme="minorEastAsia" w:hAnsiTheme="minorEastAsia" w:eastAsiaTheme="minorEastAsia"/>
                <w:sz w:val="24"/>
                <w:lang w:val="zh-CN"/>
              </w:rPr>
              <w:t>废机油泄漏会污染周围水体、土壤，对周边水体、土壤环境质量造成影响。火灾、爆炸等事故产生的烟雾及其他有毒有害气体会对周边环境空气质量造成影响。</w:t>
            </w:r>
          </w:p>
          <w:p>
            <w:pPr>
              <w:adjustRightInd w:val="0"/>
              <w:spacing w:line="50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3、环境风险防范措施</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①强化风险意识、加强安全管理</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val="zh-CN"/>
              </w:rPr>
              <w:t>②泄露</w:t>
            </w:r>
            <w:r>
              <w:rPr>
                <w:rFonts w:hint="eastAsia" w:asciiTheme="minorEastAsia" w:hAnsiTheme="minorEastAsia" w:eastAsiaTheme="minorEastAsia"/>
                <w:sz w:val="24"/>
              </w:rPr>
              <w:t>风险防范措施</w:t>
            </w:r>
          </w:p>
          <w:p>
            <w:pPr>
              <w:adjustRightInd w:val="0"/>
              <w:snapToGrid w:val="0"/>
              <w:spacing w:line="500" w:lineRule="exact"/>
              <w:ind w:firstLine="480" w:firstLineChars="200"/>
              <w:rPr>
                <w:rFonts w:asciiTheme="minorEastAsia" w:hAnsiTheme="minorEastAsia" w:eastAsiaTheme="minorEastAsia"/>
                <w:color w:val="FF0000"/>
                <w:kern w:val="10"/>
                <w:sz w:val="24"/>
              </w:rPr>
            </w:pPr>
            <w:r>
              <w:rPr>
                <w:rFonts w:hint="eastAsia" w:asciiTheme="minorEastAsia" w:hAnsiTheme="minorEastAsia" w:eastAsiaTheme="minorEastAsia"/>
                <w:sz w:val="24"/>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tc>
      </w:tr>
    </w:tbl>
    <w:p>
      <w:pPr>
        <w:adjustRightInd w:val="0"/>
        <w:snapToGrid w:val="0"/>
        <w:spacing w:line="360" w:lineRule="auto"/>
        <w:rPr>
          <w:rFonts w:cs="宋体" w:asciiTheme="minorEastAsia" w:hAnsiTheme="minorEastAsia" w:eastAsiaTheme="minorEastAsia"/>
          <w:b/>
          <w:color w:val="FF0000"/>
          <w:kern w:val="0"/>
          <w:sz w:val="28"/>
          <w:szCs w:val="28"/>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五、</w:t>
      </w:r>
      <w:bookmarkStart w:id="32" w:name="_Hlk54167917"/>
      <w:r>
        <w:rPr>
          <w:rFonts w:hint="eastAsia" w:asciiTheme="minorEastAsia" w:hAnsiTheme="minorEastAsia" w:eastAsiaTheme="minorEastAsia"/>
          <w:b/>
          <w:snapToGrid w:val="0"/>
          <w:sz w:val="30"/>
          <w:szCs w:val="30"/>
        </w:rPr>
        <w:t>环境保护措施监督检查清单</w:t>
      </w:r>
      <w:bookmarkEnd w:id="32"/>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2084"/>
        <w:gridCol w:w="1971"/>
        <w:gridCol w:w="4035"/>
        <w:gridCol w:w="4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tcBorders>
              <w:tl2br w:val="single" w:color="auto" w:sz="4" w:space="0"/>
            </w:tcBorders>
          </w:tcPr>
          <w:p>
            <w:pPr>
              <w:adjustRightInd w:val="0"/>
              <w:snapToGrid w:val="0"/>
              <w:ind w:firstLine="1050" w:firstLineChars="50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内容</w:t>
            </w:r>
          </w:p>
          <w:p>
            <w:pPr>
              <w:adjustRightInd w:val="0"/>
              <w:snapToGrid w:val="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要素</w:t>
            </w:r>
          </w:p>
        </w:tc>
        <w:tc>
          <w:tcPr>
            <w:tcW w:w="733"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排放口(编号、</w:t>
            </w:r>
          </w:p>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名称)/污染源</w:t>
            </w:r>
          </w:p>
        </w:tc>
        <w:tc>
          <w:tcPr>
            <w:tcW w:w="693"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污染物项目</w:t>
            </w:r>
          </w:p>
        </w:tc>
        <w:tc>
          <w:tcPr>
            <w:tcW w:w="1419"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环境保护措施</w:t>
            </w:r>
          </w:p>
        </w:tc>
        <w:tc>
          <w:tcPr>
            <w:tcW w:w="1472"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大气环境</w:t>
            </w:r>
          </w:p>
        </w:tc>
        <w:tc>
          <w:tcPr>
            <w:tcW w:w="733" w:type="pct"/>
            <w:vMerge w:val="restar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kern w:val="10"/>
              </w:rPr>
              <w:t>除臭装置排气筒</w:t>
            </w:r>
          </w:p>
        </w:tc>
        <w:tc>
          <w:tcPr>
            <w:tcW w:w="693"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H</w:t>
            </w:r>
            <w:r>
              <w:rPr>
                <w:rFonts w:asciiTheme="minorEastAsia" w:hAnsiTheme="minorEastAsia" w:eastAsiaTheme="minorEastAsia"/>
                <w:kern w:val="10"/>
                <w:vertAlign w:val="subscript"/>
              </w:rPr>
              <w:t>2</w:t>
            </w:r>
            <w:r>
              <w:rPr>
                <w:rFonts w:asciiTheme="minorEastAsia" w:hAnsiTheme="minorEastAsia" w:eastAsiaTheme="minorEastAsia"/>
                <w:kern w:val="10"/>
              </w:rPr>
              <w:t>S</w:t>
            </w:r>
          </w:p>
        </w:tc>
        <w:tc>
          <w:tcPr>
            <w:tcW w:w="1419" w:type="pct"/>
            <w:vMerge w:val="restart"/>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反应设备均全封闭，采用引风机将</w:t>
            </w:r>
            <w:r>
              <w:rPr>
                <w:rFonts w:asciiTheme="minorEastAsia" w:hAnsiTheme="minorEastAsia" w:eastAsiaTheme="minorEastAsia"/>
                <w:kern w:val="10"/>
                <w:szCs w:val="21"/>
              </w:rPr>
              <w:t>臭气收集后，经除臭</w:t>
            </w:r>
            <w:r>
              <w:rPr>
                <w:rFonts w:hint="eastAsia" w:asciiTheme="minorEastAsia" w:hAnsiTheme="minorEastAsia" w:eastAsiaTheme="minorEastAsia"/>
                <w:kern w:val="10"/>
                <w:szCs w:val="21"/>
              </w:rPr>
              <w:t>处理</w:t>
            </w:r>
            <w:r>
              <w:rPr>
                <w:rFonts w:asciiTheme="minorEastAsia" w:hAnsiTheme="minorEastAsia" w:eastAsiaTheme="minorEastAsia"/>
                <w:kern w:val="10"/>
                <w:szCs w:val="21"/>
              </w:rPr>
              <w:t>后，经</w:t>
            </w:r>
            <w:r>
              <w:rPr>
                <w:rFonts w:hint="eastAsia" w:asciiTheme="minorEastAsia" w:hAnsiTheme="minorEastAsia" w:eastAsiaTheme="minorEastAsia"/>
                <w:kern w:val="10"/>
                <w:szCs w:val="21"/>
              </w:rPr>
              <w:t>15m高排气筒排放。</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bCs/>
                <w:kern w:val="10"/>
                <w:szCs w:val="21"/>
              </w:rPr>
              <w:t>《恶臭污染物排放标准》(</w:t>
            </w:r>
            <w:r>
              <w:rPr>
                <w:rFonts w:asciiTheme="minorEastAsia" w:hAnsiTheme="minorEastAsia" w:eastAsiaTheme="minorEastAsia"/>
                <w:bCs/>
                <w:kern w:val="10"/>
                <w:szCs w:val="21"/>
              </w:rPr>
              <w:t>GB14554-93</w:t>
            </w:r>
            <w:r>
              <w:rPr>
                <w:rFonts w:hint="eastAsia" w:asciiTheme="minorEastAsia" w:hAnsiTheme="minorEastAsia" w:eastAsiaTheme="minorEastAsia"/>
                <w:bCs/>
                <w:kern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Merge w:val="continue"/>
            <w:vAlign w:val="center"/>
          </w:tcPr>
          <w:p>
            <w:pPr>
              <w:spacing w:line="360" w:lineRule="exact"/>
              <w:jc w:val="center"/>
              <w:rPr>
                <w:rFonts w:asciiTheme="minorEastAsia" w:hAnsiTheme="minorEastAsia" w:eastAsiaTheme="minorEastAsia"/>
                <w:bCs/>
                <w:kern w:val="10"/>
                <w:szCs w:val="21"/>
              </w:rPr>
            </w:pPr>
          </w:p>
        </w:tc>
        <w:tc>
          <w:tcPr>
            <w:tcW w:w="693"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NH</w:t>
            </w:r>
            <w:r>
              <w:rPr>
                <w:rFonts w:asciiTheme="minorEastAsia" w:hAnsiTheme="minorEastAsia" w:eastAsiaTheme="minorEastAsia"/>
                <w:kern w:val="10"/>
                <w:vertAlign w:val="subscript"/>
              </w:rPr>
              <w:t>3</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Merge w:val="continue"/>
            <w:vAlign w:val="center"/>
          </w:tcPr>
          <w:p>
            <w:pPr>
              <w:spacing w:line="360" w:lineRule="exact"/>
              <w:jc w:val="center"/>
              <w:rPr>
                <w:rFonts w:asciiTheme="minorEastAsia" w:hAnsiTheme="minorEastAsia" w:eastAsiaTheme="minorEastAsia"/>
                <w:bCs/>
                <w:kern w:val="10"/>
                <w:szCs w:val="21"/>
              </w:rPr>
            </w:pPr>
          </w:p>
        </w:tc>
        <w:tc>
          <w:tcPr>
            <w:tcW w:w="693"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臭气浓度</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地表水环境</w:t>
            </w:r>
          </w:p>
        </w:tc>
        <w:tc>
          <w:tcPr>
            <w:tcW w:w="733" w:type="pc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污水处理厂总排口</w:t>
            </w:r>
          </w:p>
        </w:tc>
        <w:tc>
          <w:tcPr>
            <w:tcW w:w="69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COD、BOD</w:t>
            </w:r>
            <w:r>
              <w:rPr>
                <w:rFonts w:hint="eastAsia" w:asciiTheme="minorEastAsia" w:hAnsiTheme="minorEastAsia" w:eastAsiaTheme="minorEastAsia"/>
                <w:kern w:val="10"/>
                <w:szCs w:val="21"/>
                <w:vertAlign w:val="subscript"/>
              </w:rPr>
              <w:t>5</w:t>
            </w:r>
            <w:r>
              <w:rPr>
                <w:rFonts w:hint="eastAsia" w:asciiTheme="minorEastAsia" w:hAnsiTheme="minorEastAsia" w:eastAsiaTheme="minorEastAsia"/>
                <w:kern w:val="10"/>
                <w:szCs w:val="21"/>
              </w:rPr>
              <w:t>、SS、氨氮、TP、TN等</w:t>
            </w:r>
          </w:p>
        </w:tc>
        <w:tc>
          <w:tcPr>
            <w:tcW w:w="1419"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处理达标后，排放</w:t>
            </w:r>
            <w:r>
              <w:rPr>
                <w:rFonts w:hint="eastAsia" w:asciiTheme="minorEastAsia" w:hAnsiTheme="minorEastAsia" w:eastAsiaTheme="minorEastAsia"/>
                <w:kern w:val="10"/>
                <w:szCs w:val="21"/>
              </w:rPr>
              <w:t>湫水</w:t>
            </w:r>
            <w:r>
              <w:rPr>
                <w:rFonts w:asciiTheme="minorEastAsia" w:hAnsiTheme="minorEastAsia" w:eastAsiaTheme="minorEastAsia"/>
                <w:kern w:val="10"/>
                <w:szCs w:val="21"/>
              </w:rPr>
              <w:t>河。</w:t>
            </w:r>
          </w:p>
        </w:tc>
        <w:tc>
          <w:tcPr>
            <w:tcW w:w="1472" w:type="pct"/>
            <w:vAlign w:val="center"/>
          </w:tcPr>
          <w:p>
            <w:pPr>
              <w:pStyle w:val="87"/>
              <w:spacing w:line="300" w:lineRule="exact"/>
              <w:ind w:firstLine="0" w:firstLineChars="0"/>
              <w:rPr>
                <w:rFonts w:cs="宋体" w:asciiTheme="minorEastAsia" w:hAnsiTheme="minorEastAsia" w:eastAsiaTheme="minorEastAsia"/>
                <w:kern w:val="10"/>
                <w:szCs w:val="21"/>
              </w:rPr>
            </w:pPr>
            <w:r>
              <w:rPr>
                <w:rFonts w:hint="eastAsia" w:asciiTheme="minorEastAsia" w:hAnsiTheme="minorEastAsia" w:eastAsiaTheme="minorEastAsia"/>
                <w:bCs/>
                <w:kern w:val="10"/>
                <w:sz w:val="21"/>
                <w:szCs w:val="21"/>
              </w:rPr>
              <w:t>出水</w:t>
            </w:r>
            <w:r>
              <w:rPr>
                <w:rFonts w:asciiTheme="minorEastAsia" w:hAnsiTheme="minorEastAsia" w:eastAsiaTheme="minorEastAsia"/>
                <w:bCs/>
                <w:kern w:val="10"/>
                <w:sz w:val="21"/>
                <w:szCs w:val="21"/>
              </w:rPr>
              <w:t>COD、TP和NH</w:t>
            </w:r>
            <w:r>
              <w:rPr>
                <w:rFonts w:asciiTheme="minorEastAsia" w:hAnsiTheme="minorEastAsia" w:eastAsiaTheme="minorEastAsia"/>
                <w:bCs/>
                <w:kern w:val="10"/>
                <w:sz w:val="21"/>
                <w:szCs w:val="21"/>
                <w:vertAlign w:val="subscript"/>
              </w:rPr>
              <w:t>3</w:t>
            </w:r>
            <w:r>
              <w:rPr>
                <w:rFonts w:asciiTheme="minorEastAsia" w:hAnsiTheme="minorEastAsia" w:eastAsiaTheme="minorEastAsia"/>
                <w:bCs/>
                <w:kern w:val="10"/>
                <w:sz w:val="21"/>
                <w:szCs w:val="21"/>
              </w:rPr>
              <w:t>-N三项指标</w:t>
            </w:r>
            <w:r>
              <w:rPr>
                <w:rFonts w:hint="eastAsia" w:asciiTheme="minorEastAsia" w:hAnsiTheme="minorEastAsia" w:eastAsiaTheme="minorEastAsia"/>
                <w:bCs/>
                <w:kern w:val="10"/>
                <w:sz w:val="21"/>
                <w:szCs w:val="21"/>
              </w:rPr>
              <w:t>执行</w:t>
            </w:r>
            <w:r>
              <w:rPr>
                <w:rFonts w:asciiTheme="minorEastAsia" w:hAnsiTheme="minorEastAsia" w:eastAsiaTheme="minorEastAsia"/>
                <w:bCs/>
                <w:kern w:val="10"/>
                <w:sz w:val="21"/>
                <w:szCs w:val="21"/>
              </w:rPr>
              <w:t>《污水综合排放标准》(DB14</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1928-2019)中的表2标准要求</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其余指标执行《城镇污水处理厂污染物排放标准》(GB18918-2002)中的一级A标准。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声环境</w:t>
            </w:r>
          </w:p>
        </w:tc>
        <w:tc>
          <w:tcPr>
            <w:tcW w:w="73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设备运行</w:t>
            </w:r>
          </w:p>
        </w:tc>
        <w:tc>
          <w:tcPr>
            <w:tcW w:w="693"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噪声</w:t>
            </w:r>
          </w:p>
        </w:tc>
        <w:tc>
          <w:tcPr>
            <w:tcW w:w="1419" w:type="pct"/>
            <w:tcBorders>
              <w:bottom w:val="single" w:color="auto" w:sz="4" w:space="0"/>
            </w:tcBorders>
            <w:vAlign w:val="center"/>
          </w:tcPr>
          <w:p>
            <w:pPr>
              <w:spacing w:line="360" w:lineRule="exact"/>
              <w:jc w:val="center"/>
              <w:rPr>
                <w:rFonts w:asciiTheme="minorEastAsia" w:hAnsiTheme="minorEastAsia" w:eastAsiaTheme="minorEastAsia"/>
                <w:kern w:val="10"/>
                <w:szCs w:val="21"/>
              </w:rPr>
            </w:pPr>
            <w:r>
              <w:rPr>
                <w:rFonts w:hint="eastAsia" w:cs="宋体" w:asciiTheme="minorEastAsia" w:hAnsiTheme="minorEastAsia" w:eastAsiaTheme="minorEastAsia"/>
                <w:kern w:val="10"/>
                <w:szCs w:val="21"/>
              </w:rPr>
              <w:t>基础减震、厂房屏蔽、定期维护、入厂车辆禁止鸣笛</w:t>
            </w:r>
          </w:p>
        </w:tc>
        <w:tc>
          <w:tcPr>
            <w:tcW w:w="1472" w:type="pct"/>
            <w:tcBorders>
              <w:bottom w:val="single" w:color="auto" w:sz="4" w:space="0"/>
            </w:tcBorders>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《工业企业厂界环境噪声排放标准》</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GB12348</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2008)2</w:t>
            </w:r>
            <w:r>
              <w:rPr>
                <w:rFonts w:hint="eastAsia" w:asciiTheme="minorEastAsia" w:hAnsiTheme="minorEastAsia" w:eastAsiaTheme="minorEastAsia"/>
                <w:kern w:val="10"/>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固体废物</w:t>
            </w:r>
          </w:p>
        </w:tc>
        <w:tc>
          <w:tcPr>
            <w:tcW w:w="73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格栅间</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栅渣</w:t>
            </w:r>
          </w:p>
        </w:tc>
        <w:tc>
          <w:tcPr>
            <w:tcW w:w="1419" w:type="pct"/>
            <w:vMerge w:val="restart"/>
            <w:vAlign w:val="center"/>
          </w:tcPr>
          <w:p>
            <w:pPr>
              <w:snapToGrid w:val="0"/>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集中收集后，填埋场填埋场处理。</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按环卫部门要求进行处理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砂水分离间</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沉砂</w:t>
            </w:r>
          </w:p>
        </w:tc>
        <w:tc>
          <w:tcPr>
            <w:tcW w:w="1419" w:type="pct"/>
            <w:vMerge w:val="continue"/>
            <w:vAlign w:val="center"/>
          </w:tcPr>
          <w:p>
            <w:pPr>
              <w:snapToGrid w:val="0"/>
              <w:spacing w:line="360" w:lineRule="exact"/>
              <w:jc w:val="center"/>
              <w:rPr>
                <w:rFonts w:asciiTheme="minorEastAsia" w:hAnsiTheme="minorEastAsia" w:eastAsiaTheme="minorEastAsia"/>
                <w:bCs/>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污泥脱水机间</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污泥(含水率60%)</w:t>
            </w:r>
          </w:p>
        </w:tc>
        <w:tc>
          <w:tcPr>
            <w:tcW w:w="1419" w:type="pct"/>
            <w:vMerge w:val="continue"/>
            <w:vAlign w:val="center"/>
          </w:tcPr>
          <w:p>
            <w:pPr>
              <w:snapToGrid w:val="0"/>
              <w:spacing w:line="360" w:lineRule="exact"/>
              <w:jc w:val="center"/>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员工</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生活垃圾</w:t>
            </w:r>
          </w:p>
        </w:tc>
        <w:tc>
          <w:tcPr>
            <w:tcW w:w="1419" w:type="pct"/>
            <w:vAlign w:val="center"/>
          </w:tcPr>
          <w:p>
            <w:pPr>
              <w:pStyle w:val="69"/>
              <w:spacing w:line="360" w:lineRule="exact"/>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垃圾桶收集后，</w:t>
            </w:r>
            <w:r>
              <w:rPr>
                <w:rFonts w:asciiTheme="minorEastAsia" w:hAnsiTheme="minorEastAsia" w:eastAsiaTheme="minorEastAsia"/>
                <w:kern w:val="10"/>
                <w:sz w:val="21"/>
                <w:szCs w:val="21"/>
              </w:rPr>
              <w:t>填埋场填埋场处理。</w:t>
            </w: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厂区化验室</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检验废液</w:t>
            </w:r>
          </w:p>
        </w:tc>
        <w:tc>
          <w:tcPr>
            <w:tcW w:w="1419" w:type="pct"/>
            <w:vMerge w:val="restart"/>
            <w:vAlign w:val="center"/>
          </w:tcPr>
          <w:p>
            <w:pPr>
              <w:pStyle w:val="69"/>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 w:val="21"/>
                <w:szCs w:val="21"/>
              </w:rPr>
              <w:t>各类废物分类分区存放，暂存于危废间内，内设</w:t>
            </w:r>
            <w:r>
              <w:rPr>
                <w:rFonts w:asciiTheme="minorEastAsia" w:hAnsiTheme="minorEastAsia" w:eastAsiaTheme="minorEastAsia"/>
                <w:kern w:val="10"/>
                <w:sz w:val="21"/>
                <w:szCs w:val="21"/>
              </w:rPr>
              <w:t>高密度聚乙烯塑料桶</w:t>
            </w:r>
            <w:r>
              <w:rPr>
                <w:rFonts w:hint="eastAsia" w:asciiTheme="minorEastAsia" w:hAnsiTheme="minorEastAsia" w:eastAsiaTheme="minorEastAsia"/>
                <w:kern w:val="10"/>
                <w:sz w:val="21"/>
                <w:szCs w:val="21"/>
              </w:rPr>
              <w:t>收集，委托</w:t>
            </w:r>
            <w:r>
              <w:rPr>
                <w:rFonts w:hint="eastAsia" w:asciiTheme="minorEastAsia" w:hAnsiTheme="minorEastAsia" w:eastAsiaTheme="minorEastAsia"/>
                <w:bCs/>
                <w:kern w:val="10"/>
                <w:sz w:val="21"/>
                <w:szCs w:val="21"/>
              </w:rPr>
              <w:t>有资质的单位</w:t>
            </w:r>
            <w:r>
              <w:rPr>
                <w:rFonts w:asciiTheme="minorEastAsia" w:hAnsiTheme="minorEastAsia" w:eastAsiaTheme="minorEastAsia"/>
                <w:kern w:val="10"/>
                <w:sz w:val="21"/>
                <w:szCs w:val="21"/>
              </w:rPr>
              <w:t>进行</w:t>
            </w:r>
            <w:r>
              <w:rPr>
                <w:rFonts w:hint="eastAsia" w:asciiTheme="minorEastAsia" w:hAnsiTheme="minorEastAsia" w:eastAsiaTheme="minorEastAsia"/>
                <w:kern w:val="10"/>
                <w:sz w:val="21"/>
                <w:szCs w:val="21"/>
              </w:rPr>
              <w:t>回收</w:t>
            </w:r>
            <w:r>
              <w:rPr>
                <w:rFonts w:asciiTheme="minorEastAsia" w:hAnsiTheme="minorEastAsia" w:eastAsiaTheme="minorEastAsia"/>
                <w:kern w:val="10"/>
                <w:sz w:val="21"/>
                <w:szCs w:val="21"/>
              </w:rPr>
              <w:t>处置</w:t>
            </w:r>
            <w:r>
              <w:rPr>
                <w:rFonts w:hint="eastAsia" w:asciiTheme="minorEastAsia" w:hAnsiTheme="minorEastAsia" w:eastAsiaTheme="minorEastAsia"/>
                <w:kern w:val="10"/>
                <w:sz w:val="21"/>
                <w:szCs w:val="21"/>
              </w:rPr>
              <w:t>。</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设置危废暂存库，按环评提出的要求进行建设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73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各类动力设备</w:t>
            </w:r>
          </w:p>
        </w:tc>
        <w:tc>
          <w:tcPr>
            <w:tcW w:w="693" w:type="pct"/>
            <w:vAlign w:val="center"/>
          </w:tcPr>
          <w:p>
            <w:pPr>
              <w:pStyle w:val="96"/>
              <w:kinsoku w:val="0"/>
              <w:overflowPunct w:val="0"/>
              <w:spacing w:line="360" w:lineRule="exact"/>
              <w:jc w:val="center"/>
              <w:rPr>
                <w:rFonts w:asciiTheme="minorEastAsia" w:hAnsiTheme="minorEastAsia" w:eastAsiaTheme="minorEastAsia"/>
                <w:kern w:val="10"/>
                <w:sz w:val="20"/>
                <w:szCs w:val="21"/>
              </w:rPr>
            </w:pPr>
            <w:r>
              <w:rPr>
                <w:rFonts w:hint="eastAsia" w:asciiTheme="minorEastAsia" w:hAnsiTheme="minorEastAsia" w:eastAsiaTheme="minorEastAsia"/>
                <w:kern w:val="10"/>
                <w:sz w:val="20"/>
                <w:szCs w:val="21"/>
              </w:rPr>
              <w:t>废机油</w:t>
            </w:r>
          </w:p>
        </w:tc>
        <w:tc>
          <w:tcPr>
            <w:tcW w:w="1419" w:type="pct"/>
            <w:vMerge w:val="continue"/>
            <w:vAlign w:val="center"/>
          </w:tcPr>
          <w:p>
            <w:pPr>
              <w:pStyle w:val="69"/>
              <w:spacing w:line="360" w:lineRule="exact"/>
              <w:rPr>
                <w:rFonts w:asciiTheme="minorEastAsia" w:hAnsiTheme="minorEastAsia" w:eastAsiaTheme="minorEastAsia"/>
                <w:bCs/>
                <w:kern w:val="10"/>
                <w:sz w:val="21"/>
                <w:szCs w:val="21"/>
              </w:rPr>
            </w:pP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土壤及地下水</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污染防治措施</w:t>
            </w:r>
          </w:p>
        </w:tc>
        <w:tc>
          <w:tcPr>
            <w:tcW w:w="4317"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1.对厂区可能泄漏污染物的污染区地面进行防渗处理，并及时地将泄漏/渗漏的污染物收集起来进行处理。</w:t>
            </w:r>
          </w:p>
          <w:p>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生物反应池、混合反应池、污泥浓缩池及废水管线为等</w:t>
            </w:r>
            <w:r>
              <w:rPr>
                <w:rFonts w:hint="eastAsia" w:asciiTheme="minorEastAsia" w:hAnsiTheme="minorEastAsia" w:eastAsiaTheme="minorEastAsia"/>
                <w:kern w:val="10"/>
                <w:szCs w:val="21"/>
              </w:rPr>
              <w:t>，按</w:t>
            </w:r>
            <w:r>
              <w:rPr>
                <w:rFonts w:asciiTheme="minorEastAsia" w:hAnsiTheme="minorEastAsia" w:eastAsiaTheme="minorEastAsia"/>
                <w:kern w:val="10"/>
                <w:szCs w:val="21"/>
              </w:rPr>
              <w:t>重点防渗区的要求</w:t>
            </w:r>
            <w:r>
              <w:rPr>
                <w:rFonts w:hint="eastAsia" w:asciiTheme="minorEastAsia" w:hAnsiTheme="minorEastAsia" w:eastAsiaTheme="minorEastAsia"/>
                <w:kern w:val="10"/>
                <w:szCs w:val="21"/>
              </w:rPr>
              <w:t>，对地面进行</w:t>
            </w:r>
            <w:r>
              <w:rPr>
                <w:rFonts w:asciiTheme="minorEastAsia" w:hAnsiTheme="minorEastAsia" w:eastAsiaTheme="minorEastAsia"/>
                <w:kern w:val="10"/>
                <w:szCs w:val="21"/>
              </w:rPr>
              <w:t>防渗</w:t>
            </w:r>
            <w:r>
              <w:rPr>
                <w:rFonts w:hint="eastAsia" w:asciiTheme="minorEastAsia" w:hAnsiTheme="minorEastAsia" w:eastAsiaTheme="minorEastAsia"/>
                <w:kern w:val="10"/>
                <w:szCs w:val="21"/>
              </w:rPr>
              <w:t>措施，要求达到</w:t>
            </w:r>
            <w:r>
              <w:rPr>
                <w:rFonts w:asciiTheme="minorEastAsia" w:hAnsiTheme="minorEastAsia" w:eastAsiaTheme="minorEastAsia"/>
                <w:kern w:val="10"/>
                <w:szCs w:val="21"/>
              </w:rPr>
              <w:t>等效黏土防渗层Mb≥6.0m，K≤10</w:t>
            </w:r>
            <w:r>
              <w:rPr>
                <w:rFonts w:asciiTheme="minorEastAsia" w:hAnsiTheme="minorEastAsia" w:eastAsiaTheme="minorEastAsia"/>
                <w:kern w:val="10"/>
                <w:szCs w:val="21"/>
                <w:vertAlign w:val="superscript"/>
              </w:rPr>
              <w:t>-7</w:t>
            </w:r>
            <w:r>
              <w:rPr>
                <w:rFonts w:asciiTheme="minorEastAsia" w:hAnsiTheme="minorEastAsia" w:eastAsiaTheme="minorEastAsia"/>
                <w:kern w:val="10"/>
                <w:szCs w:val="21"/>
              </w:rPr>
              <w:t>cm/s；</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2.项目运行后，企业制定和实施相应的监管措施，每周巡视各个污水处理池及排污管线是否正常运转，有无破损情况，做到污染物“早发现、早处理”，若</w:t>
            </w:r>
            <w:r>
              <w:rPr>
                <w:rFonts w:asciiTheme="minorEastAsia" w:hAnsiTheme="minorEastAsia" w:eastAsiaTheme="minorEastAsia"/>
                <w:kern w:val="10"/>
                <w:szCs w:val="21"/>
              </w:rPr>
              <w:t>发现问题及时解决，保证各水工建构筑设施正常运行，使废水不发生渗漏造成地下水污染。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kern w:val="10"/>
                <w:szCs w:val="21"/>
              </w:rPr>
              <w:t>环境风险防范措施</w:t>
            </w:r>
          </w:p>
        </w:tc>
        <w:tc>
          <w:tcPr>
            <w:tcW w:w="4317"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1.强化风险意识、加强安全管理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2.泄露风险防范措施</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其他环境</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管理要求</w:t>
            </w:r>
          </w:p>
        </w:tc>
        <w:tc>
          <w:tcPr>
            <w:tcW w:w="4317" w:type="pct"/>
            <w:gridSpan w:val="4"/>
            <w:vAlign w:val="center"/>
          </w:tcPr>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根据环保设施应与建设项目同时设计、同时施工、同时运行的“三同时”要求及本报告书提出的污染防治措施</w:t>
            </w:r>
            <w:r>
              <w:rPr>
                <w:rFonts w:hint="eastAsia" w:asciiTheme="minorEastAsia" w:hAnsiTheme="minorEastAsia" w:eastAsiaTheme="minorEastAsia"/>
                <w:kern w:val="10"/>
                <w:szCs w:val="21"/>
              </w:rPr>
              <w:t>。</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.运行期间严格执行各项环境管理制度，保证污水处理厂的正常进行。</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.建立项目运营期的污染物处理和环保设施运转的规章制度，在运营期，建立污染控制记录，做好废水处理设施管理，严格管理固体废物的存放和处置。</w:t>
            </w:r>
            <w:r>
              <w:rPr>
                <w:rFonts w:hint="eastAsia" w:asciiTheme="minorEastAsia" w:hAnsiTheme="minorEastAsia" w:eastAsiaTheme="minorEastAsia"/>
                <w:kern w:val="10"/>
                <w:szCs w:val="21"/>
              </w:rPr>
              <w:t>平时做好记录进水总口水质、水量信息、记录主要设施的设施参数、进出水、污泥、药剂使用等信息工作</w:t>
            </w:r>
            <w:r>
              <w:rPr>
                <w:rFonts w:asciiTheme="minorEastAsia" w:hAnsiTheme="minorEastAsia" w:eastAsiaTheme="minorEastAsia"/>
                <w:kern w:val="10"/>
                <w:szCs w:val="21"/>
              </w:rPr>
              <w:t>。</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按照监测计划定期组织场地的污染源监测，对不达标装置立即寻找原因，及时处理。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5</w:t>
            </w:r>
            <w:r>
              <w:rPr>
                <w:rFonts w:asciiTheme="minorEastAsia" w:hAnsiTheme="minorEastAsia" w:eastAsiaTheme="minorEastAsia"/>
                <w:kern w:val="10"/>
                <w:szCs w:val="21"/>
              </w:rPr>
              <w:t>.积极配合环保部门的检查。</w:t>
            </w:r>
          </w:p>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6</w:t>
            </w:r>
            <w:r>
              <w:rPr>
                <w:rFonts w:asciiTheme="minorEastAsia" w:hAnsiTheme="minorEastAsia" w:eastAsiaTheme="minorEastAsia"/>
                <w:kern w:val="10"/>
                <w:szCs w:val="21"/>
              </w:rPr>
              <w:t>.定期总结数据，寻找规律，不断改进生产操作，降低排污。</w:t>
            </w:r>
          </w:p>
        </w:tc>
      </w:tr>
    </w:tbl>
    <w:p>
      <w:pPr>
        <w:pStyle w:val="24"/>
        <w:jc w:val="center"/>
        <w:rPr>
          <w:rFonts w:asciiTheme="minorEastAsia" w:hAnsiTheme="minorEastAsia" w:eastAsiaTheme="minorEastAsia"/>
          <w:b/>
          <w:snapToGrid w:val="0"/>
          <w:color w:val="FF0000"/>
          <w:sz w:val="30"/>
          <w:szCs w:val="30"/>
        </w:rPr>
        <w:sectPr>
          <w:pgSz w:w="16838" w:h="11906" w:orient="landscape"/>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w:t>
            </w:r>
            <w:r>
              <w:rPr>
                <w:rFonts w:hint="eastAsia" w:cs="宋体" w:asciiTheme="minorEastAsia" w:hAnsiTheme="minorEastAsia" w:eastAsiaTheme="minorEastAsia"/>
                <w:sz w:val="24"/>
              </w:rPr>
              <w:t>临县大禹乡生活污水收集管网和污水处理站建设工程</w:t>
            </w:r>
            <w:r>
              <w:rPr>
                <w:rFonts w:hint="eastAsia" w:asciiTheme="minorEastAsia" w:hAnsiTheme="minorEastAsia" w:eastAsiaTheme="minorEastAsia"/>
                <w:sz w:val="24"/>
              </w:rPr>
              <w:t>符合当地规划要求，符合“三线一单”要求。本项目对区域的水、大气、声环境影响较小，不会导致评价区域环境功能明显改变，没有明显的环境制约因素。</w:t>
            </w:r>
          </w:p>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w:t>
            </w:r>
            <w:r>
              <w:rPr>
                <w:rFonts w:asciiTheme="minorEastAsia" w:hAnsiTheme="minorEastAsia" w:eastAsiaTheme="minorEastAsia"/>
                <w:sz w:val="24"/>
              </w:rPr>
              <w:t>主要为城镇生活污水处理，</w:t>
            </w:r>
            <w:r>
              <w:rPr>
                <w:rFonts w:hint="eastAsia" w:asciiTheme="minorEastAsia" w:hAnsiTheme="minorEastAsia" w:eastAsiaTheme="minorEastAsia"/>
                <w:sz w:val="24"/>
              </w:rPr>
              <w:t>是一项治理污染、改善环境的环保工程，具有明显的环境效益和社会效益。</w:t>
            </w:r>
            <w:r>
              <w:rPr>
                <w:rFonts w:hint="eastAsia" w:cs="宋体" w:asciiTheme="minorEastAsia" w:hAnsiTheme="minorEastAsia" w:eastAsiaTheme="minorEastAsia"/>
                <w:sz w:val="24"/>
              </w:rPr>
              <w:t>工程对环境的有利影响是主要的，不利影响是次要的，</w:t>
            </w:r>
            <w:r>
              <w:rPr>
                <w:rFonts w:hint="eastAsia" w:asciiTheme="minorEastAsia" w:hAnsiTheme="minorEastAsia" w:eastAsiaTheme="minorEastAsia"/>
                <w:sz w:val="24"/>
              </w:rPr>
              <w:t>在严格按照本次评价提出的环保措施要求，认真做好日常环保管理工作，项目建设对环境影响较小，从环境保护角度，工程建设是可行的。</w:t>
            </w:r>
          </w:p>
          <w:p>
            <w:pPr>
              <w:spacing w:line="500" w:lineRule="exact"/>
              <w:ind w:firstLine="480" w:firstLineChars="200"/>
              <w:rPr>
                <w:rFonts w:cs="宋体" w:asciiTheme="minorEastAsia" w:hAnsiTheme="minorEastAsia" w:eastAsiaTheme="minorEastAsia"/>
                <w:color w:val="FF0000"/>
                <w:sz w:val="24"/>
              </w:rPr>
            </w:pPr>
          </w:p>
        </w:tc>
      </w:tr>
    </w:tbl>
    <w:p>
      <w:pPr>
        <w:rPr>
          <w:rFonts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p>
    <w:p>
      <w:pPr>
        <w:pStyle w:val="24"/>
        <w:adjustRightInd w:val="0"/>
        <w:snapToGrid w:val="0"/>
        <w:spacing w:before="0" w:beforeAutospacing="0" w:after="0" w:afterAutospacing="0" w:line="500" w:lineRule="exact"/>
        <w:outlineLvl w:val="0"/>
        <w:rPr>
          <w:rFonts w:asciiTheme="minorEastAsia" w:hAnsiTheme="minorEastAsia" w:eastAsiaTheme="minorEastAsia"/>
          <w:snapToGrid w:val="0"/>
          <w:sz w:val="32"/>
          <w:szCs w:val="32"/>
        </w:rPr>
      </w:pPr>
      <w:r>
        <w:rPr>
          <w:rFonts w:hint="eastAsia" w:asciiTheme="minorEastAsia" w:hAnsiTheme="minorEastAsia" w:eastAsiaTheme="minorEastAsia"/>
          <w:snapToGrid w:val="0"/>
          <w:sz w:val="32"/>
          <w:szCs w:val="32"/>
        </w:rPr>
        <w:t>附表</w:t>
      </w:r>
    </w:p>
    <w:p>
      <w:pPr>
        <w:pStyle w:val="24"/>
        <w:adjustRightInd w:val="0"/>
        <w:snapToGrid w:val="0"/>
        <w:spacing w:before="0" w:beforeAutospacing="0" w:after="0" w:afterAutospacing="0" w:line="500" w:lineRule="exact"/>
        <w:jc w:val="center"/>
        <w:outlineLvl w:val="0"/>
        <w:rPr>
          <w:rFonts w:asciiTheme="minorEastAsia" w:hAnsiTheme="minorEastAsia" w:eastAsiaTheme="minorEastAsia"/>
          <w:snapToGrid w:val="0"/>
          <w:sz w:val="38"/>
          <w:szCs w:val="38"/>
        </w:rPr>
      </w:pPr>
      <w:r>
        <w:rPr>
          <w:rFonts w:hint="eastAsia" w:asciiTheme="minorEastAsia" w:hAnsiTheme="minorEastAsia" w:eastAsiaTheme="minorEastAsia"/>
          <w:snapToGrid w:val="0"/>
          <w:sz w:val="38"/>
          <w:szCs w:val="38"/>
        </w:rPr>
        <w:t>建设项目污染物排放量汇总表</w:t>
      </w: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687"/>
        <w:gridCol w:w="1797"/>
        <w:gridCol w:w="1347"/>
        <w:gridCol w:w="1797"/>
        <w:gridCol w:w="1645"/>
        <w:gridCol w:w="1456"/>
        <w:gridCol w:w="1496"/>
        <w:gridCol w:w="13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29" w:type="pct"/>
            <w:tcBorders>
              <w:tl2br w:val="single" w:color="auto" w:sz="4" w:space="0"/>
            </w:tcBorders>
            <w:tcMar>
              <w:left w:w="28" w:type="dxa"/>
              <w:right w:w="28" w:type="dxa"/>
            </w:tcMar>
            <w:vAlign w:val="center"/>
          </w:tcPr>
          <w:p>
            <w:pPr>
              <w:pStyle w:val="45"/>
              <w:spacing w:beforeLines="0" w:afterLines="0" w:line="240" w:lineRule="auto"/>
              <w:ind w:right="198"/>
              <w:jc w:val="righ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项目</w:t>
            </w:r>
          </w:p>
          <w:p>
            <w:pPr>
              <w:pStyle w:val="45"/>
              <w:spacing w:beforeLines="0" w:afterLines="0" w:line="240" w:lineRule="auto"/>
              <w:jc w:val="lef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分类</w:t>
            </w:r>
          </w:p>
        </w:tc>
        <w:tc>
          <w:tcPr>
            <w:tcW w:w="600" w:type="pct"/>
            <w:tcMar>
              <w:left w:w="28" w:type="dxa"/>
              <w:right w:w="28" w:type="dxa"/>
            </w:tcMar>
            <w:vAlign w:val="center"/>
          </w:tcPr>
          <w:p>
            <w:pPr>
              <w:pStyle w:val="45"/>
              <w:spacing w:beforeLines="0" w:afterLines="0" w:line="240" w:lineRule="auto"/>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污染物名称</w:t>
            </w:r>
          </w:p>
        </w:tc>
        <w:tc>
          <w:tcPr>
            <w:tcW w:w="63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①</w:t>
            </w:r>
            <w:r>
              <w:rPr>
                <w:rFonts w:asciiTheme="minorEastAsia" w:hAnsiTheme="minorEastAsia" w:eastAsiaTheme="minorEastAsia"/>
                <w:snapToGrid w:val="0"/>
                <w:spacing w:val="-6"/>
                <w:kern w:val="21"/>
                <w:szCs w:val="21"/>
              </w:rPr>
              <w:fldChar w:fldCharType="end"/>
            </w:r>
          </w:p>
        </w:tc>
        <w:tc>
          <w:tcPr>
            <w:tcW w:w="47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许可排放量</w:t>
            </w:r>
          </w:p>
          <w:p>
            <w:pPr>
              <w:pStyle w:val="45"/>
              <w:spacing w:beforeLines="0" w:afterLines="0"/>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2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napToGrid w:val="0"/>
                <w:spacing w:val="-6"/>
                <w:kern w:val="21"/>
                <w:szCs w:val="21"/>
              </w:rPr>
              <w:t>②</w:t>
            </w:r>
            <w:r>
              <w:rPr>
                <w:rFonts w:asciiTheme="minorEastAsia" w:hAnsiTheme="minorEastAsia" w:eastAsiaTheme="minorEastAsia"/>
                <w:snapToGrid w:val="0"/>
                <w:spacing w:val="-6"/>
                <w:kern w:val="21"/>
                <w:szCs w:val="21"/>
              </w:rPr>
              <w:fldChar w:fldCharType="end"/>
            </w:r>
          </w:p>
        </w:tc>
        <w:tc>
          <w:tcPr>
            <w:tcW w:w="63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在建工程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③</w:t>
            </w:r>
            <w:r>
              <w:rPr>
                <w:rFonts w:asciiTheme="minorEastAsia" w:hAnsiTheme="minorEastAsia" w:eastAsiaTheme="minorEastAsia"/>
                <w:snapToGrid w:val="0"/>
                <w:spacing w:val="-6"/>
                <w:kern w:val="21"/>
                <w:szCs w:val="21"/>
              </w:rPr>
              <w:fldChar w:fldCharType="end"/>
            </w:r>
          </w:p>
        </w:tc>
        <w:tc>
          <w:tcPr>
            <w:tcW w:w="585"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本项目</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④</w:t>
            </w:r>
            <w:r>
              <w:rPr>
                <w:rFonts w:asciiTheme="minorEastAsia" w:hAnsiTheme="minorEastAsia" w:eastAsiaTheme="minorEastAsia"/>
                <w:snapToGrid w:val="0"/>
                <w:spacing w:val="-6"/>
                <w:kern w:val="21"/>
                <w:szCs w:val="21"/>
              </w:rPr>
              <w:fldChar w:fldCharType="end"/>
            </w:r>
          </w:p>
        </w:tc>
        <w:tc>
          <w:tcPr>
            <w:tcW w:w="518"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以新带老削减量</w:t>
            </w:r>
          </w:p>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(新建项目不填)</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⑤</w:t>
            </w:r>
            <w:r>
              <w:rPr>
                <w:rFonts w:asciiTheme="minorEastAsia" w:hAnsiTheme="minorEastAsia" w:eastAsiaTheme="minorEastAsia"/>
                <w:snapToGrid w:val="0"/>
                <w:spacing w:val="-16"/>
                <w:kern w:val="21"/>
                <w:szCs w:val="21"/>
              </w:rPr>
              <w:fldChar w:fldCharType="end"/>
            </w:r>
          </w:p>
        </w:tc>
        <w:tc>
          <w:tcPr>
            <w:tcW w:w="532"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本项目建成后</w:t>
            </w:r>
          </w:p>
          <w:p>
            <w:pPr>
              <w:pStyle w:val="45"/>
              <w:spacing w:beforeLines="0" w:afterLines="0" w:line="240" w:lineRule="auto"/>
              <w:rPr>
                <w:rFonts w:asciiTheme="minorEastAsia" w:hAnsiTheme="minorEastAsia" w:eastAsiaTheme="minorEastAsia"/>
                <w:snapToGrid w:val="0"/>
                <w:spacing w:val="-16"/>
                <w:kern w:val="21"/>
                <w:szCs w:val="21"/>
              </w:rPr>
            </w:pPr>
            <w:r>
              <w:rPr>
                <w:rFonts w:hint="eastAsia" w:asciiTheme="minorEastAsia" w:hAnsiTheme="minorEastAsia" w:eastAsiaTheme="minorEastAsia"/>
                <w:snapToGrid w:val="0"/>
                <w:spacing w:val="-16"/>
                <w:kern w:val="21"/>
                <w:szCs w:val="21"/>
              </w:rPr>
              <w:t>全厂</w:t>
            </w:r>
            <w:r>
              <w:rPr>
                <w:rFonts w:asciiTheme="minorEastAsia" w:hAnsiTheme="minorEastAsia" w:eastAsiaTheme="minorEastAsia"/>
                <w:snapToGrid w:val="0"/>
                <w:spacing w:val="-16"/>
                <w:kern w:val="21"/>
                <w:szCs w:val="21"/>
              </w:rPr>
              <w:t>排放量(固</w:t>
            </w:r>
            <w:r>
              <w:rPr>
                <w:rFonts w:hint="eastAsia" w:asciiTheme="minorEastAsia" w:hAnsiTheme="minorEastAsia" w:eastAsiaTheme="minorEastAsia"/>
                <w:snapToGrid w:val="0"/>
                <w:spacing w:val="-16"/>
                <w:kern w:val="21"/>
                <w:szCs w:val="21"/>
              </w:rPr>
              <w:t>体</w:t>
            </w:r>
            <w:r>
              <w:rPr>
                <w:rFonts w:asciiTheme="minorEastAsia" w:hAnsiTheme="minorEastAsia" w:eastAsiaTheme="minorEastAsia"/>
                <w:snapToGrid w:val="0"/>
                <w:spacing w:val="-16"/>
                <w:kern w:val="21"/>
                <w:szCs w:val="21"/>
              </w:rPr>
              <w:t>废</w:t>
            </w:r>
            <w:r>
              <w:rPr>
                <w:rFonts w:hint="eastAsia" w:asciiTheme="minorEastAsia" w:hAnsiTheme="minorEastAsia" w:eastAsiaTheme="minorEastAsia"/>
                <w:snapToGrid w:val="0"/>
                <w:spacing w:val="-16"/>
                <w:kern w:val="21"/>
                <w:szCs w:val="21"/>
              </w:rPr>
              <w:t>物</w:t>
            </w:r>
            <w:r>
              <w:rPr>
                <w:rFonts w:asciiTheme="minorEastAsia" w:hAnsiTheme="minorEastAsia" w:eastAsiaTheme="minorEastAsia"/>
                <w:snapToGrid w:val="0"/>
                <w:spacing w:val="-16"/>
                <w:kern w:val="21"/>
                <w:szCs w:val="21"/>
              </w:rPr>
              <w:t>产生量)</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⑥</w:t>
            </w:r>
            <w:r>
              <w:rPr>
                <w:rFonts w:asciiTheme="minorEastAsia" w:hAnsiTheme="minorEastAsia" w:eastAsiaTheme="minorEastAsia"/>
                <w:snapToGrid w:val="0"/>
                <w:spacing w:val="-16"/>
                <w:kern w:val="21"/>
                <w:szCs w:val="21"/>
              </w:rPr>
              <w:fldChar w:fldCharType="end"/>
            </w:r>
          </w:p>
        </w:tc>
        <w:tc>
          <w:tcPr>
            <w:tcW w:w="47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变化量</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⑦</w:t>
            </w:r>
            <w:r>
              <w:rPr>
                <w:rFonts w:asciiTheme="minorEastAsia" w:hAnsiTheme="minorEastAsia" w:eastAsiaTheme="minorEastAsia"/>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废气</w:t>
            </w:r>
          </w:p>
        </w:tc>
        <w:tc>
          <w:tcPr>
            <w:tcW w:w="600" w:type="pct"/>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H</w:t>
            </w:r>
            <w:r>
              <w:rPr>
                <w:rFonts w:asciiTheme="minorEastAsia" w:hAnsiTheme="minorEastAsia" w:eastAsiaTheme="minorEastAsia"/>
                <w:spacing w:val="4"/>
                <w:szCs w:val="21"/>
                <w:vertAlign w:val="subscript"/>
              </w:rPr>
              <w:t>2</w:t>
            </w:r>
            <w:r>
              <w:rPr>
                <w:rFonts w:asciiTheme="minorEastAsia" w:hAnsiTheme="minorEastAsia" w:eastAsiaTheme="minorEastAsia"/>
                <w:spacing w:val="4"/>
                <w:szCs w:val="21"/>
              </w:rPr>
              <w:t>S</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022t/a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022t/a</w:t>
            </w:r>
          </w:p>
        </w:tc>
        <w:tc>
          <w:tcPr>
            <w:tcW w:w="479"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0.</w:t>
            </w:r>
            <w:r>
              <w:rPr>
                <w:rFonts w:asciiTheme="minorEastAsia" w:hAnsiTheme="minorEastAsia" w:eastAsiaTheme="minorEastAsia"/>
                <w:szCs w:val="21"/>
              </w:rPr>
              <w:t>022t/a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NH</w:t>
            </w:r>
            <w:r>
              <w:rPr>
                <w:rFonts w:asciiTheme="minorEastAsia" w:hAnsiTheme="minorEastAsia" w:eastAsiaTheme="minorEastAsia"/>
                <w:spacing w:val="4"/>
                <w:szCs w:val="21"/>
                <w:vertAlign w:val="subscript"/>
              </w:rPr>
              <w:t>3</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c>
          <w:tcPr>
            <w:tcW w:w="479"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w:t>
            </w:r>
          </w:p>
        </w:tc>
        <w:tc>
          <w:tcPr>
            <w:tcW w:w="600"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废水量</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一般工业</w:t>
            </w:r>
          </w:p>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固体废物</w:t>
            </w: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zCs w:val="21"/>
              </w:rPr>
              <w:t>格栅间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砂水分离间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污泥脱水机间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生活垃圾</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危险废物</w:t>
            </w: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检验废液</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w:t>
            </w: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废机油</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w:t>
            </w: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r>
    </w:tbl>
    <w:p>
      <w:pPr>
        <w:pStyle w:val="45"/>
        <w:spacing w:before="192" w:beforeLines="80" w:after="24"/>
        <w:jc w:val="left"/>
        <w:rPr>
          <w:rFonts w:asciiTheme="minorEastAsia" w:hAnsiTheme="minorEastAsia" w:eastAsiaTheme="minorEastAsia"/>
          <w:snapToGrid w:val="0"/>
          <w:spacing w:val="-6"/>
          <w:kern w:val="21"/>
          <w:szCs w:val="21"/>
        </w:rPr>
      </w:pPr>
      <w:r>
        <w:rPr>
          <w:rFonts w:asciiTheme="minorEastAsia" w:hAnsiTheme="minorEastAsia" w:eastAsiaTheme="minorEastAsia"/>
          <w:snapToGrid w:val="0"/>
          <w:kern w:val="21"/>
          <w:szCs w:val="21"/>
        </w:rPr>
        <w:t>注：</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③</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④</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⑤</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⑦</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p>
    <w:p>
      <w:pPr>
        <w:rPr>
          <w:rFonts w:asciiTheme="minorEastAsia" w:hAnsiTheme="minorEastAsia" w:eastAsiaTheme="minorEastAsia"/>
          <w:color w:val="FF0000"/>
        </w:rPr>
      </w:pPr>
    </w:p>
    <w:p>
      <w:pPr>
        <w:rPr>
          <w:rFonts w:asciiTheme="minorEastAsia" w:hAnsiTheme="minorEastAsia" w:eastAsiaTheme="minorEastAsia"/>
          <w:color w:val="FF0000"/>
        </w:rPr>
        <w:sectPr>
          <w:footerReference r:id="rId9" w:type="default"/>
          <w:pgSz w:w="16838" w:h="11906" w:orient="landscape"/>
          <w:pgMar w:top="1418" w:right="1418" w:bottom="1418" w:left="1418" w:header="851" w:footer="851" w:gutter="0"/>
          <w:cols w:space="720" w:num="1"/>
          <w:docGrid w:linePitch="312" w:charSpace="0"/>
        </w:sectPr>
      </w:pPr>
    </w:p>
    <w:p>
      <w:pPr>
        <w:spacing w:line="700" w:lineRule="exact"/>
        <w:jc w:val="center"/>
        <w:rPr>
          <w:rFonts w:ascii="宋体" w:hAnsi="宋体"/>
          <w:b/>
          <w:bCs/>
          <w:color w:val="FF0000"/>
          <w:kern w:val="10"/>
          <w:sz w:val="52"/>
        </w:rPr>
      </w:pPr>
    </w:p>
    <w:p>
      <w:pPr>
        <w:spacing w:line="700" w:lineRule="exact"/>
        <w:jc w:val="center"/>
        <w:rPr>
          <w:rFonts w:ascii="宋体" w:hAnsi="宋体"/>
          <w:b/>
          <w:bCs/>
          <w:color w:val="FF0000"/>
          <w:kern w:val="10"/>
          <w:sz w:val="52"/>
        </w:rPr>
      </w:pPr>
    </w:p>
    <w:p>
      <w:pPr>
        <w:spacing w:line="700" w:lineRule="exact"/>
        <w:jc w:val="center"/>
        <w:rPr>
          <w:rFonts w:ascii="宋体" w:hAnsi="宋体"/>
          <w:b/>
          <w:bCs/>
          <w:kern w:val="10"/>
          <w:sz w:val="52"/>
        </w:rPr>
      </w:pPr>
    </w:p>
    <w:p>
      <w:pPr>
        <w:pStyle w:val="120"/>
        <w:ind w:firstLine="480"/>
        <w:rPr>
          <w:rFonts w:ascii="宋体" w:hAnsi="宋体"/>
          <w:kern w:val="10"/>
        </w:rPr>
      </w:pPr>
    </w:p>
    <w:p>
      <w:pPr>
        <w:spacing w:line="700" w:lineRule="exact"/>
        <w:jc w:val="center"/>
        <w:rPr>
          <w:rFonts w:ascii="宋体" w:hAnsi="宋体"/>
          <w:b/>
          <w:bCs/>
          <w:kern w:val="10"/>
          <w:sz w:val="48"/>
        </w:rPr>
      </w:pPr>
      <w:r>
        <w:rPr>
          <w:rFonts w:hint="eastAsia" w:ascii="宋体" w:hAnsi="宋体"/>
          <w:b/>
          <w:bCs/>
          <w:kern w:val="10"/>
          <w:sz w:val="48"/>
        </w:rPr>
        <w:t>临县大禹乡生活污水收集管网和</w:t>
      </w:r>
    </w:p>
    <w:p>
      <w:pPr>
        <w:spacing w:line="700" w:lineRule="exact"/>
        <w:jc w:val="center"/>
        <w:rPr>
          <w:rFonts w:ascii="宋体" w:hAnsi="宋体"/>
          <w:b/>
          <w:bCs/>
          <w:kern w:val="10"/>
          <w:sz w:val="48"/>
        </w:rPr>
      </w:pPr>
      <w:r>
        <w:rPr>
          <w:rFonts w:hint="eastAsia" w:ascii="宋体" w:hAnsi="宋体"/>
          <w:b/>
          <w:bCs/>
          <w:kern w:val="10"/>
          <w:sz w:val="48"/>
        </w:rPr>
        <w:t>污水处理站建设工程</w:t>
      </w:r>
    </w:p>
    <w:p>
      <w:pPr>
        <w:spacing w:line="700" w:lineRule="exact"/>
        <w:jc w:val="center"/>
        <w:rPr>
          <w:rFonts w:ascii="宋体" w:hAnsi="宋体"/>
          <w:b/>
          <w:bCs/>
          <w:kern w:val="10"/>
          <w:sz w:val="52"/>
        </w:rPr>
      </w:pPr>
    </w:p>
    <w:p>
      <w:pPr>
        <w:spacing w:line="700" w:lineRule="exact"/>
        <w:jc w:val="center"/>
        <w:outlineLvl w:val="0"/>
        <w:rPr>
          <w:rFonts w:ascii="宋体" w:hAnsi="宋体"/>
          <w:b/>
          <w:bCs/>
          <w:kern w:val="10"/>
          <w:sz w:val="52"/>
        </w:rPr>
      </w:pPr>
      <w:r>
        <w:rPr>
          <w:rFonts w:hint="eastAsia" w:ascii="宋体" w:hAnsi="宋体"/>
          <w:b/>
          <w:bCs/>
          <w:kern w:val="10"/>
          <w:sz w:val="52"/>
        </w:rPr>
        <w:t>地表水环境影响专题分析</w:t>
      </w: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32"/>
        </w:rPr>
      </w:pPr>
      <w:r>
        <w:rPr>
          <w:rFonts w:hint="eastAsia" w:ascii="宋体" w:hAnsi="宋体"/>
          <w:b/>
          <w:bCs/>
          <w:kern w:val="10"/>
          <w:sz w:val="32"/>
        </w:rPr>
        <w:t>编制单位：山西天时达环保科技有限公司</w:t>
      </w:r>
    </w:p>
    <w:p>
      <w:pPr>
        <w:spacing w:line="700" w:lineRule="exact"/>
        <w:ind w:firstLine="1124" w:firstLineChars="350"/>
        <w:jc w:val="center"/>
        <w:rPr>
          <w:rFonts w:ascii="宋体" w:hAnsi="宋体"/>
          <w:b/>
          <w:bCs/>
          <w:kern w:val="10"/>
          <w:sz w:val="32"/>
        </w:rPr>
      </w:pPr>
      <w:r>
        <w:rPr>
          <w:rFonts w:hint="eastAsia" w:ascii="宋体" w:hAnsi="宋体"/>
          <w:b/>
          <w:bCs/>
          <w:kern w:val="10"/>
          <w:sz w:val="32"/>
        </w:rPr>
        <w:t>编制时间：二〇二三年二月</w:t>
      </w:r>
    </w:p>
    <w:p>
      <w:pPr>
        <w:spacing w:line="360" w:lineRule="auto"/>
        <w:ind w:firstLine="1124" w:firstLineChars="350"/>
        <w:rPr>
          <w:rFonts w:ascii="宋体" w:hAnsi="宋体"/>
          <w:b/>
          <w:bCs/>
          <w:color w:val="FF0000"/>
          <w:kern w:val="10"/>
          <w:sz w:val="32"/>
        </w:rPr>
      </w:pPr>
    </w:p>
    <w:p>
      <w:pPr>
        <w:spacing w:line="276" w:lineRule="auto"/>
        <w:rPr>
          <w:rFonts w:ascii="宋体" w:hAnsi="宋体"/>
          <w:bCs/>
          <w:color w:val="FF0000"/>
          <w:kern w:val="10"/>
          <w:sz w:val="24"/>
        </w:rPr>
        <w:sectPr>
          <w:footerReference r:id="rId10" w:type="default"/>
          <w:pgSz w:w="11906" w:h="16838"/>
          <w:pgMar w:top="1418" w:right="1418" w:bottom="1418" w:left="1418" w:header="1134" w:footer="1134" w:gutter="0"/>
          <w:cols w:space="720" w:num="1"/>
        </w:sectPr>
      </w:pPr>
    </w:p>
    <w:p>
      <w:pPr>
        <w:autoSpaceDE w:val="0"/>
        <w:autoSpaceDN w:val="0"/>
        <w:adjustRightInd w:val="0"/>
        <w:snapToGrid w:val="0"/>
        <w:spacing w:before="120" w:beforeLines="50" w:after="120" w:afterLines="50" w:line="360" w:lineRule="auto"/>
        <w:outlineLvl w:val="0"/>
        <w:rPr>
          <w:rFonts w:ascii="宋体" w:hAnsi="宋体"/>
          <w:b/>
          <w:kern w:val="10"/>
          <w:sz w:val="32"/>
          <w:szCs w:val="20"/>
        </w:rPr>
      </w:pPr>
      <w:bookmarkStart w:id="33" w:name="_Toc237404661"/>
      <w:bookmarkStart w:id="34" w:name="_Toc152144335"/>
      <w:bookmarkStart w:id="35" w:name="_Toc124069549"/>
      <w:bookmarkStart w:id="36" w:name="_Toc143149575"/>
      <w:bookmarkStart w:id="37" w:name="_Toc102590590"/>
      <w:bookmarkStart w:id="38" w:name="_Toc123361077"/>
      <w:r>
        <w:rPr>
          <w:rFonts w:ascii="宋体" w:hAnsi="宋体"/>
          <w:b/>
          <w:kern w:val="10"/>
          <w:sz w:val="32"/>
          <w:szCs w:val="20"/>
        </w:rPr>
        <w:t>1.评价工作等级和评价范围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1.1</w:t>
      </w:r>
      <w:r>
        <w:rPr>
          <w:rFonts w:hint="eastAsia" w:ascii="宋体" w:hAnsi="宋体"/>
          <w:spacing w:val="0"/>
          <w:kern w:val="10"/>
          <w:szCs w:val="24"/>
        </w:rPr>
        <w:t>评价工作等级</w:t>
      </w:r>
    </w:p>
    <w:p>
      <w:pPr>
        <w:autoSpaceDE w:val="0"/>
        <w:autoSpaceDN w:val="0"/>
        <w:adjustRightInd w:val="0"/>
        <w:snapToGrid w:val="0"/>
        <w:spacing w:line="500" w:lineRule="exact"/>
        <w:ind w:firstLine="480" w:firstLineChars="200"/>
        <w:rPr>
          <w:rFonts w:ascii="宋体" w:hAnsi="宋体"/>
          <w:kern w:val="10"/>
          <w:sz w:val="24"/>
        </w:rPr>
      </w:pPr>
      <w:r>
        <w:rPr>
          <w:rFonts w:hint="eastAsia" w:ascii="宋体" w:hAnsi="宋体"/>
          <w:kern w:val="10"/>
          <w:sz w:val="24"/>
        </w:rPr>
        <w:t>根据《</w:t>
      </w:r>
      <w:r>
        <w:rPr>
          <w:rFonts w:ascii="宋体" w:hAnsi="宋体"/>
          <w:kern w:val="10"/>
          <w:sz w:val="24"/>
        </w:rPr>
        <w:t>环境影响评价技术导则  地表水环境》（HJ2.3-2018），</w:t>
      </w:r>
      <w:r>
        <w:rPr>
          <w:rFonts w:ascii="宋体" w:hAnsi="宋体"/>
          <w:bCs/>
          <w:kern w:val="10"/>
          <w:sz w:val="24"/>
        </w:rPr>
        <w:t>水污染影响型建设项目评价等级判定依据</w:t>
      </w:r>
      <w:r>
        <w:rPr>
          <w:rFonts w:ascii="宋体" w:hAnsi="宋体"/>
          <w:kern w:val="10"/>
          <w:sz w:val="24"/>
        </w:rPr>
        <w:t>见下表。</w:t>
      </w:r>
    </w:p>
    <w:p>
      <w:pPr>
        <w:spacing w:line="500" w:lineRule="exact"/>
        <w:jc w:val="center"/>
        <w:rPr>
          <w:rFonts w:ascii="宋体" w:hAnsi="宋体"/>
          <w:kern w:val="10"/>
          <w:sz w:val="24"/>
          <w:lang w:val="zh-CN"/>
        </w:rPr>
      </w:pPr>
      <w:r>
        <w:rPr>
          <w:rFonts w:ascii="宋体" w:hAnsi="宋体"/>
          <w:kern w:val="10"/>
          <w:sz w:val="24"/>
        </w:rPr>
        <w:t xml:space="preserve">表1-1    </w:t>
      </w:r>
      <w:r>
        <w:rPr>
          <w:rFonts w:ascii="宋体" w:hAnsi="宋体"/>
          <w:kern w:val="10"/>
          <w:sz w:val="24"/>
          <w:lang w:val="zh-CN"/>
        </w:rPr>
        <w:t>水污染影响型建设项目评价等级判定</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24"/>
        <w:gridCol w:w="1600"/>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vMerge w:val="restar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评价等级</w:t>
            </w:r>
          </w:p>
        </w:tc>
        <w:tc>
          <w:tcPr>
            <w:tcW w:w="3996" w:type="pct"/>
            <w:gridSpan w:val="2"/>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0" w:type="auto"/>
            <w:vMerge w:val="continue"/>
            <w:vAlign w:val="center"/>
          </w:tcPr>
          <w:p>
            <w:pPr>
              <w:spacing w:line="400" w:lineRule="exact"/>
              <w:rPr>
                <w:rFonts w:ascii="宋体" w:hAnsi="宋体"/>
                <w:kern w:val="10"/>
                <w:szCs w:val="21"/>
              </w:rPr>
            </w:pP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排放方式</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废水排放量</w:t>
            </w:r>
            <w:r>
              <w:rPr>
                <w:rFonts w:ascii="宋体" w:hAnsi="宋体"/>
                <w:i/>
                <w:kern w:val="10"/>
                <w:szCs w:val="21"/>
              </w:rPr>
              <w:t>Q</w:t>
            </w:r>
            <w:r>
              <w:rPr>
                <w:rFonts w:ascii="宋体" w:hAnsi="宋体"/>
                <w:kern w:val="10"/>
                <w:szCs w:val="21"/>
                <w:lang w:val="zh-TW" w:eastAsia="zh-TW"/>
              </w:rPr>
              <w:t>/</w:t>
            </w:r>
            <w:r>
              <w:rPr>
                <w:rFonts w:ascii="宋体" w:hAnsi="宋体"/>
                <w:kern w:val="10"/>
                <w:szCs w:val="21"/>
              </w:rPr>
              <w:t>(m</w:t>
            </w:r>
            <w:r>
              <w:rPr>
                <w:rFonts w:ascii="宋体" w:hAnsi="宋体"/>
                <w:kern w:val="10"/>
                <w:szCs w:val="21"/>
                <w:vertAlign w:val="superscript"/>
              </w:rPr>
              <w:t>3</w:t>
            </w:r>
            <w:r>
              <w:rPr>
                <w:rFonts w:ascii="宋体" w:hAnsi="宋体"/>
                <w:kern w:val="10"/>
                <w:szCs w:val="21"/>
              </w:rPr>
              <w:t>/d)</w:t>
            </w:r>
            <w:r>
              <w:rPr>
                <w:rFonts w:ascii="宋体" w:hAnsi="宋体"/>
                <w:kern w:val="10"/>
                <w:szCs w:val="21"/>
                <w:lang w:val="zh-TW"/>
              </w:rPr>
              <w:t>；水污染物当量数</w:t>
            </w:r>
            <w:r>
              <w:rPr>
                <w:rFonts w:ascii="宋体" w:hAnsi="宋体"/>
                <w:i/>
                <w:kern w:val="10"/>
                <w:szCs w:val="21"/>
                <w:lang w:val="zh-TW" w:eastAsia="zh-TW"/>
              </w:rPr>
              <w:t>W</w:t>
            </w:r>
            <w:r>
              <w:rPr>
                <w:rFonts w:ascii="宋体" w:hAnsi="宋体"/>
                <w:kern w:val="10"/>
                <w:szCs w:val="21"/>
                <w:lang w:val="zh-TW" w:eastAsia="zh-TW"/>
              </w:rPr>
              <w:t>/(</w:t>
            </w:r>
            <w:r>
              <w:rPr>
                <w:rFonts w:hint="eastAsia" w:ascii="宋体" w:hAnsi="宋体"/>
                <w:kern w:val="10"/>
                <w:szCs w:val="21"/>
                <w:lang w:val="zh-TW"/>
              </w:rPr>
              <w:t>无</w:t>
            </w:r>
            <w:r>
              <w:rPr>
                <w:rFonts w:ascii="宋体" w:hAnsi="宋体"/>
                <w:kern w:val="10"/>
                <w:szCs w:val="21"/>
                <w:lang w:val="zh-TW"/>
              </w:rPr>
              <w:t>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一级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ascii="宋体" w:hAnsi="宋体"/>
                <w:kern w:val="10"/>
                <w:szCs w:val="21"/>
                <w:lang w:val="zh-TW" w:eastAsia="zh-TW"/>
              </w:rPr>
              <w:t>≥20000</w:t>
            </w:r>
            <w:r>
              <w:rPr>
                <w:rFonts w:ascii="宋体" w:hAnsi="宋体"/>
                <w:kern w:val="10"/>
                <w:szCs w:val="21"/>
                <w:lang w:val="zh-TW"/>
              </w:rPr>
              <w:t>或</w:t>
            </w:r>
            <w:r>
              <w:rPr>
                <w:rFonts w:ascii="宋体" w:hAnsi="宋体"/>
                <w:i/>
                <w:kern w:val="10"/>
                <w:szCs w:val="21"/>
                <w:lang w:val="zh-TW" w:eastAsia="zh-TW"/>
              </w:rPr>
              <w:t>W</w:t>
            </w:r>
            <w:r>
              <w:rPr>
                <w:rFonts w:ascii="宋体" w:hAnsi="宋体"/>
                <w:kern w:val="10"/>
                <w:szCs w:val="21"/>
                <w:lang w:val="zh-TW" w:eastAsia="zh-TW"/>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二级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A</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hint="eastAsia" w:ascii="宋体" w:hAnsi="宋体"/>
                <w:kern w:val="10"/>
                <w:szCs w:val="21"/>
                <w:lang w:val="zh-TW" w:eastAsia="zh-TW"/>
              </w:rPr>
              <w:t>＜</w:t>
            </w:r>
            <w:r>
              <w:rPr>
                <w:rFonts w:ascii="宋体" w:hAnsi="宋体"/>
                <w:kern w:val="10"/>
                <w:szCs w:val="21"/>
                <w:lang w:val="zh-TW" w:eastAsia="zh-TW"/>
              </w:rPr>
              <w:t>200</w:t>
            </w:r>
            <w:r>
              <w:rPr>
                <w:rFonts w:ascii="宋体" w:hAnsi="宋体"/>
                <w:kern w:val="10"/>
                <w:szCs w:val="21"/>
                <w:lang w:val="zh-TW"/>
              </w:rPr>
              <w:t>且</w:t>
            </w:r>
            <w:r>
              <w:rPr>
                <w:rFonts w:ascii="宋体" w:hAnsi="宋体"/>
                <w:i/>
                <w:kern w:val="10"/>
                <w:szCs w:val="21"/>
                <w:lang w:val="zh-TW" w:eastAsia="zh-TW"/>
              </w:rPr>
              <w:t>W</w:t>
            </w:r>
            <w:r>
              <w:rPr>
                <w:rFonts w:hint="eastAsia" w:ascii="宋体" w:hAnsi="宋体"/>
                <w:kern w:val="10"/>
                <w:szCs w:val="21"/>
                <w:lang w:val="zh-TW" w:eastAsia="zh-TW"/>
              </w:rPr>
              <w:t>＜</w:t>
            </w:r>
            <w:r>
              <w:rPr>
                <w:rFonts w:ascii="宋体" w:hAnsi="宋体"/>
                <w:kern w:val="10"/>
                <w:szCs w:val="21"/>
                <w:lang w:val="zh-TW" w:eastAsia="zh-TW"/>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B</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rPr>
              <w:t>—</w:t>
            </w:r>
          </w:p>
        </w:tc>
      </w:tr>
    </w:tbl>
    <w:p>
      <w:pPr>
        <w:spacing w:line="500" w:lineRule="exact"/>
        <w:ind w:firstLine="463" w:firstLineChars="193"/>
        <w:rPr>
          <w:rFonts w:ascii="宋体" w:hAnsi="宋体"/>
          <w:bCs/>
          <w:kern w:val="10"/>
          <w:sz w:val="24"/>
        </w:rPr>
      </w:pPr>
      <w:r>
        <w:rPr>
          <w:rFonts w:hint="eastAsia" w:ascii="宋体" w:hAnsi="宋体"/>
          <w:kern w:val="10"/>
          <w:sz w:val="24"/>
        </w:rPr>
        <w:t>结合工程分析，本项目外排</w:t>
      </w:r>
      <w:r>
        <w:rPr>
          <w:rFonts w:ascii="宋体" w:hAnsi="宋体"/>
          <w:kern w:val="10"/>
          <w:sz w:val="24"/>
        </w:rPr>
        <w:t>量为1000m³/d，且排放方式为直接排放，因此</w:t>
      </w:r>
      <w:r>
        <w:rPr>
          <w:rFonts w:ascii="宋体" w:hAnsi="宋体"/>
          <w:bCs/>
          <w:kern w:val="10"/>
          <w:sz w:val="24"/>
        </w:rPr>
        <w:t>确定本工程地表水环境影响评价等级为</w:t>
      </w:r>
      <w:r>
        <w:rPr>
          <w:rFonts w:hint="eastAsia" w:ascii="宋体" w:hAnsi="宋体"/>
          <w:bCs/>
          <w:kern w:val="10"/>
          <w:sz w:val="24"/>
        </w:rPr>
        <w:t>二级</w:t>
      </w:r>
      <w:r>
        <w:rPr>
          <w:rFonts w:ascii="宋体" w:hAnsi="宋体"/>
          <w:bCs/>
          <w:kern w:val="10"/>
          <w:sz w:val="24"/>
        </w:rPr>
        <w:t>。</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1.2 评价范围</w:t>
      </w:r>
    </w:p>
    <w:bookmarkEnd w:id="33"/>
    <w:bookmarkEnd w:id="34"/>
    <w:bookmarkEnd w:id="35"/>
    <w:bookmarkEnd w:id="36"/>
    <w:bookmarkEnd w:id="37"/>
    <w:bookmarkEnd w:id="38"/>
    <w:p>
      <w:pPr>
        <w:pStyle w:val="127"/>
        <w:ind w:firstLine="480"/>
        <w:rPr>
          <w:rFonts w:ascii="宋体" w:hAnsi="宋体"/>
          <w:color w:val="auto"/>
          <w:kern w:val="10"/>
        </w:rPr>
      </w:pPr>
      <w:bookmarkStart w:id="39" w:name="_Toc90519538"/>
      <w:bookmarkStart w:id="40" w:name="_Toc237404663"/>
      <w:r>
        <w:rPr>
          <w:rFonts w:hint="eastAsia" w:ascii="宋体" w:hAnsi="宋体"/>
          <w:color w:val="auto"/>
          <w:kern w:val="10"/>
        </w:rPr>
        <w:t>根据《环境影响评价技术导则</w:t>
      </w:r>
      <w:r>
        <w:rPr>
          <w:rFonts w:ascii="宋体" w:hAnsi="宋体"/>
          <w:color w:val="auto"/>
          <w:kern w:val="10"/>
        </w:rPr>
        <w:t xml:space="preserve">  </w:t>
      </w:r>
      <w:r>
        <w:rPr>
          <w:rFonts w:hint="eastAsia" w:ascii="宋体" w:hAnsi="宋体"/>
          <w:color w:val="auto"/>
          <w:kern w:val="10"/>
        </w:rPr>
        <w:t>地表水环境》（</w:t>
      </w:r>
      <w:r>
        <w:rPr>
          <w:rFonts w:ascii="宋体" w:hAnsi="宋体"/>
          <w:color w:val="auto"/>
          <w:kern w:val="10"/>
        </w:rPr>
        <w:t>HJ2.3-2018</w:t>
      </w:r>
      <w:r>
        <w:rPr>
          <w:rFonts w:hint="eastAsia" w:ascii="宋体" w:hAnsi="宋体"/>
          <w:color w:val="auto"/>
          <w:kern w:val="10"/>
        </w:rPr>
        <w:t>）要求，本项目地表水环境影响评价范围为污水处理厂排污口入湫水河上游</w:t>
      </w:r>
      <w:r>
        <w:rPr>
          <w:rFonts w:ascii="宋体" w:hAnsi="宋体"/>
          <w:color w:val="auto"/>
          <w:kern w:val="10"/>
        </w:rPr>
        <w:t>500m</w:t>
      </w:r>
      <w:r>
        <w:rPr>
          <w:rFonts w:hint="eastAsia" w:ascii="宋体" w:hAnsi="宋体"/>
          <w:color w:val="auto"/>
          <w:kern w:val="10"/>
        </w:rPr>
        <w:t>至下游</w:t>
      </w:r>
      <w:r>
        <w:rPr>
          <w:rFonts w:ascii="宋体" w:hAnsi="宋体"/>
          <w:color w:val="auto"/>
          <w:kern w:val="10"/>
        </w:rPr>
        <w:t>1000m</w:t>
      </w:r>
      <w:r>
        <w:rPr>
          <w:rFonts w:hint="eastAsia" w:ascii="宋体" w:hAnsi="宋体"/>
          <w:color w:val="auto"/>
          <w:kern w:val="10"/>
        </w:rPr>
        <w:t>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1.3 评价标准</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1.3.1 地表水环境质量标准</w:t>
      </w:r>
    </w:p>
    <w:p>
      <w:pPr>
        <w:spacing w:line="520" w:lineRule="exact"/>
        <w:ind w:firstLine="499" w:firstLineChars="208"/>
        <w:rPr>
          <w:rFonts w:ascii="宋体" w:hAnsi="宋体"/>
          <w:kern w:val="10"/>
          <w:sz w:val="24"/>
        </w:rPr>
      </w:pPr>
      <w:r>
        <w:rPr>
          <w:rFonts w:hint="eastAsia" w:ascii="宋体" w:hAnsi="宋体"/>
          <w:kern w:val="10"/>
          <w:sz w:val="24"/>
        </w:rPr>
        <w:t>根据《山西省地表水环境功能区划》</w:t>
      </w:r>
      <w:r>
        <w:rPr>
          <w:rFonts w:ascii="宋体" w:hAnsi="宋体"/>
          <w:kern w:val="10"/>
          <w:sz w:val="24"/>
        </w:rPr>
        <w:t>(DB14/67-2019)，项目所在地地表河属湫水河东峁村-碛口段，主导功能为农业与一般景观水保护，</w:t>
      </w:r>
      <w:r>
        <w:rPr>
          <w:rFonts w:hint="eastAsia" w:ascii="宋体" w:hAnsi="宋体"/>
          <w:kern w:val="10"/>
          <w:sz w:val="24"/>
        </w:rPr>
        <w:t>地表水环境标准执行</w:t>
      </w:r>
      <w:r>
        <w:rPr>
          <w:rFonts w:ascii="宋体" w:hAnsi="宋体"/>
          <w:kern w:val="10"/>
          <w:sz w:val="24"/>
        </w:rPr>
        <w:t>《地表水环境质量标准》(GB3838-2002)中</w:t>
      </w:r>
      <w:r>
        <w:rPr>
          <w:rFonts w:ascii="宋体" w:hAnsi="宋体"/>
          <w:kern w:val="10"/>
          <w:sz w:val="24"/>
        </w:rPr>
        <w:fldChar w:fldCharType="begin"/>
      </w:r>
      <w:r>
        <w:rPr>
          <w:rFonts w:ascii="宋体" w:hAnsi="宋体"/>
          <w:kern w:val="10"/>
          <w:sz w:val="24"/>
        </w:rPr>
        <w:instrText xml:space="preserve"> = 4 \* ROMAN </w:instrText>
      </w:r>
      <w:r>
        <w:rPr>
          <w:rFonts w:ascii="宋体" w:hAnsi="宋体"/>
          <w:kern w:val="10"/>
          <w:sz w:val="24"/>
        </w:rPr>
        <w:fldChar w:fldCharType="separate"/>
      </w:r>
      <w:r>
        <w:rPr>
          <w:rFonts w:ascii="宋体" w:hAnsi="宋体"/>
          <w:kern w:val="10"/>
          <w:sz w:val="24"/>
        </w:rPr>
        <w:t>IV</w:t>
      </w:r>
      <w:r>
        <w:rPr>
          <w:rFonts w:ascii="宋体" w:hAnsi="宋体"/>
          <w:kern w:val="10"/>
          <w:sz w:val="24"/>
        </w:rPr>
        <w:fldChar w:fldCharType="end"/>
      </w:r>
      <w:r>
        <w:rPr>
          <w:rFonts w:hint="eastAsia" w:ascii="宋体" w:hAnsi="宋体"/>
          <w:kern w:val="10"/>
          <w:sz w:val="24"/>
        </w:rPr>
        <w:t>类标准，</w:t>
      </w:r>
      <w:r>
        <w:rPr>
          <w:rFonts w:ascii="宋体" w:hAnsi="宋体"/>
          <w:kern w:val="10"/>
          <w:sz w:val="24"/>
        </w:rPr>
        <w:t>标准限值详见表1-2。</w:t>
      </w:r>
    </w:p>
    <w:p>
      <w:pPr>
        <w:spacing w:line="520" w:lineRule="exact"/>
        <w:ind w:firstLine="1936" w:firstLineChars="807"/>
        <w:rPr>
          <w:rFonts w:ascii="宋体" w:hAnsi="宋体"/>
          <w:kern w:val="10"/>
          <w:sz w:val="24"/>
        </w:rPr>
      </w:pPr>
      <w:r>
        <w:rPr>
          <w:rFonts w:ascii="宋体" w:hAnsi="宋体"/>
          <w:kern w:val="10"/>
          <w:sz w:val="24"/>
        </w:rPr>
        <w:t xml:space="preserve">表1-2     地表水环境质量标准    单位：mg/L，pH除外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06"/>
        <w:gridCol w:w="2021"/>
        <w:gridCol w:w="1415"/>
        <w:gridCol w:w="912"/>
        <w:gridCol w:w="503"/>
        <w:gridCol w:w="912"/>
        <w:gridCol w:w="503"/>
        <w:gridCol w:w="141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ascii="宋体" w:hAnsi="宋体"/>
                <w:szCs w:val="21"/>
              </w:rPr>
              <w:t>pH</w:t>
            </w:r>
          </w:p>
        </w:tc>
        <w:tc>
          <w:tcPr>
            <w:tcW w:w="1253" w:type="pct"/>
            <w:gridSpan w:val="2"/>
            <w:vAlign w:val="center"/>
          </w:tcPr>
          <w:p>
            <w:pPr>
              <w:spacing w:line="400" w:lineRule="exact"/>
              <w:jc w:val="center"/>
              <w:rPr>
                <w:rFonts w:ascii="宋体" w:hAnsi="宋体"/>
                <w:szCs w:val="21"/>
              </w:rPr>
            </w:pPr>
            <w:r>
              <w:rPr>
                <w:rFonts w:hint="eastAsia" w:ascii="宋体" w:hAnsi="宋体"/>
                <w:szCs w:val="21"/>
              </w:rPr>
              <w:t>粪大肠菌群（个</w:t>
            </w:r>
            <w:r>
              <w:rPr>
                <w:rFonts w:ascii="宋体" w:hAnsi="宋体"/>
                <w:szCs w:val="21"/>
              </w:rPr>
              <w:t>/L</w:t>
            </w:r>
            <w:r>
              <w:rPr>
                <w:rFonts w:hint="eastAsia" w:ascii="宋体" w:hAnsi="宋体"/>
                <w:szCs w:val="21"/>
              </w:rPr>
              <w:t>）</w:t>
            </w:r>
          </w:p>
        </w:tc>
        <w:tc>
          <w:tcPr>
            <w:tcW w:w="762" w:type="pct"/>
            <w:gridSpan w:val="2"/>
            <w:vAlign w:val="center"/>
          </w:tcPr>
          <w:p>
            <w:pPr>
              <w:spacing w:line="400" w:lineRule="exact"/>
              <w:jc w:val="center"/>
              <w:rPr>
                <w:rFonts w:ascii="宋体" w:hAnsi="宋体"/>
                <w:szCs w:val="21"/>
              </w:rPr>
            </w:pPr>
            <w:r>
              <w:rPr>
                <w:rFonts w:ascii="宋体" w:hAnsi="宋体"/>
                <w:szCs w:val="21"/>
              </w:rPr>
              <w:t>COD</w:t>
            </w:r>
            <w:r>
              <w:rPr>
                <w:rFonts w:ascii="宋体" w:hAnsi="宋体"/>
                <w:szCs w:val="21"/>
                <w:vertAlign w:val="subscript"/>
              </w:rPr>
              <w:t>cr</w:t>
            </w:r>
          </w:p>
        </w:tc>
        <w:tc>
          <w:tcPr>
            <w:tcW w:w="1032" w:type="pct"/>
            <w:gridSpan w:val="2"/>
            <w:vAlign w:val="center"/>
          </w:tcPr>
          <w:p>
            <w:pPr>
              <w:spacing w:line="400" w:lineRule="exact"/>
              <w:jc w:val="center"/>
              <w:rPr>
                <w:rFonts w:ascii="宋体" w:hAnsi="宋体"/>
                <w:szCs w:val="21"/>
              </w:rPr>
            </w:pPr>
            <w:r>
              <w:rPr>
                <w:rFonts w:ascii="宋体" w:hAnsi="宋体"/>
                <w:szCs w:val="21"/>
              </w:rPr>
              <w:t>BOD</w:t>
            </w:r>
            <w:r>
              <w:rPr>
                <w:rFonts w:ascii="宋体" w:hAnsi="宋体"/>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6-9</w:t>
            </w:r>
          </w:p>
        </w:tc>
        <w:tc>
          <w:tcPr>
            <w:tcW w:w="1253" w:type="pct"/>
            <w:gridSpan w:val="2"/>
            <w:vAlign w:val="center"/>
          </w:tcPr>
          <w:p>
            <w:pPr>
              <w:spacing w:line="400" w:lineRule="exact"/>
              <w:jc w:val="center"/>
              <w:rPr>
                <w:rFonts w:ascii="宋体" w:hAnsi="宋体"/>
                <w:szCs w:val="21"/>
              </w:rPr>
            </w:pPr>
            <w:r>
              <w:rPr>
                <w:rFonts w:hint="eastAsia" w:ascii="宋体" w:hAnsi="宋体"/>
                <w:szCs w:val="21"/>
              </w:rPr>
              <w:t>≤10</w:t>
            </w:r>
            <w:r>
              <w:rPr>
                <w:rFonts w:ascii="宋体" w:hAnsi="宋体"/>
                <w:szCs w:val="21"/>
              </w:rPr>
              <w:t>000</w:t>
            </w:r>
          </w:p>
        </w:tc>
        <w:tc>
          <w:tcPr>
            <w:tcW w:w="762"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30</w:t>
            </w:r>
          </w:p>
        </w:tc>
        <w:tc>
          <w:tcPr>
            <w:tcW w:w="1032"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hint="eastAsia" w:ascii="宋体" w:hAnsi="宋体"/>
                <w:spacing w:val="4"/>
                <w:szCs w:val="21"/>
              </w:rPr>
              <w:t>氰化物</w:t>
            </w:r>
          </w:p>
        </w:tc>
        <w:tc>
          <w:tcPr>
            <w:tcW w:w="762" w:type="pct"/>
            <w:vAlign w:val="center"/>
          </w:tcPr>
          <w:p>
            <w:pPr>
              <w:spacing w:line="400" w:lineRule="exact"/>
              <w:jc w:val="center"/>
              <w:rPr>
                <w:rFonts w:ascii="宋体" w:hAnsi="宋体"/>
                <w:szCs w:val="21"/>
              </w:rPr>
            </w:pPr>
            <w:r>
              <w:rPr>
                <w:rFonts w:hint="eastAsia" w:ascii="宋体" w:hAnsi="宋体"/>
                <w:spacing w:val="4"/>
                <w:szCs w:val="21"/>
              </w:rPr>
              <w:t>镉</w:t>
            </w:r>
          </w:p>
        </w:tc>
        <w:tc>
          <w:tcPr>
            <w:tcW w:w="762" w:type="pct"/>
            <w:gridSpan w:val="2"/>
            <w:vAlign w:val="center"/>
          </w:tcPr>
          <w:p>
            <w:pPr>
              <w:spacing w:line="400" w:lineRule="exact"/>
              <w:jc w:val="center"/>
              <w:rPr>
                <w:rFonts w:ascii="宋体" w:hAnsi="宋体"/>
                <w:szCs w:val="21"/>
              </w:rPr>
            </w:pPr>
            <w:r>
              <w:rPr>
                <w:rFonts w:hint="eastAsia" w:ascii="宋体" w:hAnsi="宋体"/>
                <w:szCs w:val="21"/>
              </w:rPr>
              <w:t>铬（六价）</w:t>
            </w:r>
          </w:p>
        </w:tc>
        <w:tc>
          <w:tcPr>
            <w:tcW w:w="762" w:type="pct"/>
            <w:gridSpan w:val="2"/>
            <w:vAlign w:val="center"/>
          </w:tcPr>
          <w:p>
            <w:pPr>
              <w:spacing w:line="400" w:lineRule="exact"/>
              <w:jc w:val="center"/>
              <w:rPr>
                <w:rFonts w:ascii="宋体" w:hAnsi="宋体"/>
                <w:szCs w:val="21"/>
              </w:rPr>
            </w:pPr>
            <w:r>
              <w:rPr>
                <w:rFonts w:hint="eastAsia" w:ascii="宋体" w:hAnsi="宋体"/>
                <w:spacing w:val="4"/>
                <w:szCs w:val="21"/>
              </w:rPr>
              <w:t>氟化物</w:t>
            </w:r>
          </w:p>
        </w:tc>
        <w:tc>
          <w:tcPr>
            <w:tcW w:w="762" w:type="pct"/>
            <w:vAlign w:val="center"/>
          </w:tcPr>
          <w:p>
            <w:pPr>
              <w:spacing w:line="400" w:lineRule="exact"/>
              <w:jc w:val="center"/>
              <w:rPr>
                <w:rFonts w:ascii="宋体" w:hAnsi="宋体"/>
                <w:szCs w:val="21"/>
              </w:rPr>
            </w:pPr>
            <w:r>
              <w:rPr>
                <w:rFonts w:hint="eastAsia" w:ascii="宋体" w:hAnsi="宋体"/>
                <w:szCs w:val="21"/>
              </w:rPr>
              <w:t>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hint="eastAsia" w:ascii="宋体" w:hAnsi="宋体"/>
                <w:szCs w:val="21"/>
              </w:rPr>
              <w:t>≤0.2</w:t>
            </w:r>
          </w:p>
        </w:tc>
        <w:tc>
          <w:tcPr>
            <w:tcW w:w="762" w:type="pct"/>
            <w:vAlign w:val="center"/>
          </w:tcPr>
          <w:p>
            <w:pPr>
              <w:spacing w:line="400" w:lineRule="exact"/>
              <w:jc w:val="center"/>
              <w:rPr>
                <w:rFonts w:ascii="宋体" w:hAnsi="宋体"/>
                <w:szCs w:val="21"/>
              </w:rPr>
            </w:pPr>
            <w:r>
              <w:rPr>
                <w:rFonts w:hint="eastAsia" w:ascii="宋体" w:hAnsi="宋体"/>
                <w:szCs w:val="21"/>
              </w:rPr>
              <w:t>≤0.005</w:t>
            </w:r>
          </w:p>
        </w:tc>
        <w:tc>
          <w:tcPr>
            <w:tcW w:w="762" w:type="pct"/>
            <w:gridSpan w:val="2"/>
            <w:vAlign w:val="center"/>
          </w:tcPr>
          <w:p>
            <w:pPr>
              <w:spacing w:line="400" w:lineRule="exact"/>
              <w:jc w:val="center"/>
              <w:rPr>
                <w:rFonts w:ascii="宋体" w:hAnsi="宋体"/>
                <w:szCs w:val="21"/>
              </w:rPr>
            </w:pPr>
            <w:r>
              <w:rPr>
                <w:rFonts w:hint="eastAsia" w:ascii="宋体" w:hAnsi="宋体"/>
                <w:szCs w:val="21"/>
              </w:rPr>
              <w:t>≤0.05</w:t>
            </w:r>
          </w:p>
        </w:tc>
        <w:tc>
          <w:tcPr>
            <w:tcW w:w="762" w:type="pct"/>
            <w:gridSpan w:val="2"/>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0</w:t>
            </w:r>
          </w:p>
        </w:tc>
        <w:tc>
          <w:tcPr>
            <w:tcW w:w="762" w:type="pct"/>
            <w:vAlign w:val="center"/>
          </w:tcPr>
          <w:p>
            <w:pPr>
              <w:spacing w:line="400" w:lineRule="exact"/>
              <w:jc w:val="center"/>
              <w:rPr>
                <w:rFonts w:ascii="宋体" w:hAnsi="宋体"/>
                <w:szCs w:val="21"/>
              </w:rPr>
            </w:pPr>
            <w:r>
              <w:rPr>
                <w:rFonts w:hint="eastAsia" w:ascii="宋体" w:hAnsi="宋体"/>
                <w:szCs w:val="21"/>
              </w:rPr>
              <w:t>≤0.0</w:t>
            </w:r>
            <w:r>
              <w:rPr>
                <w:rFonts w:ascii="宋体" w:hAnsi="宋体"/>
                <w:szCs w:val="21"/>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污染物</w:t>
            </w:r>
          </w:p>
        </w:tc>
        <w:tc>
          <w:tcPr>
            <w:tcW w:w="1088" w:type="pct"/>
            <w:vAlign w:val="center"/>
          </w:tcPr>
          <w:p>
            <w:pPr>
              <w:spacing w:line="400" w:lineRule="exact"/>
              <w:jc w:val="center"/>
              <w:rPr>
                <w:rFonts w:ascii="宋体" w:hAnsi="宋体"/>
                <w:szCs w:val="21"/>
              </w:rPr>
            </w:pPr>
            <w:r>
              <w:rPr>
                <w:rFonts w:hint="eastAsia" w:ascii="宋体" w:hAnsi="宋体"/>
                <w:szCs w:val="21"/>
              </w:rPr>
              <w:t>阴离子表面活性剂</w:t>
            </w:r>
          </w:p>
        </w:tc>
        <w:tc>
          <w:tcPr>
            <w:tcW w:w="762" w:type="pct"/>
            <w:vAlign w:val="center"/>
          </w:tcPr>
          <w:p>
            <w:pPr>
              <w:spacing w:line="400" w:lineRule="exact"/>
              <w:jc w:val="center"/>
              <w:rPr>
                <w:rFonts w:ascii="宋体" w:hAnsi="宋体"/>
                <w:szCs w:val="21"/>
              </w:rPr>
            </w:pPr>
            <w:r>
              <w:rPr>
                <w:rFonts w:ascii="宋体" w:hAnsi="宋体"/>
                <w:szCs w:val="21"/>
              </w:rPr>
              <w:t>铅</w:t>
            </w:r>
          </w:p>
        </w:tc>
        <w:tc>
          <w:tcPr>
            <w:tcW w:w="762" w:type="pct"/>
            <w:gridSpan w:val="2"/>
            <w:vAlign w:val="center"/>
          </w:tcPr>
          <w:p>
            <w:pPr>
              <w:spacing w:line="400" w:lineRule="exact"/>
              <w:jc w:val="center"/>
              <w:rPr>
                <w:rFonts w:ascii="宋体" w:hAnsi="宋体"/>
                <w:szCs w:val="21"/>
              </w:rPr>
            </w:pPr>
            <w:r>
              <w:rPr>
                <w:rFonts w:ascii="宋体" w:hAnsi="宋体"/>
                <w:snapToGrid w:val="0"/>
                <w:kern w:val="18"/>
                <w:szCs w:val="21"/>
              </w:rPr>
              <w:t>石油类</w:t>
            </w:r>
          </w:p>
        </w:tc>
        <w:tc>
          <w:tcPr>
            <w:tcW w:w="762" w:type="pct"/>
            <w:gridSpan w:val="2"/>
            <w:vAlign w:val="center"/>
          </w:tcPr>
          <w:p>
            <w:pPr>
              <w:spacing w:line="400" w:lineRule="exact"/>
              <w:jc w:val="center"/>
              <w:rPr>
                <w:rFonts w:ascii="宋体" w:hAnsi="宋体"/>
                <w:szCs w:val="21"/>
              </w:rPr>
            </w:pPr>
            <w:r>
              <w:rPr>
                <w:rFonts w:ascii="宋体" w:hAnsi="宋体"/>
                <w:szCs w:val="21"/>
              </w:rPr>
              <w:t>NH</w:t>
            </w:r>
            <w:r>
              <w:rPr>
                <w:rFonts w:ascii="宋体" w:hAnsi="宋体"/>
                <w:szCs w:val="21"/>
                <w:vertAlign w:val="subscript"/>
              </w:rPr>
              <w:t>3</w:t>
            </w:r>
            <w:r>
              <w:rPr>
                <w:rFonts w:ascii="宋体" w:hAnsi="宋体"/>
                <w:szCs w:val="21"/>
              </w:rPr>
              <w:t>-N</w:t>
            </w:r>
          </w:p>
        </w:tc>
        <w:tc>
          <w:tcPr>
            <w:tcW w:w="762" w:type="pct"/>
            <w:vAlign w:val="center"/>
          </w:tcPr>
          <w:p>
            <w:pPr>
              <w:spacing w:line="400" w:lineRule="exact"/>
              <w:jc w:val="center"/>
              <w:rPr>
                <w:rFonts w:ascii="宋体" w:hAnsi="宋体"/>
                <w:szCs w:val="21"/>
              </w:rPr>
            </w:pPr>
            <w:r>
              <w:rPr>
                <w:rFonts w:ascii="宋体" w:hAnsi="宋体"/>
                <w:szCs w:val="21"/>
              </w:rPr>
              <w:t>硫化物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≤0.3</w:t>
            </w:r>
          </w:p>
        </w:tc>
        <w:tc>
          <w:tcPr>
            <w:tcW w:w="762" w:type="pct"/>
            <w:vAlign w:val="center"/>
          </w:tcPr>
          <w:p>
            <w:pPr>
              <w:spacing w:line="400" w:lineRule="exact"/>
              <w:jc w:val="center"/>
              <w:rPr>
                <w:rFonts w:ascii="宋体" w:hAnsi="宋体"/>
                <w:szCs w:val="21"/>
              </w:rPr>
            </w:pPr>
            <w:r>
              <w:rPr>
                <w:rFonts w:ascii="宋体" w:hAnsi="宋体"/>
                <w:szCs w:val="21"/>
              </w:rPr>
              <w:t>≤0.05</w:t>
            </w:r>
          </w:p>
        </w:tc>
        <w:tc>
          <w:tcPr>
            <w:tcW w:w="762" w:type="pct"/>
            <w:gridSpan w:val="2"/>
            <w:vAlign w:val="center"/>
          </w:tcPr>
          <w:p>
            <w:pPr>
              <w:spacing w:line="400" w:lineRule="exact"/>
              <w:jc w:val="center"/>
              <w:rPr>
                <w:rFonts w:ascii="宋体" w:hAnsi="宋体"/>
                <w:szCs w:val="21"/>
              </w:rPr>
            </w:pPr>
            <w:r>
              <w:rPr>
                <w:rFonts w:ascii="宋体" w:hAnsi="宋体"/>
                <w:szCs w:val="21"/>
              </w:rPr>
              <w:t>≤0.5</w:t>
            </w:r>
          </w:p>
        </w:tc>
        <w:tc>
          <w:tcPr>
            <w:tcW w:w="762" w:type="pct"/>
            <w:gridSpan w:val="2"/>
            <w:vAlign w:val="center"/>
          </w:tcPr>
          <w:p>
            <w:pPr>
              <w:spacing w:line="400" w:lineRule="exact"/>
              <w:jc w:val="center"/>
              <w:rPr>
                <w:rFonts w:ascii="宋体" w:hAnsi="宋体"/>
                <w:szCs w:val="21"/>
              </w:rPr>
            </w:pPr>
            <w:r>
              <w:rPr>
                <w:rFonts w:ascii="宋体" w:hAnsi="宋体"/>
                <w:szCs w:val="21"/>
              </w:rPr>
              <w:t>≤1.5</w:t>
            </w:r>
          </w:p>
        </w:tc>
        <w:tc>
          <w:tcPr>
            <w:tcW w:w="762" w:type="pct"/>
            <w:vAlign w:val="center"/>
          </w:tcPr>
          <w:p>
            <w:pPr>
              <w:spacing w:line="400" w:lineRule="exact"/>
              <w:jc w:val="center"/>
              <w:rPr>
                <w:rFonts w:ascii="宋体" w:hAnsi="宋体"/>
                <w:szCs w:val="21"/>
              </w:rPr>
            </w:pPr>
            <w:r>
              <w:rPr>
                <w:rFonts w:ascii="宋体" w:hAnsi="宋体"/>
                <w:szCs w:val="21"/>
              </w:rPr>
              <w:t>≤0.5</w:t>
            </w:r>
          </w:p>
        </w:tc>
      </w:tr>
    </w:tbl>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1.3.2 废水污染物排放标准</w:t>
      </w:r>
    </w:p>
    <w:p>
      <w:pPr>
        <w:pStyle w:val="87"/>
        <w:widowControl w:val="0"/>
        <w:spacing w:line="500" w:lineRule="exact"/>
        <w:ind w:firstLine="480"/>
        <w:jc w:val="both"/>
        <w:rPr>
          <w:rFonts w:ascii="宋体" w:hAnsi="宋体"/>
          <w:kern w:val="10"/>
        </w:rPr>
      </w:pPr>
      <w:r>
        <w:rPr>
          <w:rFonts w:hint="eastAsia" w:ascii="宋体" w:hAnsi="宋体"/>
          <w:kern w:val="10"/>
        </w:rPr>
        <w:t>污水排放标准为：排放的生活污水</w:t>
      </w:r>
      <w:r>
        <w:rPr>
          <w:rFonts w:ascii="宋体" w:hAnsi="宋体"/>
          <w:kern w:val="10"/>
        </w:rPr>
        <w:t>COD、TP和NH</w:t>
      </w:r>
      <w:r>
        <w:rPr>
          <w:rFonts w:ascii="宋体" w:hAnsi="宋体"/>
          <w:kern w:val="10"/>
          <w:vertAlign w:val="subscript"/>
        </w:rPr>
        <w:t>3</w:t>
      </w:r>
      <w:r>
        <w:rPr>
          <w:rFonts w:ascii="宋体" w:hAnsi="宋体"/>
          <w:kern w:val="10"/>
        </w:rPr>
        <w:t>-N三项指标</w:t>
      </w:r>
      <w:r>
        <w:rPr>
          <w:rFonts w:hint="eastAsia" w:ascii="宋体" w:hAnsi="宋体"/>
          <w:kern w:val="10"/>
        </w:rPr>
        <w:t>执行</w:t>
      </w:r>
      <w:r>
        <w:rPr>
          <w:rFonts w:ascii="宋体" w:hAnsi="宋体"/>
          <w:kern w:val="10"/>
        </w:rPr>
        <w:t>《污水综合排放标准》（DB14/1928-2019）中的表2标准要求，其余指标执行《城镇污水处理厂污染物排放标准》（GB18918-2002）中的一级A标准，详见表1-3。</w:t>
      </w:r>
    </w:p>
    <w:p>
      <w:pPr>
        <w:pStyle w:val="8"/>
        <w:spacing w:line="480" w:lineRule="exact"/>
        <w:rPr>
          <w:b/>
          <w:kern w:val="10"/>
          <w:szCs w:val="20"/>
        </w:rPr>
      </w:pPr>
      <w:r>
        <w:rPr>
          <w:kern w:val="10"/>
          <w:szCs w:val="20"/>
        </w:rPr>
        <w:t>表1-3     基本控制项目最高允许排放浓度            单位:mg/L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1064"/>
        <w:gridCol w:w="2305"/>
        <w:gridCol w:w="3109"/>
        <w:gridCol w:w="280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序号</w:t>
            </w:r>
          </w:p>
        </w:tc>
        <w:tc>
          <w:tcPr>
            <w:tcW w:w="1241" w:type="pct"/>
            <w:vAlign w:val="center"/>
          </w:tcPr>
          <w:p>
            <w:pPr>
              <w:pStyle w:val="69"/>
              <w:spacing w:line="360" w:lineRule="atLeast"/>
              <w:rPr>
                <w:rFonts w:ascii="宋体" w:hAnsi="宋体"/>
                <w:b/>
                <w:bCs/>
                <w:kern w:val="10"/>
              </w:rPr>
            </w:pPr>
            <w:r>
              <w:rPr>
                <w:rFonts w:ascii="宋体" w:hAnsi="宋体"/>
                <w:bCs/>
                <w:kern w:val="10"/>
              </w:rPr>
              <w:t>基本控制项目</w:t>
            </w:r>
          </w:p>
        </w:tc>
        <w:tc>
          <w:tcPr>
            <w:tcW w:w="1674" w:type="pct"/>
            <w:vAlign w:val="center"/>
          </w:tcPr>
          <w:p>
            <w:pPr>
              <w:pStyle w:val="69"/>
              <w:spacing w:line="360" w:lineRule="atLeast"/>
              <w:rPr>
                <w:rFonts w:ascii="宋体" w:hAnsi="宋体"/>
                <w:b/>
                <w:bCs/>
                <w:kern w:val="10"/>
              </w:rPr>
            </w:pPr>
            <w:r>
              <w:rPr>
                <w:rFonts w:ascii="宋体" w:hAnsi="宋体"/>
                <w:bCs/>
                <w:kern w:val="10"/>
              </w:rPr>
              <w:t>《城镇污水处理厂污染物排放标准》（GB18918-2002）的一级A标准</w:t>
            </w:r>
          </w:p>
        </w:tc>
        <w:tc>
          <w:tcPr>
            <w:tcW w:w="1512" w:type="pct"/>
            <w:vAlign w:val="center"/>
          </w:tcPr>
          <w:p>
            <w:pPr>
              <w:pStyle w:val="69"/>
              <w:spacing w:line="360" w:lineRule="atLeast"/>
              <w:rPr>
                <w:rFonts w:ascii="宋体" w:hAnsi="宋体"/>
                <w:b/>
                <w:bCs/>
                <w:kern w:val="10"/>
              </w:rPr>
            </w:pPr>
            <w:r>
              <w:rPr>
                <w:rFonts w:ascii="宋体" w:hAnsi="宋体"/>
                <w:bCs/>
                <w:kern w:val="10"/>
              </w:rPr>
              <w:t>《污水综合排放标准》（DB14/1928-2019）中的表2标准要求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w:t>
            </w:r>
          </w:p>
        </w:tc>
        <w:tc>
          <w:tcPr>
            <w:tcW w:w="1241" w:type="pct"/>
            <w:vAlign w:val="center"/>
          </w:tcPr>
          <w:p>
            <w:pPr>
              <w:pStyle w:val="69"/>
              <w:spacing w:line="360" w:lineRule="atLeast"/>
              <w:rPr>
                <w:rFonts w:ascii="宋体" w:hAnsi="宋体"/>
                <w:b/>
                <w:bCs/>
                <w:kern w:val="10"/>
              </w:rPr>
            </w:pPr>
            <w:r>
              <w:rPr>
                <w:rFonts w:ascii="宋体" w:hAnsi="宋体"/>
                <w:bCs/>
                <w:kern w:val="10"/>
              </w:rPr>
              <w:t>COD</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2</w:t>
            </w:r>
          </w:p>
        </w:tc>
        <w:tc>
          <w:tcPr>
            <w:tcW w:w="1241" w:type="pct"/>
            <w:vAlign w:val="center"/>
          </w:tcPr>
          <w:p>
            <w:pPr>
              <w:pStyle w:val="69"/>
              <w:spacing w:line="360" w:lineRule="atLeast"/>
              <w:rPr>
                <w:rFonts w:ascii="宋体" w:hAnsi="宋体"/>
                <w:b/>
                <w:bCs/>
                <w:kern w:val="10"/>
              </w:rPr>
            </w:pPr>
            <w:r>
              <w:rPr>
                <w:rFonts w:ascii="宋体" w:hAnsi="宋体"/>
                <w:bCs/>
                <w:kern w:val="10"/>
              </w:rPr>
              <w:t>BOD</w:t>
            </w:r>
          </w:p>
        </w:tc>
        <w:tc>
          <w:tcPr>
            <w:tcW w:w="1674" w:type="pct"/>
            <w:vAlign w:val="center"/>
          </w:tcPr>
          <w:p>
            <w:pPr>
              <w:pStyle w:val="69"/>
              <w:spacing w:line="360" w:lineRule="atLeast"/>
              <w:rPr>
                <w:rFonts w:ascii="宋体" w:hAnsi="宋体"/>
                <w:b/>
                <w:bCs/>
                <w:kern w:val="10"/>
              </w:rPr>
            </w:pPr>
            <w:r>
              <w:rPr>
                <w:rFonts w:ascii="宋体" w:hAnsi="宋体"/>
                <w:bCs/>
                <w:kern w:val="10"/>
              </w:rPr>
              <w:t>10</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3</w:t>
            </w:r>
          </w:p>
        </w:tc>
        <w:tc>
          <w:tcPr>
            <w:tcW w:w="1241" w:type="pct"/>
            <w:vAlign w:val="center"/>
          </w:tcPr>
          <w:p>
            <w:pPr>
              <w:pStyle w:val="69"/>
              <w:spacing w:line="360" w:lineRule="atLeast"/>
              <w:rPr>
                <w:rFonts w:ascii="宋体" w:hAnsi="宋体"/>
                <w:b/>
                <w:bCs/>
                <w:kern w:val="10"/>
              </w:rPr>
            </w:pPr>
            <w:r>
              <w:rPr>
                <w:rFonts w:ascii="宋体" w:hAnsi="宋体"/>
                <w:bCs/>
                <w:kern w:val="10"/>
              </w:rPr>
              <w:t>SS</w:t>
            </w:r>
          </w:p>
        </w:tc>
        <w:tc>
          <w:tcPr>
            <w:tcW w:w="1674" w:type="pct"/>
            <w:vAlign w:val="center"/>
          </w:tcPr>
          <w:p>
            <w:pPr>
              <w:pStyle w:val="69"/>
              <w:spacing w:line="360" w:lineRule="atLeast"/>
              <w:rPr>
                <w:rFonts w:ascii="宋体" w:hAnsi="宋体"/>
                <w:b/>
                <w:bCs/>
                <w:kern w:val="10"/>
              </w:rPr>
            </w:pPr>
            <w:r>
              <w:rPr>
                <w:rFonts w:ascii="宋体" w:hAnsi="宋体"/>
                <w:bCs/>
                <w:kern w:val="10"/>
              </w:rPr>
              <w:t>10</w:t>
            </w:r>
          </w:p>
        </w:tc>
        <w:tc>
          <w:tcPr>
            <w:tcW w:w="1512" w:type="pct"/>
            <w:vAlign w:val="center"/>
          </w:tcPr>
          <w:p>
            <w:pPr>
              <w:pStyle w:val="69"/>
              <w:spacing w:line="360" w:lineRule="atLeast"/>
              <w:rPr>
                <w:rFonts w:ascii="宋体" w:hAnsi="宋体"/>
                <w:b/>
                <w:bCs/>
                <w:kern w:val="10"/>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4</w:t>
            </w:r>
          </w:p>
        </w:tc>
        <w:tc>
          <w:tcPr>
            <w:tcW w:w="1241" w:type="pct"/>
            <w:vAlign w:val="center"/>
          </w:tcPr>
          <w:p>
            <w:pPr>
              <w:pStyle w:val="69"/>
              <w:spacing w:line="360" w:lineRule="atLeast"/>
              <w:rPr>
                <w:rFonts w:ascii="宋体" w:hAnsi="宋体"/>
                <w:b/>
                <w:bCs/>
                <w:kern w:val="10"/>
              </w:rPr>
            </w:pPr>
            <w:r>
              <w:rPr>
                <w:rFonts w:ascii="宋体" w:hAnsi="宋体"/>
                <w:bCs/>
                <w:kern w:val="10"/>
              </w:rPr>
              <w:t>动植物油</w:t>
            </w:r>
          </w:p>
        </w:tc>
        <w:tc>
          <w:tcPr>
            <w:tcW w:w="1674" w:type="pct"/>
            <w:vAlign w:val="center"/>
          </w:tcPr>
          <w:p>
            <w:pPr>
              <w:pStyle w:val="69"/>
              <w:spacing w:line="360" w:lineRule="atLeast"/>
              <w:rPr>
                <w:rFonts w:ascii="宋体" w:hAnsi="宋体"/>
                <w:b/>
                <w:bCs/>
                <w:kern w:val="10"/>
              </w:rPr>
            </w:pPr>
            <w:r>
              <w:rPr>
                <w:rFonts w:ascii="宋体" w:hAnsi="宋体"/>
                <w:bCs/>
                <w:kern w:val="10"/>
              </w:rPr>
              <w:t>1</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5</w:t>
            </w:r>
          </w:p>
        </w:tc>
        <w:tc>
          <w:tcPr>
            <w:tcW w:w="1241" w:type="pct"/>
            <w:vAlign w:val="center"/>
          </w:tcPr>
          <w:p>
            <w:pPr>
              <w:pStyle w:val="69"/>
              <w:spacing w:line="360" w:lineRule="atLeast"/>
              <w:rPr>
                <w:rFonts w:ascii="宋体" w:hAnsi="宋体"/>
                <w:b/>
                <w:bCs/>
                <w:kern w:val="10"/>
              </w:rPr>
            </w:pPr>
            <w:r>
              <w:rPr>
                <w:rFonts w:ascii="宋体" w:hAnsi="宋体"/>
                <w:bCs/>
                <w:kern w:val="10"/>
              </w:rPr>
              <w:t>石油类</w:t>
            </w:r>
          </w:p>
        </w:tc>
        <w:tc>
          <w:tcPr>
            <w:tcW w:w="1674" w:type="pct"/>
            <w:vAlign w:val="center"/>
          </w:tcPr>
          <w:p>
            <w:pPr>
              <w:pStyle w:val="69"/>
              <w:spacing w:line="360" w:lineRule="atLeast"/>
              <w:rPr>
                <w:rFonts w:ascii="宋体" w:hAnsi="宋体"/>
                <w:b/>
                <w:bCs/>
                <w:kern w:val="10"/>
              </w:rPr>
            </w:pPr>
            <w:r>
              <w:rPr>
                <w:rFonts w:ascii="宋体" w:hAnsi="宋体"/>
                <w:bCs/>
                <w:kern w:val="10"/>
              </w:rPr>
              <w:t>1</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6</w:t>
            </w:r>
          </w:p>
        </w:tc>
        <w:tc>
          <w:tcPr>
            <w:tcW w:w="1241" w:type="pct"/>
            <w:vAlign w:val="center"/>
          </w:tcPr>
          <w:p>
            <w:pPr>
              <w:pStyle w:val="69"/>
              <w:spacing w:line="360" w:lineRule="atLeast"/>
              <w:rPr>
                <w:rFonts w:ascii="宋体" w:hAnsi="宋体"/>
                <w:b/>
                <w:bCs/>
                <w:kern w:val="10"/>
              </w:rPr>
            </w:pPr>
            <w:r>
              <w:rPr>
                <w:rFonts w:ascii="宋体" w:hAnsi="宋体"/>
                <w:bCs/>
                <w:kern w:val="10"/>
              </w:rPr>
              <w:t>阴离子表面活性剂</w:t>
            </w:r>
          </w:p>
        </w:tc>
        <w:tc>
          <w:tcPr>
            <w:tcW w:w="1674" w:type="pct"/>
            <w:vAlign w:val="center"/>
          </w:tcPr>
          <w:p>
            <w:pPr>
              <w:pStyle w:val="69"/>
              <w:spacing w:line="360" w:lineRule="atLeast"/>
              <w:rPr>
                <w:rFonts w:ascii="宋体" w:hAnsi="宋体"/>
                <w:b/>
                <w:bCs/>
                <w:kern w:val="10"/>
              </w:rPr>
            </w:pPr>
            <w:r>
              <w:rPr>
                <w:rFonts w:ascii="宋体" w:hAnsi="宋体"/>
                <w:bCs/>
                <w:kern w:val="10"/>
              </w:rPr>
              <w:t>0.5</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7</w:t>
            </w:r>
          </w:p>
        </w:tc>
        <w:tc>
          <w:tcPr>
            <w:tcW w:w="1241" w:type="pct"/>
            <w:vAlign w:val="center"/>
          </w:tcPr>
          <w:p>
            <w:pPr>
              <w:pStyle w:val="69"/>
              <w:spacing w:line="360" w:lineRule="atLeast"/>
              <w:rPr>
                <w:rFonts w:ascii="宋体" w:hAnsi="宋体"/>
                <w:b/>
                <w:bCs/>
                <w:kern w:val="10"/>
              </w:rPr>
            </w:pPr>
            <w:r>
              <w:rPr>
                <w:rFonts w:ascii="宋体" w:hAnsi="宋体"/>
                <w:bCs/>
                <w:kern w:val="10"/>
              </w:rPr>
              <w:t>总氮</w:t>
            </w:r>
          </w:p>
        </w:tc>
        <w:tc>
          <w:tcPr>
            <w:tcW w:w="1674" w:type="pct"/>
            <w:vAlign w:val="center"/>
          </w:tcPr>
          <w:p>
            <w:pPr>
              <w:pStyle w:val="69"/>
              <w:spacing w:line="360" w:lineRule="atLeast"/>
              <w:rPr>
                <w:rFonts w:ascii="宋体" w:hAnsi="宋体"/>
                <w:b/>
                <w:bCs/>
                <w:kern w:val="10"/>
              </w:rPr>
            </w:pPr>
            <w:r>
              <w:rPr>
                <w:rFonts w:ascii="宋体" w:hAnsi="宋体"/>
                <w:bCs/>
                <w:kern w:val="10"/>
              </w:rPr>
              <w:t>15</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8</w:t>
            </w:r>
          </w:p>
        </w:tc>
        <w:tc>
          <w:tcPr>
            <w:tcW w:w="1241" w:type="pct"/>
            <w:vAlign w:val="center"/>
          </w:tcPr>
          <w:p>
            <w:pPr>
              <w:pStyle w:val="69"/>
              <w:spacing w:line="360" w:lineRule="atLeast"/>
              <w:rPr>
                <w:rFonts w:ascii="宋体" w:hAnsi="宋体"/>
                <w:b/>
                <w:bCs/>
                <w:kern w:val="10"/>
              </w:rPr>
            </w:pPr>
            <w:r>
              <w:rPr>
                <w:rFonts w:ascii="宋体" w:hAnsi="宋体"/>
                <w:bCs/>
                <w:kern w:val="10"/>
              </w:rPr>
              <w:t>NH</w:t>
            </w:r>
            <w:r>
              <w:rPr>
                <w:rFonts w:ascii="宋体" w:hAnsi="宋体"/>
                <w:bCs/>
                <w:kern w:val="10"/>
                <w:vertAlign w:val="subscript"/>
              </w:rPr>
              <w:t>3</w:t>
            </w:r>
            <w:r>
              <w:rPr>
                <w:rFonts w:ascii="宋体" w:hAnsi="宋体"/>
                <w:bCs/>
                <w:kern w:val="10"/>
              </w:rPr>
              <w:t>-N</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9</w:t>
            </w:r>
          </w:p>
        </w:tc>
        <w:tc>
          <w:tcPr>
            <w:tcW w:w="1241" w:type="pct"/>
            <w:vAlign w:val="center"/>
          </w:tcPr>
          <w:p>
            <w:pPr>
              <w:pStyle w:val="69"/>
              <w:spacing w:line="360" w:lineRule="atLeast"/>
              <w:rPr>
                <w:rFonts w:ascii="宋体" w:hAnsi="宋体"/>
                <w:b/>
                <w:bCs/>
                <w:kern w:val="10"/>
              </w:rPr>
            </w:pPr>
            <w:r>
              <w:rPr>
                <w:rFonts w:ascii="宋体" w:hAnsi="宋体"/>
                <w:bCs/>
                <w:kern w:val="10"/>
              </w:rPr>
              <w:t>总磷</w:t>
            </w:r>
          </w:p>
        </w:tc>
        <w:tc>
          <w:tcPr>
            <w:tcW w:w="1674" w:type="pct"/>
            <w:vAlign w:val="center"/>
          </w:tcPr>
          <w:p>
            <w:pPr>
              <w:pStyle w:val="69"/>
              <w:spacing w:line="360" w:lineRule="atLeast"/>
              <w:rPr>
                <w:rFonts w:ascii="宋体" w:hAnsi="宋体"/>
                <w:b/>
                <w:bCs/>
                <w:kern w:val="10"/>
              </w:rPr>
            </w:pPr>
            <w:r>
              <w:rPr>
                <w:rFonts w:ascii="宋体" w:hAnsi="宋体"/>
                <w:bCs/>
                <w:kern w:val="10"/>
              </w:rPr>
              <w:t>/</w:t>
            </w:r>
          </w:p>
        </w:tc>
        <w:tc>
          <w:tcPr>
            <w:tcW w:w="1512" w:type="pct"/>
            <w:vAlign w:val="center"/>
          </w:tcPr>
          <w:p>
            <w:pPr>
              <w:pStyle w:val="69"/>
              <w:spacing w:line="360" w:lineRule="atLeast"/>
              <w:rPr>
                <w:rFonts w:ascii="宋体" w:hAnsi="宋体"/>
                <w:b/>
                <w:bCs/>
                <w:kern w:val="10"/>
              </w:rPr>
            </w:pPr>
            <w:r>
              <w:rPr>
                <w:rFonts w:ascii="宋体" w:hAnsi="宋体"/>
                <w:bCs/>
                <w:kern w:val="10"/>
              </w:rPr>
              <w:t>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10</w:t>
            </w:r>
          </w:p>
        </w:tc>
        <w:tc>
          <w:tcPr>
            <w:tcW w:w="1241" w:type="pct"/>
            <w:vAlign w:val="center"/>
          </w:tcPr>
          <w:p>
            <w:pPr>
              <w:pStyle w:val="69"/>
              <w:spacing w:line="360" w:lineRule="atLeast"/>
              <w:rPr>
                <w:rFonts w:ascii="宋体" w:hAnsi="宋体"/>
                <w:b/>
                <w:bCs/>
                <w:kern w:val="10"/>
              </w:rPr>
            </w:pPr>
            <w:r>
              <w:rPr>
                <w:rFonts w:ascii="宋体" w:hAnsi="宋体"/>
                <w:bCs/>
                <w:kern w:val="10"/>
              </w:rPr>
              <w:t>色度</w:t>
            </w:r>
          </w:p>
        </w:tc>
        <w:tc>
          <w:tcPr>
            <w:tcW w:w="1674" w:type="pct"/>
            <w:vAlign w:val="center"/>
          </w:tcPr>
          <w:p>
            <w:pPr>
              <w:pStyle w:val="69"/>
              <w:spacing w:line="360" w:lineRule="atLeast"/>
              <w:rPr>
                <w:rFonts w:ascii="宋体" w:hAnsi="宋体"/>
                <w:b/>
                <w:bCs/>
                <w:kern w:val="10"/>
              </w:rPr>
            </w:pPr>
            <w:r>
              <w:rPr>
                <w:rFonts w:ascii="宋体" w:hAnsi="宋体"/>
                <w:bCs/>
                <w:kern w:val="10"/>
              </w:rPr>
              <w:t>30</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11</w:t>
            </w:r>
          </w:p>
        </w:tc>
        <w:tc>
          <w:tcPr>
            <w:tcW w:w="1241" w:type="pct"/>
            <w:vAlign w:val="center"/>
          </w:tcPr>
          <w:p>
            <w:pPr>
              <w:pStyle w:val="69"/>
              <w:spacing w:line="360" w:lineRule="atLeast"/>
              <w:rPr>
                <w:rFonts w:ascii="宋体" w:hAnsi="宋体"/>
                <w:b/>
                <w:bCs/>
                <w:kern w:val="10"/>
              </w:rPr>
            </w:pPr>
            <w:r>
              <w:rPr>
                <w:rFonts w:ascii="宋体" w:hAnsi="宋体"/>
                <w:bCs/>
                <w:kern w:val="10"/>
              </w:rPr>
              <w:t>PH</w:t>
            </w:r>
          </w:p>
        </w:tc>
        <w:tc>
          <w:tcPr>
            <w:tcW w:w="1674" w:type="pct"/>
            <w:vAlign w:val="center"/>
          </w:tcPr>
          <w:p>
            <w:pPr>
              <w:pStyle w:val="69"/>
              <w:spacing w:line="360" w:lineRule="atLeast"/>
              <w:rPr>
                <w:rFonts w:ascii="宋体" w:hAnsi="宋体"/>
                <w:b/>
                <w:bCs/>
                <w:kern w:val="10"/>
              </w:rPr>
            </w:pPr>
            <w:r>
              <w:rPr>
                <w:rFonts w:ascii="宋体" w:hAnsi="宋体"/>
                <w:bCs/>
                <w:kern w:val="10"/>
              </w:rPr>
              <w:t>6-9</w:t>
            </w:r>
          </w:p>
        </w:tc>
        <w:tc>
          <w:tcPr>
            <w:tcW w:w="1512" w:type="pct"/>
            <w:vAlign w:val="center"/>
          </w:tcPr>
          <w:p>
            <w:pPr>
              <w:pStyle w:val="69"/>
              <w:spacing w:line="360" w:lineRule="atLeas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73" w:type="pct"/>
            <w:vAlign w:val="center"/>
          </w:tcPr>
          <w:p>
            <w:pPr>
              <w:pStyle w:val="69"/>
              <w:spacing w:line="360" w:lineRule="atLeast"/>
              <w:rPr>
                <w:rFonts w:ascii="宋体" w:hAnsi="宋体"/>
                <w:b/>
                <w:bCs/>
                <w:kern w:val="10"/>
              </w:rPr>
            </w:pPr>
            <w:r>
              <w:rPr>
                <w:rFonts w:ascii="宋体" w:hAnsi="宋体"/>
                <w:bCs/>
                <w:kern w:val="10"/>
              </w:rPr>
              <w:t>12</w:t>
            </w:r>
          </w:p>
        </w:tc>
        <w:tc>
          <w:tcPr>
            <w:tcW w:w="1241" w:type="pct"/>
            <w:vAlign w:val="center"/>
          </w:tcPr>
          <w:p>
            <w:pPr>
              <w:pStyle w:val="69"/>
              <w:spacing w:line="360" w:lineRule="atLeast"/>
              <w:rPr>
                <w:rFonts w:ascii="宋体" w:hAnsi="宋体"/>
                <w:b/>
                <w:bCs/>
                <w:kern w:val="10"/>
              </w:rPr>
            </w:pPr>
            <w:r>
              <w:rPr>
                <w:rFonts w:ascii="宋体" w:hAnsi="宋体"/>
                <w:bCs/>
                <w:kern w:val="10"/>
              </w:rPr>
              <w:t>粪大肠菌群数</w:t>
            </w:r>
          </w:p>
        </w:tc>
        <w:tc>
          <w:tcPr>
            <w:tcW w:w="1674" w:type="pct"/>
            <w:vAlign w:val="center"/>
          </w:tcPr>
          <w:p>
            <w:pPr>
              <w:pStyle w:val="69"/>
              <w:spacing w:line="360" w:lineRule="atLeast"/>
              <w:rPr>
                <w:rFonts w:ascii="宋体" w:hAnsi="宋体"/>
                <w:b/>
                <w:bCs/>
                <w:kern w:val="10"/>
              </w:rPr>
            </w:pPr>
            <w:r>
              <w:rPr>
                <w:rFonts w:ascii="宋体" w:hAnsi="宋体"/>
                <w:bCs/>
                <w:kern w:val="10"/>
              </w:rPr>
              <w:t>10</w:t>
            </w:r>
            <w:r>
              <w:rPr>
                <w:rFonts w:ascii="宋体" w:hAnsi="宋体"/>
                <w:bCs/>
                <w:kern w:val="10"/>
                <w:vertAlign w:val="superscript"/>
              </w:rPr>
              <w:t>3</w:t>
            </w:r>
          </w:p>
        </w:tc>
        <w:tc>
          <w:tcPr>
            <w:tcW w:w="1512" w:type="pct"/>
            <w:vAlign w:val="center"/>
          </w:tcPr>
          <w:p>
            <w:pPr>
              <w:pStyle w:val="69"/>
              <w:spacing w:line="360" w:lineRule="atLeast"/>
              <w:rPr>
                <w:rFonts w:ascii="宋体" w:hAnsi="宋体"/>
                <w:b/>
                <w:bCs/>
                <w:kern w:val="10"/>
              </w:rPr>
            </w:pPr>
          </w:p>
        </w:tc>
      </w:tr>
    </w:tbl>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1.4 评价时段</w:t>
      </w:r>
    </w:p>
    <w:p>
      <w:pPr>
        <w:pStyle w:val="127"/>
        <w:ind w:firstLine="480"/>
        <w:rPr>
          <w:rFonts w:ascii="宋体" w:hAnsi="宋体"/>
          <w:color w:val="auto"/>
          <w:kern w:val="10"/>
        </w:rPr>
      </w:pPr>
      <w:r>
        <w:rPr>
          <w:rFonts w:hint="eastAsia" w:ascii="宋体" w:hAnsi="宋体"/>
          <w:color w:val="auto"/>
          <w:kern w:val="10"/>
        </w:rPr>
        <w:t>主要针对运营期地表水环境进行环境影响评价。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1.5 污染控制目标与环境保护目标</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1.5.1 污染控制目标</w:t>
      </w:r>
    </w:p>
    <w:p>
      <w:pPr>
        <w:pStyle w:val="127"/>
        <w:ind w:firstLine="480"/>
        <w:rPr>
          <w:rFonts w:ascii="宋体" w:hAnsi="宋体"/>
          <w:color w:val="auto"/>
          <w:kern w:val="10"/>
        </w:rPr>
      </w:pPr>
      <w:r>
        <w:rPr>
          <w:rFonts w:hint="eastAsia" w:ascii="宋体" w:hAnsi="宋体"/>
          <w:color w:val="auto"/>
          <w:kern w:val="10"/>
        </w:rPr>
        <w:t>保证建设项目各类废水污染物达标排放。</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1.5.2 环境保护目标</w:t>
      </w:r>
    </w:p>
    <w:p>
      <w:pPr>
        <w:adjustRightInd w:val="0"/>
        <w:snapToGrid w:val="0"/>
        <w:spacing w:line="500" w:lineRule="exact"/>
        <w:ind w:firstLine="480" w:firstLineChars="200"/>
        <w:rPr>
          <w:rFonts w:ascii="宋体" w:hAnsi="宋体"/>
          <w:sz w:val="24"/>
        </w:rPr>
      </w:pPr>
      <w:r>
        <w:rPr>
          <w:rFonts w:ascii="宋体" w:hAnsi="宋体"/>
          <w:sz w:val="24"/>
        </w:rPr>
        <w:t>区域地表水属黄河流域，以黄河为主干水系随地形发育，呈树枝状分布，较大河流有湫水河和三川河。</w:t>
      </w:r>
    </w:p>
    <w:p>
      <w:pPr>
        <w:adjustRightInd w:val="0"/>
        <w:snapToGrid w:val="0"/>
        <w:spacing w:line="500" w:lineRule="exact"/>
        <w:ind w:firstLine="480" w:firstLineChars="200"/>
        <w:rPr>
          <w:rFonts w:ascii="宋体" w:hAnsi="宋体"/>
          <w:sz w:val="24"/>
        </w:rPr>
      </w:pPr>
      <w:r>
        <w:rPr>
          <w:rFonts w:ascii="宋体" w:hAnsi="宋体"/>
          <w:sz w:val="24"/>
        </w:rPr>
        <w:t>湫水河发源于兴县黑茶山南麓由北向南经临县、三交镇流向西南至碛口镇注入黄河，全长107km，据林家坪水文站资料，河流量历史实测最大值3670m</w:t>
      </w:r>
      <w:r>
        <w:rPr>
          <w:rFonts w:ascii="宋体" w:hAnsi="宋体"/>
          <w:sz w:val="24"/>
          <w:vertAlign w:val="superscript"/>
        </w:rPr>
        <w:t>3</w:t>
      </w:r>
      <w:r>
        <w:rPr>
          <w:rFonts w:ascii="宋体" w:hAnsi="宋体"/>
          <w:sz w:val="24"/>
        </w:rPr>
        <w:t>/s，多年平均3.216m</w:t>
      </w:r>
      <w:r>
        <w:rPr>
          <w:rFonts w:ascii="宋体" w:hAnsi="宋体"/>
          <w:sz w:val="24"/>
          <w:vertAlign w:val="superscript"/>
        </w:rPr>
        <w:t>3</w:t>
      </w:r>
      <w:r>
        <w:rPr>
          <w:rFonts w:ascii="宋体" w:hAnsi="宋体"/>
          <w:sz w:val="24"/>
        </w:rPr>
        <w:t>/s，最大月平均545m</w:t>
      </w:r>
      <w:r>
        <w:rPr>
          <w:rFonts w:ascii="宋体" w:hAnsi="宋体"/>
          <w:sz w:val="24"/>
          <w:vertAlign w:val="superscript"/>
        </w:rPr>
        <w:t>3</w:t>
      </w:r>
      <w:r>
        <w:rPr>
          <w:rFonts w:ascii="宋体" w:hAnsi="宋体"/>
          <w:sz w:val="24"/>
        </w:rPr>
        <w:t>/s，1986年平均1.01m</w:t>
      </w:r>
      <w:r>
        <w:rPr>
          <w:rFonts w:ascii="宋体" w:hAnsi="宋体"/>
          <w:sz w:val="24"/>
          <w:vertAlign w:val="superscript"/>
        </w:rPr>
        <w:t>3</w:t>
      </w:r>
      <w:r>
        <w:rPr>
          <w:rFonts w:ascii="宋体" w:hAnsi="宋体"/>
          <w:sz w:val="24"/>
        </w:rPr>
        <w:t>/s，1988年最大1090m</w:t>
      </w:r>
      <w:r>
        <w:rPr>
          <w:rFonts w:ascii="宋体" w:hAnsi="宋体"/>
          <w:sz w:val="24"/>
          <w:vertAlign w:val="superscript"/>
        </w:rPr>
        <w:t>3</w:t>
      </w:r>
      <w:r>
        <w:rPr>
          <w:rFonts w:ascii="宋体" w:hAnsi="宋体"/>
          <w:sz w:val="24"/>
        </w:rPr>
        <w:t>/s，湫水河属枯水期较短的河流，季节性明显，雨天河水猛涨，雨后迅速减退，枯水季节流量甚小，7-9月份水流量占全年的50-70%。</w:t>
      </w:r>
    </w:p>
    <w:p>
      <w:pPr>
        <w:adjustRightInd w:val="0"/>
        <w:snapToGrid w:val="0"/>
        <w:spacing w:line="500" w:lineRule="exact"/>
        <w:ind w:firstLine="480" w:firstLineChars="200"/>
        <w:rPr>
          <w:rFonts w:ascii="宋体" w:hAnsi="宋体"/>
          <w:sz w:val="24"/>
        </w:rPr>
      </w:pPr>
      <w:r>
        <w:rPr>
          <w:rFonts w:ascii="宋体" w:hAnsi="宋体"/>
          <w:sz w:val="24"/>
        </w:rPr>
        <w:t>三川河有北川河、小东川、大东川、南川河等支流，分别自北向南，自东向西，自南向北汇流而成，由东向西经柳林注入黄河。三川河最大流量2260m</w:t>
      </w:r>
      <w:r>
        <w:rPr>
          <w:rFonts w:ascii="宋体" w:hAnsi="宋体"/>
          <w:sz w:val="24"/>
          <w:vertAlign w:val="superscript"/>
        </w:rPr>
        <w:t>3</w:t>
      </w:r>
      <w:r>
        <w:rPr>
          <w:rFonts w:ascii="宋体" w:hAnsi="宋体"/>
          <w:sz w:val="24"/>
        </w:rPr>
        <w:t>/s，年平均5.34-9.54m</w:t>
      </w:r>
      <w:r>
        <w:rPr>
          <w:rFonts w:ascii="宋体" w:hAnsi="宋体"/>
          <w:sz w:val="24"/>
          <w:vertAlign w:val="superscript"/>
        </w:rPr>
        <w:t>3</w:t>
      </w:r>
      <w:r>
        <w:rPr>
          <w:rFonts w:ascii="宋体" w:hAnsi="宋体"/>
          <w:sz w:val="24"/>
        </w:rPr>
        <w:t>/s。</w:t>
      </w:r>
    </w:p>
    <w:p>
      <w:pPr>
        <w:adjustRightInd w:val="0"/>
        <w:snapToGrid w:val="0"/>
        <w:spacing w:line="500" w:lineRule="exact"/>
        <w:ind w:firstLine="480" w:firstLineChars="200"/>
        <w:rPr>
          <w:rFonts w:ascii="宋体" w:hAnsi="宋体"/>
          <w:bCs/>
          <w:kern w:val="10"/>
          <w:sz w:val="24"/>
        </w:rPr>
      </w:pPr>
      <w:r>
        <w:rPr>
          <w:rFonts w:hint="eastAsia" w:ascii="宋体" w:hAnsi="宋体"/>
          <w:kern w:val="10"/>
          <w:sz w:val="24"/>
        </w:rPr>
        <w:t>项目排污口地表水体为湫水河</w:t>
      </w:r>
      <w:r>
        <w:rPr>
          <w:rFonts w:ascii="宋体" w:hAnsi="宋体"/>
          <w:bCs/>
          <w:kern w:val="10"/>
          <w:sz w:val="24"/>
        </w:rPr>
        <w:t>，位于厂区</w:t>
      </w:r>
      <w:r>
        <w:rPr>
          <w:rFonts w:hint="eastAsia" w:ascii="宋体" w:hAnsi="宋体"/>
          <w:bCs/>
          <w:kern w:val="10"/>
          <w:sz w:val="24"/>
        </w:rPr>
        <w:t>南</w:t>
      </w:r>
      <w:r>
        <w:rPr>
          <w:rFonts w:ascii="宋体" w:hAnsi="宋体"/>
          <w:bCs/>
          <w:kern w:val="10"/>
          <w:sz w:val="24"/>
        </w:rPr>
        <w:t>侧100m处</w:t>
      </w:r>
      <w:r>
        <w:rPr>
          <w:rFonts w:hint="eastAsia" w:ascii="宋体" w:hAnsi="宋体"/>
          <w:kern w:val="10"/>
          <w:sz w:val="24"/>
        </w:rPr>
        <w:t>。</w:t>
      </w:r>
      <w:r>
        <w:rPr>
          <w:rFonts w:ascii="宋体" w:hAnsi="宋体"/>
          <w:bCs/>
          <w:kern w:val="10"/>
          <w:sz w:val="24"/>
        </w:rPr>
        <w:t>临县地表水系</w:t>
      </w:r>
      <w:r>
        <w:rPr>
          <w:rFonts w:hint="eastAsia" w:ascii="宋体" w:hAnsi="宋体"/>
          <w:bCs/>
          <w:kern w:val="10"/>
          <w:sz w:val="24"/>
        </w:rPr>
        <w:t>图</w:t>
      </w:r>
      <w:r>
        <w:rPr>
          <w:rFonts w:ascii="宋体" w:hAnsi="宋体"/>
          <w:bCs/>
          <w:kern w:val="10"/>
          <w:sz w:val="24"/>
        </w:rPr>
        <w:t>见附图5。</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2 运营期废水污染源</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本项目建成后运营期污水处理量（按最大设计量进行考虑）为</w:t>
      </w:r>
      <w:r>
        <w:rPr>
          <w:rFonts w:ascii="宋体" w:hAnsi="宋体"/>
          <w:kern w:val="10"/>
          <w:sz w:val="24"/>
          <w:lang w:val="zh-CN"/>
        </w:rPr>
        <w:t>1000m</w:t>
      </w:r>
      <w:r>
        <w:rPr>
          <w:rFonts w:ascii="宋体" w:hAnsi="宋体"/>
          <w:kern w:val="10"/>
          <w:sz w:val="24"/>
          <w:vertAlign w:val="superscript"/>
          <w:lang w:val="zh-CN"/>
        </w:rPr>
        <w:t>3</w:t>
      </w:r>
      <w:r>
        <w:rPr>
          <w:rFonts w:ascii="宋体" w:hAnsi="宋体"/>
          <w:kern w:val="10"/>
          <w:sz w:val="24"/>
          <w:lang w:val="zh-CN"/>
        </w:rPr>
        <w:t>/d</w:t>
      </w:r>
      <w:r>
        <w:rPr>
          <w:rFonts w:hint="eastAsia" w:ascii="宋体" w:hAnsi="宋体"/>
          <w:kern w:val="10"/>
          <w:sz w:val="24"/>
          <w:lang w:val="zh-CN"/>
        </w:rPr>
        <w:t>，不回用，最终</w:t>
      </w:r>
      <w:r>
        <w:rPr>
          <w:rFonts w:ascii="宋体" w:hAnsi="宋体"/>
          <w:kern w:val="10"/>
          <w:sz w:val="24"/>
          <w:lang w:val="zh-CN"/>
        </w:rPr>
        <w:t>外排入</w:t>
      </w:r>
      <w:r>
        <w:rPr>
          <w:rFonts w:hint="eastAsia" w:ascii="宋体" w:hAnsi="宋体"/>
          <w:kern w:val="10"/>
          <w:sz w:val="24"/>
          <w:lang w:val="zh-CN"/>
        </w:rPr>
        <w:t>湫水</w:t>
      </w:r>
      <w:r>
        <w:rPr>
          <w:rFonts w:ascii="宋体" w:hAnsi="宋体"/>
          <w:kern w:val="10"/>
          <w:sz w:val="24"/>
          <w:lang w:val="zh-CN"/>
        </w:rPr>
        <w:t>河污水量为1000m</w:t>
      </w:r>
      <w:r>
        <w:rPr>
          <w:rFonts w:ascii="宋体" w:hAnsi="宋体"/>
          <w:kern w:val="10"/>
          <w:sz w:val="24"/>
          <w:vertAlign w:val="superscript"/>
          <w:lang w:val="zh-CN"/>
        </w:rPr>
        <w:t>3</w:t>
      </w:r>
      <w:r>
        <w:rPr>
          <w:rFonts w:ascii="宋体" w:hAnsi="宋体"/>
          <w:kern w:val="10"/>
          <w:sz w:val="24"/>
          <w:lang w:val="zh-CN"/>
        </w:rPr>
        <w:t>/d。</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本工程建成后运营期废水污染物产排量见表</w:t>
      </w:r>
      <w:r>
        <w:rPr>
          <w:rFonts w:ascii="宋体" w:hAnsi="宋体"/>
          <w:kern w:val="10"/>
          <w:sz w:val="24"/>
          <w:lang w:val="zh-CN"/>
        </w:rPr>
        <w:t>2-1</w:t>
      </w:r>
      <w:r>
        <w:rPr>
          <w:rFonts w:hint="eastAsia" w:ascii="宋体" w:hAnsi="宋体"/>
          <w:kern w:val="10"/>
          <w:sz w:val="24"/>
          <w:lang w:val="zh-CN"/>
        </w:rPr>
        <w:t>。</w:t>
      </w:r>
    </w:p>
    <w:p>
      <w:pPr>
        <w:spacing w:line="500" w:lineRule="exact"/>
        <w:ind w:firstLine="480" w:firstLineChars="200"/>
        <w:jc w:val="center"/>
        <w:rPr>
          <w:rFonts w:ascii="宋体" w:hAnsi="宋体"/>
          <w:kern w:val="10"/>
          <w:sz w:val="24"/>
          <w:lang w:val="zh-CN"/>
        </w:rPr>
      </w:pPr>
      <w:r>
        <w:rPr>
          <w:rFonts w:ascii="宋体" w:hAnsi="宋体"/>
          <w:kern w:val="10"/>
          <w:sz w:val="24"/>
          <w:lang w:val="zh-CN"/>
        </w:rPr>
        <w:t>表2-1    废水污染物</w:t>
      </w:r>
      <w:r>
        <w:rPr>
          <w:rFonts w:hint="eastAsia" w:ascii="宋体" w:hAnsi="宋体"/>
          <w:kern w:val="10"/>
          <w:sz w:val="24"/>
          <w:lang w:val="zh-CN"/>
        </w:rPr>
        <w:t>产排量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779"/>
        <w:gridCol w:w="1705"/>
        <w:gridCol w:w="1733"/>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项目</w:t>
            </w:r>
          </w:p>
        </w:tc>
        <w:tc>
          <w:tcPr>
            <w:tcW w:w="1876"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2001" w:type="pct"/>
            <w:gridSpan w:val="2"/>
            <w:vAlign w:val="center"/>
          </w:tcPr>
          <w:p>
            <w:pPr>
              <w:spacing w:line="400" w:lineRule="exact"/>
              <w:jc w:val="center"/>
              <w:rPr>
                <w:rFonts w:ascii="宋体" w:hAnsi="宋体"/>
                <w:kern w:val="10"/>
                <w:szCs w:val="21"/>
              </w:rPr>
            </w:pPr>
            <w:r>
              <w:rPr>
                <w:rFonts w:hint="eastAsia" w:ascii="宋体" w:hAnsi="宋体"/>
                <w:kern w:val="10"/>
                <w:szCs w:val="21"/>
              </w:rPr>
              <w:t>尾水排放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876"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2001"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染物</w:t>
            </w:r>
          </w:p>
        </w:tc>
        <w:tc>
          <w:tcPr>
            <w:tcW w:w="958"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进水浓度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918"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进水污染物</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933"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排水</w:t>
            </w:r>
            <w:r>
              <w:rPr>
                <w:rFonts w:ascii="宋体" w:hAnsi="宋体"/>
                <w:kern w:val="10"/>
                <w:szCs w:val="21"/>
              </w:rPr>
              <w:t>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1068"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处理后排放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350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127.75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54.75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14.6</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TN</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55</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20.075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TP</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4.5</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1.6425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SS</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91.25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3.65</w:t>
            </w:r>
          </w:p>
        </w:tc>
      </w:tr>
    </w:tbl>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3 地表水环境影响预测与评价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 xml:space="preserve">3.1 </w:t>
      </w:r>
      <w:r>
        <w:rPr>
          <w:rFonts w:hint="eastAsia" w:ascii="宋体" w:hAnsi="宋体"/>
          <w:spacing w:val="0"/>
          <w:kern w:val="10"/>
          <w:szCs w:val="24"/>
        </w:rPr>
        <w:t>地表水现状监测</w:t>
      </w:r>
    </w:p>
    <w:p>
      <w:pPr>
        <w:spacing w:line="500" w:lineRule="exact"/>
        <w:ind w:firstLine="480" w:firstLineChars="200"/>
        <w:rPr>
          <w:rFonts w:ascii="宋体" w:hAnsi="宋体"/>
          <w:bCs/>
          <w:color w:val="000000" w:themeColor="text1"/>
          <w:kern w:val="10"/>
          <w:sz w:val="24"/>
          <w14:textFill>
            <w14:solidFill>
              <w14:schemeClr w14:val="tx1"/>
            </w14:solidFill>
          </w14:textFill>
        </w:rPr>
      </w:pPr>
      <w:r>
        <w:rPr>
          <w:rFonts w:hint="eastAsia" w:ascii="宋体" w:hAnsi="宋体"/>
          <w:color w:val="000000" w:themeColor="text1"/>
          <w:kern w:val="10"/>
          <w:sz w:val="24"/>
          <w14:textFill>
            <w14:solidFill>
              <w14:schemeClr w14:val="tx1"/>
            </w14:solidFill>
          </w14:textFill>
        </w:rPr>
        <w:t>建设单位委托</w:t>
      </w:r>
      <w:r>
        <w:rPr>
          <w:rFonts w:ascii="宋体" w:hAnsi="宋体"/>
          <w:color w:val="000000" w:themeColor="text1"/>
          <w:kern w:val="10"/>
          <w:sz w:val="24"/>
          <w14:textFill>
            <w14:solidFill>
              <w14:schemeClr w14:val="tx1"/>
            </w14:solidFill>
          </w14:textFill>
        </w:rPr>
        <w:t>山西</w:t>
      </w:r>
      <w:r>
        <w:rPr>
          <w:rFonts w:hint="eastAsia" w:ascii="宋体" w:hAnsi="宋体"/>
          <w:color w:val="000000" w:themeColor="text1"/>
          <w:kern w:val="10"/>
          <w:sz w:val="24"/>
          <w14:textFill>
            <w14:solidFill>
              <w14:schemeClr w14:val="tx1"/>
            </w14:solidFill>
          </w14:textFill>
        </w:rPr>
        <w:t>博枫检测技术</w:t>
      </w:r>
      <w:r>
        <w:rPr>
          <w:rFonts w:ascii="宋体" w:hAnsi="宋体"/>
          <w:color w:val="000000" w:themeColor="text1"/>
          <w:kern w:val="10"/>
          <w:sz w:val="24"/>
          <w14:textFill>
            <w14:solidFill>
              <w14:schemeClr w14:val="tx1"/>
            </w14:solidFill>
          </w14:textFill>
        </w:rPr>
        <w:t>有限公司于</w:t>
      </w:r>
      <w:r>
        <w:rPr>
          <w:rFonts w:ascii="宋体" w:hAnsi="宋体"/>
          <w:color w:val="000000" w:themeColor="text1"/>
          <w:sz w:val="24"/>
          <w:lang w:bidi="ar"/>
          <w14:textFill>
            <w14:solidFill>
              <w14:schemeClr w14:val="tx1"/>
            </w14:solidFill>
          </w14:textFill>
        </w:rPr>
        <w:t>2022年9月20日～9月22日</w:t>
      </w:r>
      <w:r>
        <w:rPr>
          <w:rFonts w:hint="eastAsia" w:ascii="宋体" w:hAnsi="宋体"/>
          <w:color w:val="000000" w:themeColor="text1"/>
          <w:kern w:val="10"/>
          <w:sz w:val="24"/>
          <w14:textFill>
            <w14:solidFill>
              <w14:schemeClr w14:val="tx1"/>
            </w14:solidFill>
          </w14:textFill>
        </w:rPr>
        <w:t>对排放口河道湫水河设置3个监测断面了解地表水现状。</w:t>
      </w:r>
    </w:p>
    <w:p>
      <w:pPr>
        <w:widowControl/>
        <w:snapToGrid w:val="0"/>
        <w:spacing w:line="500" w:lineRule="exact"/>
        <w:ind w:firstLine="480" w:firstLineChars="200"/>
        <w:rPr>
          <w:rFonts w:ascii="宋体" w:hAnsi="宋体"/>
          <w:bCs/>
          <w:kern w:val="10"/>
          <w:sz w:val="24"/>
        </w:rPr>
      </w:pPr>
      <w:r>
        <w:rPr>
          <w:rFonts w:ascii="宋体" w:hAnsi="宋体"/>
          <w:bCs/>
          <w:kern w:val="10"/>
          <w:sz w:val="24"/>
        </w:rPr>
        <w:t>1</w:t>
      </w:r>
      <w:r>
        <w:rPr>
          <w:rFonts w:hint="eastAsia" w:ascii="宋体" w:hAnsi="宋体"/>
          <w:bCs/>
          <w:kern w:val="10"/>
          <w:sz w:val="24"/>
        </w:rPr>
        <w:t>、</w:t>
      </w:r>
      <w:r>
        <w:rPr>
          <w:rFonts w:ascii="宋体" w:hAnsi="宋体"/>
          <w:bCs/>
          <w:kern w:val="10"/>
          <w:sz w:val="24"/>
        </w:rPr>
        <w:t>监测断面布设</w:t>
      </w:r>
    </w:p>
    <w:p>
      <w:pPr>
        <w:widowControl/>
        <w:snapToGrid w:val="0"/>
        <w:spacing w:line="500" w:lineRule="exact"/>
        <w:ind w:firstLine="480" w:firstLineChars="200"/>
        <w:rPr>
          <w:rFonts w:ascii="宋体" w:hAnsi="宋体"/>
          <w:bCs/>
          <w:kern w:val="10"/>
          <w:sz w:val="24"/>
        </w:rPr>
      </w:pPr>
      <w:r>
        <w:rPr>
          <w:rFonts w:ascii="宋体" w:hAnsi="宋体"/>
          <w:bCs/>
          <w:kern w:val="10"/>
          <w:sz w:val="24"/>
        </w:rPr>
        <w:t>根据地表水体的流向，在</w:t>
      </w:r>
      <w:r>
        <w:rPr>
          <w:rFonts w:hint="eastAsia" w:ascii="宋体" w:hAnsi="宋体"/>
          <w:bCs/>
          <w:kern w:val="10"/>
          <w:sz w:val="24"/>
        </w:rPr>
        <w:t>污水处理厂出口排污河道湫水河上</w:t>
      </w:r>
      <w:r>
        <w:rPr>
          <w:rFonts w:ascii="宋体" w:hAnsi="宋体"/>
          <w:bCs/>
          <w:kern w:val="10"/>
          <w:sz w:val="24"/>
        </w:rPr>
        <w:t>设置3个监测断面，监测断面位置见图3-1。</w:t>
      </w:r>
    </w:p>
    <w:p>
      <w:pPr>
        <w:widowControl/>
        <w:snapToGrid w:val="0"/>
        <w:jc w:val="center"/>
        <w:rPr>
          <w:rFonts w:ascii="宋体" w:hAnsi="宋体"/>
          <w:bCs/>
          <w:color w:val="FF0000"/>
          <w:kern w:val="10"/>
          <w:sz w:val="24"/>
        </w:rPr>
      </w:pPr>
      <w:r>
        <w:drawing>
          <wp:inline distT="0" distB="0" distL="0" distR="0">
            <wp:extent cx="3448050" cy="3876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448050" cy="3876675"/>
                    </a:xfrm>
                    <a:prstGeom prst="rect">
                      <a:avLst/>
                    </a:prstGeom>
                  </pic:spPr>
                </pic:pic>
              </a:graphicData>
            </a:graphic>
          </wp:inline>
        </w:drawing>
      </w:r>
    </w:p>
    <w:p>
      <w:pPr>
        <w:widowControl/>
        <w:snapToGrid w:val="0"/>
        <w:spacing w:line="500" w:lineRule="exact"/>
        <w:ind w:firstLine="480" w:firstLineChars="200"/>
        <w:jc w:val="center"/>
        <w:rPr>
          <w:rFonts w:ascii="宋体" w:hAnsi="宋体"/>
          <w:bCs/>
          <w:kern w:val="10"/>
          <w:sz w:val="24"/>
        </w:rPr>
      </w:pPr>
      <w:r>
        <w:rPr>
          <w:rFonts w:hint="eastAsia" w:ascii="宋体" w:hAnsi="宋体"/>
          <w:bCs/>
          <w:kern w:val="10"/>
          <w:sz w:val="24"/>
        </w:rPr>
        <w:t>图3</w:t>
      </w:r>
      <w:r>
        <w:rPr>
          <w:rFonts w:ascii="宋体" w:hAnsi="宋体"/>
          <w:bCs/>
          <w:kern w:val="10"/>
          <w:sz w:val="24"/>
        </w:rPr>
        <w:t>-1    地表水监测布点图</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监测断面布设如下：</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Ⅰ</w:t>
      </w:r>
      <w:r>
        <w:rPr>
          <w:rFonts w:ascii="宋体" w:hAnsi="宋体"/>
          <w:bCs/>
          <w:kern w:val="10"/>
          <w:sz w:val="24"/>
        </w:rPr>
        <w:t>断面：以污水处理厂排污口为中心，入水口上游500m处；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Ⅱ</w:t>
      </w:r>
      <w:r>
        <w:rPr>
          <w:rFonts w:ascii="宋体" w:hAnsi="宋体"/>
          <w:bCs/>
          <w:kern w:val="10"/>
          <w:sz w:val="24"/>
        </w:rPr>
        <w:t>断面：以污水处理厂排污口为中心，入水口下游500m处；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Ⅲ</w:t>
      </w:r>
      <w:r>
        <w:rPr>
          <w:rFonts w:ascii="宋体" w:hAnsi="宋体"/>
          <w:bCs/>
          <w:kern w:val="10"/>
          <w:sz w:val="24"/>
        </w:rPr>
        <w:t>断面：以污水处理厂排污口为中心，入水口下游1000m处；</w:t>
      </w:r>
    </w:p>
    <w:p>
      <w:pPr>
        <w:widowControl/>
        <w:snapToGrid w:val="0"/>
        <w:spacing w:line="500" w:lineRule="exact"/>
        <w:ind w:firstLine="480" w:firstLineChars="200"/>
        <w:rPr>
          <w:rFonts w:ascii="宋体" w:hAnsi="宋体"/>
          <w:bCs/>
          <w:kern w:val="10"/>
          <w:sz w:val="24"/>
        </w:rPr>
      </w:pPr>
      <w:r>
        <w:rPr>
          <w:rFonts w:ascii="宋体" w:hAnsi="宋体"/>
          <w:bCs/>
          <w:kern w:val="10"/>
          <w:sz w:val="24"/>
        </w:rPr>
        <w:t>2、监测项目</w:t>
      </w:r>
    </w:p>
    <w:p>
      <w:pPr>
        <w:snapToGrid w:val="0"/>
        <w:spacing w:line="500" w:lineRule="exact"/>
        <w:ind w:firstLine="480" w:firstLineChars="200"/>
        <w:rPr>
          <w:rFonts w:ascii="宋体" w:hAnsi="宋体"/>
          <w:bCs/>
          <w:sz w:val="24"/>
        </w:rPr>
      </w:pPr>
      <w:r>
        <w:rPr>
          <w:rFonts w:ascii="宋体" w:hAnsi="宋体"/>
          <w:bCs/>
          <w:kern w:val="10"/>
          <w:sz w:val="24"/>
        </w:rPr>
        <w:t>地表水监测项目为</w:t>
      </w:r>
      <w:r>
        <w:rPr>
          <w:rFonts w:ascii="宋体" w:hAnsi="宋体"/>
          <w:bCs/>
          <w:sz w:val="24"/>
        </w:rPr>
        <w:t>pH、COD、BOD</w:t>
      </w:r>
      <w:r>
        <w:rPr>
          <w:rFonts w:ascii="宋体" w:hAnsi="宋体"/>
          <w:bCs/>
          <w:sz w:val="24"/>
          <w:vertAlign w:val="subscript"/>
        </w:rPr>
        <w:t>5</w:t>
      </w:r>
      <w:r>
        <w:rPr>
          <w:rFonts w:ascii="宋体" w:hAnsi="宋体"/>
          <w:bCs/>
          <w:sz w:val="24"/>
        </w:rPr>
        <w:t>、氨氮、</w:t>
      </w:r>
      <w:r>
        <w:rPr>
          <w:rFonts w:hint="eastAsia" w:ascii="宋体" w:hAnsi="宋体"/>
          <w:bCs/>
          <w:sz w:val="24"/>
        </w:rPr>
        <w:t>总磷、总氮、</w:t>
      </w:r>
      <w:r>
        <w:rPr>
          <w:rFonts w:ascii="宋体" w:hAnsi="宋体"/>
          <w:bCs/>
          <w:sz w:val="24"/>
        </w:rPr>
        <w:t>SS、石油类，</w:t>
      </w:r>
      <w:r>
        <w:rPr>
          <w:rFonts w:ascii="宋体" w:hAnsi="宋体"/>
          <w:sz w:val="24"/>
        </w:rPr>
        <w:t>共8项</w:t>
      </w:r>
      <w:r>
        <w:rPr>
          <w:rFonts w:ascii="宋体" w:hAnsi="宋体"/>
          <w:bCs/>
          <w:kern w:val="10"/>
          <w:sz w:val="24"/>
        </w:rPr>
        <w:t>，同时测定各监测断面的水温、流速和流量。</w:t>
      </w:r>
    </w:p>
    <w:p>
      <w:pPr>
        <w:widowControl/>
        <w:snapToGrid w:val="0"/>
        <w:spacing w:line="500" w:lineRule="exact"/>
        <w:ind w:firstLine="480" w:firstLineChars="200"/>
        <w:rPr>
          <w:rFonts w:ascii="宋体" w:hAnsi="宋体"/>
          <w:bCs/>
          <w:kern w:val="10"/>
          <w:sz w:val="24"/>
        </w:rPr>
      </w:pPr>
      <w:r>
        <w:rPr>
          <w:rFonts w:ascii="宋体" w:hAnsi="宋体"/>
          <w:bCs/>
          <w:kern w:val="10"/>
          <w:sz w:val="24"/>
        </w:rPr>
        <w:t>3、监测时间及采样频率</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监测时间</w:t>
      </w:r>
      <w:r>
        <w:rPr>
          <w:rFonts w:ascii="宋体" w:hAnsi="宋体"/>
          <w:sz w:val="24"/>
          <w:lang w:bidi="ar"/>
        </w:rPr>
        <w:t>2022年9月20日～9月22日</w:t>
      </w:r>
      <w:r>
        <w:rPr>
          <w:rFonts w:ascii="宋体" w:hAnsi="宋体"/>
          <w:bCs/>
          <w:kern w:val="10"/>
          <w:sz w:val="24"/>
        </w:rPr>
        <w:t>，连续监测3天，每天各断面采集一个样品。</w:t>
      </w:r>
    </w:p>
    <w:p>
      <w:pPr>
        <w:widowControl/>
        <w:snapToGrid w:val="0"/>
        <w:spacing w:line="500" w:lineRule="exact"/>
        <w:ind w:firstLine="480" w:firstLineChars="200"/>
        <w:rPr>
          <w:rFonts w:ascii="宋体" w:hAnsi="宋体"/>
          <w:bCs/>
          <w:kern w:val="10"/>
          <w:sz w:val="24"/>
        </w:rPr>
      </w:pPr>
      <w:r>
        <w:rPr>
          <w:rFonts w:ascii="宋体" w:hAnsi="宋体"/>
          <w:bCs/>
          <w:kern w:val="10"/>
          <w:sz w:val="24"/>
        </w:rPr>
        <w:t>4、采样及分析方法</w:t>
      </w:r>
    </w:p>
    <w:p>
      <w:pPr>
        <w:widowControl/>
        <w:snapToGrid w:val="0"/>
        <w:spacing w:line="500" w:lineRule="exact"/>
        <w:ind w:firstLine="480" w:firstLineChars="200"/>
        <w:rPr>
          <w:rFonts w:ascii="宋体" w:hAnsi="宋体"/>
          <w:bCs/>
          <w:kern w:val="10"/>
          <w:sz w:val="24"/>
        </w:rPr>
      </w:pPr>
      <w:r>
        <w:rPr>
          <w:rFonts w:ascii="宋体" w:hAnsi="宋体"/>
          <w:bCs/>
          <w:kern w:val="10"/>
          <w:sz w:val="24"/>
        </w:rPr>
        <w:t>地表水采样依据《地表水和污水监测技术规范》(HJ/T91-2002)。</w:t>
      </w:r>
    </w:p>
    <w:p>
      <w:pPr>
        <w:spacing w:line="500" w:lineRule="exact"/>
        <w:ind w:firstLine="480" w:firstLineChars="200"/>
        <w:rPr>
          <w:rFonts w:ascii="宋体" w:hAnsi="宋体"/>
          <w:sz w:val="24"/>
        </w:rPr>
      </w:pPr>
      <w:r>
        <w:rPr>
          <w:rFonts w:ascii="宋体" w:hAnsi="宋体"/>
          <w:bCs/>
          <w:kern w:val="10"/>
          <w:sz w:val="24"/>
        </w:rPr>
        <w:t>5、</w:t>
      </w:r>
      <w:r>
        <w:rPr>
          <w:rFonts w:ascii="宋体" w:hAnsi="宋体"/>
          <w:sz w:val="24"/>
        </w:rPr>
        <w:t>评价方法</w:t>
      </w:r>
    </w:p>
    <w:p>
      <w:pPr>
        <w:spacing w:line="500" w:lineRule="exact"/>
        <w:ind w:firstLine="480" w:firstLineChars="200"/>
        <w:rPr>
          <w:rFonts w:ascii="宋体" w:hAnsi="宋体"/>
          <w:sz w:val="24"/>
        </w:rPr>
      </w:pPr>
      <w:r>
        <w:rPr>
          <w:rFonts w:ascii="宋体" w:hAnsi="宋体"/>
          <w:sz w:val="24"/>
        </w:rPr>
        <w:t>采用标准指数法对地下水环境现状监测统计结果进行评价，评价公式为：</w:t>
      </w:r>
    </w:p>
    <w:p>
      <w:pPr>
        <w:spacing w:line="500" w:lineRule="exact"/>
        <w:ind w:firstLine="480" w:firstLineChars="200"/>
        <w:rPr>
          <w:rFonts w:ascii="宋体" w:hAnsi="宋体"/>
          <w:sz w:val="24"/>
        </w:rPr>
      </w:pPr>
      <w:r>
        <w:rPr>
          <w:rFonts w:ascii="宋体" w:hAnsi="宋体"/>
          <w:sz w:val="24"/>
        </w:rPr>
        <w:pict>
          <v:shape id="_x0000_s1046" o:spid="_x0000_s1046" o:spt="75" type="#_x0000_t75" style="position:absolute;left:0pt;margin-left:75.7pt;margin-top:10.95pt;height:42.2pt;width:61.25pt;z-index:251671552;mso-width-relative:page;mso-height-relative:page;" o:ole="t" filled="f" o:preferrelative="t" stroked="f" coordsize="21600,21600">
            <v:path/>
            <v:fill on="f" focussize="0,0"/>
            <v:stroke on="f" joinstyle="miter"/>
            <v:imagedata r:id="rId34" o:title=""/>
            <o:lock v:ext="edit" aspectratio="t"/>
          </v:shape>
          <o:OLEObject Type="Embed" ProgID="Equation.3" ShapeID="_x0000_s1046" DrawAspect="Content" ObjectID="_1468075729" r:id="rId33">
            <o:LockedField>false</o:LockedField>
          </o:OLEObject>
        </w:pict>
      </w:r>
    </w:p>
    <w:p>
      <w:pPr>
        <w:spacing w:before="120" w:beforeLines="50" w:line="360" w:lineRule="auto"/>
        <w:ind w:firstLine="499"/>
        <w:rPr>
          <w:rFonts w:ascii="宋体" w:hAnsi="宋体"/>
          <w:sz w:val="24"/>
        </w:rPr>
      </w:pPr>
    </w:p>
    <w:p>
      <w:pPr>
        <w:spacing w:line="500" w:lineRule="exact"/>
        <w:ind w:firstLine="480" w:firstLineChars="200"/>
        <w:rPr>
          <w:rFonts w:ascii="宋体" w:hAnsi="宋体"/>
          <w:sz w:val="24"/>
        </w:rPr>
      </w:pPr>
      <w:r>
        <w:rPr>
          <w:rFonts w:ascii="宋体" w:hAnsi="宋体"/>
          <w:sz w:val="24"/>
        </w:rPr>
        <w:t>式中Pi——第i个水质因子的标准指数；</w:t>
      </w:r>
    </w:p>
    <w:p>
      <w:pPr>
        <w:spacing w:line="500" w:lineRule="exact"/>
        <w:ind w:firstLine="1068" w:firstLineChars="445"/>
        <w:rPr>
          <w:rFonts w:ascii="宋体" w:hAnsi="宋体"/>
          <w:sz w:val="24"/>
        </w:rPr>
      </w:pPr>
      <w:r>
        <w:rPr>
          <w:rFonts w:ascii="宋体" w:hAnsi="宋体"/>
          <w:sz w:val="24"/>
        </w:rPr>
        <w:t>Ci——第i个水质因子的监测浓度值，mg/L；</w:t>
      </w:r>
    </w:p>
    <w:p>
      <w:pPr>
        <w:spacing w:line="500" w:lineRule="exact"/>
        <w:ind w:firstLine="950" w:firstLineChars="396"/>
        <w:rPr>
          <w:rFonts w:ascii="宋体" w:hAnsi="宋体"/>
          <w:sz w:val="24"/>
        </w:rPr>
      </w:pPr>
      <w:r>
        <w:rPr>
          <w:rFonts w:ascii="宋体" w:hAnsi="宋体"/>
          <w:sz w:val="24"/>
        </w:rPr>
        <w:t>Csi——第i个水质因子的标准浓度值，mg/L。</w:t>
      </w:r>
    </w:p>
    <w:p>
      <w:pPr>
        <w:spacing w:line="500" w:lineRule="exact"/>
        <w:ind w:firstLine="480" w:firstLineChars="200"/>
        <w:rPr>
          <w:rFonts w:ascii="宋体" w:hAnsi="宋体"/>
          <w:sz w:val="24"/>
        </w:rPr>
      </w:pPr>
      <w:r>
        <w:rPr>
          <w:rFonts w:ascii="宋体" w:hAnsi="宋体"/>
          <w:sz w:val="24"/>
        </w:rPr>
        <w:t>对pH值进行评价的公式为：</w:t>
      </w:r>
    </w:p>
    <w:p>
      <w:pPr>
        <w:spacing w:line="360" w:lineRule="auto"/>
        <w:ind w:firstLine="499"/>
        <w:rPr>
          <w:rFonts w:ascii="宋体" w:hAnsi="宋体"/>
          <w:sz w:val="24"/>
        </w:rPr>
      </w:pPr>
      <w:r>
        <w:rPr>
          <w:rFonts w:ascii="宋体" w:hAnsi="宋体"/>
          <w:sz w:val="24"/>
        </w:rPr>
        <w:pict>
          <v:shape id="_x0000_s1045" o:spid="_x0000_s1045" o:spt="75" type="#_x0000_t75" style="position:absolute;left:0pt;margin-left:53.2pt;margin-top:10.1pt;height:71.95pt;width:165pt;z-index:251670528;mso-width-relative:page;mso-height-relative:page;" o:ole="t" filled="f" o:preferrelative="t" stroked="f" coordsize="21600,21600">
            <v:path/>
            <v:fill on="f" focussize="0,0"/>
            <v:stroke on="f" joinstyle="miter"/>
            <v:imagedata r:id="rId36" o:title=""/>
            <o:lock v:ext="edit" aspectratio="t"/>
          </v:shape>
          <o:OLEObject Type="Embed" ProgID="Equation.3" ShapeID="_x0000_s1045" DrawAspect="Content" ObjectID="_1468075730" r:id="rId35">
            <o:LockedField>false</o:LockedField>
          </o:OLEObject>
        </w:pict>
      </w: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rPr>
          <w:rFonts w:ascii="宋体" w:hAnsi="宋体"/>
          <w:sz w:val="24"/>
        </w:rPr>
      </w:pPr>
      <w:r>
        <w:rPr>
          <w:rFonts w:ascii="宋体" w:hAnsi="宋体"/>
          <w:sz w:val="24"/>
        </w:rPr>
        <w:t xml:space="preserve">式中:  </w:t>
      </w:r>
      <w:r>
        <w:rPr>
          <w:rFonts w:ascii="宋体" w:hAnsi="宋体"/>
          <w:i/>
          <w:iCs/>
          <w:sz w:val="24"/>
        </w:rPr>
        <w:t>P</w:t>
      </w:r>
      <w:r>
        <w:rPr>
          <w:rFonts w:ascii="宋体" w:hAnsi="宋体"/>
          <w:i/>
          <w:iCs/>
          <w:sz w:val="24"/>
          <w:vertAlign w:val="subscript"/>
        </w:rPr>
        <w:t>PH</w:t>
      </w:r>
      <w:r>
        <w:rPr>
          <w:rFonts w:ascii="宋体" w:hAnsi="宋体"/>
          <w:sz w:val="24"/>
        </w:rPr>
        <w:t>——pH的标准指数，无量纲；</w:t>
      </w:r>
    </w:p>
    <w:p>
      <w:pPr>
        <w:spacing w:line="360" w:lineRule="auto"/>
        <w:ind w:firstLine="500"/>
        <w:rPr>
          <w:rFonts w:ascii="宋体" w:hAnsi="宋体"/>
          <w:sz w:val="24"/>
        </w:rPr>
      </w:pPr>
      <w:r>
        <w:rPr>
          <w:rFonts w:ascii="宋体" w:hAnsi="宋体"/>
          <w:sz w:val="24"/>
        </w:rPr>
        <w:t xml:space="preserve"> </w:t>
      </w:r>
      <w:r>
        <w:rPr>
          <w:rFonts w:ascii="宋体" w:hAnsi="宋体"/>
          <w:i/>
          <w:iCs/>
          <w:sz w:val="24"/>
        </w:rPr>
        <w:t xml:space="preserve">  pH</w:t>
      </w:r>
      <w:r>
        <w:rPr>
          <w:rFonts w:ascii="宋体" w:hAnsi="宋体"/>
          <w:sz w:val="24"/>
        </w:rPr>
        <w:t>——pH监测值；</w:t>
      </w:r>
    </w:p>
    <w:p>
      <w:pPr>
        <w:spacing w:line="360" w:lineRule="auto"/>
        <w:ind w:firstLine="804" w:firstLineChars="335"/>
        <w:rPr>
          <w:rFonts w:ascii="宋体" w:hAnsi="宋体"/>
          <w:sz w:val="24"/>
        </w:rPr>
      </w:pPr>
      <w:r>
        <w:rPr>
          <w:rFonts w:ascii="宋体" w:hAnsi="宋体"/>
          <w:i/>
          <w:iCs/>
          <w:sz w:val="24"/>
        </w:rPr>
        <w:t>pH</w:t>
      </w:r>
      <w:r>
        <w:rPr>
          <w:rFonts w:ascii="宋体" w:hAnsi="宋体"/>
          <w:i/>
          <w:iCs/>
          <w:sz w:val="24"/>
          <w:vertAlign w:val="subscript"/>
        </w:rPr>
        <w:t>sd</w:t>
      </w:r>
      <w:r>
        <w:rPr>
          <w:rFonts w:ascii="宋体" w:hAnsi="宋体"/>
          <w:sz w:val="24"/>
        </w:rPr>
        <w:t>——标准中pH的下限值；</w:t>
      </w:r>
    </w:p>
    <w:p>
      <w:pPr>
        <w:spacing w:line="360" w:lineRule="auto"/>
        <w:ind w:firstLine="398" w:firstLineChars="166"/>
        <w:rPr>
          <w:rFonts w:ascii="宋体" w:hAnsi="宋体"/>
          <w:sz w:val="24"/>
        </w:rPr>
      </w:pPr>
      <w:r>
        <w:rPr>
          <w:rFonts w:ascii="宋体" w:hAnsi="宋体"/>
          <w:sz w:val="24"/>
        </w:rPr>
        <w:t xml:space="preserve">   </w:t>
      </w:r>
      <w:r>
        <w:rPr>
          <w:rFonts w:ascii="宋体" w:hAnsi="宋体"/>
          <w:i/>
          <w:iCs/>
          <w:sz w:val="24"/>
        </w:rPr>
        <w:t>pH</w:t>
      </w:r>
      <w:r>
        <w:rPr>
          <w:rFonts w:ascii="宋体" w:hAnsi="宋体"/>
          <w:i/>
          <w:iCs/>
          <w:sz w:val="24"/>
          <w:vertAlign w:val="subscript"/>
        </w:rPr>
        <w:t>su</w:t>
      </w:r>
      <w:r>
        <w:rPr>
          <w:rFonts w:ascii="宋体" w:hAnsi="宋体"/>
          <w:sz w:val="24"/>
        </w:rPr>
        <w:t>——标准中pH的上限值。</w:t>
      </w:r>
    </w:p>
    <w:p>
      <w:pPr>
        <w:spacing w:line="500" w:lineRule="exact"/>
        <w:ind w:firstLine="480" w:firstLineChars="200"/>
        <w:rPr>
          <w:rFonts w:ascii="宋体" w:hAnsi="宋体"/>
          <w:bCs/>
          <w:kern w:val="10"/>
          <w:sz w:val="24"/>
        </w:rPr>
      </w:pPr>
      <w:r>
        <w:rPr>
          <w:rFonts w:ascii="宋体" w:hAnsi="宋体"/>
          <w:sz w:val="24"/>
        </w:rPr>
        <w:t>评价结果：</w:t>
      </w:r>
      <w:r>
        <w:rPr>
          <w:rFonts w:ascii="宋体" w:hAnsi="宋体"/>
          <w:bCs/>
          <w:kern w:val="10"/>
          <w:sz w:val="24"/>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宋体" w:hAnsi="宋体"/>
          <w:bCs/>
          <w:kern w:val="10"/>
          <w:sz w:val="24"/>
        </w:rPr>
      </w:pPr>
      <w:r>
        <w:rPr>
          <w:rFonts w:ascii="宋体" w:hAnsi="宋体"/>
          <w:bCs/>
          <w:kern w:val="10"/>
          <w:sz w:val="24"/>
        </w:rPr>
        <w:t>6)评价结果</w:t>
      </w:r>
    </w:p>
    <w:p>
      <w:pPr>
        <w:widowControl/>
        <w:autoSpaceDE w:val="0"/>
        <w:autoSpaceDN w:val="0"/>
        <w:adjustRightInd w:val="0"/>
        <w:spacing w:line="500" w:lineRule="exact"/>
        <w:ind w:firstLine="480" w:firstLineChars="200"/>
        <w:rPr>
          <w:rFonts w:ascii="宋体" w:hAnsi="宋体"/>
          <w:bCs/>
          <w:kern w:val="10"/>
          <w:sz w:val="28"/>
          <w:szCs w:val="21"/>
        </w:rPr>
      </w:pPr>
      <w:r>
        <w:rPr>
          <w:rFonts w:ascii="宋体" w:hAnsi="宋体"/>
          <w:bCs/>
          <w:kern w:val="10"/>
          <w:sz w:val="24"/>
        </w:rPr>
        <w:t>根据所选评价标准和评价方法，分别计算出各监测断面各污染物单因子指数Sij值，</w:t>
      </w:r>
      <w:r>
        <w:rPr>
          <w:rFonts w:hint="eastAsia" w:ascii="宋体" w:hAnsi="宋体"/>
          <w:bCs/>
          <w:kern w:val="10"/>
          <w:sz w:val="24"/>
        </w:rPr>
        <w:t>地表水现状评价</w:t>
      </w:r>
      <w:r>
        <w:rPr>
          <w:rFonts w:ascii="宋体" w:hAnsi="宋体"/>
          <w:bCs/>
          <w:kern w:val="10"/>
          <w:sz w:val="24"/>
        </w:rPr>
        <w:t>结果见表</w:t>
      </w:r>
      <w:r>
        <w:rPr>
          <w:rFonts w:hint="eastAsia" w:ascii="宋体" w:hAnsi="宋体"/>
          <w:bCs/>
          <w:kern w:val="10"/>
          <w:sz w:val="24"/>
        </w:rPr>
        <w:t>3</w:t>
      </w:r>
      <w:r>
        <w:rPr>
          <w:rFonts w:ascii="宋体" w:hAnsi="宋体"/>
          <w:bCs/>
          <w:kern w:val="10"/>
          <w:sz w:val="24"/>
        </w:rPr>
        <w:t>-1。</w:t>
      </w:r>
    </w:p>
    <w:p>
      <w:pPr>
        <w:widowControl/>
        <w:autoSpaceDE w:val="0"/>
        <w:autoSpaceDN w:val="0"/>
        <w:adjustRightInd w:val="0"/>
        <w:spacing w:line="500" w:lineRule="exact"/>
        <w:ind w:firstLine="480" w:firstLineChars="200"/>
        <w:jc w:val="center"/>
        <w:rPr>
          <w:rFonts w:ascii="宋体" w:hAnsi="宋体"/>
          <w:bCs/>
          <w:kern w:val="10"/>
          <w:sz w:val="24"/>
        </w:rPr>
      </w:pPr>
      <w:r>
        <w:rPr>
          <w:rFonts w:ascii="宋体" w:hAnsi="宋体"/>
          <w:bCs/>
          <w:kern w:val="10"/>
          <w:sz w:val="24"/>
        </w:rPr>
        <w:t>表</w:t>
      </w:r>
      <w:r>
        <w:rPr>
          <w:rFonts w:hint="eastAsia" w:ascii="宋体" w:hAnsi="宋体"/>
          <w:bCs/>
          <w:kern w:val="10"/>
          <w:sz w:val="24"/>
        </w:rPr>
        <w:t>3</w:t>
      </w:r>
      <w:r>
        <w:rPr>
          <w:rFonts w:ascii="宋体" w:hAnsi="宋体"/>
          <w:bCs/>
          <w:kern w:val="10"/>
          <w:sz w:val="24"/>
        </w:rPr>
        <w:t>-1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1278"/>
        <w:gridCol w:w="1816"/>
        <w:gridCol w:w="1038"/>
        <w:gridCol w:w="1029"/>
        <w:gridCol w:w="960"/>
        <w:gridCol w:w="96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Align w:val="center"/>
          </w:tcPr>
          <w:p>
            <w:pPr>
              <w:widowControl/>
              <w:autoSpaceDE w:val="0"/>
              <w:autoSpaceDN w:val="0"/>
              <w:adjustRightInd w:val="0"/>
              <w:spacing w:line="300" w:lineRule="exact"/>
              <w:jc w:val="center"/>
              <w:rPr>
                <w:rFonts w:ascii="宋体" w:hAnsi="宋体"/>
                <w:kern w:val="10"/>
                <w:szCs w:val="21"/>
              </w:rPr>
            </w:pPr>
            <w:r>
              <w:rPr>
                <w:rFonts w:hint="eastAsia" w:ascii="宋体" w:hAnsi="宋体"/>
                <w:kern w:val="10"/>
                <w:szCs w:val="21"/>
              </w:rPr>
              <w:t>监测断面</w:t>
            </w:r>
          </w:p>
        </w:tc>
        <w:tc>
          <w:tcPr>
            <w:tcW w:w="688"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项目</w:t>
            </w:r>
          </w:p>
        </w:tc>
        <w:tc>
          <w:tcPr>
            <w:tcW w:w="978" w:type="pct"/>
            <w:vAlign w:val="center"/>
          </w:tcPr>
          <w:p>
            <w:pPr>
              <w:widowControl/>
              <w:autoSpaceDE w:val="0"/>
              <w:autoSpaceDN w:val="0"/>
              <w:adjustRightInd w:val="0"/>
              <w:spacing w:line="300" w:lineRule="exact"/>
              <w:jc w:val="center"/>
              <w:rPr>
                <w:rFonts w:ascii="宋体" w:hAnsi="宋体"/>
                <w:bCs/>
                <w:kern w:val="10"/>
                <w:szCs w:val="21"/>
              </w:rPr>
            </w:pPr>
            <w:r>
              <w:rPr>
                <w:rFonts w:hint="eastAsia" w:ascii="宋体" w:hAnsi="宋体"/>
                <w:bCs/>
                <w:kern w:val="10"/>
                <w:szCs w:val="21"/>
              </w:rPr>
              <w:t>浓度范围</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9" w:type="pct"/>
            <w:vAlign w:val="center"/>
          </w:tcPr>
          <w:p>
            <w:pPr>
              <w:widowControl/>
              <w:autoSpaceDE w:val="0"/>
              <w:autoSpaceDN w:val="0"/>
              <w:adjustRightInd w:val="0"/>
              <w:spacing w:line="300" w:lineRule="exact"/>
              <w:jc w:val="center"/>
              <w:rPr>
                <w:rFonts w:ascii="宋体" w:hAnsi="宋体"/>
                <w:kern w:val="10"/>
                <w:szCs w:val="21"/>
              </w:rPr>
            </w:pPr>
            <w:r>
              <w:rPr>
                <w:rFonts w:ascii="宋体" w:hAnsi="宋体"/>
                <w:kern w:val="10"/>
                <w:szCs w:val="21"/>
              </w:rPr>
              <w:t>平均值</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4"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P</w:t>
            </w:r>
            <w:r>
              <w:rPr>
                <w:rFonts w:ascii="宋体" w:hAnsi="宋体"/>
                <w:kern w:val="10"/>
                <w:szCs w:val="21"/>
                <w:vertAlign w:val="subscript"/>
              </w:rPr>
              <w:t>i</w:t>
            </w:r>
          </w:p>
        </w:tc>
        <w:tc>
          <w:tcPr>
            <w:tcW w:w="517" w:type="pct"/>
            <w:vAlign w:val="center"/>
          </w:tcPr>
          <w:p>
            <w:pPr>
              <w:autoSpaceDN w:val="0"/>
              <w:spacing w:line="300" w:lineRule="exact"/>
              <w:jc w:val="center"/>
              <w:textAlignment w:val="center"/>
              <w:rPr>
                <w:rFonts w:ascii="宋体" w:hAnsi="宋体"/>
                <w:bCs/>
                <w:kern w:val="10"/>
                <w:szCs w:val="21"/>
              </w:rPr>
            </w:pPr>
            <w:r>
              <w:rPr>
                <w:rFonts w:ascii="宋体" w:hAnsi="宋体"/>
                <w:kern w:val="10"/>
                <w:szCs w:val="21"/>
              </w:rPr>
              <w:t>超标率</w:t>
            </w:r>
            <w:r>
              <w:rPr>
                <w:rFonts w:hint="eastAsia" w:ascii="宋体" w:hAnsi="宋体"/>
                <w:kern w:val="10"/>
                <w:szCs w:val="21"/>
              </w:rPr>
              <w:t>%</w:t>
            </w:r>
          </w:p>
        </w:tc>
        <w:tc>
          <w:tcPr>
            <w:tcW w:w="517" w:type="pct"/>
            <w:vAlign w:val="center"/>
          </w:tcPr>
          <w:p>
            <w:pPr>
              <w:autoSpaceDN w:val="0"/>
              <w:spacing w:line="300" w:lineRule="exact"/>
              <w:jc w:val="center"/>
              <w:textAlignment w:val="center"/>
              <w:rPr>
                <w:rFonts w:ascii="宋体" w:hAnsi="宋体"/>
                <w:kern w:val="10"/>
                <w:szCs w:val="21"/>
              </w:rPr>
            </w:pPr>
            <w:r>
              <w:rPr>
                <w:rFonts w:ascii="宋体" w:hAnsi="宋体"/>
                <w:kern w:val="10"/>
                <w:szCs w:val="21"/>
              </w:rPr>
              <w:t>达标分析</w:t>
            </w:r>
          </w:p>
        </w:tc>
        <w:tc>
          <w:tcPr>
            <w:tcW w:w="684" w:type="pct"/>
            <w:vAlign w:val="center"/>
          </w:tcPr>
          <w:p>
            <w:pPr>
              <w:autoSpaceDN w:val="0"/>
              <w:spacing w:line="300" w:lineRule="exact"/>
              <w:jc w:val="center"/>
              <w:textAlignment w:val="center"/>
              <w:rPr>
                <w:rFonts w:ascii="宋体" w:hAnsi="宋体"/>
                <w:bCs/>
                <w:kern w:val="10"/>
                <w:szCs w:val="21"/>
              </w:rPr>
            </w:pPr>
            <w:r>
              <w:rPr>
                <w:rFonts w:hint="eastAsia" w:ascii="宋体" w:hAnsi="宋体"/>
                <w:bCs/>
                <w:kern w:val="10"/>
                <w:szCs w:val="21"/>
              </w:rPr>
              <w:t>标准值</w:t>
            </w:r>
          </w:p>
          <w:p>
            <w:pPr>
              <w:autoSpaceDN w:val="0"/>
              <w:spacing w:line="300" w:lineRule="exact"/>
              <w:jc w:val="center"/>
              <w:textAlignment w:val="center"/>
              <w:rPr>
                <w:rFonts w:ascii="宋体" w:hAnsi="宋体"/>
                <w:bCs/>
                <w:kern w:val="10"/>
                <w:szCs w:val="21"/>
              </w:rPr>
            </w:pPr>
            <w:r>
              <w:rPr>
                <w:rFonts w:hint="eastAsia" w:ascii="宋体" w:hAnsi="宋体"/>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restart"/>
            <w:vAlign w:val="center"/>
          </w:tcPr>
          <w:p>
            <w:pPr>
              <w:spacing w:line="400" w:lineRule="exact"/>
              <w:jc w:val="center"/>
              <w:rPr>
                <w:rFonts w:ascii="宋体" w:hAnsi="宋体"/>
                <w:szCs w:val="21"/>
              </w:rPr>
            </w:pPr>
            <w:r>
              <w:rPr>
                <w:rFonts w:hint="eastAsia" w:ascii="宋体" w:hAnsi="宋体"/>
                <w:szCs w:val="21"/>
              </w:rPr>
              <w:t>1#</w:t>
            </w:r>
          </w:p>
          <w:p>
            <w:pPr>
              <w:spacing w:line="400" w:lineRule="exact"/>
              <w:jc w:val="center"/>
              <w:rPr>
                <w:rFonts w:ascii="宋体" w:hAnsi="宋体"/>
                <w:szCs w:val="21"/>
              </w:rPr>
            </w:pPr>
            <w:r>
              <w:rPr>
                <w:rFonts w:ascii="宋体" w:hAnsi="宋体"/>
                <w:szCs w:val="21"/>
              </w:rPr>
              <w:t>排污口上游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8.11-8.3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9-14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2.0-3.2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2.47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0.094-0.147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122</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0.17-0.20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3.63-4.11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160</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0.07-0.08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8.4-18.6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25.8-26.7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restart"/>
            <w:vAlign w:val="center"/>
          </w:tcPr>
          <w:p>
            <w:pPr>
              <w:spacing w:line="400" w:lineRule="exact"/>
              <w:jc w:val="center"/>
              <w:rPr>
                <w:rFonts w:ascii="宋体" w:hAnsi="宋体"/>
                <w:szCs w:val="21"/>
              </w:rPr>
            </w:pPr>
            <w:r>
              <w:rPr>
                <w:rFonts w:hint="eastAsia" w:ascii="宋体" w:hAnsi="宋体"/>
                <w:szCs w:val="21"/>
              </w:rPr>
              <w:t>2#</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500m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.97-8.39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56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7-18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17.3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.9-3.8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3.17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.14-0.172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.26-0.28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0.89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4.37-4.55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4.45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2.97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197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.05-0.10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2-19.3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vAlign w:val="center"/>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5.9-26.3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restart"/>
            <w:vAlign w:val="center"/>
          </w:tcPr>
          <w:p>
            <w:pPr>
              <w:spacing w:line="400" w:lineRule="exact"/>
              <w:jc w:val="center"/>
              <w:rPr>
                <w:rFonts w:ascii="宋体" w:hAnsi="宋体"/>
                <w:szCs w:val="21"/>
              </w:rPr>
            </w:pPr>
            <w:r>
              <w:rPr>
                <w:rFonts w:hint="eastAsia" w:ascii="宋体" w:hAnsi="宋体"/>
                <w:szCs w:val="21"/>
              </w:rPr>
              <w:t>3#</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1</w:t>
            </w:r>
            <w:r>
              <w:rPr>
                <w:rFonts w:ascii="宋体" w:hAnsi="宋体"/>
                <w:szCs w:val="21"/>
              </w:rPr>
              <w:t>0</w:t>
            </w:r>
            <w:r>
              <w:rPr>
                <w:rFonts w:hint="eastAsia" w:ascii="宋体" w:hAnsi="宋体"/>
                <w:szCs w:val="21"/>
              </w:rPr>
              <w:t>00m</w:t>
            </w:r>
          </w:p>
        </w:tc>
        <w:tc>
          <w:tcPr>
            <w:tcW w:w="688"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7</w:t>
            </w:r>
            <w:r>
              <w:rPr>
                <w:rFonts w:ascii="宋体" w:hAnsi="宋体"/>
                <w:bCs/>
                <w:kern w:val="10"/>
                <w:szCs w:val="21"/>
              </w:rPr>
              <w:t>.82-8.18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7.99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4-16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14.67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.5-3.2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.47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.109-0.159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0.137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0.092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.22-0.27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.24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.81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b/>
                <w:bCs/>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.03-4.24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4.15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2.77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177</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.05-0.1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0.076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9.4-29.7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pct"/>
            <w:vMerge w:val="continue"/>
          </w:tcPr>
          <w:p>
            <w:pPr>
              <w:spacing w:line="400" w:lineRule="exact"/>
              <w:jc w:val="center"/>
              <w:rPr>
                <w:rFonts w:ascii="宋体" w:hAnsi="宋体"/>
                <w:szCs w:val="21"/>
              </w:rPr>
            </w:pPr>
          </w:p>
        </w:tc>
        <w:tc>
          <w:tcPr>
            <w:tcW w:w="688"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6.1-26.5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bl>
    <w:p>
      <w:pPr>
        <w:widowControl/>
        <w:autoSpaceDE w:val="0"/>
        <w:autoSpaceDN w:val="0"/>
        <w:adjustRightInd w:val="0"/>
        <w:spacing w:line="460" w:lineRule="exact"/>
        <w:rPr>
          <w:rFonts w:ascii="宋体" w:hAnsi="宋体"/>
          <w:bCs/>
          <w:kern w:val="10"/>
          <w:sz w:val="24"/>
        </w:rPr>
      </w:pPr>
      <w:r>
        <w:rPr>
          <w:rFonts w:ascii="宋体" w:hAnsi="宋体"/>
          <w:kern w:val="10"/>
          <w:sz w:val="24"/>
        </w:rPr>
        <w:t>备注：低于检出限的数据，以ND加最低检出限报出；</w:t>
      </w:r>
    </w:p>
    <w:p>
      <w:pPr>
        <w:pStyle w:val="91"/>
        <w:tabs>
          <w:tab w:val="clear" w:pos="2340"/>
        </w:tabs>
        <w:spacing w:line="500" w:lineRule="exact"/>
        <w:ind w:firstLine="480"/>
        <w:rPr>
          <w:rFonts w:eastAsia="宋体"/>
          <w:kern w:val="10"/>
          <w:sz w:val="24"/>
          <w:szCs w:val="24"/>
        </w:rPr>
      </w:pPr>
      <w:r>
        <w:rPr>
          <w:rFonts w:eastAsia="宋体"/>
          <w:kern w:val="10"/>
          <w:sz w:val="24"/>
          <w:szCs w:val="24"/>
        </w:rPr>
        <w:t>4、结果分析</w:t>
      </w:r>
    </w:p>
    <w:p>
      <w:pPr>
        <w:widowControl/>
        <w:autoSpaceDE w:val="0"/>
        <w:autoSpaceDN w:val="0"/>
        <w:adjustRightInd w:val="0"/>
        <w:spacing w:line="500" w:lineRule="exact"/>
        <w:ind w:firstLine="480" w:firstLineChars="200"/>
        <w:rPr>
          <w:rFonts w:ascii="宋体" w:hAnsi="宋体"/>
          <w:color w:val="000000" w:themeColor="text1"/>
          <w:kern w:val="10"/>
          <w:sz w:val="24"/>
          <w14:textFill>
            <w14:solidFill>
              <w14:schemeClr w14:val="tx1"/>
            </w14:solidFill>
          </w14:textFill>
        </w:rPr>
      </w:pPr>
      <w:r>
        <w:rPr>
          <w:rFonts w:ascii="宋体" w:hAnsi="宋体"/>
          <w:kern w:val="10"/>
          <w:sz w:val="24"/>
        </w:rPr>
        <w:t>由表1可知，</w:t>
      </w:r>
      <w:r>
        <w:rPr>
          <w:rFonts w:ascii="宋体" w:hAnsi="宋体"/>
          <w:color w:val="000000" w:themeColor="text1"/>
          <w:kern w:val="10"/>
          <w:sz w:val="24"/>
          <w14:textFill>
            <w14:solidFill>
              <w14:schemeClr w14:val="tx1"/>
            </w14:solidFill>
          </w14:textFill>
        </w:rPr>
        <w:t>在地表水体</w:t>
      </w:r>
      <w:r>
        <w:rPr>
          <w:rFonts w:hint="eastAsia" w:ascii="宋体" w:hAnsi="宋体"/>
          <w:color w:val="000000" w:themeColor="text1"/>
          <w:kern w:val="10"/>
          <w:sz w:val="24"/>
          <w14:textFill>
            <w14:solidFill>
              <w14:schemeClr w14:val="tx1"/>
            </w14:solidFill>
          </w14:textFill>
        </w:rPr>
        <w:t>湫水</w:t>
      </w:r>
      <w:r>
        <w:rPr>
          <w:rFonts w:ascii="宋体" w:hAnsi="宋体"/>
          <w:color w:val="000000" w:themeColor="text1"/>
          <w:kern w:val="10"/>
          <w:sz w:val="24"/>
          <w14:textFill>
            <w14:solidFill>
              <w14:schemeClr w14:val="tx1"/>
            </w14:solidFill>
          </w14:textFill>
        </w:rPr>
        <w:t>河的</w:t>
      </w:r>
      <w:r>
        <w:rPr>
          <w:rFonts w:hint="eastAsia" w:ascii="宋体" w:hAnsi="宋体"/>
          <w:color w:val="000000" w:themeColor="text1"/>
          <w:kern w:val="10"/>
          <w:sz w:val="24"/>
          <w14:textFill>
            <w14:solidFill>
              <w14:schemeClr w14:val="tx1"/>
            </w14:solidFill>
          </w14:textFill>
        </w:rPr>
        <w:t>3</w:t>
      </w:r>
      <w:r>
        <w:rPr>
          <w:rFonts w:ascii="宋体" w:hAnsi="宋体"/>
          <w:color w:val="000000" w:themeColor="text1"/>
          <w:kern w:val="10"/>
          <w:sz w:val="24"/>
          <w14:textFill>
            <w14:solidFill>
              <w14:schemeClr w14:val="tx1"/>
            </w14:solidFill>
          </w14:textFill>
        </w:rPr>
        <w:t>个监测断面中，</w:t>
      </w:r>
      <w:r>
        <w:rPr>
          <w:rFonts w:hint="eastAsia" w:ascii="宋体" w:hAnsi="宋体"/>
          <w:color w:val="000000" w:themeColor="text1"/>
          <w:kern w:val="10"/>
          <w:sz w:val="24"/>
          <w14:textFill>
            <w14:solidFill>
              <w14:schemeClr w14:val="tx1"/>
            </w14:solidFill>
          </w14:textFill>
        </w:rPr>
        <w:t>除</w:t>
      </w:r>
      <w:r>
        <w:rPr>
          <w:rFonts w:ascii="宋体" w:hAnsi="宋体"/>
          <w:color w:val="000000" w:themeColor="text1"/>
          <w:sz w:val="24"/>
          <w14:textFill>
            <w14:solidFill>
              <w14:schemeClr w14:val="tx1"/>
            </w14:solidFill>
          </w14:textFill>
        </w:rPr>
        <w:t>总氮</w:t>
      </w:r>
      <w:r>
        <w:rPr>
          <w:rFonts w:hint="eastAsia" w:ascii="宋体" w:hAnsi="宋体"/>
          <w:color w:val="000000" w:themeColor="text1"/>
          <w:sz w:val="24"/>
          <w14:textFill>
            <w14:solidFill>
              <w14:schemeClr w14:val="tx1"/>
            </w14:solidFill>
          </w14:textFill>
        </w:rPr>
        <w:t>指标超过</w:t>
      </w:r>
      <w:r>
        <w:rPr>
          <w:rFonts w:ascii="宋体" w:hAnsi="宋体"/>
          <w:color w:val="000000" w:themeColor="text1"/>
          <w:kern w:val="10"/>
          <w:sz w:val="24"/>
          <w14:textFill>
            <w14:solidFill>
              <w14:schemeClr w14:val="tx1"/>
            </w14:solidFill>
          </w14:textFill>
        </w:rPr>
        <w:t>满足《地表水环境质量标准》(GB3838-2002)中IV类标准要求</w:t>
      </w:r>
      <w:r>
        <w:rPr>
          <w:rFonts w:hint="eastAsia" w:ascii="宋体" w:hAnsi="宋体"/>
          <w:color w:val="000000" w:themeColor="text1"/>
          <w:kern w:val="10"/>
          <w:sz w:val="24"/>
          <w14:textFill>
            <w14:solidFill>
              <w14:schemeClr w14:val="tx1"/>
            </w14:solidFill>
          </w14:textFill>
        </w:rPr>
        <w:t>，其余</w:t>
      </w:r>
      <w:r>
        <w:rPr>
          <w:rFonts w:ascii="宋体" w:hAnsi="宋体"/>
          <w:color w:val="000000" w:themeColor="text1"/>
          <w:kern w:val="10"/>
          <w:sz w:val="24"/>
          <w14:textFill>
            <w14:solidFill>
              <w14:schemeClr w14:val="tx1"/>
            </w14:solidFill>
          </w14:textFill>
        </w:rPr>
        <w:t>各项监测指标均满足《地表水环境质量标准》(GB3838-2002)中IV类标准要求。</w:t>
      </w:r>
      <w:r>
        <w:rPr>
          <w:rFonts w:hint="eastAsia" w:ascii="宋体" w:hAnsi="宋体"/>
          <w:color w:val="000000" w:themeColor="text1"/>
          <w:kern w:val="10"/>
          <w:sz w:val="24"/>
          <w14:textFill>
            <w14:solidFill>
              <w14:schemeClr w14:val="tx1"/>
            </w14:solidFill>
          </w14:textFill>
        </w:rPr>
        <w:t>超标原因为上游未处理的生活污水直接排入湫水河造成的。</w:t>
      </w:r>
    </w:p>
    <w:bookmarkEnd w:id="39"/>
    <w:bookmarkEnd w:id="40"/>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3.2 地表水环境影响预测评价</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3.2.1 预测方法和模式</w:t>
      </w:r>
    </w:p>
    <w:p>
      <w:pPr>
        <w:spacing w:line="500" w:lineRule="exact"/>
        <w:ind w:firstLine="480" w:firstLineChars="200"/>
        <w:rPr>
          <w:rFonts w:ascii="宋体" w:hAnsi="宋体"/>
          <w:kern w:val="10"/>
          <w:sz w:val="24"/>
        </w:rPr>
      </w:pPr>
      <w:r>
        <w:rPr>
          <w:rFonts w:ascii="宋体" w:hAnsi="宋体"/>
          <w:kern w:val="10"/>
          <w:sz w:val="24"/>
        </w:rPr>
        <w:t>1、预测因子：根据项目污水特点，选取COD、NH</w:t>
      </w:r>
      <w:r>
        <w:rPr>
          <w:rFonts w:ascii="宋体" w:hAnsi="宋体"/>
          <w:kern w:val="10"/>
          <w:sz w:val="24"/>
          <w:vertAlign w:val="subscript"/>
        </w:rPr>
        <w:t>3</w:t>
      </w:r>
      <w:r>
        <w:rPr>
          <w:rFonts w:ascii="宋体" w:hAnsi="宋体"/>
          <w:kern w:val="10"/>
          <w:sz w:val="24"/>
        </w:rPr>
        <w:t>-N作为预测因子。</w:t>
      </w:r>
    </w:p>
    <w:p>
      <w:pPr>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预测模型</w:t>
      </w:r>
    </w:p>
    <w:p>
      <w:pPr>
        <w:spacing w:line="500" w:lineRule="exact"/>
        <w:ind w:firstLine="480" w:firstLineChars="200"/>
        <w:rPr>
          <w:rFonts w:ascii="宋体" w:hAnsi="宋体"/>
          <w:kern w:val="10"/>
          <w:sz w:val="24"/>
        </w:rPr>
      </w:pPr>
      <w:r>
        <w:rPr>
          <w:rFonts w:hint="eastAsia" w:ascii="宋体" w:hAnsi="宋体"/>
          <w:kern w:val="10"/>
          <w:sz w:val="24"/>
        </w:rPr>
        <w:t>根据受纳水体湫水河的水文特征，采用《环境影响评价技术导则</w:t>
      </w:r>
      <w:r>
        <w:rPr>
          <w:rFonts w:ascii="宋体" w:hAnsi="宋体"/>
          <w:kern w:val="10"/>
          <w:sz w:val="24"/>
        </w:rPr>
        <w:t xml:space="preserve">  </w:t>
      </w:r>
      <w:r>
        <w:rPr>
          <w:rFonts w:hint="eastAsia" w:ascii="宋体" w:hAnsi="宋体"/>
          <w:kern w:val="10"/>
          <w:sz w:val="24"/>
        </w:rPr>
        <w:t>地表水环境》（</w:t>
      </w:r>
      <w:r>
        <w:rPr>
          <w:rFonts w:ascii="宋体" w:hAnsi="宋体"/>
          <w:kern w:val="10"/>
          <w:sz w:val="24"/>
        </w:rPr>
        <w:t>HJ2.3-2018</w:t>
      </w:r>
      <w:r>
        <w:rPr>
          <w:rFonts w:hint="eastAsia" w:ascii="宋体" w:hAnsi="宋体"/>
          <w:kern w:val="10"/>
          <w:sz w:val="24"/>
        </w:rPr>
        <w:t>）推荐的纵向一维数学模型－连续稳定排放。</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1 \* GB3</w:instrText>
      </w:r>
      <w:r>
        <w:rPr>
          <w:rFonts w:ascii="宋体" w:hAnsi="宋体"/>
          <w:kern w:val="10"/>
          <w:sz w:val="24"/>
        </w:rPr>
        <w:fldChar w:fldCharType="separate"/>
      </w:r>
      <w:r>
        <w:rPr>
          <w:rFonts w:hint="eastAsia" w:ascii="宋体" w:hAnsi="宋体"/>
          <w:kern w:val="10"/>
          <w:sz w:val="24"/>
        </w:rPr>
        <w:t>①</w:t>
      </w:r>
      <w:r>
        <w:rPr>
          <w:rFonts w:ascii="宋体" w:hAnsi="宋体"/>
          <w:kern w:val="10"/>
          <w:sz w:val="24"/>
        </w:rPr>
        <w:fldChar w:fldCharType="end"/>
      </w:r>
      <w:r>
        <w:rPr>
          <w:rFonts w:hint="eastAsia" w:ascii="宋体" w:hAnsi="宋体"/>
          <w:kern w:val="10"/>
          <w:sz w:val="24"/>
        </w:rPr>
        <w:t>解析解公式判别</w:t>
      </w:r>
    </w:p>
    <w:p>
      <w:pPr>
        <w:spacing w:line="500" w:lineRule="exact"/>
        <w:ind w:firstLine="480" w:firstLineChars="200"/>
        <w:rPr>
          <w:rFonts w:ascii="宋体" w:hAnsi="宋体"/>
          <w:kern w:val="10"/>
          <w:sz w:val="24"/>
        </w:rPr>
      </w:pPr>
      <w:r>
        <w:rPr>
          <w:rFonts w:hint="eastAsia" w:ascii="宋体" w:hAnsi="宋体"/>
          <w:kern w:val="10"/>
          <w:sz w:val="24"/>
        </w:rPr>
        <w:t>根据河流纵向一维水质模型议程的简化、分类判别条件（即：</w:t>
      </w:r>
      <w:r>
        <w:rPr>
          <w:rFonts w:ascii="宋体" w:hAnsi="宋体"/>
          <w:kern w:val="10"/>
          <w:sz w:val="24"/>
        </w:rPr>
        <w:t>O</w:t>
      </w:r>
      <w:r>
        <w:rPr>
          <w:rFonts w:hint="eastAsia" w:ascii="宋体" w:hAnsi="宋体"/>
          <w:kern w:val="10"/>
          <w:sz w:val="24"/>
          <w:vertAlign w:val="superscript"/>
        </w:rPr>
        <w:t>，</w:t>
      </w:r>
      <w:r>
        <w:rPr>
          <w:rFonts w:ascii="宋体" w:hAnsi="宋体"/>
          <w:kern w:val="10"/>
          <w:sz w:val="24"/>
        </w:rPr>
        <w:t>Connor</w:t>
      </w:r>
      <w:r>
        <w:rPr>
          <w:rFonts w:hint="eastAsia" w:ascii="宋体" w:hAnsi="宋体"/>
          <w:kern w:val="10"/>
          <w:sz w:val="24"/>
        </w:rPr>
        <w:t>数</w:t>
      </w:r>
      <w:r>
        <w:rPr>
          <w:rFonts w:ascii="宋体" w:hAnsi="宋体"/>
          <w:kern w:val="10"/>
          <w:sz w:val="24"/>
        </w:rPr>
        <w:t>α</w:t>
      </w:r>
      <w:r>
        <w:rPr>
          <w:rFonts w:hint="eastAsia" w:ascii="宋体" w:hAnsi="宋体"/>
          <w:kern w:val="10"/>
          <w:sz w:val="24"/>
        </w:rPr>
        <w:t>和贝克来数</w:t>
      </w:r>
      <w:r>
        <w:rPr>
          <w:rFonts w:ascii="宋体" w:hAnsi="宋体"/>
          <w:kern w:val="10"/>
          <w:sz w:val="24"/>
        </w:rPr>
        <w:t>Pe</w:t>
      </w:r>
      <w:r>
        <w:rPr>
          <w:rFonts w:hint="eastAsia" w:ascii="宋体" w:hAnsi="宋体"/>
          <w:kern w:val="10"/>
          <w:sz w:val="24"/>
        </w:rPr>
        <w:t>的临界值），选择相应的解析解公式。</w:t>
      </w:r>
    </w:p>
    <w:p>
      <w:pPr>
        <w:spacing w:line="360" w:lineRule="auto"/>
        <w:ind w:firstLine="420" w:firstLineChars="200"/>
        <w:rPr>
          <w:rFonts w:ascii="宋体" w:hAnsi="宋体"/>
          <w:kern w:val="10"/>
          <w:sz w:val="24"/>
        </w:rPr>
      </w:pPr>
      <m:oMathPara>
        <m:oMath>
          <m:r>
            <m:rPr>
              <m:sty m:val="p"/>
            </m:rPr>
            <w:rPr>
              <w:rFonts w:ascii="Cambria Math" w:hAnsi="Cambria Math"/>
              <w:kern w:val="10"/>
            </w:rPr>
            <m:t>Pe</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uB</m:t>
              </m:r>
              <m:ctrlPr>
                <w:rPr>
                  <w:rFonts w:ascii="Cambria Math" w:hAnsi="Cambria Math"/>
                  <w:kern w:val="10"/>
                  <w:sz w:val="24"/>
                </w:rPr>
              </m:ctrlPr>
            </m:num>
            <m:den>
              <m:sSub>
                <m:sSubPr>
                  <m:ctrlPr>
                    <w:rPr>
                      <w:rFonts w:ascii="Cambria Math" w:hAnsi="Cambria Math"/>
                      <w:i/>
                      <w:kern w:val="10"/>
                      <w:sz w:val="24"/>
                    </w:rPr>
                  </m:ctrlPr>
                </m:sSubPr>
                <m:e>
                  <m:r>
                    <m:rPr/>
                    <w:rPr>
                      <w:rFonts w:ascii="Cambria Math" w:hAnsi="Cambria Math"/>
                      <w:kern w:val="10"/>
                    </w:rPr>
                    <m:t>Ex</m:t>
                  </m:r>
                  <m:ctrlPr>
                    <w:rPr>
                      <w:rFonts w:ascii="Cambria Math" w:hAnsi="Cambria Math"/>
                      <w:i/>
                      <w:kern w:val="10"/>
                      <w:sz w:val="24"/>
                    </w:rPr>
                  </m:ctrlPr>
                </m:e>
                <m:sub>
                  <m:ctrlPr>
                    <w:rPr>
                      <w:rFonts w:ascii="Cambria Math" w:hAnsi="Cambria Math"/>
                      <w:i/>
                      <w:kern w:val="10"/>
                      <w:sz w:val="24"/>
                    </w:rPr>
                  </m:ctrlPr>
                </m:sub>
              </m:sSub>
              <m:ctrlPr>
                <w:rPr>
                  <w:rFonts w:ascii="Cambria Math" w:hAnsi="Cambria Math"/>
                  <w:kern w:val="10"/>
                  <w:sz w:val="24"/>
                </w:rPr>
              </m:ctrlPr>
            </m:den>
          </m:f>
          <m:r>
            <m:rPr>
              <m:sty m:val="p"/>
            </m:rPr>
            <w:rPr>
              <w:rFonts w:ascii="Cambria Math" w:hAnsi="Cambria Math"/>
              <w:kern w:val="10"/>
            </w:rPr>
            <m:t>α</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k</m:t>
              </m:r>
              <m:sSub>
                <m:sSubPr>
                  <m:ctrlPr>
                    <w:rPr>
                      <w:rFonts w:ascii="Cambria Math" w:hAnsi="Cambria Math"/>
                      <w:i/>
                      <w:kern w:val="10"/>
                      <w:sz w:val="24"/>
                    </w:rPr>
                  </m:ctrlPr>
                </m:sSubPr>
                <m:e>
                  <m:r>
                    <m:rPr/>
                    <w:rPr>
                      <w:rFonts w:ascii="Cambria Math" w:hAnsi="Cambria Math"/>
                      <w:kern w:val="10"/>
                    </w:rPr>
                    <m:t>E</m:t>
                  </m:r>
                  <m:ctrlPr>
                    <w:rPr>
                      <w:rFonts w:ascii="Cambria Math" w:hAnsi="Cambria Math"/>
                      <w:i/>
                      <w:kern w:val="10"/>
                      <w:sz w:val="24"/>
                    </w:rPr>
                  </m:ctrlPr>
                </m:e>
                <m:sub>
                  <m:r>
                    <m:rPr/>
                    <w:rPr>
                      <w:rFonts w:ascii="Cambria Math" w:hAnsi="Cambria Math"/>
                      <w:kern w:val="10"/>
                    </w:rPr>
                    <m:t>x</m:t>
                  </m:r>
                  <m:ctrlPr>
                    <w:rPr>
                      <w:rFonts w:ascii="Cambria Math" w:hAnsi="Cambria Math"/>
                      <w:i/>
                      <w:kern w:val="10"/>
                      <w:sz w:val="24"/>
                    </w:rPr>
                  </m:ctrlPr>
                </m:sub>
              </m:sSub>
              <m:ctrlPr>
                <w:rPr>
                  <w:rFonts w:ascii="Cambria Math" w:hAnsi="Cambria Math"/>
                  <w:kern w:val="10"/>
                  <w:sz w:val="24"/>
                </w:rPr>
              </m:ctrlPr>
            </m:num>
            <m:den>
              <m:sSup>
                <m:sSupPr>
                  <m:ctrlPr>
                    <w:rPr>
                      <w:rFonts w:ascii="Cambria Math" w:hAnsi="Cambria Math"/>
                      <w:i/>
                      <w:kern w:val="10"/>
                      <w:sz w:val="24"/>
                    </w:rPr>
                  </m:ctrlPr>
                </m:sSupPr>
                <m:e>
                  <m:r>
                    <m:rPr/>
                    <w:rPr>
                      <w:rFonts w:ascii="Cambria Math" w:hAnsi="Cambria Math"/>
                      <w:kern w:val="10"/>
                    </w:rPr>
                    <m:t>u</m:t>
                  </m:r>
                  <m:ctrlPr>
                    <w:rPr>
                      <w:rFonts w:ascii="Cambria Math" w:hAnsi="Cambria Math"/>
                      <w:i/>
                      <w:kern w:val="10"/>
                      <w:sz w:val="24"/>
                    </w:rPr>
                  </m:ctrlPr>
                </m:e>
                <m:sup>
                  <m:r>
                    <m:rPr/>
                    <w:rPr>
                      <w:rFonts w:ascii="Cambria Math" w:hAnsi="Cambria Math"/>
                      <w:kern w:val="10"/>
                    </w:rPr>
                    <m:t>2</m:t>
                  </m:r>
                  <m:ctrlPr>
                    <w:rPr>
                      <w:rFonts w:ascii="Cambria Math" w:hAnsi="Cambria Math"/>
                      <w:i/>
                      <w:kern w:val="10"/>
                      <w:sz w:val="24"/>
                    </w:rPr>
                  </m:ctrlPr>
                </m:sup>
              </m:sSup>
              <m:ctrlPr>
                <w:rPr>
                  <w:rFonts w:ascii="Cambria Math" w:hAnsi="Cambria Math"/>
                  <w:kern w:val="10"/>
                  <w:sz w:val="24"/>
                </w:rPr>
              </m:ctrlPr>
            </m:den>
          </m:f>
        </m:oMath>
      </m:oMathPara>
    </w:p>
    <w:p>
      <w:pPr>
        <w:snapToGrid w:val="0"/>
        <w:spacing w:line="360" w:lineRule="auto"/>
        <w:ind w:firstLine="960" w:firstLineChars="400"/>
        <w:rPr>
          <w:rFonts w:ascii="宋体" w:hAnsi="宋体"/>
          <w:kern w:val="10"/>
          <w:sz w:val="24"/>
        </w:rPr>
      </w:pPr>
      <w:r>
        <w:rPr>
          <w:rFonts w:hint="eastAsia" w:ascii="宋体" w:hAnsi="宋体"/>
          <w:kern w:val="10"/>
          <w:sz w:val="24"/>
        </w:rPr>
        <w:t>式中：</w:t>
      </w:r>
      <w:r>
        <w:rPr>
          <w:rFonts w:ascii="宋体" w:hAnsi="宋体"/>
          <w:kern w:val="10"/>
          <w:sz w:val="24"/>
        </w:rPr>
        <w:t>k –</w:t>
      </w:r>
      <w:r>
        <w:rPr>
          <w:rFonts w:hint="eastAsia" w:ascii="宋体" w:hAnsi="宋体"/>
          <w:kern w:val="10"/>
          <w:sz w:val="24"/>
        </w:rPr>
        <w:t>污染物综合衰减系数，</w:t>
      </w:r>
      <w:r>
        <w:rPr>
          <w:rFonts w:ascii="宋体" w:hAnsi="宋体"/>
          <w:kern w:val="10"/>
          <w:sz w:val="24"/>
        </w:rPr>
        <w:t>1</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left="420" w:leftChars="200" w:firstLine="1320" w:firstLineChars="550"/>
        <w:rPr>
          <w:rFonts w:ascii="宋体" w:hAnsi="宋体"/>
          <w:kern w:val="10"/>
          <w:sz w:val="24"/>
        </w:rPr>
      </w:pPr>
      <w:r>
        <w:rPr>
          <w:rFonts w:ascii="宋体" w:hAnsi="宋体"/>
          <w:kern w:val="10"/>
          <w:sz w:val="24"/>
        </w:rPr>
        <w:t>Ex --污染物纵向扩散系数，</w:t>
      </w:r>
      <w:r>
        <w:rPr>
          <w:rFonts w:ascii="宋体" w:hAnsi="宋体" w:cs="TimesNewRomanPSMT"/>
          <w:kern w:val="10"/>
          <w:sz w:val="24"/>
        </w:rPr>
        <w:t>m</w:t>
      </w:r>
      <w:r>
        <w:rPr>
          <w:rFonts w:ascii="宋体" w:hAnsi="宋体" w:cs="TimesNewRomanPSMT"/>
          <w:kern w:val="10"/>
          <w:sz w:val="24"/>
          <w:vertAlign w:val="superscript"/>
        </w:rPr>
        <w:t>2</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firstLine="1680" w:firstLineChars="700"/>
        <w:rPr>
          <w:rFonts w:ascii="宋体" w:hAnsi="宋体"/>
          <w:kern w:val="10"/>
          <w:sz w:val="24"/>
        </w:rPr>
      </w:pPr>
      <w:r>
        <w:rPr>
          <w:rFonts w:ascii="宋体" w:hAnsi="宋体"/>
          <w:kern w:val="10"/>
          <w:sz w:val="24"/>
        </w:rPr>
        <w:t>u --断面流速，</w:t>
      </w:r>
      <w:r>
        <w:rPr>
          <w:rFonts w:ascii="宋体" w:hAnsi="宋体" w:cs="TimesNewRomanPSMT"/>
          <w:kern w:val="10"/>
          <w:sz w:val="24"/>
        </w:rPr>
        <w:t>m/s</w:t>
      </w:r>
      <w:r>
        <w:rPr>
          <w:rFonts w:hint="eastAsia" w:ascii="宋体" w:hAnsi="宋体" w:cs="TimesNewRomanPSMT"/>
          <w:kern w:val="10"/>
          <w:sz w:val="24"/>
        </w:rPr>
        <w:t>；</w:t>
      </w:r>
    </w:p>
    <w:p>
      <w:pPr>
        <w:snapToGrid w:val="0"/>
        <w:spacing w:line="360" w:lineRule="auto"/>
        <w:ind w:left="420" w:leftChars="200" w:firstLine="200"/>
        <w:rPr>
          <w:rFonts w:ascii="宋体" w:hAnsi="宋体"/>
          <w:kern w:val="10"/>
          <w:sz w:val="24"/>
        </w:rPr>
      </w:pPr>
      <w:r>
        <w:rPr>
          <w:rFonts w:ascii="宋体" w:hAnsi="宋体"/>
          <w:kern w:val="10"/>
          <w:sz w:val="24"/>
        </w:rPr>
        <w:t xml:space="preserve">         B--水面宽度；</w:t>
      </w:r>
    </w:p>
    <w:p>
      <w:pPr>
        <w:snapToGrid w:val="0"/>
        <w:spacing w:line="360" w:lineRule="auto"/>
        <w:ind w:left="420" w:leftChars="200" w:firstLine="200"/>
        <w:rPr>
          <w:rFonts w:ascii="宋体" w:hAnsi="宋体"/>
          <w:kern w:val="10"/>
          <w:sz w:val="24"/>
        </w:rPr>
      </w:pPr>
      <w:r>
        <w:rPr>
          <w:rFonts w:hint="eastAsia" w:ascii="宋体" w:hAnsi="宋体"/>
          <w:kern w:val="10"/>
          <w:sz w:val="24"/>
        </w:rPr>
        <w:t>污染物衰减系数</w:t>
      </w:r>
      <w:r>
        <w:rPr>
          <w:rFonts w:ascii="宋体" w:hAnsi="宋体"/>
          <w:kern w:val="10"/>
          <w:sz w:val="24"/>
        </w:rPr>
        <w:t>k</w:t>
      </w:r>
      <w:r>
        <w:rPr>
          <w:rFonts w:hint="eastAsia" w:ascii="宋体" w:hAnsi="宋体"/>
          <w:kern w:val="10"/>
          <w:sz w:val="24"/>
        </w:rPr>
        <w:t>的估值：</w:t>
      </w:r>
    </w:p>
    <w:p>
      <w:pPr>
        <w:snapToGrid w:val="0"/>
        <w:spacing w:line="360" w:lineRule="auto"/>
        <w:ind w:left="420" w:leftChars="200" w:firstLine="198"/>
        <w:jc w:val="center"/>
        <w:rPr>
          <w:rFonts w:ascii="宋体" w:hAnsi="宋体"/>
          <w:kern w:val="10"/>
          <w:sz w:val="24"/>
        </w:rPr>
      </w:pPr>
      <m:oMath>
        <m:r>
          <m:rPr>
            <m:sty m:val="p"/>
          </m:rPr>
          <w:rPr>
            <w:rFonts w:ascii="Cambria Math" w:hAnsi="Cambria Math"/>
            <w:kern w:val="10"/>
          </w:rPr>
          <m:t>k=</m:t>
        </m:r>
        <m:r>
          <m:rPr>
            <m:sty m:val="p"/>
          </m:rPr>
          <w:rPr>
            <w:rFonts w:ascii="微软雅黑" w:hAnsi="微软雅黑" w:eastAsia="微软雅黑" w:cs="微软雅黑"/>
            <w:kern w:val="10"/>
          </w:rPr>
          <m:t>−</m:t>
        </m:r>
        <m:f>
          <m:fPr>
            <m:ctrlPr>
              <w:rPr>
                <w:rFonts w:ascii="Cambria Math" w:hAnsi="Cambria Math"/>
                <w:kern w:val="10"/>
              </w:rPr>
            </m:ctrlPr>
          </m:fPr>
          <m:num>
            <m:r>
              <m:rPr/>
              <w:rPr>
                <w:rFonts w:ascii="Cambria Math" w:hAnsi="Cambria Math"/>
                <w:kern w:val="10"/>
              </w:rPr>
              <m:t>u</m:t>
            </m:r>
            <m:ctrlPr>
              <w:rPr>
                <w:rFonts w:ascii="Cambria Math" w:hAnsi="Cambria Math"/>
                <w:kern w:val="10"/>
              </w:rPr>
            </m:ctrlPr>
          </m:num>
          <m:den>
            <m:r>
              <m:rPr/>
              <w:rPr>
                <w:rFonts w:ascii="Cambria Math" w:hAnsi="Cambria Math"/>
                <w:kern w:val="10"/>
              </w:rPr>
              <m:t>x</m:t>
            </m:r>
            <m:ctrlPr>
              <w:rPr>
                <w:rFonts w:ascii="Cambria Math" w:hAnsi="Cambria Math"/>
                <w:kern w:val="10"/>
              </w:rPr>
            </m:ctrlPr>
          </m:den>
        </m:f>
        <m:r>
          <m:rPr/>
          <w:rPr>
            <w:rFonts w:ascii="Cambria Math" w:hAnsi="Cambria Math"/>
            <w:kern w:val="10"/>
          </w:rPr>
          <m:t>Ln</m:t>
        </m:r>
        <m:f>
          <m:fPr>
            <m:ctrlPr>
              <w:rPr>
                <w:rFonts w:ascii="Cambria Math" w:hAnsi="Cambria Math"/>
                <w:i/>
                <w:kern w:val="10"/>
              </w:rPr>
            </m:ctrlPr>
          </m:fPr>
          <m:num>
            <m:r>
              <m:rPr/>
              <w:rPr>
                <w:rFonts w:ascii="Cambria Math" w:hAnsi="Cambria Math"/>
                <w:kern w:val="10"/>
              </w:rPr>
              <m:t>C</m:t>
            </m:r>
            <m:ctrlPr>
              <w:rPr>
                <w:rFonts w:ascii="Cambria Math" w:hAnsi="Cambria Math"/>
                <w:i/>
                <w:kern w:val="10"/>
              </w:rPr>
            </m:ctrlPr>
          </m:num>
          <m:den>
            <m:sSub>
              <m:sSubPr>
                <m:ctrlPr>
                  <w:rPr>
                    <w:rFonts w:ascii="Cambria Math" w:hAnsi="Cambria Math"/>
                    <w:i/>
                    <w:kern w:val="10"/>
                  </w:rPr>
                </m:ctrlPr>
              </m:sSubPr>
              <m:e>
                <m:r>
                  <m:rPr/>
                  <w:rPr>
                    <w:rFonts w:ascii="Cambria Math" w:hAnsi="Cambria Math"/>
                    <w:kern w:val="10"/>
                  </w:rPr>
                  <m:t>C</m:t>
                </m:r>
                <m:ctrlPr>
                  <w:rPr>
                    <w:rFonts w:ascii="Cambria Math" w:hAnsi="Cambria Math"/>
                    <w:i/>
                    <w:kern w:val="10"/>
                  </w:rPr>
                </m:ctrlPr>
              </m:e>
              <m:sub>
                <m:r>
                  <m:rPr/>
                  <w:rPr>
                    <w:rFonts w:ascii="Cambria Math" w:hAnsi="Cambria Math"/>
                    <w:kern w:val="10"/>
                  </w:rPr>
                  <m:t>0</m:t>
                </m:r>
                <m:ctrlPr>
                  <w:rPr>
                    <w:rFonts w:ascii="Cambria Math" w:hAnsi="Cambria Math"/>
                    <w:i/>
                    <w:kern w:val="10"/>
                  </w:rPr>
                </m:ctrlPr>
              </m:sub>
            </m:sSub>
            <m:ctrlPr>
              <w:rPr>
                <w:rFonts w:ascii="Cambria Math" w:hAnsi="Cambria Math"/>
                <w:i/>
                <w:kern w:val="10"/>
              </w:rPr>
            </m:ctrlPr>
          </m:den>
        </m:f>
      </m:oMath>
      <w:r>
        <w:rPr>
          <w:rFonts w:ascii="宋体" w:hAnsi="宋体"/>
          <w:kern w:val="10"/>
          <w:sz w:val="24"/>
        </w:rPr>
        <w:t>a.</w:t>
      </w:r>
    </w:p>
    <w:p>
      <w:pPr>
        <w:spacing w:line="500" w:lineRule="exact"/>
        <w:ind w:firstLine="480" w:firstLineChars="200"/>
        <w:rPr>
          <w:rFonts w:ascii="宋体" w:hAnsi="宋体"/>
          <w:kern w:val="10"/>
          <w:sz w:val="24"/>
        </w:rPr>
      </w:pPr>
      <w:r>
        <w:rPr>
          <w:rFonts w:hint="eastAsia" w:ascii="宋体" w:hAnsi="宋体"/>
          <w:kern w:val="10"/>
          <w:sz w:val="24"/>
        </w:rPr>
        <w:t>根据现场监测数据，采用两点法估算</w:t>
      </w:r>
      <w:r>
        <w:rPr>
          <w:rFonts w:ascii="宋体" w:hAnsi="宋体"/>
          <w:kern w:val="10"/>
          <w:sz w:val="24"/>
        </w:rPr>
        <w:t>k</w:t>
      </w:r>
      <w:r>
        <w:rPr>
          <w:rFonts w:hint="eastAsia" w:ascii="宋体" w:hAnsi="宋体"/>
          <w:kern w:val="10"/>
          <w:sz w:val="24"/>
        </w:rPr>
        <w:t>值，估算公式为：</w:t>
      </w:r>
    </w:p>
    <w:p>
      <w:pPr>
        <w:spacing w:line="500" w:lineRule="exact"/>
        <w:ind w:firstLine="480" w:firstLineChars="200"/>
        <w:rPr>
          <w:rFonts w:ascii="宋体" w:hAnsi="宋体"/>
          <w:kern w:val="10"/>
          <w:sz w:val="24"/>
        </w:rPr>
      </w:pPr>
      <w:r>
        <w:rPr>
          <w:rFonts w:ascii="宋体" w:hAnsi="宋体"/>
          <w:kern w:val="10"/>
          <w:sz w:val="24"/>
        </w:rPr>
        <w:t>b.污染物纵向扩散系数Ex</w:t>
      </w:r>
    </w:p>
    <w:p>
      <w:pPr>
        <w:spacing w:line="500" w:lineRule="exact"/>
        <w:ind w:firstLine="480" w:firstLineChars="200"/>
        <w:rPr>
          <w:rFonts w:ascii="宋体" w:hAnsi="宋体"/>
          <w:kern w:val="10"/>
          <w:sz w:val="24"/>
        </w:rPr>
      </w:pPr>
      <w:r>
        <w:rPr>
          <w:rFonts w:hint="eastAsia" w:ascii="宋体" w:hAnsi="宋体"/>
          <w:kern w:val="10"/>
          <w:sz w:val="24"/>
        </w:rPr>
        <w:t>根据泰勒理论，扩散系数的表达式为：</w:t>
      </w:r>
    </w:p>
    <w:p>
      <w:pPr>
        <w:spacing w:line="360" w:lineRule="auto"/>
        <w:ind w:firstLine="420" w:firstLineChars="200"/>
        <w:rPr>
          <w:rFonts w:ascii="宋体" w:hAnsi="宋体"/>
          <w:kern w:val="10"/>
        </w:rPr>
      </w:pPr>
      <m:oMathPara>
        <m:oMath>
          <m:sSub>
            <m:sSubPr>
              <m:ctrlPr>
                <w:rPr>
                  <w:rFonts w:ascii="Cambria Math" w:hAnsi="Cambria Math"/>
                  <w:kern w:val="10"/>
                </w:rPr>
              </m:ctrlPr>
            </m:sSubPr>
            <m:e>
              <m:r>
                <m:rPr>
                  <m:sty m:val="p"/>
                </m:rPr>
                <w:rPr>
                  <w:rFonts w:ascii="Cambria Math" w:hAnsi="Cambria Math"/>
                  <w:kern w:val="10"/>
                </w:rPr>
                <m:t>E</m:t>
              </m:r>
              <m:ctrlPr>
                <w:rPr>
                  <w:rFonts w:ascii="Cambria Math" w:hAnsi="Cambria Math"/>
                  <w:kern w:val="10"/>
                </w:rPr>
              </m:ctrlPr>
            </m:e>
            <m:sub>
              <m:r>
                <m:rPr/>
                <w:rPr>
                  <w:rFonts w:ascii="Cambria Math" w:hAnsi="Cambria Math"/>
                  <w:kern w:val="10"/>
                </w:rPr>
                <m:t>x</m:t>
              </m:r>
              <m:ctrlPr>
                <w:rPr>
                  <w:rFonts w:ascii="Cambria Math" w:hAnsi="Cambria Math"/>
                  <w:kern w:val="10"/>
                </w:rPr>
              </m:ctrlPr>
            </m:sub>
          </m:sSub>
          <m:r>
            <m:rPr/>
            <w:rPr>
              <w:rFonts w:ascii="Cambria Math" w:hAnsi="Cambria Math"/>
              <w:kern w:val="10"/>
            </w:rPr>
            <m:t>=5.93H</m:t>
          </m:r>
          <m:rad>
            <m:radPr>
              <m:degHide m:val="1"/>
              <m:ctrlPr>
                <w:rPr>
                  <w:rFonts w:ascii="Cambria Math" w:hAnsi="Cambria Math"/>
                  <w:i/>
                  <w:kern w:val="10"/>
                </w:rPr>
              </m:ctrlPr>
            </m:radPr>
            <m:deg>
              <m:ctrlPr>
                <w:rPr>
                  <w:rFonts w:ascii="Cambria Math" w:hAnsi="Cambria Math"/>
                  <w:i/>
                  <w:kern w:val="10"/>
                </w:rPr>
              </m:ctrlPr>
            </m:deg>
            <m:e>
              <m:r>
                <m:rPr/>
                <w:rPr>
                  <w:rFonts w:ascii="Cambria Math" w:hAnsi="Cambria Math"/>
                  <w:kern w:val="10"/>
                </w:rPr>
                <m:t>gHI</m:t>
              </m:r>
              <m:ctrlPr>
                <w:rPr>
                  <w:rFonts w:ascii="Cambria Math" w:hAnsi="Cambria Math"/>
                  <w:i/>
                  <w:kern w:val="10"/>
                </w:rPr>
              </m:ctrlPr>
            </m:e>
          </m:rad>
        </m:oMath>
      </m:oMathPara>
    </w:p>
    <w:p>
      <w:pPr>
        <w:spacing w:line="500" w:lineRule="exact"/>
        <w:ind w:firstLine="960" w:firstLineChars="400"/>
        <w:rPr>
          <w:rFonts w:ascii="宋体" w:hAnsi="宋体"/>
          <w:kern w:val="10"/>
        </w:rPr>
      </w:pPr>
      <w:r>
        <w:rPr>
          <w:rFonts w:hint="eastAsia" w:ascii="宋体" w:hAnsi="宋体"/>
          <w:kern w:val="10"/>
          <w:sz w:val="24"/>
        </w:rPr>
        <w:t>式中：</w:t>
      </w:r>
      <w:r>
        <w:rPr>
          <w:rFonts w:ascii="宋体" w:hAnsi="宋体"/>
          <w:kern w:val="10"/>
          <w:sz w:val="24"/>
        </w:rPr>
        <w:t>H--平均水深（m）；</w:t>
      </w:r>
    </w:p>
    <w:p>
      <w:pPr>
        <w:spacing w:line="500" w:lineRule="exact"/>
        <w:ind w:left="420" w:leftChars="200" w:firstLine="1200" w:firstLineChars="500"/>
        <w:rPr>
          <w:rFonts w:ascii="宋体" w:hAnsi="宋体"/>
          <w:kern w:val="10"/>
          <w:sz w:val="24"/>
        </w:rPr>
      </w:pPr>
      <w:r>
        <w:rPr>
          <w:rFonts w:ascii="宋体" w:hAnsi="宋体"/>
          <w:kern w:val="10"/>
          <w:sz w:val="24"/>
        </w:rPr>
        <w:t>I--水面坡度，m/m；</w:t>
      </w:r>
    </w:p>
    <w:p>
      <w:pPr>
        <w:spacing w:line="500" w:lineRule="exact"/>
        <w:ind w:left="420" w:leftChars="200" w:firstLine="1200" w:firstLineChars="500"/>
        <w:rPr>
          <w:rFonts w:ascii="宋体" w:hAnsi="宋体"/>
          <w:kern w:val="10"/>
          <w:sz w:val="24"/>
        </w:rPr>
      </w:pPr>
      <w:r>
        <w:rPr>
          <w:rFonts w:ascii="宋体" w:hAnsi="宋体"/>
          <w:kern w:val="10"/>
          <w:sz w:val="24"/>
        </w:rPr>
        <w:t>g--重力加速度，9.81m/s</w:t>
      </w:r>
      <w:r>
        <w:rPr>
          <w:rFonts w:ascii="宋体" w:hAnsi="宋体"/>
          <w:kern w:val="10"/>
          <w:sz w:val="24"/>
          <w:vertAlign w:val="superscript"/>
        </w:rPr>
        <w:t>2</w:t>
      </w:r>
      <w:r>
        <w:rPr>
          <w:rFonts w:ascii="宋体" w:hAnsi="宋体"/>
          <w:kern w:val="10"/>
          <w:sz w:val="24"/>
        </w:rPr>
        <w:t>。</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2 \* GB3</w:instrText>
      </w:r>
      <w:r>
        <w:rPr>
          <w:rFonts w:ascii="宋体" w:hAnsi="宋体"/>
          <w:kern w:val="10"/>
          <w:sz w:val="24"/>
        </w:rPr>
        <w:fldChar w:fldCharType="separate"/>
      </w:r>
      <w:r>
        <w:rPr>
          <w:rFonts w:hint="eastAsia" w:ascii="宋体" w:hAnsi="宋体"/>
          <w:kern w:val="10"/>
          <w:sz w:val="24"/>
        </w:rPr>
        <w:t>②</w:t>
      </w:r>
      <w:r>
        <w:rPr>
          <w:rFonts w:ascii="宋体" w:hAnsi="宋体"/>
          <w:kern w:val="10"/>
          <w:sz w:val="24"/>
        </w:rPr>
        <w:fldChar w:fldCharType="end"/>
      </w:r>
      <w:r>
        <w:rPr>
          <w:rFonts w:hint="eastAsia" w:ascii="宋体" w:hAnsi="宋体"/>
          <w:kern w:val="10"/>
          <w:sz w:val="24"/>
        </w:rPr>
        <w:t>模型参数</w:t>
      </w:r>
    </w:p>
    <w:p>
      <w:pPr>
        <w:spacing w:line="500" w:lineRule="exact"/>
        <w:ind w:firstLine="480" w:firstLineChars="200"/>
        <w:rPr>
          <w:rFonts w:ascii="宋体" w:hAnsi="宋体"/>
          <w:kern w:val="10"/>
          <w:sz w:val="24"/>
        </w:rPr>
      </w:pPr>
      <w:r>
        <w:rPr>
          <w:rFonts w:hint="eastAsia" w:ascii="宋体" w:hAnsi="宋体"/>
          <w:kern w:val="10"/>
          <w:sz w:val="24"/>
        </w:rPr>
        <w:t>根据现场监测数</w:t>
      </w:r>
      <w:r>
        <w:rPr>
          <w:rFonts w:ascii="宋体" w:hAnsi="宋体"/>
          <w:kern w:val="10"/>
          <w:sz w:val="24"/>
        </w:rPr>
        <w:t>据及</w:t>
      </w:r>
      <w:r>
        <w:rPr>
          <w:rFonts w:hint="eastAsia" w:ascii="宋体" w:hAnsi="宋体"/>
          <w:kern w:val="10"/>
          <w:sz w:val="24"/>
        </w:rPr>
        <w:t>湫水</w:t>
      </w:r>
      <w:r>
        <w:rPr>
          <w:rFonts w:ascii="宋体" w:hAnsi="宋体"/>
          <w:kern w:val="10"/>
          <w:sz w:val="24"/>
        </w:rPr>
        <w:t>河水文参数，确定</w:t>
      </w:r>
      <w:r>
        <w:rPr>
          <w:rFonts w:hint="eastAsia" w:ascii="宋体" w:hAnsi="宋体"/>
          <w:kern w:val="10"/>
          <w:sz w:val="24"/>
        </w:rPr>
        <w:t>湫水</w:t>
      </w:r>
      <w:r>
        <w:rPr>
          <w:rFonts w:ascii="宋体" w:hAnsi="宋体"/>
          <w:kern w:val="10"/>
          <w:sz w:val="24"/>
          <w:szCs w:val="21"/>
        </w:rPr>
        <w:t>河</w:t>
      </w:r>
      <w:r>
        <w:rPr>
          <w:rFonts w:ascii="宋体" w:hAnsi="宋体"/>
          <w:kern w:val="10"/>
          <w:sz w:val="24"/>
        </w:rPr>
        <w:t>水质模型参数，具体见</w:t>
      </w:r>
      <w:r>
        <w:rPr>
          <w:rFonts w:hint="eastAsia" w:ascii="宋体" w:hAnsi="宋体"/>
          <w:kern w:val="10"/>
          <w:sz w:val="24"/>
        </w:rPr>
        <w:t>下</w:t>
      </w:r>
      <w:r>
        <w:rPr>
          <w:rFonts w:ascii="宋体" w:hAnsi="宋体"/>
          <w:kern w:val="10"/>
          <w:sz w:val="24"/>
        </w:rPr>
        <w:t>表。</w:t>
      </w:r>
    </w:p>
    <w:p>
      <w:pPr>
        <w:spacing w:line="500" w:lineRule="exact"/>
        <w:ind w:firstLine="480" w:firstLineChars="200"/>
        <w:jc w:val="center"/>
        <w:rPr>
          <w:rFonts w:ascii="宋体" w:hAnsi="宋体"/>
          <w:kern w:val="10"/>
          <w:sz w:val="24"/>
          <w:szCs w:val="21"/>
        </w:rPr>
      </w:pPr>
      <w:r>
        <w:rPr>
          <w:rFonts w:ascii="宋体" w:hAnsi="宋体"/>
          <w:kern w:val="10"/>
          <w:sz w:val="24"/>
          <w:szCs w:val="21"/>
        </w:rPr>
        <w:t xml:space="preserve">表3-2     </w:t>
      </w:r>
      <w:r>
        <w:rPr>
          <w:rFonts w:hint="eastAsia" w:ascii="宋体" w:hAnsi="宋体"/>
          <w:kern w:val="10"/>
          <w:sz w:val="24"/>
        </w:rPr>
        <w:t>湫水</w:t>
      </w:r>
      <w:r>
        <w:rPr>
          <w:rFonts w:ascii="宋体" w:hAnsi="宋体"/>
          <w:kern w:val="10"/>
          <w:sz w:val="24"/>
          <w:szCs w:val="21"/>
        </w:rPr>
        <w:t>河水质模型参数</w:t>
      </w:r>
    </w:p>
    <w:tbl>
      <w:tblPr>
        <w:tblStyle w:val="2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868"/>
        <w:gridCol w:w="1868"/>
        <w:gridCol w:w="1868"/>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867" w:type="dxa"/>
            <w:vAlign w:val="center"/>
          </w:tcPr>
          <w:p>
            <w:pPr>
              <w:jc w:val="center"/>
              <w:rPr>
                <w:rFonts w:ascii="宋体" w:hAnsi="宋体"/>
                <w:szCs w:val="21"/>
              </w:rPr>
            </w:pPr>
            <w:r>
              <w:rPr>
                <w:rFonts w:hint="eastAsia" w:ascii="宋体" w:hAnsi="宋体"/>
                <w:szCs w:val="21"/>
              </w:rPr>
              <w:t>河流</w:t>
            </w:r>
          </w:p>
        </w:tc>
        <w:tc>
          <w:tcPr>
            <w:tcW w:w="1868" w:type="dxa"/>
            <w:vAlign w:val="center"/>
          </w:tcPr>
          <w:p>
            <w:pPr>
              <w:jc w:val="center"/>
              <w:rPr>
                <w:rFonts w:ascii="宋体" w:hAnsi="宋体"/>
                <w:szCs w:val="21"/>
              </w:rPr>
            </w:pPr>
            <w:r>
              <w:rPr>
                <w:rFonts w:hint="eastAsia" w:ascii="宋体" w:hAnsi="宋体"/>
                <w:szCs w:val="21"/>
              </w:rPr>
              <w:t>流量（m</w:t>
            </w:r>
            <w:r>
              <w:rPr>
                <w:rFonts w:hint="eastAsia" w:ascii="宋体" w:hAnsi="宋体"/>
                <w:szCs w:val="21"/>
                <w:vertAlign w:val="superscript"/>
              </w:rPr>
              <w:t>3</w:t>
            </w:r>
            <w:r>
              <w:rPr>
                <w:rFonts w:hint="eastAsia" w:ascii="宋体" w:hAnsi="宋体"/>
                <w:szCs w:val="21"/>
              </w:rPr>
              <w:t>/s）</w:t>
            </w:r>
          </w:p>
        </w:tc>
        <w:tc>
          <w:tcPr>
            <w:tcW w:w="1868" w:type="dxa"/>
            <w:vAlign w:val="center"/>
          </w:tcPr>
          <w:p>
            <w:pPr>
              <w:jc w:val="center"/>
              <w:rPr>
                <w:rFonts w:ascii="宋体" w:hAnsi="宋体"/>
                <w:szCs w:val="21"/>
              </w:rPr>
            </w:pPr>
            <w:r>
              <w:rPr>
                <w:rFonts w:hint="eastAsia" w:ascii="宋体" w:hAnsi="宋体"/>
                <w:szCs w:val="21"/>
              </w:rPr>
              <w:t>河宽（m）</w:t>
            </w:r>
          </w:p>
        </w:tc>
        <w:tc>
          <w:tcPr>
            <w:tcW w:w="1868" w:type="dxa"/>
            <w:vAlign w:val="center"/>
          </w:tcPr>
          <w:p>
            <w:pPr>
              <w:jc w:val="center"/>
              <w:rPr>
                <w:rFonts w:ascii="宋体" w:hAnsi="宋体"/>
                <w:szCs w:val="21"/>
              </w:rPr>
            </w:pPr>
            <w:r>
              <w:rPr>
                <w:rFonts w:hint="eastAsia" w:ascii="宋体" w:hAnsi="宋体"/>
                <w:szCs w:val="21"/>
              </w:rPr>
              <w:t>水深（m）</w:t>
            </w:r>
          </w:p>
        </w:tc>
        <w:tc>
          <w:tcPr>
            <w:tcW w:w="1868" w:type="dxa"/>
            <w:vAlign w:val="center"/>
          </w:tcPr>
          <w:p>
            <w:pPr>
              <w:jc w:val="center"/>
              <w:rPr>
                <w:rFonts w:ascii="宋体" w:hAnsi="宋体"/>
                <w:szCs w:val="21"/>
              </w:rPr>
            </w:pPr>
            <w:r>
              <w:rPr>
                <w:rFonts w:hint="eastAsia" w:ascii="宋体" w:hAnsi="宋体"/>
                <w:szCs w:val="21"/>
              </w:rPr>
              <w:t>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7" w:type="dxa"/>
            <w:vAlign w:val="center"/>
          </w:tcPr>
          <w:p>
            <w:pPr>
              <w:jc w:val="center"/>
              <w:rPr>
                <w:rFonts w:ascii="宋体" w:hAnsi="宋体"/>
                <w:szCs w:val="21"/>
              </w:rPr>
            </w:pPr>
            <w:r>
              <w:rPr>
                <w:rFonts w:hint="eastAsia" w:ascii="宋体" w:hAnsi="宋体"/>
                <w:szCs w:val="21"/>
              </w:rPr>
              <w:t>湫水河</w:t>
            </w:r>
          </w:p>
        </w:tc>
        <w:tc>
          <w:tcPr>
            <w:tcW w:w="1868" w:type="dxa"/>
            <w:vAlign w:val="center"/>
          </w:tcPr>
          <w:p>
            <w:pPr>
              <w:jc w:val="center"/>
              <w:rPr>
                <w:rFonts w:ascii="宋体" w:hAnsi="宋体"/>
                <w:szCs w:val="21"/>
              </w:rPr>
            </w:pPr>
            <w:r>
              <w:rPr>
                <w:rFonts w:ascii="宋体" w:hAnsi="宋体"/>
                <w:szCs w:val="21"/>
              </w:rPr>
              <w:t>17.9</w:t>
            </w:r>
          </w:p>
        </w:tc>
        <w:tc>
          <w:tcPr>
            <w:tcW w:w="1868" w:type="dxa"/>
            <w:vAlign w:val="center"/>
          </w:tcPr>
          <w:p>
            <w:pPr>
              <w:jc w:val="center"/>
              <w:rPr>
                <w:rFonts w:ascii="宋体" w:hAnsi="宋体"/>
                <w:szCs w:val="21"/>
              </w:rPr>
            </w:pPr>
            <w:r>
              <w:rPr>
                <w:rFonts w:ascii="宋体" w:hAnsi="宋体"/>
                <w:szCs w:val="21"/>
              </w:rPr>
              <w:t>15</w:t>
            </w:r>
          </w:p>
        </w:tc>
        <w:tc>
          <w:tcPr>
            <w:tcW w:w="1868" w:type="dxa"/>
            <w:vAlign w:val="center"/>
          </w:tcPr>
          <w:p>
            <w:pPr>
              <w:jc w:val="center"/>
              <w:rPr>
                <w:rFonts w:ascii="宋体" w:hAnsi="宋体"/>
                <w:szCs w:val="21"/>
              </w:rPr>
            </w:pPr>
            <w:r>
              <w:rPr>
                <w:rFonts w:hint="eastAsia" w:ascii="宋体" w:hAnsi="宋体"/>
                <w:szCs w:val="21"/>
              </w:rPr>
              <w:t>0.4</w:t>
            </w:r>
          </w:p>
        </w:tc>
        <w:tc>
          <w:tcPr>
            <w:tcW w:w="1868" w:type="dxa"/>
            <w:vAlign w:val="center"/>
          </w:tcPr>
          <w:p>
            <w:pPr>
              <w:jc w:val="center"/>
              <w:rPr>
                <w:rFonts w:ascii="宋体" w:hAnsi="宋体"/>
                <w:szCs w:val="21"/>
              </w:rPr>
            </w:pPr>
            <w:r>
              <w:rPr>
                <w:rFonts w:ascii="宋体" w:hAnsi="宋体"/>
                <w:szCs w:val="21"/>
              </w:rPr>
              <w:t>2.99</w:t>
            </w:r>
          </w:p>
        </w:tc>
      </w:tr>
    </w:tbl>
    <w:p>
      <w:pPr>
        <w:spacing w:line="500" w:lineRule="exact"/>
        <w:ind w:firstLine="480" w:firstLineChars="200"/>
        <w:rPr>
          <w:rFonts w:ascii="宋体" w:hAnsi="宋体"/>
          <w:sz w:val="24"/>
        </w:rPr>
      </w:pPr>
      <w:r>
        <w:rPr>
          <w:rFonts w:hint="eastAsia" w:ascii="宋体" w:hAnsi="宋体"/>
          <w:sz w:val="24"/>
        </w:rPr>
        <w:t>非持久性污染物（BOD</w:t>
      </w:r>
      <w:r>
        <w:rPr>
          <w:rFonts w:hint="eastAsia" w:ascii="宋体" w:hAnsi="宋体"/>
          <w:sz w:val="24"/>
          <w:vertAlign w:val="subscript"/>
        </w:rPr>
        <w:t>5</w:t>
      </w:r>
      <w:r>
        <w:rPr>
          <w:rFonts w:hint="eastAsia" w:ascii="宋体" w:hAnsi="宋体"/>
          <w:sz w:val="24"/>
        </w:rPr>
        <w:t>、COD、氨氮）在河道中可以随时间依靠自净作用而逐渐衰减，进行预测时，关键在于求得各非持久性污染物的衰减系数K1，本评价采用经验公式以及湫水河的实际情况来确定K值。公式如下：</w:t>
      </w:r>
    </w:p>
    <w:p>
      <w:pPr>
        <w:spacing w:line="500" w:lineRule="exact"/>
        <w:ind w:firstLine="480" w:firstLineChars="200"/>
        <w:jc w:val="center"/>
        <w:rPr>
          <w:rFonts w:ascii="宋体" w:hAnsi="宋体"/>
          <w:sz w:val="24"/>
        </w:rPr>
      </w:pPr>
      <w:r>
        <w:rPr>
          <w:rFonts w:ascii="宋体" w:hAnsi="宋体"/>
          <w:sz w:val="24"/>
        </w:rPr>
        <w:t>k=0.066+0.5u</w:t>
      </w:r>
    </w:p>
    <w:p>
      <w:pPr>
        <w:spacing w:line="500" w:lineRule="exact"/>
        <w:ind w:firstLine="480" w:firstLineChars="200"/>
        <w:rPr>
          <w:rFonts w:ascii="宋体" w:hAnsi="宋体"/>
          <w:sz w:val="24"/>
        </w:rPr>
      </w:pPr>
      <w:r>
        <w:rPr>
          <w:rFonts w:hint="eastAsia" w:ascii="宋体" w:hAnsi="宋体"/>
          <w:sz w:val="24"/>
        </w:rPr>
        <w:t>u：设计流量下河流断面的平均流速，m/s；</w:t>
      </w:r>
    </w:p>
    <w:p>
      <w:pPr>
        <w:spacing w:line="500" w:lineRule="exact"/>
        <w:ind w:firstLine="480" w:firstLineChars="200"/>
        <w:rPr>
          <w:rFonts w:ascii="宋体" w:hAnsi="宋体"/>
          <w:sz w:val="24"/>
        </w:rPr>
      </w:pPr>
      <w:r>
        <w:rPr>
          <w:rFonts w:hint="eastAsia" w:ascii="宋体" w:hAnsi="宋体"/>
          <w:sz w:val="24"/>
        </w:rPr>
        <w:t>根据经验公式及湫水河的实际情况，湫水河COD衰减系数取值0.256、NH</w:t>
      </w:r>
      <w:r>
        <w:rPr>
          <w:rFonts w:hint="eastAsia" w:ascii="宋体" w:hAnsi="宋体"/>
          <w:sz w:val="24"/>
          <w:vertAlign w:val="subscript"/>
        </w:rPr>
        <w:t>3</w:t>
      </w:r>
      <w:r>
        <w:rPr>
          <w:rFonts w:hint="eastAsia" w:ascii="宋体" w:hAnsi="宋体"/>
          <w:sz w:val="24"/>
        </w:rPr>
        <w:t>-N减系数取值0.256、BOD衰减系数取值0.256。</w:t>
      </w:r>
    </w:p>
    <w:p>
      <w:pPr>
        <w:spacing w:line="500" w:lineRule="exact"/>
        <w:ind w:firstLine="480" w:firstLineChars="200"/>
        <w:rPr>
          <w:rFonts w:ascii="宋体" w:hAnsi="宋体"/>
          <w:sz w:val="24"/>
        </w:rPr>
      </w:pPr>
      <w:r>
        <w:rPr>
          <w:rFonts w:hint="eastAsia" w:ascii="宋体" w:hAnsi="宋体"/>
          <w:sz w:val="24"/>
        </w:rPr>
        <w:t>（5）河流水质</w:t>
      </w:r>
    </w:p>
    <w:p>
      <w:pPr>
        <w:spacing w:line="500" w:lineRule="exact"/>
        <w:ind w:firstLine="480" w:firstLineChars="200"/>
        <w:rPr>
          <w:rFonts w:ascii="宋体" w:hAnsi="宋体"/>
          <w:sz w:val="24"/>
        </w:rPr>
      </w:pPr>
      <w:r>
        <w:rPr>
          <w:rFonts w:hint="eastAsia" w:ascii="宋体" w:hAnsi="宋体"/>
          <w:sz w:val="24"/>
        </w:rPr>
        <w:t>根据收集湫水河排污口下游水质监测数据。</w:t>
      </w:r>
    </w:p>
    <w:p>
      <w:pPr>
        <w:spacing w:line="500" w:lineRule="exact"/>
        <w:ind w:firstLine="480" w:firstLineChars="200"/>
        <w:rPr>
          <w:rFonts w:ascii="宋体" w:hAnsi="宋体"/>
          <w:sz w:val="24"/>
        </w:rPr>
      </w:pPr>
      <w:r>
        <w:rPr>
          <w:rFonts w:hint="eastAsia" w:ascii="宋体" w:hAnsi="宋体"/>
          <w:sz w:val="24"/>
        </w:rPr>
        <w:t>（6）完全混合长度</w:t>
      </w:r>
    </w:p>
    <w:p>
      <w:pPr>
        <w:spacing w:line="500" w:lineRule="exact"/>
        <w:ind w:firstLine="480" w:firstLineChars="200"/>
        <w:rPr>
          <w:rFonts w:ascii="宋体" w:hAnsi="宋体"/>
          <w:sz w:val="24"/>
        </w:rPr>
      </w:pPr>
      <w:r>
        <w:rPr>
          <w:rFonts w:hint="eastAsia" w:ascii="宋体" w:hAnsi="宋体"/>
          <w:sz w:val="24"/>
        </w:rPr>
        <w:t>湫水河属于小型河流，污水排放口下游至入湫水河口河段简化为平直型河流，根据收集资料，河平均流量</w:t>
      </w:r>
      <w:r>
        <w:rPr>
          <w:rFonts w:ascii="宋体" w:hAnsi="宋体"/>
          <w:sz w:val="24"/>
        </w:rPr>
        <w:t>2.99</w:t>
      </w:r>
      <w:r>
        <w:rPr>
          <w:rFonts w:hint="eastAsia" w:ascii="宋体" w:hAnsi="宋体"/>
          <w:sz w:val="24"/>
        </w:rPr>
        <w:t>m</w:t>
      </w:r>
      <w:r>
        <w:rPr>
          <w:rFonts w:ascii="宋体" w:hAnsi="宋体"/>
          <w:sz w:val="24"/>
          <w:vertAlign w:val="superscript"/>
        </w:rPr>
        <w:t>3</w:t>
      </w:r>
      <w:r>
        <w:rPr>
          <w:rFonts w:hint="eastAsia" w:ascii="宋体" w:hAnsi="宋体"/>
          <w:sz w:val="24"/>
        </w:rPr>
        <w:t>/s，本项目建成后，正常运营时日排水量为</w:t>
      </w:r>
      <w:r>
        <w:rPr>
          <w:rFonts w:ascii="宋体" w:hAnsi="宋体"/>
          <w:sz w:val="24"/>
        </w:rPr>
        <w:t>100</w:t>
      </w:r>
      <w:r>
        <w:rPr>
          <w:rFonts w:hint="eastAsia" w:ascii="宋体" w:hAnsi="宋体"/>
          <w:sz w:val="24"/>
        </w:rPr>
        <w:t>0m</w:t>
      </w:r>
      <w:r>
        <w:rPr>
          <w:rFonts w:ascii="宋体" w:hAnsi="宋体"/>
          <w:sz w:val="24"/>
          <w:vertAlign w:val="superscript"/>
        </w:rPr>
        <w:t>3</w:t>
      </w:r>
      <w:r>
        <w:rPr>
          <w:rFonts w:hint="eastAsia" w:ascii="宋体" w:hAnsi="宋体"/>
          <w:sz w:val="24"/>
        </w:rPr>
        <w:t>/d，平均流量0.00</w:t>
      </w:r>
      <w:r>
        <w:rPr>
          <w:rFonts w:ascii="宋体" w:hAnsi="宋体"/>
          <w:sz w:val="24"/>
        </w:rPr>
        <w:t>116</w:t>
      </w:r>
      <w:r>
        <w:rPr>
          <w:rFonts w:hint="eastAsia" w:ascii="宋体" w:hAnsi="宋体"/>
          <w:sz w:val="24"/>
        </w:rPr>
        <w:t>m</w:t>
      </w:r>
      <w:r>
        <w:rPr>
          <w:rFonts w:ascii="宋体" w:hAnsi="宋体"/>
          <w:sz w:val="24"/>
          <w:vertAlign w:val="superscript"/>
        </w:rPr>
        <w:t>3</w:t>
      </w:r>
      <w:r>
        <w:rPr>
          <w:rFonts w:hint="eastAsia" w:ascii="宋体" w:hAnsi="宋体"/>
          <w:sz w:val="24"/>
        </w:rPr>
        <w:t>/s，排水口为岸边排放。污水处理厂排放的污水排入湫水河后经过一个混和过程段后才能与河水完全混合，混合过程段的长度由下式估算：</w:t>
      </w:r>
    </w:p>
    <w:p>
      <w:pPr>
        <w:spacing w:line="500" w:lineRule="exact"/>
        <w:ind w:firstLine="480" w:firstLineChars="200"/>
        <w:jc w:val="center"/>
        <w:rPr>
          <w:rFonts w:ascii="宋体" w:hAnsi="宋体"/>
          <w:sz w:val="24"/>
        </w:rPr>
      </w:pPr>
      <m:oMath>
        <m:r>
          <m:rPr>
            <m:sty m:val="p"/>
          </m:rPr>
          <w:rPr>
            <w:rFonts w:ascii="Cambria Math" w:hAnsi="Cambria Math"/>
            <w:sz w:val="24"/>
          </w:rPr>
          <m:t>L=</m:t>
        </m:r>
      </m:oMath>
      <w:r>
        <w:rPr>
          <w:rFonts w:ascii="宋体" w:hAnsi="宋体"/>
          <w:sz w:val="24"/>
        </w:rPr>
        <w:t>((0.4B-0.6a)Bu)/((0.058H+0.0065B)（gHI）</w:t>
      </w:r>
      <w:r>
        <w:rPr>
          <w:rFonts w:ascii="宋体" w:hAnsi="宋体"/>
          <w:sz w:val="24"/>
          <w:vertAlign w:val="superscript"/>
        </w:rPr>
        <w:t>1/2</w:t>
      </w:r>
      <w:r>
        <w:rPr>
          <w:rFonts w:ascii="宋体" w:hAnsi="宋体"/>
          <w:sz w:val="24"/>
        </w:rPr>
        <w:t>)</w:t>
      </w:r>
    </w:p>
    <w:p>
      <w:pPr>
        <w:spacing w:line="500" w:lineRule="exact"/>
        <w:ind w:firstLine="480" w:firstLineChars="200"/>
        <w:rPr>
          <w:rFonts w:ascii="宋体" w:hAnsi="宋体"/>
          <w:sz w:val="24"/>
        </w:rPr>
      </w:pPr>
      <w:r>
        <w:rPr>
          <w:rFonts w:hint="eastAsia" w:ascii="宋体" w:hAnsi="宋体"/>
          <w:sz w:val="24"/>
        </w:rPr>
        <w:t>式中：L：混合过渡段长度（m）；</w:t>
      </w:r>
    </w:p>
    <w:p>
      <w:pPr>
        <w:spacing w:line="500" w:lineRule="exact"/>
        <w:ind w:firstLine="1200" w:firstLineChars="500"/>
        <w:rPr>
          <w:rFonts w:ascii="宋体" w:hAnsi="宋体"/>
          <w:sz w:val="24"/>
        </w:rPr>
      </w:pPr>
      <w:r>
        <w:rPr>
          <w:rFonts w:hint="eastAsia" w:ascii="宋体" w:hAnsi="宋体"/>
          <w:sz w:val="24"/>
        </w:rPr>
        <w:t>B：河流平均宽度（m）；</w:t>
      </w:r>
    </w:p>
    <w:p>
      <w:pPr>
        <w:spacing w:line="500" w:lineRule="exact"/>
        <w:ind w:firstLine="1200" w:firstLineChars="500"/>
        <w:rPr>
          <w:rFonts w:ascii="宋体" w:hAnsi="宋体"/>
          <w:sz w:val="24"/>
        </w:rPr>
      </w:pPr>
      <w:r>
        <w:rPr>
          <w:rFonts w:hint="eastAsia" w:ascii="宋体" w:hAnsi="宋体"/>
          <w:sz w:val="24"/>
        </w:rPr>
        <w:t>H：平均水深（m）；</w:t>
      </w:r>
    </w:p>
    <w:p>
      <w:pPr>
        <w:spacing w:line="500" w:lineRule="exact"/>
        <w:ind w:firstLine="1200" w:firstLineChars="500"/>
        <w:rPr>
          <w:rFonts w:ascii="宋体" w:hAnsi="宋体"/>
          <w:sz w:val="24"/>
        </w:rPr>
      </w:pPr>
      <w:r>
        <w:rPr>
          <w:rFonts w:hint="eastAsia" w:ascii="宋体" w:hAnsi="宋体"/>
          <w:sz w:val="24"/>
        </w:rPr>
        <w:t>u ：河流平均流速（m/s）；</w:t>
      </w:r>
    </w:p>
    <w:p>
      <w:pPr>
        <w:spacing w:line="500" w:lineRule="exact"/>
        <w:ind w:firstLine="1200" w:firstLineChars="500"/>
        <w:rPr>
          <w:rFonts w:ascii="宋体" w:hAnsi="宋体"/>
          <w:sz w:val="24"/>
        </w:rPr>
      </w:pPr>
      <w:r>
        <w:rPr>
          <w:rFonts w:hint="eastAsia" w:ascii="宋体" w:hAnsi="宋体"/>
          <w:sz w:val="24"/>
        </w:rPr>
        <w:t>g：重力加速度（9.8m/s</w:t>
      </w:r>
      <w:r>
        <w:rPr>
          <w:rFonts w:ascii="宋体" w:hAnsi="宋体"/>
          <w:sz w:val="24"/>
          <w:vertAlign w:val="superscript"/>
        </w:rPr>
        <w:t>2</w:t>
      </w:r>
      <w:r>
        <w:rPr>
          <w:rFonts w:hint="eastAsia" w:ascii="宋体" w:hAnsi="宋体"/>
          <w:sz w:val="24"/>
        </w:rPr>
        <w:t>）；</w:t>
      </w:r>
    </w:p>
    <w:p>
      <w:pPr>
        <w:spacing w:line="500" w:lineRule="exact"/>
        <w:ind w:firstLine="1200" w:firstLineChars="500"/>
        <w:rPr>
          <w:rFonts w:ascii="宋体" w:hAnsi="宋体"/>
          <w:sz w:val="24"/>
        </w:rPr>
      </w:pPr>
      <w:r>
        <w:rPr>
          <w:rFonts w:hint="eastAsia" w:ascii="宋体" w:hAnsi="宋体"/>
          <w:sz w:val="24"/>
        </w:rPr>
        <w:t>I:河流底坡（‰）；</w:t>
      </w:r>
    </w:p>
    <w:p>
      <w:pPr>
        <w:spacing w:line="500" w:lineRule="exact"/>
        <w:ind w:firstLine="1200" w:firstLineChars="500"/>
        <w:rPr>
          <w:rFonts w:ascii="宋体" w:hAnsi="宋体"/>
          <w:sz w:val="24"/>
        </w:rPr>
      </w:pPr>
      <w:r>
        <w:rPr>
          <w:rFonts w:hint="eastAsia" w:ascii="宋体" w:hAnsi="宋体"/>
          <w:sz w:val="24"/>
        </w:rPr>
        <w:t>a:排放口到岸边的距离。</w:t>
      </w:r>
    </w:p>
    <w:p>
      <w:pPr>
        <w:spacing w:line="500" w:lineRule="exact"/>
        <w:ind w:firstLine="480" w:firstLineChars="200"/>
        <w:rPr>
          <w:rFonts w:ascii="宋体" w:hAnsi="宋体"/>
          <w:sz w:val="24"/>
        </w:rPr>
      </w:pPr>
      <w:r>
        <w:rPr>
          <w:rFonts w:hint="eastAsia" w:ascii="宋体" w:hAnsi="宋体"/>
          <w:sz w:val="24"/>
        </w:rPr>
        <w:t>在混合过渡段长度计算过程中，排放口设置在岸边，取a为0，河流平均宽度为15m，平均水深为0.40m，平均流速为</w:t>
      </w:r>
      <w:r>
        <w:rPr>
          <w:rFonts w:ascii="宋体" w:hAnsi="宋体"/>
          <w:sz w:val="24"/>
        </w:rPr>
        <w:t>2.99</w:t>
      </w:r>
      <w:r>
        <w:rPr>
          <w:rFonts w:hint="eastAsia" w:ascii="宋体" w:hAnsi="宋体"/>
          <w:sz w:val="24"/>
        </w:rPr>
        <w:t>m/s，河流底坡0.5‰，计算出来的混合过渡段长度为</w:t>
      </w:r>
      <w:r>
        <w:rPr>
          <w:rFonts w:ascii="宋体" w:hAnsi="宋体"/>
          <w:sz w:val="24"/>
        </w:rPr>
        <w:t>145</w:t>
      </w:r>
      <w:r>
        <w:rPr>
          <w:rFonts w:hint="eastAsia" w:ascii="宋体" w:hAnsi="宋体"/>
          <w:sz w:val="24"/>
        </w:rPr>
        <w:t>m。</w:t>
      </w:r>
    </w:p>
    <w:p>
      <w:pPr>
        <w:spacing w:line="500" w:lineRule="exact"/>
        <w:ind w:firstLine="480" w:firstLineChars="200"/>
        <w:rPr>
          <w:rFonts w:ascii="宋体" w:hAnsi="宋体"/>
          <w:sz w:val="24"/>
        </w:rPr>
      </w:pPr>
      <w:r>
        <w:rPr>
          <w:rFonts w:hint="eastAsia" w:ascii="宋体" w:hAnsi="宋体"/>
          <w:sz w:val="24"/>
        </w:rPr>
        <w:t>（6）地表水环境影响预测</w:t>
      </w:r>
    </w:p>
    <w:p>
      <w:pPr>
        <w:spacing w:line="500" w:lineRule="exact"/>
        <w:ind w:firstLine="480" w:firstLineChars="200"/>
        <w:rPr>
          <w:rFonts w:ascii="宋体" w:hAnsi="宋体"/>
          <w:sz w:val="24"/>
        </w:rPr>
      </w:pPr>
      <w:r>
        <w:rPr>
          <w:rFonts w:hint="eastAsia" w:ascii="宋体" w:hAnsi="宋体"/>
          <w:sz w:val="24"/>
        </w:rPr>
        <w:t>在混合过程段之后污染源浓度预测选用完全混合公式，预测模式如下：</w:t>
      </w:r>
    </w:p>
    <w:p>
      <w:pPr>
        <w:spacing w:line="360" w:lineRule="auto"/>
        <w:ind w:firstLine="480"/>
        <w:jc w:val="center"/>
        <w:rPr>
          <w:rFonts w:ascii="宋体" w:hAnsi="宋体"/>
          <w:sz w:val="24"/>
        </w:rPr>
      </w:pPr>
      <w:r>
        <w:rPr>
          <w:rFonts w:ascii="宋体" w:hAnsi="宋体"/>
          <w:sz w:val="24"/>
        </w:rPr>
        <w:t>C＝（CpQp＋ChQh）/（Qp＋Qh）</w:t>
      </w:r>
    </w:p>
    <w:p>
      <w:pPr>
        <w:spacing w:line="360" w:lineRule="auto"/>
        <w:ind w:firstLine="480"/>
        <w:jc w:val="left"/>
        <w:rPr>
          <w:rFonts w:ascii="宋体" w:hAnsi="宋体"/>
          <w:sz w:val="24"/>
        </w:rPr>
      </w:pPr>
      <w:r>
        <w:rPr>
          <w:rFonts w:ascii="宋体" w:hAnsi="宋体"/>
          <w:sz w:val="24"/>
        </w:rPr>
        <w:t>式中：</w:t>
      </w:r>
    </w:p>
    <w:p>
      <w:pPr>
        <w:spacing w:line="360" w:lineRule="auto"/>
        <w:ind w:firstLine="1200" w:firstLineChars="500"/>
        <w:jc w:val="left"/>
        <w:rPr>
          <w:rFonts w:ascii="宋体" w:hAnsi="宋体"/>
          <w:sz w:val="24"/>
        </w:rPr>
      </w:pPr>
      <w:r>
        <w:rPr>
          <w:rFonts w:ascii="宋体" w:hAnsi="宋体"/>
          <w:sz w:val="24"/>
        </w:rPr>
        <w:t>Cp——污染物排放浓度，mg/L；</w:t>
      </w:r>
    </w:p>
    <w:p>
      <w:pPr>
        <w:spacing w:line="360" w:lineRule="auto"/>
        <w:ind w:firstLine="1200" w:firstLineChars="500"/>
        <w:jc w:val="left"/>
        <w:rPr>
          <w:rFonts w:ascii="宋体" w:hAnsi="宋体"/>
          <w:sz w:val="24"/>
        </w:rPr>
      </w:pPr>
      <w:r>
        <w:rPr>
          <w:rFonts w:ascii="宋体" w:hAnsi="宋体"/>
          <w:sz w:val="24"/>
        </w:rPr>
        <w:t>Ch——河流中污染浓度，mg/L；</w:t>
      </w:r>
    </w:p>
    <w:p>
      <w:pPr>
        <w:spacing w:line="360" w:lineRule="auto"/>
        <w:ind w:firstLine="1200" w:firstLineChars="500"/>
        <w:jc w:val="left"/>
        <w:rPr>
          <w:rFonts w:ascii="宋体" w:hAnsi="宋体"/>
          <w:sz w:val="24"/>
        </w:rPr>
      </w:pPr>
      <w:r>
        <w:rPr>
          <w:rFonts w:ascii="宋体" w:hAnsi="宋体"/>
          <w:sz w:val="24"/>
        </w:rPr>
        <w:t>Qp——废水排放量，m</w:t>
      </w:r>
      <w:r>
        <w:rPr>
          <w:rFonts w:ascii="宋体" w:hAnsi="宋体"/>
          <w:sz w:val="24"/>
          <w:vertAlign w:val="superscript"/>
        </w:rPr>
        <w:t>3</w:t>
      </w:r>
      <w:r>
        <w:rPr>
          <w:rFonts w:ascii="宋体" w:hAnsi="宋体"/>
          <w:sz w:val="24"/>
        </w:rPr>
        <w:t>/s；</w:t>
      </w:r>
    </w:p>
    <w:p>
      <w:pPr>
        <w:spacing w:line="360" w:lineRule="auto"/>
        <w:ind w:firstLine="1200" w:firstLineChars="500"/>
        <w:jc w:val="left"/>
        <w:rPr>
          <w:rFonts w:ascii="宋体" w:hAnsi="宋体"/>
          <w:sz w:val="24"/>
        </w:rPr>
      </w:pPr>
      <w:r>
        <w:rPr>
          <w:rFonts w:ascii="宋体" w:hAnsi="宋体"/>
          <w:sz w:val="24"/>
        </w:rPr>
        <w:t>Qh——河流流量，m</w:t>
      </w:r>
      <w:r>
        <w:rPr>
          <w:rFonts w:ascii="宋体" w:hAnsi="宋体"/>
          <w:sz w:val="24"/>
          <w:vertAlign w:val="superscript"/>
        </w:rPr>
        <w:t>3</w:t>
      </w:r>
      <w:r>
        <w:rPr>
          <w:rFonts w:ascii="宋体" w:hAnsi="宋体"/>
          <w:sz w:val="24"/>
        </w:rPr>
        <w:t>/s；</w:t>
      </w:r>
    </w:p>
    <w:p>
      <w:pPr>
        <w:spacing w:line="360" w:lineRule="auto"/>
        <w:ind w:firstLine="480" w:firstLineChars="200"/>
        <w:rPr>
          <w:rFonts w:hAnsi="宋体"/>
          <w:sz w:val="24"/>
        </w:rPr>
      </w:pPr>
      <w:r>
        <w:rPr>
          <w:rFonts w:hint="eastAsia" w:hAnsi="宋体"/>
          <w:sz w:val="24"/>
        </w:rPr>
        <w:t>污水处理站尾水排放后，经过混合过程段与湫水河水完全混合，混合后的水质预测结果见下表。</w:t>
      </w:r>
    </w:p>
    <w:p>
      <w:pPr>
        <w:ind w:firstLine="480" w:firstLineChars="200"/>
        <w:jc w:val="center"/>
        <w:rPr>
          <w:rFonts w:hAnsi="宋体"/>
          <w:sz w:val="24"/>
        </w:rPr>
      </w:pPr>
      <w:r>
        <w:rPr>
          <w:rFonts w:hint="eastAsia" w:hAnsi="宋体"/>
          <w:sz w:val="24"/>
        </w:rPr>
        <w:t>表</w:t>
      </w:r>
      <w:r>
        <w:rPr>
          <w:rFonts w:hAnsi="宋体"/>
          <w:sz w:val="24"/>
        </w:rPr>
        <w:t xml:space="preserve">3-3  </w:t>
      </w:r>
      <w:r>
        <w:rPr>
          <w:rFonts w:hint="eastAsia" w:hAnsi="宋体"/>
          <w:sz w:val="24"/>
        </w:rPr>
        <w:t xml:space="preserve">  尾水排放对湫水河水质影响预测结果</w:t>
      </w:r>
    </w:p>
    <w:tbl>
      <w:tblPr>
        <w:tblStyle w:val="2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36"/>
        <w:gridCol w:w="1147"/>
        <w:gridCol w:w="1259"/>
        <w:gridCol w:w="1167"/>
        <w:gridCol w:w="1259"/>
        <w:gridCol w:w="126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项目</w:t>
            </w:r>
          </w:p>
        </w:tc>
        <w:tc>
          <w:tcPr>
            <w:tcW w:w="1136" w:type="dxa"/>
            <w:vAlign w:val="center"/>
          </w:tcPr>
          <w:p>
            <w:pPr>
              <w:spacing w:line="400" w:lineRule="exact"/>
              <w:jc w:val="center"/>
              <w:rPr>
                <w:rFonts w:ascii="宋体" w:hAnsi="宋体"/>
                <w:szCs w:val="21"/>
              </w:rPr>
            </w:pPr>
            <w:r>
              <w:rPr>
                <w:rFonts w:hint="eastAsia" w:ascii="宋体" w:hAnsi="宋体"/>
                <w:szCs w:val="21"/>
              </w:rPr>
              <w:t>混合断面</w:t>
            </w:r>
          </w:p>
        </w:tc>
        <w:tc>
          <w:tcPr>
            <w:tcW w:w="1147" w:type="dxa"/>
            <w:vAlign w:val="center"/>
          </w:tcPr>
          <w:p>
            <w:pPr>
              <w:spacing w:line="400" w:lineRule="exact"/>
              <w:jc w:val="center"/>
              <w:rPr>
                <w:rFonts w:ascii="宋体" w:hAnsi="宋体"/>
                <w:szCs w:val="21"/>
              </w:rPr>
            </w:pPr>
            <w:r>
              <w:rPr>
                <w:rFonts w:hint="eastAsia" w:ascii="宋体" w:hAnsi="宋体"/>
                <w:szCs w:val="21"/>
              </w:rPr>
              <w:t>湫水河流量(m</w:t>
            </w:r>
            <w:r>
              <w:rPr>
                <w:rFonts w:hint="eastAsia" w:ascii="宋体" w:hAnsi="宋体"/>
                <w:szCs w:val="21"/>
                <w:vertAlign w:val="superscript"/>
              </w:rPr>
              <w:t>3</w:t>
            </w:r>
            <w:r>
              <w:rPr>
                <w:rFonts w:hint="eastAsia" w:ascii="宋体" w:hAnsi="宋体"/>
                <w:szCs w:val="21"/>
              </w:rPr>
              <w:t>/s)</w:t>
            </w:r>
          </w:p>
        </w:tc>
        <w:tc>
          <w:tcPr>
            <w:tcW w:w="1259" w:type="dxa"/>
            <w:vAlign w:val="center"/>
          </w:tcPr>
          <w:p>
            <w:pPr>
              <w:spacing w:line="400" w:lineRule="exact"/>
              <w:jc w:val="center"/>
              <w:rPr>
                <w:rFonts w:ascii="宋体" w:hAnsi="宋体"/>
                <w:szCs w:val="21"/>
              </w:rPr>
            </w:pPr>
            <w:r>
              <w:rPr>
                <w:rFonts w:hint="eastAsia" w:ascii="宋体" w:hAnsi="宋体"/>
                <w:szCs w:val="21"/>
              </w:rPr>
              <w:t>现状监测浓度（mg/L）</w:t>
            </w:r>
          </w:p>
        </w:tc>
        <w:tc>
          <w:tcPr>
            <w:tcW w:w="1167" w:type="dxa"/>
            <w:vAlign w:val="center"/>
          </w:tcPr>
          <w:p>
            <w:pPr>
              <w:spacing w:line="400" w:lineRule="exact"/>
              <w:jc w:val="center"/>
              <w:rPr>
                <w:rFonts w:ascii="宋体" w:hAnsi="宋体"/>
                <w:szCs w:val="21"/>
              </w:rPr>
            </w:pPr>
            <w:r>
              <w:rPr>
                <w:rFonts w:hint="eastAsia" w:ascii="宋体" w:hAnsi="宋体"/>
                <w:szCs w:val="21"/>
              </w:rPr>
              <w:t>尾水排放量(m</w:t>
            </w:r>
            <w:r>
              <w:rPr>
                <w:rFonts w:hint="eastAsia" w:ascii="宋体" w:hAnsi="宋体"/>
                <w:szCs w:val="21"/>
                <w:vertAlign w:val="superscript"/>
              </w:rPr>
              <w:t>3</w:t>
            </w:r>
            <w:r>
              <w:rPr>
                <w:rFonts w:hint="eastAsia" w:ascii="宋体" w:hAnsi="宋体"/>
                <w:szCs w:val="21"/>
              </w:rPr>
              <w:t>/s)</w:t>
            </w:r>
          </w:p>
        </w:tc>
        <w:tc>
          <w:tcPr>
            <w:tcW w:w="1259" w:type="dxa"/>
            <w:vAlign w:val="center"/>
          </w:tcPr>
          <w:p>
            <w:pPr>
              <w:spacing w:line="400" w:lineRule="exact"/>
              <w:jc w:val="center"/>
              <w:rPr>
                <w:rFonts w:ascii="宋体" w:hAnsi="宋体"/>
                <w:szCs w:val="21"/>
              </w:rPr>
            </w:pPr>
            <w:r>
              <w:rPr>
                <w:rFonts w:hint="eastAsia" w:ascii="宋体" w:hAnsi="宋体"/>
                <w:szCs w:val="21"/>
              </w:rPr>
              <w:t>尾水排放浓度（mg/L）</w:t>
            </w:r>
          </w:p>
        </w:tc>
        <w:tc>
          <w:tcPr>
            <w:tcW w:w="1260" w:type="dxa"/>
            <w:vAlign w:val="center"/>
          </w:tcPr>
          <w:p>
            <w:pPr>
              <w:spacing w:line="400" w:lineRule="exact"/>
              <w:jc w:val="center"/>
              <w:rPr>
                <w:rFonts w:ascii="宋体" w:hAnsi="宋体"/>
                <w:szCs w:val="21"/>
              </w:rPr>
            </w:pPr>
            <w:r>
              <w:rPr>
                <w:rFonts w:hint="eastAsia" w:ascii="宋体" w:hAnsi="宋体"/>
                <w:szCs w:val="21"/>
              </w:rPr>
              <w:t>预测值</w:t>
            </w:r>
          </w:p>
          <w:p>
            <w:pPr>
              <w:spacing w:line="400" w:lineRule="exact"/>
              <w:jc w:val="center"/>
              <w:rPr>
                <w:rFonts w:ascii="宋体" w:hAnsi="宋体"/>
                <w:szCs w:val="21"/>
              </w:rPr>
            </w:pPr>
            <w:r>
              <w:rPr>
                <w:rFonts w:hint="eastAsia" w:ascii="宋体" w:hAnsi="宋体"/>
                <w:szCs w:val="21"/>
              </w:rPr>
              <w:t>（mg/L）</w:t>
            </w:r>
          </w:p>
        </w:tc>
        <w:tc>
          <w:tcPr>
            <w:tcW w:w="991" w:type="dxa"/>
            <w:vAlign w:val="center"/>
          </w:tcPr>
          <w:p>
            <w:pPr>
              <w:spacing w:line="400" w:lineRule="exact"/>
              <w:jc w:val="center"/>
              <w:rPr>
                <w:rFonts w:ascii="宋体" w:hAnsi="宋体"/>
                <w:szCs w:val="21"/>
              </w:rPr>
            </w:pPr>
            <w:r>
              <w:rPr>
                <w:rFonts w:hint="eastAsia" w:ascii="宋体" w:hAnsi="宋体"/>
                <w:szCs w:val="21"/>
              </w:rPr>
              <w:t>水质变化值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COD</w:t>
            </w:r>
          </w:p>
        </w:tc>
        <w:tc>
          <w:tcPr>
            <w:tcW w:w="1136" w:type="dxa"/>
            <w:vMerge w:val="restart"/>
            <w:vAlign w:val="center"/>
          </w:tcPr>
          <w:p>
            <w:pPr>
              <w:spacing w:line="400" w:lineRule="exact"/>
              <w:jc w:val="center"/>
              <w:rPr>
                <w:rFonts w:ascii="宋体" w:hAnsi="宋体"/>
                <w:szCs w:val="21"/>
              </w:rPr>
            </w:pPr>
            <w:r>
              <w:rPr>
                <w:rFonts w:hint="eastAsia" w:ascii="宋体" w:hAnsi="宋体"/>
                <w:szCs w:val="21"/>
              </w:rPr>
              <w:t>排水口下游</w:t>
            </w:r>
            <w:r>
              <w:rPr>
                <w:rFonts w:ascii="宋体" w:hAnsi="宋体"/>
                <w:szCs w:val="21"/>
              </w:rPr>
              <w:t>145</w:t>
            </w:r>
            <w:r>
              <w:rPr>
                <w:rFonts w:hint="eastAsia" w:ascii="宋体" w:hAnsi="宋体"/>
                <w:szCs w:val="21"/>
              </w:rPr>
              <w:t>m</w:t>
            </w:r>
          </w:p>
        </w:tc>
        <w:tc>
          <w:tcPr>
            <w:tcW w:w="1147" w:type="dxa"/>
            <w:vMerge w:val="restart"/>
            <w:vAlign w:val="center"/>
          </w:tcPr>
          <w:p>
            <w:pPr>
              <w:spacing w:line="400" w:lineRule="exact"/>
              <w:jc w:val="center"/>
              <w:rPr>
                <w:rFonts w:ascii="宋体" w:hAnsi="宋体"/>
                <w:szCs w:val="21"/>
              </w:rPr>
            </w:pPr>
            <w:r>
              <w:rPr>
                <w:rFonts w:ascii="宋体" w:hAnsi="宋体"/>
                <w:szCs w:val="21"/>
              </w:rPr>
              <w:t>2.99</w:t>
            </w:r>
          </w:p>
        </w:tc>
        <w:tc>
          <w:tcPr>
            <w:tcW w:w="1259" w:type="dxa"/>
            <w:vAlign w:val="center"/>
          </w:tcPr>
          <w:p>
            <w:pPr>
              <w:spacing w:line="400" w:lineRule="exact"/>
              <w:jc w:val="center"/>
              <w:rPr>
                <w:rFonts w:ascii="宋体" w:hAnsi="宋体"/>
                <w:szCs w:val="21"/>
              </w:rPr>
            </w:pPr>
            <w:r>
              <w:rPr>
                <w:rFonts w:ascii="宋体" w:hAnsi="宋体"/>
                <w:szCs w:val="21"/>
              </w:rPr>
              <w:t>16</w:t>
            </w:r>
          </w:p>
        </w:tc>
        <w:tc>
          <w:tcPr>
            <w:tcW w:w="1167" w:type="dxa"/>
            <w:vMerge w:val="restart"/>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0</w:t>
            </w:r>
            <w:r>
              <w:rPr>
                <w:rFonts w:hint="eastAsia" w:ascii="宋体" w:hAnsi="宋体"/>
                <w:szCs w:val="21"/>
              </w:rPr>
              <w:t>0</w:t>
            </w:r>
            <w:r>
              <w:rPr>
                <w:rFonts w:ascii="宋体" w:hAnsi="宋体"/>
                <w:szCs w:val="21"/>
              </w:rPr>
              <w:t>116</w:t>
            </w:r>
          </w:p>
        </w:tc>
        <w:tc>
          <w:tcPr>
            <w:tcW w:w="1259" w:type="dxa"/>
            <w:vAlign w:val="center"/>
          </w:tcPr>
          <w:p>
            <w:pPr>
              <w:spacing w:line="400" w:lineRule="exact"/>
              <w:jc w:val="center"/>
              <w:rPr>
                <w:rFonts w:ascii="宋体" w:hAnsi="宋体"/>
                <w:szCs w:val="21"/>
              </w:rPr>
            </w:pPr>
            <w:r>
              <w:rPr>
                <w:rFonts w:hint="eastAsia" w:ascii="宋体" w:hAnsi="宋体"/>
                <w:szCs w:val="21"/>
              </w:rPr>
              <w:t>30</w:t>
            </w:r>
          </w:p>
        </w:tc>
        <w:tc>
          <w:tcPr>
            <w:tcW w:w="1260" w:type="dxa"/>
            <w:vAlign w:val="center"/>
          </w:tcPr>
          <w:p>
            <w:pPr>
              <w:spacing w:line="400" w:lineRule="exact"/>
              <w:jc w:val="center"/>
              <w:rPr>
                <w:rFonts w:ascii="宋体" w:hAnsi="宋体"/>
                <w:szCs w:val="21"/>
              </w:rPr>
            </w:pPr>
            <w:r>
              <w:rPr>
                <w:rFonts w:ascii="宋体" w:hAnsi="宋体"/>
                <w:szCs w:val="21"/>
              </w:rPr>
              <w:t>16.33</w:t>
            </w:r>
          </w:p>
        </w:tc>
        <w:tc>
          <w:tcPr>
            <w:tcW w:w="991" w:type="dxa"/>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氨氮</w:t>
            </w:r>
          </w:p>
        </w:tc>
        <w:tc>
          <w:tcPr>
            <w:tcW w:w="1136" w:type="dxa"/>
            <w:vMerge w:val="continue"/>
            <w:vAlign w:val="center"/>
          </w:tcPr>
          <w:p>
            <w:pPr>
              <w:spacing w:line="400" w:lineRule="exact"/>
              <w:jc w:val="center"/>
              <w:rPr>
                <w:rFonts w:ascii="宋体" w:hAnsi="宋体"/>
                <w:szCs w:val="21"/>
              </w:rPr>
            </w:pPr>
          </w:p>
        </w:tc>
        <w:tc>
          <w:tcPr>
            <w:tcW w:w="1147" w:type="dxa"/>
            <w:vMerge w:val="continue"/>
            <w:vAlign w:val="center"/>
          </w:tcPr>
          <w:p>
            <w:pPr>
              <w:spacing w:line="400" w:lineRule="exact"/>
              <w:jc w:val="center"/>
              <w:rPr>
                <w:rFonts w:ascii="宋体" w:hAnsi="宋体"/>
                <w:szCs w:val="21"/>
              </w:rPr>
            </w:pPr>
          </w:p>
        </w:tc>
        <w:tc>
          <w:tcPr>
            <w:tcW w:w="1259" w:type="dxa"/>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.213</w:t>
            </w:r>
          </w:p>
        </w:tc>
        <w:tc>
          <w:tcPr>
            <w:tcW w:w="1167" w:type="dxa"/>
            <w:vMerge w:val="continue"/>
            <w:vAlign w:val="center"/>
          </w:tcPr>
          <w:p>
            <w:pPr>
              <w:spacing w:line="400" w:lineRule="exact"/>
              <w:jc w:val="center"/>
              <w:rPr>
                <w:rFonts w:ascii="宋体" w:hAnsi="宋体"/>
                <w:szCs w:val="21"/>
              </w:rPr>
            </w:pPr>
          </w:p>
        </w:tc>
        <w:tc>
          <w:tcPr>
            <w:tcW w:w="1259" w:type="dxa"/>
            <w:vAlign w:val="center"/>
          </w:tcPr>
          <w:p>
            <w:pPr>
              <w:spacing w:line="400" w:lineRule="exact"/>
              <w:jc w:val="center"/>
              <w:rPr>
                <w:rFonts w:ascii="宋体" w:hAnsi="宋体"/>
                <w:szCs w:val="21"/>
              </w:rPr>
            </w:pPr>
            <w:r>
              <w:rPr>
                <w:rFonts w:ascii="宋体" w:hAnsi="宋体"/>
                <w:szCs w:val="21"/>
              </w:rPr>
              <w:t>1.0</w:t>
            </w:r>
          </w:p>
        </w:tc>
        <w:tc>
          <w:tcPr>
            <w:tcW w:w="1260" w:type="dxa"/>
            <w:vAlign w:val="center"/>
          </w:tcPr>
          <w:p>
            <w:pPr>
              <w:spacing w:line="400" w:lineRule="exact"/>
              <w:jc w:val="center"/>
              <w:rPr>
                <w:rFonts w:ascii="宋体" w:hAnsi="宋体"/>
                <w:szCs w:val="21"/>
              </w:rPr>
            </w:pPr>
            <w:r>
              <w:rPr>
                <w:rFonts w:ascii="宋体" w:hAnsi="宋体"/>
                <w:szCs w:val="21"/>
              </w:rPr>
              <w:t>0.215</w:t>
            </w:r>
          </w:p>
        </w:tc>
        <w:tc>
          <w:tcPr>
            <w:tcW w:w="991" w:type="dxa"/>
            <w:vAlign w:val="center"/>
          </w:tcPr>
          <w:p>
            <w:pPr>
              <w:spacing w:line="400" w:lineRule="exact"/>
              <w:jc w:val="center"/>
              <w:rPr>
                <w:rFonts w:ascii="宋体" w:hAnsi="宋体"/>
                <w:szCs w:val="21"/>
              </w:rPr>
            </w:pPr>
            <w:r>
              <w:rPr>
                <w:rFonts w:hint="eastAsia" w:ascii="宋体" w:hAnsi="宋体"/>
                <w:szCs w:val="21"/>
              </w:rPr>
              <w:t>+0.00</w:t>
            </w:r>
            <w:r>
              <w:rPr>
                <w:rFonts w:ascii="宋体" w:hAnsi="宋体"/>
                <w:szCs w:val="21"/>
              </w:rPr>
              <w:t>2</w:t>
            </w:r>
          </w:p>
        </w:tc>
      </w:tr>
    </w:tbl>
    <w:p>
      <w:pPr>
        <w:spacing w:line="500" w:lineRule="exact"/>
        <w:ind w:firstLine="480" w:firstLineChars="200"/>
        <w:rPr>
          <w:rFonts w:ascii="宋体" w:hAnsi="宋体"/>
          <w:sz w:val="24"/>
        </w:rPr>
      </w:pPr>
      <w:r>
        <w:rPr>
          <w:rFonts w:hint="eastAsia" w:ascii="宋体" w:hAnsi="宋体"/>
          <w:sz w:val="24"/>
        </w:rPr>
        <w:t>由上表可知，当污水处理厂正常运营时的尾水全部排入湫水河，湫水河混合断面 COD 的值为</w:t>
      </w:r>
      <w:r>
        <w:rPr>
          <w:rFonts w:ascii="宋体" w:hAnsi="宋体"/>
          <w:sz w:val="24"/>
        </w:rPr>
        <w:t>16.63</w:t>
      </w:r>
      <w:r>
        <w:rPr>
          <w:rFonts w:hint="eastAsia" w:ascii="宋体" w:hAnsi="宋体"/>
          <w:sz w:val="24"/>
        </w:rPr>
        <w:t>mg/L，氨氮预测值为</w:t>
      </w:r>
      <w:r>
        <w:rPr>
          <w:rFonts w:ascii="宋体" w:hAnsi="宋体"/>
          <w:sz w:val="24"/>
        </w:rPr>
        <w:t>0.215</w:t>
      </w:r>
      <w:r>
        <w:rPr>
          <w:rFonts w:hint="eastAsia" w:ascii="宋体" w:hAnsi="宋体"/>
          <w:sz w:val="24"/>
        </w:rPr>
        <w:t>mg/L。</w:t>
      </w:r>
    </w:p>
    <w:p>
      <w:pPr>
        <w:spacing w:line="500" w:lineRule="exact"/>
        <w:ind w:firstLine="480" w:firstLineChars="200"/>
        <w:rPr>
          <w:rFonts w:ascii="宋体" w:hAnsi="宋体"/>
          <w:sz w:val="24"/>
        </w:rPr>
      </w:pPr>
      <w:r>
        <w:rPr>
          <w:rFonts w:hint="eastAsia" w:ascii="宋体" w:hAnsi="宋体"/>
          <w:sz w:val="24"/>
        </w:rPr>
        <w:t>根据上表可知，本项目污水处理厂运行后尾水排放标准为《地表水环境质量标准》（GB3838-2002）</w:t>
      </w:r>
      <w:r>
        <w:rPr>
          <w:rFonts w:ascii="宋体" w:hAnsi="宋体"/>
          <w:sz w:val="24"/>
        </w:rPr>
        <w:t>IV</w:t>
      </w:r>
      <w:r>
        <w:rPr>
          <w:rFonts w:hint="eastAsia" w:ascii="宋体" w:hAnsi="宋体"/>
          <w:sz w:val="24"/>
        </w:rPr>
        <w:t>类水质后，对湫水河断面COD、氨氮浓度。</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 xml:space="preserve">3.2.4 </w:t>
      </w:r>
      <w:r>
        <w:rPr>
          <w:rFonts w:hint="eastAsia" w:ascii="宋体" w:hAnsi="宋体"/>
          <w:spacing w:val="0"/>
          <w:kern w:val="10"/>
          <w:szCs w:val="24"/>
        </w:rPr>
        <w:t>地表水环境影响评价结论</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1</w:t>
      </w:r>
      <w:r>
        <w:rPr>
          <w:rFonts w:hint="eastAsia" w:ascii="宋体" w:hAnsi="宋体"/>
          <w:kern w:val="10"/>
          <w:sz w:val="24"/>
        </w:rPr>
        <w:t>、</w:t>
      </w:r>
      <w:r>
        <w:rPr>
          <w:rFonts w:hint="eastAsia" w:ascii="宋体" w:hAnsi="宋体"/>
          <w:sz w:val="24"/>
        </w:rPr>
        <w:t>湫水</w:t>
      </w:r>
      <w:r>
        <w:rPr>
          <w:rFonts w:hint="eastAsia" w:ascii="宋体" w:hAnsi="宋体"/>
          <w:kern w:val="10"/>
          <w:sz w:val="24"/>
        </w:rPr>
        <w:t>河现状监测数据显示：各监测因子均满足</w:t>
      </w:r>
      <w:r>
        <w:rPr>
          <w:rFonts w:ascii="宋体" w:hAnsi="宋体"/>
          <w:kern w:val="10"/>
          <w:sz w:val="24"/>
        </w:rPr>
        <w:t>《地表水环境质量标准》(GB3838-2002)中</w:t>
      </w:r>
      <w:r>
        <w:rPr>
          <w:rFonts w:hint="eastAsia" w:ascii="宋体" w:hAnsi="宋体"/>
          <w:kern w:val="10"/>
          <w:sz w:val="24"/>
        </w:rPr>
        <w:t>I</w:t>
      </w:r>
      <w:r>
        <w:rPr>
          <w:rFonts w:ascii="宋体" w:hAnsi="宋体"/>
          <w:kern w:val="10"/>
          <w:sz w:val="24"/>
        </w:rPr>
        <w:t>V类标准要求。</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、根据地表水环境影响预测评价结果：</w:t>
      </w:r>
    </w:p>
    <w:p>
      <w:pPr>
        <w:widowControl/>
        <w:autoSpaceDE w:val="0"/>
        <w:autoSpaceDN w:val="0"/>
        <w:adjustRightInd w:val="0"/>
        <w:spacing w:line="500" w:lineRule="exact"/>
        <w:ind w:firstLine="480" w:firstLineChars="200"/>
        <w:rPr>
          <w:rFonts w:ascii="宋体" w:hAnsi="宋体"/>
          <w:kern w:val="10"/>
          <w:sz w:val="24"/>
        </w:rPr>
      </w:pPr>
      <w:r>
        <w:rPr>
          <w:rFonts w:hint="eastAsia" w:ascii="宋体" w:hAnsi="宋体"/>
          <w:kern w:val="10"/>
          <w:sz w:val="24"/>
        </w:rPr>
        <w:t>本项目建设后，污水处理厂污水正常排放情况下，对湫水河COD、NH</w:t>
      </w:r>
      <w:r>
        <w:rPr>
          <w:rFonts w:hint="eastAsia" w:ascii="宋体" w:hAnsi="宋体"/>
          <w:kern w:val="10"/>
          <w:sz w:val="24"/>
          <w:vertAlign w:val="subscript"/>
        </w:rPr>
        <w:t>3</w:t>
      </w:r>
      <w:r>
        <w:rPr>
          <w:rFonts w:hint="eastAsia" w:ascii="宋体" w:hAnsi="宋体"/>
          <w:kern w:val="10"/>
          <w:sz w:val="24"/>
        </w:rPr>
        <w:t>-N的贡献值影响范围为</w:t>
      </w:r>
      <w:r>
        <w:rPr>
          <w:rFonts w:ascii="宋体" w:hAnsi="宋体"/>
          <w:kern w:val="10"/>
          <w:sz w:val="24"/>
        </w:rPr>
        <w:t>145</w:t>
      </w:r>
      <w:r>
        <w:rPr>
          <w:rFonts w:hint="eastAsia" w:ascii="宋体" w:hAnsi="宋体"/>
          <w:kern w:val="10"/>
          <w:sz w:val="24"/>
        </w:rPr>
        <w:t>m，影响范围较小。</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4</w:t>
      </w:r>
      <w:r>
        <w:rPr>
          <w:rFonts w:hint="eastAsia" w:ascii="宋体" w:hAnsi="宋体"/>
          <w:b/>
          <w:kern w:val="10"/>
          <w:sz w:val="32"/>
          <w:szCs w:val="20"/>
        </w:rPr>
        <w:t>、区域污染物消减量及环境正效益分析</w:t>
      </w:r>
    </w:p>
    <w:p>
      <w:pPr>
        <w:spacing w:line="500" w:lineRule="exact"/>
        <w:ind w:firstLine="480" w:firstLineChars="200"/>
        <w:rPr>
          <w:rFonts w:ascii="宋体" w:hAnsi="宋体"/>
          <w:kern w:val="10"/>
          <w:sz w:val="24"/>
        </w:rPr>
      </w:pPr>
      <w:r>
        <w:rPr>
          <w:rFonts w:hint="eastAsia" w:ascii="宋体" w:hAnsi="宋体"/>
          <w:kern w:val="10"/>
          <w:sz w:val="24"/>
        </w:rPr>
        <w:t>区域</w:t>
      </w:r>
      <w:r>
        <w:rPr>
          <w:rFonts w:ascii="宋体" w:hAnsi="宋体"/>
          <w:kern w:val="10"/>
          <w:sz w:val="24"/>
        </w:rPr>
        <w:t>污</w:t>
      </w:r>
      <w:r>
        <w:rPr>
          <w:rFonts w:hint="eastAsia" w:ascii="宋体" w:hAnsi="宋体"/>
          <w:kern w:val="10"/>
          <w:sz w:val="24"/>
        </w:rPr>
        <w:t>染物削减量及最终排放量见下表。</w:t>
      </w:r>
    </w:p>
    <w:p>
      <w:pPr>
        <w:spacing w:line="500" w:lineRule="exact"/>
        <w:ind w:firstLine="480" w:firstLineChars="200"/>
        <w:jc w:val="center"/>
        <w:rPr>
          <w:rFonts w:ascii="宋体" w:hAnsi="宋体"/>
          <w:kern w:val="10"/>
          <w:sz w:val="24"/>
        </w:rPr>
      </w:pPr>
      <w:r>
        <w:rPr>
          <w:rFonts w:ascii="宋体" w:hAnsi="宋体"/>
          <w:kern w:val="10"/>
          <w:sz w:val="24"/>
        </w:rPr>
        <w:t xml:space="preserve">表4-1     </w:t>
      </w:r>
      <w:r>
        <w:rPr>
          <w:rFonts w:hint="eastAsia" w:ascii="宋体" w:hAnsi="宋体"/>
          <w:kern w:val="10"/>
          <w:sz w:val="24"/>
        </w:rPr>
        <w:t>本项目</w:t>
      </w:r>
      <w:r>
        <w:rPr>
          <w:rFonts w:ascii="宋体" w:hAnsi="宋体"/>
          <w:kern w:val="10"/>
          <w:sz w:val="24"/>
        </w:rPr>
        <w:t>污染物削减量及最终排放量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553"/>
        <w:gridCol w:w="1553"/>
        <w:gridCol w:w="1553"/>
        <w:gridCol w:w="1553"/>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项目</w:t>
            </w:r>
          </w:p>
        </w:tc>
        <w:tc>
          <w:tcPr>
            <w:tcW w:w="1672"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1672" w:type="pct"/>
            <w:gridSpan w:val="2"/>
            <w:vAlign w:val="center"/>
          </w:tcPr>
          <w:p>
            <w:pPr>
              <w:spacing w:line="400" w:lineRule="exact"/>
              <w:jc w:val="center"/>
              <w:rPr>
                <w:rFonts w:ascii="宋体" w:hAnsi="宋体"/>
                <w:kern w:val="10"/>
                <w:szCs w:val="21"/>
              </w:rPr>
            </w:pPr>
            <w:r>
              <w:rPr>
                <w:rFonts w:hint="eastAsia" w:ascii="宋体" w:hAnsi="宋体"/>
                <w:kern w:val="10"/>
                <w:szCs w:val="21"/>
              </w:rPr>
              <w:t>排水</w:t>
            </w:r>
          </w:p>
        </w:tc>
        <w:tc>
          <w:tcPr>
            <w:tcW w:w="854" w:type="pct"/>
            <w:vMerge w:val="restart"/>
            <w:vAlign w:val="center"/>
          </w:tcPr>
          <w:p>
            <w:pPr>
              <w:spacing w:line="400" w:lineRule="exact"/>
              <w:jc w:val="center"/>
              <w:rPr>
                <w:rFonts w:ascii="宋体" w:hAnsi="宋体"/>
                <w:kern w:val="10"/>
                <w:szCs w:val="21"/>
              </w:rPr>
            </w:pPr>
            <w:r>
              <w:rPr>
                <w:rFonts w:hint="eastAsia" w:ascii="宋体" w:hAnsi="宋体"/>
                <w:kern w:val="10"/>
                <w:szCs w:val="21"/>
              </w:rPr>
              <w:t>消减量</w:t>
            </w:r>
          </w:p>
          <w:p>
            <w:pPr>
              <w:spacing w:line="400" w:lineRule="exact"/>
              <w:jc w:val="center"/>
              <w:rPr>
                <w:rFonts w:ascii="宋体" w:hAnsi="宋体"/>
                <w:kern w:val="10"/>
                <w:szCs w:val="21"/>
              </w:rPr>
            </w:pP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854" w:type="pct"/>
            <w:vMerge w:val="continue"/>
            <w:vAlign w:val="center"/>
          </w:tcPr>
          <w:p>
            <w:pPr>
              <w:widowControl/>
              <w:adjustRightInd w:val="0"/>
              <w:snapToGri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物物</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进水浓度</w:t>
            </w:r>
            <w:r>
              <w:rPr>
                <w:rFonts w:ascii="宋体" w:hAnsi="宋体"/>
                <w:kern w:val="10"/>
                <w:szCs w:val="21"/>
              </w:rPr>
              <w:t>(mg/L)</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排水</w:t>
            </w:r>
            <w:r>
              <w:rPr>
                <w:rFonts w:ascii="宋体" w:hAnsi="宋体"/>
                <w:kern w:val="10"/>
                <w:szCs w:val="21"/>
              </w:rPr>
              <w:t>浓度(mg/L)</w:t>
            </w:r>
          </w:p>
        </w:tc>
        <w:tc>
          <w:tcPr>
            <w:tcW w:w="836"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出水排放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c>
          <w:tcPr>
            <w:tcW w:w="854" w:type="pct"/>
            <w:vMerge w:val="continue"/>
            <w:vAlign w:val="center"/>
          </w:tcPr>
          <w:p>
            <w:pPr>
              <w:widowControl/>
              <w:adjustRightInd w:val="0"/>
              <w:snapToGri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836" w:type="pct"/>
            <w:vAlign w:val="center"/>
          </w:tcPr>
          <w:p>
            <w:pPr>
              <w:spacing w:line="400" w:lineRule="exact"/>
              <w:jc w:val="center"/>
              <w:rPr>
                <w:rFonts w:ascii="宋体" w:hAnsi="宋体"/>
                <w:kern w:val="10"/>
                <w:szCs w:val="21"/>
              </w:rPr>
            </w:pPr>
            <w:r>
              <w:rPr>
                <w:rFonts w:ascii="宋体" w:hAnsi="宋体"/>
                <w:kern w:val="10"/>
                <w:szCs w:val="21"/>
              </w:rPr>
              <w:t>350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127.75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14.6</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836" w:type="pct"/>
            <w:vAlign w:val="center"/>
          </w:tcPr>
          <w:p>
            <w:pPr>
              <w:spacing w:line="400" w:lineRule="exact"/>
              <w:jc w:val="center"/>
              <w:rPr>
                <w:rFonts w:ascii="宋体" w:hAnsi="宋体"/>
                <w:kern w:val="10"/>
                <w:szCs w:val="21"/>
              </w:rPr>
            </w:pPr>
            <w:r>
              <w:rPr>
                <w:rFonts w:ascii="宋体" w:hAnsi="宋体"/>
                <w:kern w:val="10"/>
                <w:szCs w:val="21"/>
              </w:rPr>
              <w:t>150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54.75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3.65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836" w:type="pct"/>
            <w:vAlign w:val="center"/>
          </w:tcPr>
          <w:p>
            <w:pPr>
              <w:spacing w:line="400" w:lineRule="exact"/>
              <w:jc w:val="center"/>
              <w:rPr>
                <w:rFonts w:ascii="宋体" w:hAnsi="宋体"/>
                <w:kern w:val="10"/>
                <w:szCs w:val="21"/>
              </w:rPr>
            </w:pPr>
            <w:r>
              <w:rPr>
                <w:rFonts w:ascii="宋体" w:hAnsi="宋体"/>
                <w:kern w:val="10"/>
                <w:szCs w:val="21"/>
              </w:rPr>
              <w:t>40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14.6</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0.73</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TN</w:t>
            </w:r>
          </w:p>
        </w:tc>
        <w:tc>
          <w:tcPr>
            <w:tcW w:w="836" w:type="pct"/>
            <w:vAlign w:val="center"/>
          </w:tcPr>
          <w:p>
            <w:pPr>
              <w:spacing w:line="400" w:lineRule="exact"/>
              <w:jc w:val="center"/>
              <w:rPr>
                <w:rFonts w:ascii="宋体" w:hAnsi="宋体"/>
                <w:kern w:val="10"/>
                <w:szCs w:val="21"/>
              </w:rPr>
            </w:pPr>
            <w:r>
              <w:rPr>
                <w:rFonts w:ascii="宋体" w:hAnsi="宋体"/>
                <w:kern w:val="10"/>
                <w:szCs w:val="21"/>
              </w:rPr>
              <w:t>55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20.075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5.475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TP</w:t>
            </w:r>
          </w:p>
        </w:tc>
        <w:tc>
          <w:tcPr>
            <w:tcW w:w="836" w:type="pct"/>
            <w:vAlign w:val="center"/>
          </w:tcPr>
          <w:p>
            <w:pPr>
              <w:spacing w:line="400" w:lineRule="exact"/>
              <w:jc w:val="center"/>
              <w:rPr>
                <w:rFonts w:ascii="宋体" w:hAnsi="宋体"/>
                <w:kern w:val="10"/>
                <w:szCs w:val="21"/>
              </w:rPr>
            </w:pPr>
            <w:r>
              <w:rPr>
                <w:rFonts w:ascii="宋体" w:hAnsi="宋体"/>
                <w:kern w:val="10"/>
                <w:szCs w:val="21"/>
              </w:rPr>
              <w:t>4.5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1.6425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0.146</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-1.4965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SS</w:t>
            </w:r>
          </w:p>
        </w:tc>
        <w:tc>
          <w:tcPr>
            <w:tcW w:w="836" w:type="pct"/>
            <w:vAlign w:val="center"/>
          </w:tcPr>
          <w:p>
            <w:pPr>
              <w:spacing w:line="400" w:lineRule="exact"/>
              <w:jc w:val="center"/>
              <w:rPr>
                <w:rFonts w:ascii="宋体" w:hAnsi="宋体"/>
                <w:kern w:val="10"/>
                <w:szCs w:val="21"/>
              </w:rPr>
            </w:pPr>
            <w:r>
              <w:rPr>
                <w:rFonts w:ascii="宋体" w:hAnsi="宋体"/>
                <w:kern w:val="10"/>
                <w:szCs w:val="21"/>
              </w:rPr>
              <w:t>250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91.25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3.65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-87.6</w:t>
            </w:r>
          </w:p>
        </w:tc>
      </w:tr>
    </w:tbl>
    <w:p>
      <w:pPr>
        <w:spacing w:line="500" w:lineRule="exact"/>
        <w:ind w:firstLine="480" w:firstLineChars="200"/>
        <w:rPr>
          <w:rFonts w:ascii="宋体" w:hAnsi="宋体"/>
          <w:kern w:val="10"/>
          <w:sz w:val="24"/>
        </w:rPr>
      </w:pPr>
      <w:r>
        <w:rPr>
          <w:rFonts w:hint="eastAsia" w:ascii="宋体" w:hAnsi="宋体"/>
          <w:kern w:val="10"/>
          <w:sz w:val="24"/>
        </w:rPr>
        <w:t>生活污水处理厂及收集管网属社会公益事业及民生工程，本项目建成运行以后，可收集大禹乡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湫水河和黄河</w:t>
      </w:r>
      <w:r>
        <w:rPr>
          <w:rFonts w:ascii="宋体" w:hAnsi="宋体"/>
          <w:kern w:val="10"/>
          <w:sz w:val="24"/>
        </w:rPr>
        <w:t>水环境免受污染。</w:t>
      </w:r>
      <w:r>
        <w:rPr>
          <w:rFonts w:hint="eastAsia" w:ascii="宋体" w:hAnsi="宋体"/>
          <w:kern w:val="10"/>
          <w:sz w:val="24"/>
        </w:rPr>
        <w:t>将在很大程度上改善大禹乡水环境质量，美化城市市容环境，环境效益显著。</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5</w:t>
      </w:r>
      <w:r>
        <w:rPr>
          <w:rFonts w:hint="eastAsia" w:ascii="宋体" w:hAnsi="宋体"/>
          <w:b/>
          <w:kern w:val="10"/>
          <w:sz w:val="32"/>
          <w:szCs w:val="20"/>
        </w:rPr>
        <w:t>、</w:t>
      </w:r>
      <w:r>
        <w:rPr>
          <w:rFonts w:ascii="宋体" w:hAnsi="宋体"/>
          <w:b/>
          <w:kern w:val="10"/>
          <w:sz w:val="32"/>
          <w:szCs w:val="20"/>
        </w:rPr>
        <w:t>建设项目废水污染物排放信息</w:t>
      </w:r>
    </w:p>
    <w:p>
      <w:pPr>
        <w:spacing w:line="500" w:lineRule="exact"/>
        <w:ind w:firstLine="480" w:firstLineChars="200"/>
        <w:rPr>
          <w:rFonts w:ascii="宋体" w:hAnsi="宋体"/>
          <w:kern w:val="10"/>
          <w:sz w:val="24"/>
        </w:rPr>
      </w:pPr>
      <w:r>
        <w:rPr>
          <w:rFonts w:ascii="宋体" w:hAnsi="宋体"/>
          <w:kern w:val="10"/>
          <w:sz w:val="24"/>
        </w:rPr>
        <w:t>本项目废水污染物排放信息表见下表5-1</w:t>
      </w:r>
      <w:r>
        <w:rPr>
          <w:rFonts w:hint="eastAsia" w:ascii="宋体" w:hAnsi="宋体"/>
          <w:kern w:val="10"/>
          <w:sz w:val="24"/>
        </w:rPr>
        <w:t>和表</w:t>
      </w:r>
      <w:r>
        <w:rPr>
          <w:rFonts w:ascii="宋体" w:hAnsi="宋体"/>
          <w:kern w:val="10"/>
          <w:sz w:val="24"/>
        </w:rPr>
        <w:t>5-2。</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6</w:t>
      </w:r>
      <w:r>
        <w:rPr>
          <w:rFonts w:hint="eastAsia" w:ascii="宋体" w:hAnsi="宋体"/>
          <w:b/>
          <w:kern w:val="10"/>
          <w:sz w:val="32"/>
          <w:szCs w:val="20"/>
        </w:rPr>
        <w:t>、地表水环境影响评价自查表</w:t>
      </w:r>
    </w:p>
    <w:p>
      <w:pPr>
        <w:spacing w:line="500" w:lineRule="exact"/>
        <w:ind w:firstLine="480" w:firstLineChars="200"/>
        <w:rPr>
          <w:rFonts w:ascii="宋体" w:hAnsi="宋体"/>
          <w:kern w:val="10"/>
          <w:sz w:val="24"/>
        </w:rPr>
      </w:pPr>
      <w:r>
        <w:rPr>
          <w:rFonts w:hint="eastAsia" w:ascii="宋体" w:hAnsi="宋体"/>
          <w:kern w:val="10"/>
          <w:sz w:val="24"/>
        </w:rPr>
        <w:t>地表水环境影响评价自查表见表</w:t>
      </w:r>
      <w:r>
        <w:rPr>
          <w:rFonts w:ascii="宋体" w:hAnsi="宋体"/>
          <w:kern w:val="10"/>
          <w:sz w:val="24"/>
        </w:rPr>
        <w:t>6-1</w:t>
      </w:r>
      <w:r>
        <w:rPr>
          <w:rFonts w:hint="eastAsia" w:ascii="宋体" w:hAnsi="宋体"/>
          <w:kern w:val="10"/>
          <w:sz w:val="24"/>
        </w:rPr>
        <w:t>。</w:t>
      </w:r>
    </w:p>
    <w:p>
      <w:pPr>
        <w:spacing w:line="500" w:lineRule="exact"/>
        <w:ind w:firstLine="480" w:firstLineChars="200"/>
        <w:rPr>
          <w:rFonts w:ascii="宋体" w:hAnsi="宋体"/>
          <w:color w:val="FF0000"/>
          <w:kern w:val="10"/>
          <w:sz w:val="24"/>
        </w:rPr>
      </w:pPr>
    </w:p>
    <w:p>
      <w:pPr>
        <w:spacing w:line="500" w:lineRule="exact"/>
        <w:jc w:val="center"/>
        <w:rPr>
          <w:rFonts w:ascii="宋体" w:hAnsi="宋体"/>
          <w:color w:val="FF0000"/>
          <w:kern w:val="10"/>
          <w:sz w:val="24"/>
        </w:rPr>
        <w:sectPr>
          <w:footerReference r:id="rId11" w:type="default"/>
          <w:pgSz w:w="11906" w:h="16838"/>
          <w:pgMar w:top="1418" w:right="1418" w:bottom="1418" w:left="1418" w:header="851" w:footer="851" w:gutter="0"/>
          <w:pgNumType w:start="1"/>
          <w:cols w:space="720" w:num="1"/>
          <w:docGrid w:linePitch="312" w:charSpace="0"/>
        </w:sectPr>
      </w:pPr>
    </w:p>
    <w:p>
      <w:pPr>
        <w:spacing w:line="500" w:lineRule="exact"/>
        <w:jc w:val="center"/>
        <w:rPr>
          <w:rFonts w:ascii="宋体" w:hAnsi="宋体"/>
          <w:bCs/>
          <w:kern w:val="10"/>
          <w:szCs w:val="21"/>
        </w:rPr>
      </w:pPr>
      <w:r>
        <w:rPr>
          <w:rFonts w:ascii="宋体" w:hAnsi="宋体"/>
          <w:bCs/>
          <w:kern w:val="10"/>
          <w:szCs w:val="21"/>
        </w:rPr>
        <w:t>表5-1    废水类别、污染物及治理设施信息表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01"/>
        <w:gridCol w:w="1599"/>
        <w:gridCol w:w="1133"/>
        <w:gridCol w:w="1229"/>
        <w:gridCol w:w="1229"/>
        <w:gridCol w:w="1366"/>
        <w:gridCol w:w="2049"/>
        <w:gridCol w:w="742"/>
        <w:gridCol w:w="1230"/>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42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废水类别</w:t>
            </w:r>
          </w:p>
        </w:tc>
        <w:tc>
          <w:tcPr>
            <w:tcW w:w="56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污染物种类</w:t>
            </w:r>
          </w:p>
        </w:tc>
        <w:tc>
          <w:tcPr>
            <w:tcW w:w="399"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排放去向</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排放规律</w:t>
            </w:r>
          </w:p>
        </w:tc>
        <w:tc>
          <w:tcPr>
            <w:tcW w:w="1635" w:type="pct"/>
            <w:gridSpan w:val="3"/>
            <w:shd w:val="clear" w:color="auto" w:fill="auto"/>
            <w:vAlign w:val="center"/>
          </w:tcPr>
          <w:p>
            <w:pPr>
              <w:jc w:val="center"/>
              <w:rPr>
                <w:rFonts w:ascii="宋体" w:hAnsi="宋体"/>
                <w:kern w:val="10"/>
                <w:szCs w:val="21"/>
              </w:rPr>
            </w:pPr>
            <w:r>
              <w:rPr>
                <w:rFonts w:ascii="宋体" w:hAnsi="宋体"/>
                <w:kern w:val="10"/>
                <w:szCs w:val="21"/>
              </w:rPr>
              <w:t>污染治理设施</w:t>
            </w:r>
          </w:p>
        </w:tc>
        <w:tc>
          <w:tcPr>
            <w:tcW w:w="255"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排放口设置是否符合要求</w:t>
            </w:r>
          </w:p>
        </w:tc>
        <w:tc>
          <w:tcPr>
            <w:tcW w:w="629" w:type="pct"/>
            <w:vMerge w:val="restart"/>
            <w:shd w:val="clear" w:color="auto" w:fill="auto"/>
            <w:vAlign w:val="center"/>
          </w:tcPr>
          <w:p>
            <w:pPr>
              <w:jc w:val="center"/>
              <w:rPr>
                <w:rFonts w:ascii="宋体" w:hAnsi="宋体"/>
                <w:kern w:val="10"/>
                <w:szCs w:val="21"/>
              </w:rPr>
            </w:pPr>
            <w:r>
              <w:rPr>
                <w:rFonts w:ascii="宋体" w:hAnsi="宋体"/>
                <w:kern w:val="10"/>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vMerge w:val="continue"/>
            <w:shd w:val="clear" w:color="auto" w:fill="auto"/>
            <w:vAlign w:val="center"/>
          </w:tcPr>
          <w:p>
            <w:pPr>
              <w:jc w:val="center"/>
              <w:rPr>
                <w:rFonts w:ascii="宋体" w:hAnsi="宋体"/>
                <w:kern w:val="10"/>
                <w:szCs w:val="21"/>
              </w:rPr>
            </w:pPr>
          </w:p>
        </w:tc>
        <w:tc>
          <w:tcPr>
            <w:tcW w:w="423" w:type="pct"/>
            <w:vMerge w:val="continue"/>
            <w:shd w:val="clear" w:color="auto" w:fill="auto"/>
            <w:vAlign w:val="center"/>
          </w:tcPr>
          <w:p>
            <w:pPr>
              <w:jc w:val="center"/>
              <w:rPr>
                <w:rFonts w:ascii="宋体" w:hAnsi="宋体"/>
                <w:kern w:val="10"/>
                <w:szCs w:val="21"/>
              </w:rPr>
            </w:pPr>
          </w:p>
        </w:tc>
        <w:tc>
          <w:tcPr>
            <w:tcW w:w="563" w:type="pct"/>
            <w:vMerge w:val="continue"/>
            <w:shd w:val="clear" w:color="auto" w:fill="auto"/>
            <w:vAlign w:val="center"/>
          </w:tcPr>
          <w:p>
            <w:pPr>
              <w:jc w:val="center"/>
              <w:rPr>
                <w:rFonts w:ascii="宋体" w:hAnsi="宋体"/>
                <w:kern w:val="10"/>
                <w:szCs w:val="21"/>
              </w:rPr>
            </w:pPr>
          </w:p>
        </w:tc>
        <w:tc>
          <w:tcPr>
            <w:tcW w:w="399"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433" w:type="pct"/>
            <w:shd w:val="clear" w:color="auto" w:fill="auto"/>
            <w:vAlign w:val="center"/>
          </w:tcPr>
          <w:p>
            <w:pPr>
              <w:jc w:val="center"/>
              <w:rPr>
                <w:rFonts w:ascii="宋体" w:hAnsi="宋体"/>
                <w:kern w:val="10"/>
                <w:szCs w:val="21"/>
              </w:rPr>
            </w:pPr>
            <w:r>
              <w:rPr>
                <w:rFonts w:ascii="宋体" w:hAnsi="宋体"/>
                <w:kern w:val="10"/>
                <w:szCs w:val="21"/>
              </w:rPr>
              <w:t>污染治理设施编号</w:t>
            </w:r>
          </w:p>
        </w:tc>
        <w:tc>
          <w:tcPr>
            <w:tcW w:w="481" w:type="pct"/>
            <w:shd w:val="clear" w:color="auto" w:fill="auto"/>
            <w:vAlign w:val="center"/>
          </w:tcPr>
          <w:p>
            <w:pPr>
              <w:jc w:val="center"/>
              <w:rPr>
                <w:rFonts w:ascii="宋体" w:hAnsi="宋体"/>
                <w:kern w:val="10"/>
                <w:szCs w:val="21"/>
                <w:vertAlign w:val="superscript"/>
              </w:rPr>
            </w:pPr>
            <w:r>
              <w:rPr>
                <w:rFonts w:ascii="宋体" w:hAnsi="宋体"/>
                <w:kern w:val="10"/>
                <w:szCs w:val="21"/>
              </w:rPr>
              <w:t>污染治理设施名称</w:t>
            </w:r>
          </w:p>
        </w:tc>
        <w:tc>
          <w:tcPr>
            <w:tcW w:w="721" w:type="pct"/>
            <w:shd w:val="clear" w:color="auto" w:fill="auto"/>
            <w:vAlign w:val="center"/>
          </w:tcPr>
          <w:p>
            <w:pPr>
              <w:jc w:val="center"/>
              <w:rPr>
                <w:rFonts w:ascii="宋体" w:hAnsi="宋体"/>
                <w:kern w:val="10"/>
                <w:szCs w:val="21"/>
              </w:rPr>
            </w:pPr>
            <w:r>
              <w:rPr>
                <w:rFonts w:ascii="宋体" w:hAnsi="宋体"/>
                <w:kern w:val="10"/>
                <w:szCs w:val="21"/>
              </w:rPr>
              <w:t>污染治理设施工艺</w:t>
            </w:r>
          </w:p>
        </w:tc>
        <w:tc>
          <w:tcPr>
            <w:tcW w:w="255"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629"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shd w:val="clear" w:color="auto" w:fill="auto"/>
            <w:vAlign w:val="center"/>
          </w:tcPr>
          <w:p>
            <w:pPr>
              <w:jc w:val="center"/>
              <w:rPr>
                <w:rFonts w:ascii="宋体" w:hAnsi="宋体"/>
                <w:kern w:val="10"/>
                <w:szCs w:val="21"/>
              </w:rPr>
            </w:pPr>
            <w:r>
              <w:rPr>
                <w:rFonts w:ascii="宋体" w:hAnsi="宋体"/>
                <w:kern w:val="10"/>
                <w:szCs w:val="21"/>
              </w:rPr>
              <w:t>1</w:t>
            </w:r>
          </w:p>
        </w:tc>
        <w:tc>
          <w:tcPr>
            <w:tcW w:w="423" w:type="pct"/>
            <w:shd w:val="clear" w:color="auto" w:fill="auto"/>
            <w:vAlign w:val="center"/>
          </w:tcPr>
          <w:p>
            <w:pPr>
              <w:jc w:val="center"/>
              <w:rPr>
                <w:rFonts w:ascii="宋体" w:hAnsi="宋体"/>
                <w:kern w:val="10"/>
                <w:szCs w:val="21"/>
              </w:rPr>
            </w:pPr>
            <w:r>
              <w:rPr>
                <w:rFonts w:ascii="宋体" w:hAnsi="宋体"/>
                <w:kern w:val="10"/>
                <w:szCs w:val="21"/>
              </w:rPr>
              <w:t>生活污水</w:t>
            </w:r>
          </w:p>
        </w:tc>
        <w:tc>
          <w:tcPr>
            <w:tcW w:w="563" w:type="pct"/>
            <w:shd w:val="clear" w:color="auto" w:fill="auto"/>
            <w:vAlign w:val="center"/>
          </w:tcPr>
          <w:p>
            <w:pPr>
              <w:jc w:val="center"/>
              <w:rPr>
                <w:rFonts w:ascii="宋体" w:hAnsi="宋体"/>
                <w:kern w:val="10"/>
                <w:szCs w:val="21"/>
              </w:rPr>
            </w:pPr>
            <w:r>
              <w:rPr>
                <w:rFonts w:ascii="宋体" w:hAnsi="宋体"/>
                <w:kern w:val="10"/>
                <w:szCs w:val="21"/>
              </w:rPr>
              <w:t>pH、COD、BOD、SS、TN、TP、NH</w:t>
            </w:r>
            <w:r>
              <w:rPr>
                <w:rFonts w:ascii="宋体" w:hAnsi="宋体"/>
                <w:kern w:val="10"/>
                <w:szCs w:val="21"/>
                <w:vertAlign w:val="subscript"/>
              </w:rPr>
              <w:t>3</w:t>
            </w:r>
            <w:r>
              <w:rPr>
                <w:rFonts w:ascii="宋体" w:hAnsi="宋体"/>
                <w:kern w:val="10"/>
                <w:szCs w:val="21"/>
              </w:rPr>
              <w:t>-N</w:t>
            </w:r>
          </w:p>
        </w:tc>
        <w:tc>
          <w:tcPr>
            <w:tcW w:w="399"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433"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33" w:type="pct"/>
            <w:shd w:val="clear" w:color="auto" w:fill="auto"/>
            <w:vAlign w:val="center"/>
          </w:tcPr>
          <w:p>
            <w:pPr>
              <w:jc w:val="center"/>
              <w:rPr>
                <w:rFonts w:ascii="宋体" w:hAnsi="宋体"/>
                <w:kern w:val="10"/>
                <w:szCs w:val="21"/>
              </w:rPr>
            </w:pPr>
            <w:r>
              <w:rPr>
                <w:rFonts w:ascii="宋体" w:hAnsi="宋体"/>
                <w:kern w:val="10"/>
                <w:szCs w:val="21"/>
              </w:rPr>
              <w:t>/</w:t>
            </w:r>
          </w:p>
        </w:tc>
        <w:tc>
          <w:tcPr>
            <w:tcW w:w="481" w:type="pct"/>
            <w:shd w:val="clear" w:color="auto" w:fill="auto"/>
            <w:vAlign w:val="center"/>
          </w:tcPr>
          <w:p>
            <w:pPr>
              <w:jc w:val="center"/>
              <w:rPr>
                <w:rFonts w:ascii="宋体" w:hAnsi="宋体"/>
                <w:kern w:val="10"/>
                <w:szCs w:val="21"/>
              </w:rPr>
            </w:pPr>
            <w:r>
              <w:rPr>
                <w:rFonts w:ascii="宋体" w:hAnsi="宋体"/>
                <w:kern w:val="10"/>
                <w:szCs w:val="21"/>
              </w:rPr>
              <w:t>生活污水处理厂</w:t>
            </w:r>
          </w:p>
        </w:tc>
        <w:tc>
          <w:tcPr>
            <w:tcW w:w="721" w:type="pct"/>
            <w:shd w:val="clear" w:color="auto" w:fill="auto"/>
            <w:vAlign w:val="center"/>
          </w:tcPr>
          <w:p>
            <w:pPr>
              <w:jc w:val="center"/>
              <w:rPr>
                <w:rFonts w:ascii="宋体" w:hAnsi="宋体"/>
                <w:kern w:val="10"/>
                <w:szCs w:val="21"/>
              </w:rPr>
            </w:pPr>
            <w:r>
              <w:rPr>
                <w:rFonts w:hint="eastAsia" w:ascii="宋体" w:hAnsi="宋体"/>
                <w:kern w:val="10"/>
                <w:szCs w:val="21"/>
              </w:rPr>
              <w:t>处理能力</w:t>
            </w:r>
            <w:r>
              <w:rPr>
                <w:rFonts w:ascii="宋体" w:hAnsi="宋体"/>
                <w:kern w:val="10"/>
                <w:szCs w:val="21"/>
              </w:rPr>
              <w:t>1000m</w:t>
            </w:r>
            <w:r>
              <w:rPr>
                <w:rFonts w:ascii="宋体" w:hAnsi="宋体"/>
                <w:kern w:val="10"/>
                <w:szCs w:val="21"/>
                <w:vertAlign w:val="superscript"/>
              </w:rPr>
              <w:t>3</w:t>
            </w:r>
            <w:r>
              <w:rPr>
                <w:rFonts w:ascii="宋体" w:hAnsi="宋体"/>
                <w:kern w:val="10"/>
                <w:szCs w:val="21"/>
              </w:rPr>
              <w:t>/d</w:t>
            </w:r>
          </w:p>
          <w:p>
            <w:pPr>
              <w:jc w:val="center"/>
              <w:rPr>
                <w:rFonts w:ascii="宋体" w:hAnsi="宋体"/>
                <w:bCs/>
                <w:kern w:val="10"/>
              </w:rPr>
            </w:pPr>
            <w:r>
              <w:rPr>
                <w:rFonts w:hint="eastAsia" w:ascii="宋体" w:hAnsi="宋体"/>
                <w:kern w:val="10"/>
                <w:szCs w:val="21"/>
              </w:rPr>
              <w:t>处理工艺为：</w:t>
            </w:r>
            <w:r>
              <w:rPr>
                <w:rFonts w:hint="eastAsia" w:ascii="宋体" w:hAnsi="宋体" w:cs="宋体"/>
                <w:kern w:val="0"/>
              </w:rPr>
              <w:t>进水井</w:t>
            </w:r>
            <w:r>
              <w:rPr>
                <w:rFonts w:ascii="宋体" w:hAnsi="宋体" w:cs="TimesNewRomanPSMT"/>
                <w:kern w:val="0"/>
              </w:rPr>
              <w:t>+</w:t>
            </w:r>
            <w:r>
              <w:rPr>
                <w:rFonts w:hint="eastAsia" w:ascii="宋体" w:hAnsi="宋体" w:cs="宋体"/>
                <w:kern w:val="0"/>
              </w:rPr>
              <w:t>粗格栅</w:t>
            </w:r>
            <w:r>
              <w:rPr>
                <w:rFonts w:ascii="宋体" w:hAnsi="宋体" w:cs="TimesNewRomanPSMT"/>
                <w:kern w:val="0"/>
              </w:rPr>
              <w:t>+</w:t>
            </w:r>
            <w:r>
              <w:rPr>
                <w:rFonts w:hint="eastAsia" w:ascii="宋体" w:hAnsi="宋体" w:cs="宋体"/>
                <w:kern w:val="0"/>
              </w:rPr>
              <w:t>微滤机</w:t>
            </w:r>
            <w:r>
              <w:rPr>
                <w:rFonts w:ascii="宋体" w:hAnsi="宋体" w:cs="TimesNewRomanPSMT"/>
                <w:kern w:val="0"/>
              </w:rPr>
              <w:t>+</w:t>
            </w:r>
            <w:r>
              <w:rPr>
                <w:rFonts w:hint="eastAsia" w:ascii="宋体" w:hAnsi="宋体" w:cs="宋体"/>
                <w:kern w:val="0"/>
              </w:rPr>
              <w:t>调节池</w:t>
            </w:r>
            <w:r>
              <w:rPr>
                <w:rFonts w:ascii="宋体" w:hAnsi="宋体" w:cs="TimesNewRomanPSMT"/>
                <w:kern w:val="0"/>
              </w:rPr>
              <w:t>+</w:t>
            </w:r>
            <w:r>
              <w:rPr>
                <w:rFonts w:hint="eastAsia" w:ascii="宋体" w:hAnsi="宋体" w:cs="宋体"/>
                <w:kern w:val="0"/>
              </w:rPr>
              <w:t>巴顿甫五段生化</w:t>
            </w:r>
            <w:r>
              <w:rPr>
                <w:rFonts w:ascii="宋体" w:hAnsi="宋体" w:cs="TimesNewRomanPSMT"/>
                <w:kern w:val="0"/>
              </w:rPr>
              <w:t>+</w:t>
            </w:r>
            <w:r>
              <w:rPr>
                <w:rFonts w:hint="eastAsia" w:ascii="宋体" w:hAnsi="宋体" w:cs="宋体"/>
                <w:kern w:val="0"/>
              </w:rPr>
              <w:t>二沉池</w:t>
            </w:r>
            <w:r>
              <w:rPr>
                <w:rFonts w:ascii="宋体" w:hAnsi="宋体" w:cs="TimesNewRomanPSMT"/>
                <w:kern w:val="0"/>
              </w:rPr>
              <w:t>+</w:t>
            </w:r>
            <w:r>
              <w:rPr>
                <w:rFonts w:hint="eastAsia" w:ascii="宋体" w:hAnsi="宋体" w:cs="宋体"/>
                <w:kern w:val="0"/>
              </w:rPr>
              <w:t>絮凝沉淀过滤</w:t>
            </w:r>
            <w:r>
              <w:rPr>
                <w:rFonts w:ascii="宋体" w:hAnsi="宋体" w:cs="TimesNewRomanPSMT"/>
                <w:kern w:val="0"/>
              </w:rPr>
              <w:t>+</w:t>
            </w:r>
            <w:r>
              <w:rPr>
                <w:rFonts w:hint="eastAsia" w:ascii="宋体" w:hAnsi="宋体" w:cs="宋体"/>
                <w:kern w:val="0"/>
              </w:rPr>
              <w:t>消毒</w:t>
            </w:r>
            <w:r>
              <w:rPr>
                <w:rFonts w:hint="eastAsia" w:cs="宋体" w:asciiTheme="minorEastAsia" w:hAnsiTheme="minorEastAsia" w:eastAsiaTheme="minorEastAsia"/>
                <w:kern w:val="0"/>
              </w:rPr>
              <w:t>”</w:t>
            </w:r>
          </w:p>
        </w:tc>
        <w:tc>
          <w:tcPr>
            <w:tcW w:w="255"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33" w:type="pct"/>
            <w:shd w:val="clear" w:color="auto" w:fill="auto"/>
            <w:vAlign w:val="center"/>
          </w:tcPr>
          <w:p>
            <w:pPr>
              <w:jc w:val="center"/>
              <w:rPr>
                <w:rFonts w:ascii="宋体" w:hAnsi="宋体"/>
                <w:kern w:val="10"/>
                <w:szCs w:val="21"/>
              </w:rPr>
            </w:pPr>
            <w:r>
              <w:rPr>
                <w:rFonts w:hint="eastAsia" w:ascii="宋体" w:hAnsi="宋体"/>
                <w:kern w:val="10"/>
                <w:szCs w:val="21"/>
              </w:rPr>
              <w:t>是</w:t>
            </w:r>
          </w:p>
        </w:tc>
        <w:tc>
          <w:tcPr>
            <w:tcW w:w="629" w:type="pct"/>
            <w:shd w:val="clear" w:color="auto" w:fill="auto"/>
            <w:vAlign w:val="center"/>
          </w:tcPr>
          <w:p>
            <w:pPr>
              <w:rPr>
                <w:rFonts w:ascii="宋体" w:hAnsi="宋体"/>
                <w:kern w:val="10"/>
                <w:szCs w:val="21"/>
              </w:rPr>
            </w:pPr>
            <w:r>
              <w:rPr>
                <w:rFonts w:ascii="宋体" w:hAnsi="宋体"/>
                <w:kern w:val="10"/>
                <w:szCs w:val="21"/>
              </w:rPr>
              <w:sym w:font="Wingdings 2" w:char="0052"/>
            </w:r>
            <w:r>
              <w:rPr>
                <w:rFonts w:ascii="宋体" w:hAnsi="宋体"/>
                <w:kern w:val="10"/>
                <w:szCs w:val="21"/>
              </w:rPr>
              <w:t>企业排口</w:t>
            </w:r>
          </w:p>
          <w:p>
            <w:pPr>
              <w:rPr>
                <w:rFonts w:ascii="宋体" w:hAnsi="宋体"/>
                <w:kern w:val="10"/>
                <w:szCs w:val="21"/>
              </w:rPr>
            </w:pPr>
            <w:r>
              <w:rPr>
                <w:rFonts w:ascii="宋体" w:hAnsi="宋体"/>
                <w:kern w:val="10"/>
                <w:szCs w:val="21"/>
              </w:rPr>
              <w:t>□雨水排放</w:t>
            </w:r>
          </w:p>
          <w:p>
            <w:pPr>
              <w:rPr>
                <w:rFonts w:ascii="宋体" w:hAnsi="宋体"/>
                <w:kern w:val="10"/>
                <w:szCs w:val="21"/>
              </w:rPr>
            </w:pPr>
            <w:r>
              <w:rPr>
                <w:rFonts w:ascii="宋体" w:hAnsi="宋体"/>
                <w:kern w:val="10"/>
                <w:szCs w:val="21"/>
              </w:rPr>
              <w:t>□清净下水排放</w:t>
            </w:r>
          </w:p>
          <w:p>
            <w:pPr>
              <w:rPr>
                <w:rFonts w:ascii="宋体" w:hAnsi="宋体"/>
                <w:kern w:val="10"/>
                <w:szCs w:val="21"/>
              </w:rPr>
            </w:pPr>
            <w:r>
              <w:rPr>
                <w:rFonts w:ascii="宋体" w:hAnsi="宋体"/>
                <w:kern w:val="10"/>
                <w:szCs w:val="21"/>
              </w:rPr>
              <w:t>□温排水排放</w:t>
            </w:r>
          </w:p>
          <w:p>
            <w:pPr>
              <w:rPr>
                <w:rFonts w:ascii="宋体" w:hAnsi="宋体"/>
                <w:kern w:val="10"/>
                <w:szCs w:val="21"/>
              </w:rPr>
            </w:pPr>
            <w:r>
              <w:rPr>
                <w:rFonts w:ascii="宋体" w:hAnsi="宋体"/>
                <w:kern w:val="10"/>
                <w:szCs w:val="21"/>
              </w:rPr>
              <w:t>□车间或车间处理设施排放口</w:t>
            </w:r>
          </w:p>
        </w:tc>
      </w:tr>
    </w:tbl>
    <w:p>
      <w:pPr>
        <w:spacing w:line="500" w:lineRule="exact"/>
        <w:jc w:val="center"/>
        <w:rPr>
          <w:rFonts w:ascii="宋体" w:hAnsi="宋体"/>
          <w:bCs/>
          <w:kern w:val="10"/>
          <w:szCs w:val="21"/>
        </w:rPr>
      </w:pPr>
      <w:r>
        <w:rPr>
          <w:rFonts w:ascii="宋体" w:hAnsi="宋体"/>
          <w:bCs/>
          <w:kern w:val="10"/>
          <w:szCs w:val="21"/>
        </w:rPr>
        <w:t>表5-2    废水直接排放口基本情况表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103"/>
        <w:gridCol w:w="1396"/>
        <w:gridCol w:w="1234"/>
        <w:gridCol w:w="958"/>
        <w:gridCol w:w="958"/>
        <w:gridCol w:w="1251"/>
        <w:gridCol w:w="668"/>
        <w:gridCol w:w="2272"/>
        <w:gridCol w:w="2168"/>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388"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91" w:type="pct"/>
            <w:vMerge w:val="restart"/>
            <w:shd w:val="clear" w:color="auto" w:fill="auto"/>
            <w:vAlign w:val="center"/>
          </w:tcPr>
          <w:p>
            <w:pPr>
              <w:jc w:val="center"/>
              <w:rPr>
                <w:rFonts w:ascii="宋体" w:hAnsi="宋体"/>
                <w:kern w:val="10"/>
                <w:szCs w:val="21"/>
              </w:rPr>
            </w:pPr>
            <w:r>
              <w:rPr>
                <w:rFonts w:ascii="宋体" w:hAnsi="宋体"/>
                <w:kern w:val="10"/>
                <w:szCs w:val="21"/>
              </w:rPr>
              <w:t>排放口</w:t>
            </w:r>
          </w:p>
          <w:p>
            <w:pPr>
              <w:jc w:val="center"/>
              <w:rPr>
                <w:rFonts w:ascii="宋体" w:hAnsi="宋体"/>
                <w:kern w:val="10"/>
                <w:szCs w:val="21"/>
                <w:vertAlign w:val="superscript"/>
              </w:rPr>
            </w:pPr>
            <w:r>
              <w:rPr>
                <w:rFonts w:ascii="宋体" w:hAnsi="宋体"/>
                <w:kern w:val="10"/>
                <w:szCs w:val="21"/>
              </w:rPr>
              <w:t>地理坐标</w:t>
            </w:r>
          </w:p>
        </w:tc>
        <w:tc>
          <w:tcPr>
            <w:tcW w:w="434" w:type="pct"/>
            <w:vMerge w:val="restart"/>
            <w:shd w:val="clear" w:color="auto" w:fill="auto"/>
            <w:vAlign w:val="center"/>
          </w:tcPr>
          <w:p>
            <w:pPr>
              <w:jc w:val="center"/>
              <w:rPr>
                <w:rFonts w:ascii="宋体" w:hAnsi="宋体"/>
                <w:kern w:val="10"/>
                <w:szCs w:val="21"/>
              </w:rPr>
            </w:pPr>
            <w:r>
              <w:rPr>
                <w:rFonts w:ascii="宋体" w:hAnsi="宋体"/>
                <w:kern w:val="10"/>
                <w:szCs w:val="21"/>
              </w:rPr>
              <w:t>废水排放量/（万t/a）</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排放去向</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排放规律</w:t>
            </w:r>
          </w:p>
        </w:tc>
        <w:tc>
          <w:tcPr>
            <w:tcW w:w="440" w:type="pct"/>
            <w:vMerge w:val="restart"/>
            <w:shd w:val="clear" w:color="auto" w:fill="auto"/>
            <w:vAlign w:val="center"/>
          </w:tcPr>
          <w:p>
            <w:pPr>
              <w:jc w:val="center"/>
              <w:rPr>
                <w:rFonts w:ascii="宋体" w:hAnsi="宋体"/>
                <w:kern w:val="10"/>
                <w:szCs w:val="21"/>
              </w:rPr>
            </w:pPr>
            <w:r>
              <w:rPr>
                <w:rFonts w:ascii="宋体" w:hAnsi="宋体"/>
                <w:kern w:val="10"/>
                <w:szCs w:val="21"/>
              </w:rPr>
              <w:t>间歇排放时段</w:t>
            </w:r>
          </w:p>
        </w:tc>
        <w:tc>
          <w:tcPr>
            <w:tcW w:w="1034" w:type="pct"/>
            <w:gridSpan w:val="2"/>
            <w:shd w:val="clear" w:color="auto" w:fill="auto"/>
            <w:vAlign w:val="center"/>
          </w:tcPr>
          <w:p>
            <w:pPr>
              <w:jc w:val="center"/>
              <w:rPr>
                <w:rFonts w:ascii="宋体" w:hAnsi="宋体"/>
                <w:kern w:val="10"/>
                <w:szCs w:val="21"/>
              </w:rPr>
            </w:pPr>
            <w:r>
              <w:rPr>
                <w:rFonts w:ascii="宋体" w:hAnsi="宋体"/>
                <w:kern w:val="10"/>
                <w:szCs w:val="21"/>
              </w:rPr>
              <w:t>受纳自然水体信息</w:t>
            </w:r>
          </w:p>
        </w:tc>
        <w:tc>
          <w:tcPr>
            <w:tcW w:w="762" w:type="pct"/>
            <w:vMerge w:val="restart"/>
            <w:shd w:val="clear" w:color="auto" w:fill="auto"/>
            <w:vAlign w:val="center"/>
          </w:tcPr>
          <w:p>
            <w:pPr>
              <w:jc w:val="center"/>
              <w:rPr>
                <w:rFonts w:ascii="宋体" w:hAnsi="宋体"/>
                <w:kern w:val="10"/>
                <w:szCs w:val="21"/>
              </w:rPr>
            </w:pPr>
            <w:r>
              <w:rPr>
                <w:rFonts w:ascii="宋体" w:hAnsi="宋体"/>
                <w:kern w:val="10"/>
                <w:szCs w:val="21"/>
              </w:rPr>
              <w:t>汇入受纳自然水体处</w:t>
            </w:r>
          </w:p>
          <w:p>
            <w:pPr>
              <w:jc w:val="center"/>
              <w:rPr>
                <w:rFonts w:ascii="宋体" w:hAnsi="宋体"/>
                <w:kern w:val="10"/>
                <w:szCs w:val="21"/>
                <w:vertAlign w:val="superscript"/>
              </w:rPr>
            </w:pPr>
            <w:r>
              <w:rPr>
                <w:rFonts w:ascii="宋体" w:hAnsi="宋体"/>
                <w:kern w:val="10"/>
                <w:szCs w:val="21"/>
              </w:rPr>
              <w:t>地理坐标</w:t>
            </w:r>
          </w:p>
        </w:tc>
        <w:tc>
          <w:tcPr>
            <w:tcW w:w="388"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备注</w:t>
            </w:r>
            <w:r>
              <w:rPr>
                <w:rFonts w:ascii="宋体" w:hAnsi="宋体"/>
                <w:kern w:val="10"/>
                <w:szCs w:val="21"/>
                <w:vertAlign w:val="superscript"/>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c>
          <w:tcPr>
            <w:tcW w:w="491" w:type="pct"/>
            <w:vMerge w:val="continue"/>
            <w:shd w:val="clear" w:color="auto" w:fill="auto"/>
            <w:vAlign w:val="center"/>
          </w:tcPr>
          <w:p>
            <w:pPr>
              <w:jc w:val="center"/>
              <w:rPr>
                <w:rFonts w:ascii="宋体" w:hAnsi="宋体"/>
                <w:kern w:val="10"/>
                <w:szCs w:val="21"/>
              </w:rPr>
            </w:pPr>
          </w:p>
        </w:tc>
        <w:tc>
          <w:tcPr>
            <w:tcW w:w="434"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440" w:type="pct"/>
            <w:vMerge w:val="continue"/>
            <w:shd w:val="clear" w:color="auto" w:fill="auto"/>
            <w:vAlign w:val="center"/>
          </w:tcPr>
          <w:p>
            <w:pPr>
              <w:jc w:val="center"/>
              <w:rPr>
                <w:rFonts w:ascii="宋体" w:hAnsi="宋体"/>
                <w:kern w:val="10"/>
                <w:szCs w:val="21"/>
              </w:rPr>
            </w:pPr>
          </w:p>
        </w:tc>
        <w:tc>
          <w:tcPr>
            <w:tcW w:w="235" w:type="pct"/>
            <w:shd w:val="clear" w:color="auto" w:fill="auto"/>
            <w:vAlign w:val="center"/>
          </w:tcPr>
          <w:p>
            <w:pPr>
              <w:jc w:val="center"/>
              <w:rPr>
                <w:rFonts w:ascii="宋体" w:hAnsi="宋体"/>
                <w:kern w:val="10"/>
                <w:szCs w:val="21"/>
              </w:rPr>
            </w:pPr>
            <w:r>
              <w:rPr>
                <w:rFonts w:ascii="宋体" w:hAnsi="宋体"/>
                <w:kern w:val="10"/>
                <w:szCs w:val="21"/>
              </w:rPr>
              <w:t>名称</w:t>
            </w:r>
          </w:p>
        </w:tc>
        <w:tc>
          <w:tcPr>
            <w:tcW w:w="799" w:type="pct"/>
            <w:shd w:val="clear" w:color="auto" w:fill="auto"/>
            <w:vAlign w:val="center"/>
          </w:tcPr>
          <w:p>
            <w:pPr>
              <w:jc w:val="center"/>
              <w:rPr>
                <w:rFonts w:ascii="宋体" w:hAnsi="宋体"/>
                <w:kern w:val="10"/>
                <w:szCs w:val="21"/>
                <w:vertAlign w:val="superscript"/>
              </w:rPr>
            </w:pPr>
            <w:r>
              <w:rPr>
                <w:rFonts w:ascii="宋体" w:hAnsi="宋体"/>
                <w:kern w:val="10"/>
                <w:szCs w:val="21"/>
              </w:rPr>
              <w:t>受纳水体功能目标</w:t>
            </w:r>
          </w:p>
        </w:tc>
        <w:tc>
          <w:tcPr>
            <w:tcW w:w="762"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shd w:val="clear" w:color="auto" w:fill="auto"/>
            <w:vAlign w:val="center"/>
          </w:tcPr>
          <w:p>
            <w:pPr>
              <w:jc w:val="center"/>
              <w:rPr>
                <w:rFonts w:ascii="宋体" w:hAnsi="宋体"/>
                <w:kern w:val="10"/>
                <w:szCs w:val="21"/>
              </w:rPr>
            </w:pPr>
            <w:r>
              <w:rPr>
                <w:rFonts w:ascii="宋体" w:hAnsi="宋体"/>
                <w:kern w:val="10"/>
                <w:szCs w:val="21"/>
              </w:rPr>
              <w:t>1</w:t>
            </w:r>
          </w:p>
        </w:tc>
        <w:tc>
          <w:tcPr>
            <w:tcW w:w="388"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91" w:type="pct"/>
            <w:shd w:val="clear" w:color="auto" w:fill="auto"/>
            <w:vAlign w:val="center"/>
          </w:tcPr>
          <w:p>
            <w:pPr>
              <w:jc w:val="center"/>
              <w:rPr>
                <w:rFonts w:ascii="宋体" w:hAnsi="宋体"/>
                <w:kern w:val="10"/>
                <w:szCs w:val="21"/>
              </w:rPr>
            </w:pPr>
            <w:r>
              <w:rPr>
                <w:rFonts w:ascii="宋体" w:hAnsi="宋体"/>
                <w:kern w:val="10"/>
                <w:szCs w:val="21"/>
              </w:rPr>
              <w:t>E110.979830</w:t>
            </w:r>
          </w:p>
          <w:p>
            <w:pPr>
              <w:jc w:val="center"/>
              <w:rPr>
                <w:rFonts w:ascii="宋体" w:hAnsi="宋体"/>
                <w:kern w:val="10"/>
                <w:szCs w:val="21"/>
              </w:rPr>
            </w:pPr>
            <w:r>
              <w:rPr>
                <w:rFonts w:ascii="宋体" w:hAnsi="宋体"/>
                <w:kern w:val="10"/>
                <w:szCs w:val="21"/>
              </w:rPr>
              <w:t>N 37.842409</w:t>
            </w:r>
          </w:p>
        </w:tc>
        <w:tc>
          <w:tcPr>
            <w:tcW w:w="434" w:type="pct"/>
            <w:shd w:val="clear" w:color="auto" w:fill="auto"/>
            <w:vAlign w:val="center"/>
          </w:tcPr>
          <w:p>
            <w:pPr>
              <w:jc w:val="center"/>
              <w:rPr>
                <w:rFonts w:ascii="宋体" w:hAnsi="宋体"/>
                <w:kern w:val="10"/>
                <w:szCs w:val="21"/>
              </w:rPr>
            </w:pPr>
            <w:r>
              <w:rPr>
                <w:rFonts w:ascii="宋体" w:hAnsi="宋体"/>
                <w:kern w:val="10"/>
                <w:szCs w:val="21"/>
              </w:rPr>
              <w:t>36.5</w:t>
            </w:r>
          </w:p>
        </w:tc>
        <w:tc>
          <w:tcPr>
            <w:tcW w:w="337"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337"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40" w:type="pct"/>
            <w:shd w:val="clear" w:color="auto" w:fill="auto"/>
            <w:vAlign w:val="center"/>
          </w:tcPr>
          <w:p>
            <w:pPr>
              <w:jc w:val="center"/>
              <w:rPr>
                <w:rFonts w:ascii="宋体" w:hAnsi="宋体"/>
                <w:kern w:val="10"/>
                <w:szCs w:val="21"/>
              </w:rPr>
            </w:pPr>
            <w:r>
              <w:rPr>
                <w:rFonts w:ascii="宋体" w:hAnsi="宋体"/>
                <w:kern w:val="10"/>
                <w:szCs w:val="21"/>
              </w:rPr>
              <w:t>/</w:t>
            </w:r>
          </w:p>
        </w:tc>
        <w:tc>
          <w:tcPr>
            <w:tcW w:w="235"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799" w:type="pct"/>
            <w:shd w:val="clear" w:color="auto" w:fill="auto"/>
            <w:vAlign w:val="center"/>
          </w:tcPr>
          <w:p>
            <w:pPr>
              <w:jc w:val="center"/>
              <w:rPr>
                <w:rFonts w:ascii="宋体" w:hAnsi="宋体"/>
                <w:kern w:val="10"/>
                <w:szCs w:val="21"/>
              </w:rPr>
            </w:pPr>
            <w:r>
              <w:rPr>
                <w:rFonts w:ascii="宋体" w:hAnsi="宋体"/>
                <w:bCs/>
                <w:kern w:val="10"/>
                <w:szCs w:val="21"/>
              </w:rPr>
              <w:t>《地表水环境质量标准》（GB3838-2002）中IV类</w:t>
            </w:r>
          </w:p>
        </w:tc>
        <w:tc>
          <w:tcPr>
            <w:tcW w:w="762" w:type="pct"/>
            <w:shd w:val="clear" w:color="auto" w:fill="auto"/>
            <w:vAlign w:val="center"/>
          </w:tcPr>
          <w:p>
            <w:pPr>
              <w:jc w:val="center"/>
              <w:rPr>
                <w:rFonts w:ascii="宋体" w:hAnsi="宋体"/>
                <w:kern w:val="10"/>
                <w:szCs w:val="21"/>
              </w:rPr>
            </w:pPr>
            <w:r>
              <w:rPr>
                <w:rFonts w:ascii="宋体" w:hAnsi="宋体"/>
                <w:kern w:val="10"/>
                <w:szCs w:val="21"/>
              </w:rPr>
              <w:t>E110.979830</w:t>
            </w:r>
          </w:p>
          <w:p>
            <w:pPr>
              <w:jc w:val="center"/>
              <w:rPr>
                <w:rFonts w:ascii="宋体" w:hAnsi="宋体"/>
                <w:kern w:val="10"/>
                <w:szCs w:val="21"/>
              </w:rPr>
            </w:pPr>
            <w:r>
              <w:rPr>
                <w:rFonts w:ascii="宋体" w:hAnsi="宋体"/>
                <w:kern w:val="10"/>
                <w:szCs w:val="21"/>
              </w:rPr>
              <w:t>N 37.842409</w:t>
            </w:r>
          </w:p>
        </w:tc>
        <w:tc>
          <w:tcPr>
            <w:tcW w:w="388" w:type="pct"/>
            <w:shd w:val="clear" w:color="auto" w:fill="auto"/>
            <w:vAlign w:val="center"/>
          </w:tcPr>
          <w:p>
            <w:pPr>
              <w:jc w:val="center"/>
              <w:rPr>
                <w:rFonts w:ascii="宋体" w:hAnsi="宋体"/>
                <w:kern w:val="10"/>
                <w:szCs w:val="21"/>
              </w:rPr>
            </w:pPr>
          </w:p>
        </w:tc>
      </w:tr>
    </w:tbl>
    <w:p>
      <w:pPr>
        <w:spacing w:line="500" w:lineRule="exact"/>
        <w:jc w:val="center"/>
        <w:rPr>
          <w:rFonts w:ascii="宋体" w:hAnsi="宋体"/>
          <w:bCs/>
          <w:color w:val="FF0000"/>
          <w:kern w:val="10"/>
          <w:szCs w:val="21"/>
        </w:rPr>
        <w:sectPr>
          <w:pgSz w:w="16838" w:h="11906" w:orient="landscape"/>
          <w:pgMar w:top="1418" w:right="1418" w:bottom="1418" w:left="1418" w:header="851" w:footer="851" w:gutter="0"/>
          <w:cols w:space="720" w:num="1"/>
          <w:docGrid w:linePitch="312" w:charSpace="0"/>
        </w:sectPr>
      </w:pPr>
    </w:p>
    <w:p>
      <w:pPr>
        <w:spacing w:line="500" w:lineRule="exact"/>
        <w:jc w:val="center"/>
        <w:rPr>
          <w:rFonts w:ascii="宋体" w:hAnsi="宋体"/>
          <w:kern w:val="10"/>
          <w:szCs w:val="21"/>
        </w:rPr>
      </w:pPr>
      <w:r>
        <w:rPr>
          <w:rFonts w:hint="eastAsia" w:ascii="宋体" w:hAnsi="宋体"/>
          <w:bCs/>
          <w:kern w:val="10"/>
          <w:szCs w:val="21"/>
        </w:rPr>
        <w:t>表</w:t>
      </w:r>
      <w:r>
        <w:rPr>
          <w:rFonts w:ascii="宋体" w:hAnsi="宋体"/>
          <w:bCs/>
          <w:kern w:val="10"/>
          <w:szCs w:val="21"/>
        </w:rPr>
        <w:t xml:space="preserve">6-1    </w:t>
      </w:r>
      <w:r>
        <w:rPr>
          <w:rFonts w:hint="eastAsia" w:ascii="宋体" w:hAnsi="宋体"/>
          <w:kern w:val="10"/>
          <w:szCs w:val="21"/>
        </w:rPr>
        <w:t>地表水环境影响评价自查表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62"/>
        <w:gridCol w:w="1472"/>
        <w:gridCol w:w="612"/>
        <w:gridCol w:w="356"/>
        <w:gridCol w:w="484"/>
        <w:gridCol w:w="984"/>
        <w:gridCol w:w="272"/>
        <w:gridCol w:w="196"/>
        <w:gridCol w:w="484"/>
        <w:gridCol w:w="978"/>
        <w:gridCol w:w="148"/>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12"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工作内容</w:t>
            </w:r>
          </w:p>
        </w:tc>
        <w:tc>
          <w:tcPr>
            <w:tcW w:w="3989" w:type="pct"/>
            <w:gridSpan w:val="11"/>
            <w:tcBorders>
              <w:top w:val="single" w:color="auto" w:sz="12"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影响识别</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影响类型</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水污染影响型</w:t>
            </w:r>
            <w:r>
              <w:rPr>
                <w:rFonts w:ascii="Segoe UI Symbol" w:hAnsi="Segoe UI Symbol" w:cs="Segoe UI Symbol"/>
                <w:kern w:val="10"/>
                <w:szCs w:val="21"/>
              </w:rPr>
              <w:t>☑</w:t>
            </w:r>
            <w:r>
              <w:rPr>
                <w:rFonts w:hint="eastAsia" w:ascii="宋体" w:hAnsi="宋体"/>
                <w:kern w:val="10"/>
                <w:szCs w:val="21"/>
              </w:rPr>
              <w:t>；水文要素影响型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水环境保护目标</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饮用水水源保护区</w:t>
            </w:r>
            <w:r>
              <w:rPr>
                <w:rFonts w:ascii="宋体" w:hAnsi="宋体" w:cs="Arial"/>
                <w:kern w:val="10"/>
                <w:szCs w:val="21"/>
              </w:rPr>
              <w:t>□</w:t>
            </w:r>
            <w:r>
              <w:rPr>
                <w:rFonts w:hint="eastAsia" w:ascii="宋体" w:hAnsi="宋体"/>
                <w:kern w:val="10"/>
                <w:szCs w:val="21"/>
              </w:rPr>
              <w:t>；饮用水取水口；涉水的自然保护区</w:t>
            </w:r>
            <w:r>
              <w:rPr>
                <w:rFonts w:ascii="宋体" w:hAnsi="宋体" w:cs="Arial"/>
                <w:kern w:val="10"/>
                <w:szCs w:val="21"/>
              </w:rPr>
              <w:t>□</w:t>
            </w:r>
            <w:r>
              <w:rPr>
                <w:rFonts w:hint="eastAsia" w:ascii="宋体" w:hAnsi="宋体"/>
                <w:kern w:val="10"/>
                <w:szCs w:val="21"/>
              </w:rPr>
              <w:t>；涉水的风景名胜区</w:t>
            </w:r>
            <w:r>
              <w:rPr>
                <w:rFonts w:ascii="宋体" w:hAnsi="宋体" w:cs="Arial"/>
                <w:kern w:val="10"/>
                <w:szCs w:val="21"/>
              </w:rPr>
              <w:t>□</w:t>
            </w:r>
            <w:r>
              <w:rPr>
                <w:rFonts w:hint="eastAsia" w:ascii="宋体" w:hAnsi="宋体"/>
                <w:kern w:val="10"/>
                <w:szCs w:val="21"/>
              </w:rPr>
              <w:t>；重要湿地</w:t>
            </w:r>
            <w:r>
              <w:rPr>
                <w:rFonts w:ascii="宋体" w:hAnsi="宋体" w:cs="Arial"/>
                <w:kern w:val="10"/>
                <w:szCs w:val="21"/>
              </w:rPr>
              <w:t>□</w:t>
            </w:r>
            <w:r>
              <w:rPr>
                <w:rFonts w:hint="eastAsia" w:ascii="宋体" w:hAnsi="宋体"/>
                <w:kern w:val="10"/>
                <w:szCs w:val="21"/>
              </w:rPr>
              <w:t>；重点保护与珍稀水生生物的栖息地</w:t>
            </w:r>
            <w:r>
              <w:rPr>
                <w:rFonts w:ascii="宋体" w:hAnsi="宋体" w:cs="Arial"/>
                <w:kern w:val="10"/>
                <w:szCs w:val="21"/>
              </w:rPr>
              <w:t>□</w:t>
            </w:r>
            <w:r>
              <w:rPr>
                <w:rFonts w:hint="eastAsia" w:ascii="宋体" w:hAnsi="宋体"/>
                <w:kern w:val="10"/>
                <w:szCs w:val="21"/>
              </w:rPr>
              <w:t>；重要水生生物的自然产卵场及索饵场、越冬场和洄游通道</w:t>
            </w:r>
            <w:r>
              <w:rPr>
                <w:rFonts w:ascii="宋体" w:hAnsi="宋体" w:cs="Arial"/>
                <w:kern w:val="10"/>
                <w:szCs w:val="21"/>
              </w:rPr>
              <w:t>□</w:t>
            </w:r>
            <w:r>
              <w:rPr>
                <w:rFonts w:hint="eastAsia" w:ascii="宋体" w:hAnsi="宋体"/>
                <w:kern w:val="10"/>
                <w:szCs w:val="21"/>
              </w:rPr>
              <w:t>；天然渔场等渔业水体</w:t>
            </w:r>
            <w:r>
              <w:rPr>
                <w:rFonts w:ascii="宋体" w:hAnsi="宋体" w:cs="Arial"/>
                <w:kern w:val="10"/>
                <w:szCs w:val="21"/>
              </w:rPr>
              <w:t>□</w:t>
            </w:r>
            <w:r>
              <w:rPr>
                <w:rFonts w:hint="eastAsia" w:ascii="宋体" w:hAnsi="宋体"/>
                <w:kern w:val="10"/>
                <w:szCs w:val="21"/>
              </w:rPr>
              <w:t>；水产种质资源保护区</w:t>
            </w:r>
            <w:r>
              <w:rPr>
                <w:rFonts w:ascii="宋体" w:hAnsi="宋体" w:cs="Arial"/>
                <w:kern w:val="10"/>
                <w:szCs w:val="21"/>
              </w:rPr>
              <w:t>□</w:t>
            </w:r>
            <w:r>
              <w:rPr>
                <w:rFonts w:hint="eastAsia" w:ascii="宋体" w:hAnsi="宋体"/>
                <w:kern w:val="10"/>
                <w:szCs w:val="21"/>
              </w:rPr>
              <w:t>；其他</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影响途径</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直接排放</w:t>
            </w:r>
            <w:r>
              <w:rPr>
                <w:rFonts w:ascii="Segoe UI Symbol" w:hAnsi="Segoe UI Symbol" w:cs="Segoe UI Symbol"/>
                <w:kern w:val="10"/>
                <w:szCs w:val="21"/>
              </w:rPr>
              <w:t>☑</w:t>
            </w:r>
            <w:r>
              <w:rPr>
                <w:rFonts w:hint="eastAsia" w:ascii="宋体" w:hAnsi="宋体"/>
                <w:kern w:val="10"/>
                <w:szCs w:val="21"/>
              </w:rPr>
              <w:t>；间接排放</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；径流</w:t>
            </w:r>
            <w:r>
              <w:rPr>
                <w:rFonts w:ascii="宋体" w:hAnsi="宋体" w:cs="Arial"/>
                <w:kern w:val="10"/>
                <w:szCs w:val="21"/>
              </w:rPr>
              <w:t>□</w:t>
            </w:r>
            <w:r>
              <w:rPr>
                <w:rFonts w:hint="eastAsia" w:ascii="宋体" w:hAnsi="宋体"/>
                <w:kern w:val="10"/>
                <w:szCs w:val="21"/>
              </w:rPr>
              <w:t>；水域面积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影响因子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持久性污染物</w:t>
            </w:r>
            <w:r>
              <w:rPr>
                <w:rFonts w:ascii="宋体" w:hAnsi="宋体" w:cs="Arial"/>
                <w:kern w:val="10"/>
                <w:szCs w:val="21"/>
              </w:rPr>
              <w:t>□</w:t>
            </w:r>
            <w:r>
              <w:rPr>
                <w:rFonts w:hint="eastAsia" w:ascii="宋体" w:hAnsi="宋体"/>
                <w:kern w:val="10"/>
                <w:szCs w:val="21"/>
              </w:rPr>
              <w:t>；有毒有害污染物</w:t>
            </w:r>
            <w:r>
              <w:rPr>
                <w:rFonts w:ascii="宋体" w:hAnsi="宋体" w:cs="Arial"/>
                <w:kern w:val="10"/>
                <w:szCs w:val="21"/>
              </w:rPr>
              <w:t>□</w:t>
            </w:r>
            <w:r>
              <w:rPr>
                <w:rFonts w:hint="eastAsia" w:ascii="宋体" w:hAnsi="宋体"/>
                <w:kern w:val="10"/>
                <w:szCs w:val="21"/>
              </w:rPr>
              <w:t>；非持久性污染物</w:t>
            </w:r>
            <w:r>
              <w:rPr>
                <w:rFonts w:ascii="Segoe UI Symbol" w:hAnsi="Segoe UI Symbol" w:cs="Segoe UI Symbol"/>
                <w:kern w:val="10"/>
                <w:szCs w:val="21"/>
              </w:rPr>
              <w:t>☑</w:t>
            </w:r>
            <w:r>
              <w:rPr>
                <w:rFonts w:hint="eastAsia" w:ascii="宋体" w:hAnsi="宋体"/>
                <w:kern w:val="10"/>
                <w:szCs w:val="21"/>
              </w:rPr>
              <w:t>；</w:t>
            </w:r>
          </w:p>
          <w:p>
            <w:pPr>
              <w:spacing w:line="360" w:lineRule="exact"/>
              <w:rPr>
                <w:rFonts w:ascii="宋体" w:hAnsi="宋体"/>
                <w:kern w:val="10"/>
                <w:szCs w:val="21"/>
              </w:rPr>
            </w:pPr>
            <w:r>
              <w:rPr>
                <w:rFonts w:ascii="宋体" w:hAnsi="宋体"/>
                <w:kern w:val="10"/>
                <w:szCs w:val="21"/>
              </w:rPr>
              <w:t>pH</w:t>
            </w:r>
            <w:r>
              <w:rPr>
                <w:rFonts w:hint="eastAsia" w:ascii="宋体" w:hAnsi="宋体"/>
                <w:kern w:val="10"/>
                <w:szCs w:val="21"/>
              </w:rPr>
              <w:t>值</w:t>
            </w:r>
            <w:r>
              <w:rPr>
                <w:rFonts w:ascii="宋体" w:hAnsi="宋体" w:cs="Arial"/>
                <w:kern w:val="10"/>
                <w:szCs w:val="21"/>
              </w:rPr>
              <w:t>□</w:t>
            </w:r>
            <w:r>
              <w:rPr>
                <w:rFonts w:hint="eastAsia" w:ascii="宋体" w:hAnsi="宋体"/>
                <w:kern w:val="10"/>
                <w:szCs w:val="21"/>
              </w:rPr>
              <w:t>；热污染</w:t>
            </w:r>
            <w:r>
              <w:rPr>
                <w:rFonts w:ascii="宋体" w:hAnsi="宋体" w:cs="Arial"/>
                <w:kern w:val="10"/>
                <w:szCs w:val="21"/>
              </w:rPr>
              <w:t>□</w:t>
            </w:r>
            <w:r>
              <w:rPr>
                <w:rFonts w:hint="eastAsia" w:ascii="宋体" w:hAnsi="宋体"/>
                <w:kern w:val="10"/>
                <w:szCs w:val="21"/>
              </w:rPr>
              <w:t>；富营养化</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；水位（水深）</w:t>
            </w:r>
            <w:r>
              <w:rPr>
                <w:rFonts w:ascii="宋体" w:hAnsi="宋体" w:cs="Arial"/>
                <w:kern w:val="10"/>
                <w:szCs w:val="21"/>
              </w:rPr>
              <w:t>□</w:t>
            </w:r>
            <w:r>
              <w:rPr>
                <w:rFonts w:hint="eastAsia" w:ascii="宋体" w:hAnsi="宋体"/>
                <w:kern w:val="10"/>
                <w:szCs w:val="21"/>
              </w:rPr>
              <w:t>；流速</w:t>
            </w:r>
            <w:r>
              <w:rPr>
                <w:rFonts w:ascii="宋体" w:hAnsi="宋体" w:cs="Arial"/>
                <w:kern w:val="10"/>
                <w:szCs w:val="21"/>
              </w:rPr>
              <w:t>□</w:t>
            </w:r>
            <w:r>
              <w:rPr>
                <w:rFonts w:hint="eastAsia" w:ascii="宋体" w:hAnsi="宋体"/>
                <w:kern w:val="10"/>
                <w:szCs w:val="21"/>
              </w:rPr>
              <w:t>；流量</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评价等级</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Segoe UI Symbol" w:hAnsi="Segoe UI Symbol" w:cs="Segoe UI Symbol"/>
                <w:kern w:val="10"/>
                <w:szCs w:val="21"/>
              </w:rPr>
              <w:t>☑</w:t>
            </w:r>
            <w:r>
              <w:rPr>
                <w:rFonts w:hint="eastAsia" w:ascii="宋体" w:hAnsi="宋体"/>
                <w:kern w:val="10"/>
                <w:szCs w:val="21"/>
              </w:rPr>
              <w:t>；三级</w:t>
            </w:r>
            <w:r>
              <w:rPr>
                <w:rFonts w:ascii="宋体" w:hAnsi="宋体"/>
                <w:kern w:val="10"/>
                <w:szCs w:val="21"/>
              </w:rPr>
              <w:t>A</w:t>
            </w:r>
            <w:r>
              <w:rPr>
                <w:rFonts w:ascii="宋体" w:hAnsi="宋体" w:cs="Arial"/>
                <w:kern w:val="10"/>
                <w:szCs w:val="21"/>
              </w:rPr>
              <w:t>□</w:t>
            </w:r>
            <w:r>
              <w:rPr>
                <w:rFonts w:hint="eastAsia" w:ascii="宋体" w:hAnsi="宋体"/>
                <w:kern w:val="10"/>
                <w:szCs w:val="21"/>
              </w:rPr>
              <w:t>；三级</w:t>
            </w:r>
            <w:r>
              <w:rPr>
                <w:rFonts w:ascii="宋体" w:hAnsi="宋体"/>
                <w:kern w:val="10"/>
                <w:szCs w:val="21"/>
              </w:rPr>
              <w:t>B</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宋体" w:hAnsi="宋体" w:cs="Arial"/>
                <w:kern w:val="10"/>
                <w:szCs w:val="21"/>
              </w:rPr>
              <w:t>□</w:t>
            </w:r>
            <w:r>
              <w:rPr>
                <w:rFonts w:hint="eastAsia" w:ascii="宋体" w:hAnsi="宋体"/>
                <w:kern w:val="10"/>
                <w:szCs w:val="21"/>
              </w:rPr>
              <w:t>；三级</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r>
              <w:rPr>
                <w:rFonts w:hint="eastAsia" w:ascii="宋体" w:hAnsi="宋体"/>
                <w:kern w:val="10"/>
                <w:szCs w:val="21"/>
              </w:rPr>
              <w:t>现状调查</w:t>
            </w: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区域污染源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调查项目</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已建</w:t>
            </w:r>
            <w:r>
              <w:rPr>
                <w:rFonts w:ascii="宋体" w:hAnsi="宋体" w:cs="Arial"/>
                <w:kern w:val="10"/>
                <w:szCs w:val="21"/>
              </w:rPr>
              <w:t>□</w:t>
            </w:r>
            <w:r>
              <w:rPr>
                <w:rFonts w:hint="eastAsia" w:ascii="宋体" w:hAnsi="宋体"/>
                <w:kern w:val="10"/>
                <w:szCs w:val="21"/>
              </w:rPr>
              <w:t>；在建</w:t>
            </w:r>
            <w:r>
              <w:rPr>
                <w:rFonts w:ascii="宋体" w:hAnsi="宋体" w:cs="Arial"/>
                <w:kern w:val="10"/>
                <w:szCs w:val="21"/>
              </w:rPr>
              <w:t>□</w:t>
            </w:r>
            <w:r>
              <w:rPr>
                <w:rFonts w:hint="eastAsia" w:ascii="宋体" w:hAnsi="宋体"/>
                <w:kern w:val="10"/>
                <w:szCs w:val="21"/>
              </w:rPr>
              <w:t>；拟建</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801"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拟替代的污染源</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排污许可证</w:t>
            </w:r>
            <w:r>
              <w:rPr>
                <w:rFonts w:ascii="宋体" w:hAnsi="宋体" w:cs="Arial"/>
                <w:kern w:val="10"/>
                <w:szCs w:val="21"/>
              </w:rPr>
              <w:t>□</w:t>
            </w:r>
            <w:r>
              <w:rPr>
                <w:rFonts w:hint="eastAsia" w:ascii="宋体" w:hAnsi="宋体"/>
                <w:kern w:val="10"/>
                <w:szCs w:val="21"/>
              </w:rPr>
              <w:t>；环评</w:t>
            </w:r>
            <w:r>
              <w:rPr>
                <w:rFonts w:ascii="宋体" w:hAnsi="宋体" w:cs="Arial"/>
                <w:kern w:val="10"/>
                <w:szCs w:val="21"/>
              </w:rPr>
              <w:t>□</w:t>
            </w:r>
            <w:r>
              <w:rPr>
                <w:rFonts w:hint="eastAsia" w:ascii="宋体" w:hAnsi="宋体"/>
                <w:kern w:val="10"/>
                <w:szCs w:val="21"/>
              </w:rPr>
              <w:t>；环保验收</w:t>
            </w:r>
            <w:r>
              <w:rPr>
                <w:rFonts w:ascii="宋体" w:hAnsi="宋体" w:cs="Arial"/>
                <w:kern w:val="10"/>
                <w:szCs w:val="21"/>
              </w:rPr>
              <w:t>□</w:t>
            </w:r>
            <w:r>
              <w:rPr>
                <w:rFonts w:hint="eastAsia" w:ascii="宋体" w:hAnsi="宋体"/>
                <w:kern w:val="10"/>
                <w:szCs w:val="21"/>
              </w:rPr>
              <w:t>；既有实测</w:t>
            </w:r>
            <w:r>
              <w:rPr>
                <w:rFonts w:ascii="宋体" w:hAnsi="宋体" w:cs="Arial"/>
                <w:kern w:val="10"/>
                <w:szCs w:val="21"/>
              </w:rPr>
              <w:t>□</w:t>
            </w:r>
            <w:r>
              <w:rPr>
                <w:rFonts w:hint="eastAsia" w:ascii="宋体" w:hAnsi="宋体"/>
                <w:kern w:val="10"/>
                <w:szCs w:val="21"/>
              </w:rPr>
              <w:t>；现场监测</w:t>
            </w:r>
            <w:r>
              <w:rPr>
                <w:rFonts w:ascii="宋体" w:hAnsi="宋体" w:cs="Arial"/>
                <w:kern w:val="10"/>
                <w:szCs w:val="21"/>
              </w:rPr>
              <w:t>□</w:t>
            </w:r>
            <w:r>
              <w:rPr>
                <w:rFonts w:hint="eastAsia" w:ascii="宋体" w:hAnsi="宋体"/>
                <w:kern w:val="10"/>
                <w:szCs w:val="21"/>
              </w:rPr>
              <w:t>；入河排放口数据</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受影响水体水环境质量</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生态环境保护主管部门</w:t>
            </w:r>
            <w:r>
              <w:rPr>
                <w:rFonts w:ascii="宋体" w:hAnsi="宋体" w:cs="Arial"/>
                <w:kern w:val="10"/>
                <w:szCs w:val="21"/>
              </w:rPr>
              <w:t>□</w:t>
            </w:r>
            <w:r>
              <w:rPr>
                <w:rFonts w:hint="eastAsia" w:ascii="宋体" w:hAnsi="宋体"/>
                <w:kern w:val="10"/>
                <w:szCs w:val="21"/>
              </w:rPr>
              <w:t>；补充监测</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区域水资源开发利用状况</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未开发</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以下</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以上</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水文情势调查</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水行政主管部门</w:t>
            </w:r>
            <w:r>
              <w:rPr>
                <w:rFonts w:ascii="宋体" w:hAnsi="宋体" w:cs="Arial"/>
                <w:kern w:val="10"/>
                <w:szCs w:val="21"/>
              </w:rPr>
              <w:t>□</w:t>
            </w:r>
            <w:r>
              <w:rPr>
                <w:rFonts w:hint="eastAsia" w:ascii="宋体" w:hAnsi="宋体"/>
                <w:kern w:val="10"/>
                <w:szCs w:val="21"/>
              </w:rPr>
              <w:t>；补充监测</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补充监测</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监测时期</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监测因子</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Segoe UI Symbol" w:hAnsi="Segoe UI Symbol" w:cs="Segoe UI Symbo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监测断面或点位个数</w:t>
            </w:r>
          </w:p>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3</w:t>
            </w:r>
            <w:r>
              <w:rPr>
                <w:rFonts w:hint="eastAsia" w:ascii="宋体" w:hAnsi="宋体"/>
                <w:kern w:val="10"/>
                <w:szCs w:val="21"/>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现状评价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评价标准</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河流、湖库、河口：Ⅰ类</w:t>
            </w:r>
            <w:r>
              <w:rPr>
                <w:rFonts w:ascii="宋体" w:hAnsi="宋体" w:cs="Arial"/>
                <w:kern w:val="10"/>
                <w:szCs w:val="21"/>
              </w:rPr>
              <w:t>□</w:t>
            </w:r>
            <w:r>
              <w:rPr>
                <w:rFonts w:hint="eastAsia" w:ascii="宋体" w:hAnsi="宋体"/>
                <w:kern w:val="10"/>
                <w:szCs w:val="21"/>
              </w:rPr>
              <w:t>；Ⅱ类</w:t>
            </w:r>
            <w:r>
              <w:rPr>
                <w:rFonts w:ascii="宋体" w:hAnsi="宋体" w:cs="Arial"/>
                <w:kern w:val="10"/>
                <w:szCs w:val="21"/>
              </w:rPr>
              <w:t>□</w:t>
            </w:r>
            <w:r>
              <w:rPr>
                <w:rFonts w:hint="eastAsia" w:ascii="宋体" w:hAnsi="宋体"/>
                <w:kern w:val="10"/>
                <w:szCs w:val="21"/>
              </w:rPr>
              <w:t>；Ⅲ类</w:t>
            </w:r>
            <w:r>
              <w:rPr>
                <w:rFonts w:ascii="宋体" w:hAnsi="宋体" w:cs="Arial"/>
                <w:kern w:val="10"/>
                <w:szCs w:val="21"/>
              </w:rPr>
              <w:t>□</w:t>
            </w:r>
            <w:r>
              <w:rPr>
                <w:rFonts w:hint="eastAsia" w:ascii="宋体" w:hAnsi="宋体"/>
                <w:kern w:val="10"/>
                <w:szCs w:val="21"/>
              </w:rPr>
              <w:t>；Ⅳ类</w:t>
            </w:r>
            <w:r>
              <w:rPr>
                <w:rFonts w:ascii="Segoe UI Symbol" w:hAnsi="Segoe UI Symbol" w:cs="Segoe UI Symbol"/>
                <w:kern w:val="10"/>
                <w:szCs w:val="21"/>
              </w:rPr>
              <w:t>☑</w:t>
            </w:r>
            <w:r>
              <w:rPr>
                <w:rFonts w:hint="eastAsia" w:ascii="宋体" w:hAnsi="宋体"/>
                <w:kern w:val="10"/>
                <w:szCs w:val="21"/>
              </w:rPr>
              <w:t>；Ⅴ类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近岸海域：第一类</w:t>
            </w:r>
            <w:r>
              <w:rPr>
                <w:rFonts w:ascii="宋体" w:hAnsi="宋体" w:cs="Arial"/>
                <w:kern w:val="10"/>
                <w:szCs w:val="21"/>
              </w:rPr>
              <w:t>□</w:t>
            </w:r>
            <w:r>
              <w:rPr>
                <w:rFonts w:hint="eastAsia" w:ascii="宋体" w:hAnsi="宋体"/>
                <w:kern w:val="10"/>
                <w:szCs w:val="21"/>
              </w:rPr>
              <w:t>；第二类</w:t>
            </w:r>
            <w:r>
              <w:rPr>
                <w:rFonts w:ascii="宋体" w:hAnsi="宋体" w:cs="Arial"/>
                <w:kern w:val="10"/>
                <w:szCs w:val="21"/>
              </w:rPr>
              <w:t>□</w:t>
            </w:r>
            <w:r>
              <w:rPr>
                <w:rFonts w:hint="eastAsia" w:ascii="宋体" w:hAnsi="宋体"/>
                <w:kern w:val="10"/>
                <w:szCs w:val="21"/>
              </w:rPr>
              <w:t>；第三类</w:t>
            </w:r>
            <w:r>
              <w:rPr>
                <w:rFonts w:ascii="宋体" w:hAnsi="宋体" w:cs="Arial"/>
                <w:kern w:val="10"/>
                <w:szCs w:val="21"/>
              </w:rPr>
              <w:t>□</w:t>
            </w:r>
            <w:r>
              <w:rPr>
                <w:rFonts w:hint="eastAsia" w:ascii="宋体" w:hAnsi="宋体"/>
                <w:kern w:val="10"/>
                <w:szCs w:val="21"/>
              </w:rPr>
              <w:t>；第四类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规划年评价标准（Ⅲ类）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277" w:type="pct"/>
            <w:gridSpan w:val="10"/>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水环境功能区或水功能区、近岸海域环境功能区水质达标状况：达标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水环境保护目标质量状况：达标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对照断面、控制断面等代表性断面的水质状况：达标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底泥污染评价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水资源与开发利用程度及其水文情势评价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水环境质量回顾评价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流域（区域）水资源（包括水能资源）与开发利用总体状况、生态流量管理要求与现状满足程度、建设项目占用水域空间的水流状况与河湖演变状况</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依托污水处理设施稳定达标排放评价</w:t>
            </w:r>
            <w:r>
              <w:rPr>
                <w:rFonts w:ascii="宋体" w:hAnsi="宋体" w:cs="Arial"/>
                <w:kern w:val="10"/>
                <w:szCs w:val="21"/>
              </w:rPr>
              <w:t>□</w:t>
            </w:r>
          </w:p>
        </w:tc>
        <w:tc>
          <w:tcPr>
            <w:tcW w:w="712" w:type="pct"/>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达标区</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不达标区</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影响预测</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w:t>
            </w:r>
            <w:r>
              <w:rPr>
                <w:rFonts w:ascii="宋体" w:hAnsi="宋体"/>
                <w:kern w:val="1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COD</w:t>
            </w:r>
            <w:r>
              <w:rPr>
                <w:rFonts w:hint="eastAsia" w:ascii="宋体" w:hAnsi="宋体"/>
                <w:kern w:val="10"/>
                <w:szCs w:val="21"/>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设计水文条件</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预测背景</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建设期</w:t>
            </w:r>
            <w:r>
              <w:rPr>
                <w:rFonts w:ascii="宋体" w:hAnsi="宋体" w:cs="Arial"/>
                <w:kern w:val="10"/>
                <w:szCs w:val="21"/>
              </w:rPr>
              <w:t>□</w:t>
            </w:r>
            <w:r>
              <w:rPr>
                <w:rFonts w:hint="eastAsia" w:ascii="宋体" w:hAnsi="宋体"/>
                <w:kern w:val="10"/>
                <w:szCs w:val="21"/>
              </w:rPr>
              <w:t>；生产运行期</w:t>
            </w:r>
            <w:r>
              <w:rPr>
                <w:rFonts w:ascii="Segoe UI Symbol" w:hAnsi="Segoe UI Symbol" w:cs="Segoe UI Symbol"/>
                <w:kern w:val="10"/>
                <w:szCs w:val="21"/>
              </w:rPr>
              <w:t>☑</w:t>
            </w:r>
            <w:r>
              <w:rPr>
                <w:rFonts w:hint="eastAsia" w:ascii="宋体" w:hAnsi="宋体"/>
                <w:kern w:val="10"/>
                <w:szCs w:val="21"/>
              </w:rPr>
              <w:t>；服务期满后</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正常工况</w:t>
            </w:r>
            <w:r>
              <w:rPr>
                <w:rFonts w:ascii="Segoe UI Symbol" w:hAnsi="Segoe UI Symbol" w:cs="Segoe UI Symbol"/>
                <w:kern w:val="10"/>
                <w:szCs w:val="21"/>
              </w:rPr>
              <w:t>☑</w:t>
            </w:r>
            <w:r>
              <w:rPr>
                <w:rFonts w:hint="eastAsia" w:ascii="宋体" w:hAnsi="宋体"/>
                <w:kern w:val="10"/>
                <w:szCs w:val="21"/>
              </w:rPr>
              <w:t>；非正常工况</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污染控制和减缓措施方案</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区（流）域环境质量改善目标要求情景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预测方法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数值解</w:t>
            </w:r>
            <w:r>
              <w:rPr>
                <w:rFonts w:ascii="宋体" w:hAnsi="宋体" w:cs="Arial"/>
                <w:kern w:val="10"/>
                <w:szCs w:val="21"/>
              </w:rPr>
              <w:t>□</w:t>
            </w:r>
            <w:r>
              <w:rPr>
                <w:rFonts w:hint="eastAsia" w:ascii="宋体" w:hAnsi="宋体"/>
                <w:kern w:val="10"/>
                <w:szCs w:val="21"/>
              </w:rPr>
              <w:t>：解析解</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导则推荐模式</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水污染控制和水环境影响减缓措施有效性评价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区（流）域水环境质量改善目标</w:t>
            </w:r>
            <w:r>
              <w:rPr>
                <w:rFonts w:ascii="宋体" w:hAnsi="宋体" w:cs="Arial"/>
                <w:kern w:val="10"/>
                <w:szCs w:val="21"/>
              </w:rPr>
              <w:t>□</w:t>
            </w:r>
            <w:r>
              <w:rPr>
                <w:rFonts w:hint="eastAsia" w:ascii="宋体" w:hAnsi="宋体"/>
                <w:kern w:val="10"/>
                <w:szCs w:val="21"/>
              </w:rPr>
              <w:t>；替代削减源</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水环境影响评价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排放口混合区外满足水环境管理要求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水环境功能区或水功能区、近岸海域环境功能区水质达标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满足水环境保护目标水域水环境质量要求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满足重点水污染物排放总量控制指标要求，重点行业建设项目，主要污染物排放满足等量或减量替代要求</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满足区（流）域水环境质量改善目标要求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水文要素影响型建设项目同时应包括水文情势变化评价、主要水文特征值影响评价、生态流量符合性评价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对于新设或调整入河（湖库、近岸海域）排放口的建设项目，应包括排放口设置的环境合理性评价</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满足生态保护红线、水环境质量底线、资源利用上线和环境准入清单管理要求</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污染物排放量核算</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COD</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14.6</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0.73</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替代源排放情况</w:t>
            </w: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污染源名称</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排污许可证编号</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生态流量确定</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生态流量：一般水期（）</w:t>
            </w:r>
            <w:r>
              <w:rPr>
                <w:rFonts w:ascii="宋体" w:hAnsi="宋体"/>
                <w:kern w:val="10"/>
                <w:szCs w:val="21"/>
              </w:rPr>
              <w:t>m3/s</w:t>
            </w:r>
            <w:r>
              <w:rPr>
                <w:rFonts w:hint="eastAsia" w:ascii="宋体" w:hAnsi="宋体"/>
                <w:kern w:val="10"/>
                <w:szCs w:val="21"/>
              </w:rPr>
              <w:t>；鱼类繁殖期（）</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r>
              <w:rPr>
                <w:rFonts w:hint="eastAsia" w:ascii="宋体" w:hAnsi="宋体"/>
                <w:kern w:val="10"/>
                <w:szCs w:val="21"/>
              </w:rPr>
              <w:t>；其他（）</w:t>
            </w:r>
            <w:r>
              <w:rPr>
                <w:rFonts w:ascii="宋体" w:hAnsi="宋体"/>
                <w:kern w:val="10"/>
                <w:szCs w:val="21"/>
              </w:rPr>
              <w:t>m3/s</w:t>
            </w:r>
          </w:p>
          <w:p>
            <w:pPr>
              <w:spacing w:line="360" w:lineRule="exact"/>
              <w:rPr>
                <w:rFonts w:ascii="宋体" w:hAnsi="宋体"/>
                <w:kern w:val="10"/>
                <w:szCs w:val="21"/>
              </w:rPr>
            </w:pPr>
            <w:r>
              <w:rPr>
                <w:rFonts w:hint="eastAsia" w:ascii="宋体" w:hAnsi="宋体"/>
                <w:kern w:val="10"/>
                <w:szCs w:val="21"/>
              </w:rPr>
              <w:t>生态水位：一般水期（）</w:t>
            </w:r>
            <w:r>
              <w:rPr>
                <w:rFonts w:ascii="宋体" w:hAnsi="宋体"/>
                <w:kern w:val="10"/>
                <w:szCs w:val="21"/>
              </w:rPr>
              <w:t>m</w:t>
            </w:r>
            <w:r>
              <w:rPr>
                <w:rFonts w:hint="eastAsia" w:ascii="宋体" w:hAnsi="宋体"/>
                <w:kern w:val="10"/>
                <w:szCs w:val="21"/>
              </w:rPr>
              <w:t>；鱼类繁殖期（）</w:t>
            </w:r>
            <w:r>
              <w:rPr>
                <w:rFonts w:ascii="宋体" w:hAnsi="宋体"/>
                <w:kern w:val="10"/>
                <w:szCs w:val="21"/>
              </w:rPr>
              <w:t>m</w:t>
            </w:r>
            <w:r>
              <w:rPr>
                <w:rFonts w:hint="eastAsia" w:ascii="宋体" w:hAnsi="宋体"/>
                <w:kern w:val="10"/>
                <w:szCs w:val="21"/>
              </w:rPr>
              <w:t>；其他（）</w:t>
            </w:r>
            <w:r>
              <w:rPr>
                <w:rFonts w:ascii="宋体" w:hAnsi="宋体"/>
                <w:kern w:val="10"/>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防治措施</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环保措施</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污水处理设施</w:t>
            </w:r>
            <w:r>
              <w:rPr>
                <w:rFonts w:ascii="Segoe UI Symbol" w:hAnsi="Segoe UI Symbol" w:cs="Segoe UI Symbol"/>
                <w:kern w:val="10"/>
                <w:szCs w:val="21"/>
              </w:rPr>
              <w:t>☑</w:t>
            </w:r>
            <w:r>
              <w:rPr>
                <w:rFonts w:hint="eastAsia" w:ascii="宋体" w:hAnsi="宋体"/>
                <w:kern w:val="10"/>
                <w:szCs w:val="21"/>
              </w:rPr>
              <w:t>；水文减缓设施</w:t>
            </w:r>
            <w:r>
              <w:rPr>
                <w:rFonts w:ascii="宋体" w:hAnsi="宋体" w:cs="Arial"/>
                <w:kern w:val="10"/>
                <w:szCs w:val="21"/>
              </w:rPr>
              <w:t>□</w:t>
            </w:r>
            <w:r>
              <w:rPr>
                <w:rFonts w:hint="eastAsia" w:ascii="宋体" w:hAnsi="宋体"/>
                <w:kern w:val="10"/>
                <w:szCs w:val="21"/>
              </w:rPr>
              <w:t>；生态流量保障设施</w:t>
            </w:r>
            <w:r>
              <w:rPr>
                <w:rFonts w:ascii="宋体" w:hAnsi="宋体" w:cs="Arial"/>
                <w:kern w:val="10"/>
                <w:szCs w:val="21"/>
              </w:rPr>
              <w:t>□</w:t>
            </w:r>
            <w:r>
              <w:rPr>
                <w:rFonts w:hint="eastAsia" w:ascii="宋体" w:hAnsi="宋体"/>
                <w:kern w:val="10"/>
                <w:szCs w:val="21"/>
              </w:rPr>
              <w:t>；区域削减</w:t>
            </w:r>
            <w:r>
              <w:rPr>
                <w:rFonts w:ascii="宋体" w:hAnsi="宋体" w:cs="Arial"/>
                <w:kern w:val="10"/>
                <w:szCs w:val="21"/>
              </w:rPr>
              <w:t>□</w:t>
            </w:r>
            <w:r>
              <w:rPr>
                <w:rFonts w:hint="eastAsia" w:ascii="宋体" w:hAnsi="宋体"/>
                <w:kern w:val="10"/>
                <w:szCs w:val="21"/>
              </w:rPr>
              <w:t>；依托其他工程措施</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监测计划</w:t>
            </w: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环境质量</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监测方式</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宋体" w:hAnsi="宋体" w:cs="Arial"/>
                <w:kern w:val="10"/>
                <w:szCs w:val="21"/>
              </w:rPr>
              <w:t>□</w:t>
            </w:r>
            <w:r>
              <w:rPr>
                <w:rFonts w:hint="eastAsia" w:ascii="宋体" w:hAnsi="宋体"/>
                <w:kern w:val="10"/>
                <w:szCs w:val="21"/>
              </w:rPr>
              <w:t>；无监测</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Segoe UI Symbol" w:hAnsi="Segoe UI Symbol" w:cs="Segoe UI Symbol"/>
                <w:kern w:val="10"/>
                <w:szCs w:val="21"/>
              </w:rPr>
              <w:t>☑</w:t>
            </w:r>
            <w:r>
              <w:rPr>
                <w:rFonts w:hint="eastAsia" w:ascii="宋体" w:hAnsi="宋体"/>
                <w:kern w:val="10"/>
                <w:szCs w:val="21"/>
              </w:rPr>
              <w:t>；无监测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监测点位</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（污水处理厂总排</w:t>
            </w:r>
            <w:r>
              <w:rPr>
                <w:rFonts w:ascii="Segoe UI Symbol" w:hAnsi="Segoe UI Symbol" w:cs="Segoe UI Symbol"/>
                <w:kern w:val="10"/>
                <w:szCs w:val="21"/>
              </w:rPr>
              <w:t>☑</w:t>
            </w:r>
            <w:r>
              <w:rPr>
                <w:rFonts w:hint="eastAsia" w:ascii="宋体" w:hAnsi="宋体"/>
                <w:kern w:val="10"/>
                <w:szCs w:val="21"/>
              </w:rPr>
              <w:t>（巴士计量槽））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监测因子</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（氨氮、</w:t>
            </w:r>
            <w:r>
              <w:rPr>
                <w:rFonts w:ascii="宋体" w:hAnsi="宋体"/>
                <w:kern w:val="10"/>
                <w:szCs w:val="21"/>
              </w:rPr>
              <w:t>CODcr</w:t>
            </w:r>
            <w:r>
              <w:rPr>
                <w:rFonts w:hint="eastAsia" w:ascii="宋体" w:hAnsi="宋体"/>
                <w:kern w:val="10"/>
                <w:szCs w:val="21"/>
              </w:rPr>
              <w:t>、总磷、总氮）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污染物排放清单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可以接受</w:t>
            </w:r>
            <w:r>
              <w:rPr>
                <w:rFonts w:ascii="Segoe UI Symbol" w:hAnsi="Segoe UI Symbol" w:cs="Segoe UI Symbol"/>
                <w:kern w:val="10"/>
                <w:szCs w:val="21"/>
              </w:rPr>
              <w:t>☑</w:t>
            </w:r>
            <w:r>
              <w:rPr>
                <w:rFonts w:hint="eastAsia" w:ascii="宋体" w:hAnsi="宋体"/>
                <w:kern w:val="10"/>
                <w:szCs w:val="21"/>
              </w:rPr>
              <w:t>；不可以接受</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tcBorders>
              <w:top w:val="single" w:color="auto" w:sz="4" w:space="0"/>
              <w:left w:val="single" w:color="auto" w:sz="12" w:space="0"/>
              <w:bottom w:val="single" w:color="auto" w:sz="12"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注：</w:t>
            </w:r>
            <w:r>
              <w:rPr>
                <w:rFonts w:ascii="宋体" w:hAnsi="宋体"/>
                <w:kern w:val="10"/>
                <w:szCs w:val="21"/>
              </w:rPr>
              <w:t>“</w:t>
            </w:r>
            <w:r>
              <w:rPr>
                <w:rFonts w:ascii="宋体" w:hAnsi="宋体" w:cs="Arial"/>
                <w:kern w:val="10"/>
                <w:szCs w:val="21"/>
              </w:rPr>
              <w:t>□</w:t>
            </w:r>
            <w:r>
              <w:rPr>
                <w:rFonts w:ascii="宋体" w:hAnsi="宋体" w:cs="Calibri"/>
                <w:kern w:val="10"/>
                <w:szCs w:val="21"/>
              </w:rPr>
              <w:t>”</w:t>
            </w:r>
            <w:r>
              <w:rPr>
                <w:rFonts w:hint="eastAsia" w:ascii="宋体" w:hAnsi="宋体"/>
                <w:kern w:val="10"/>
                <w:szCs w:val="21"/>
              </w:rPr>
              <w:t>为勾选项，可打</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为内容填写项；</w:t>
            </w:r>
            <w:r>
              <w:rPr>
                <w:rFonts w:ascii="宋体" w:hAnsi="宋体"/>
                <w:kern w:val="10"/>
                <w:szCs w:val="21"/>
              </w:rPr>
              <w:t>“</w:t>
            </w:r>
            <w:r>
              <w:rPr>
                <w:rFonts w:hint="eastAsia" w:ascii="宋体" w:hAnsi="宋体"/>
                <w:kern w:val="10"/>
                <w:szCs w:val="21"/>
              </w:rPr>
              <w:t>备注</w:t>
            </w:r>
            <w:r>
              <w:rPr>
                <w:rFonts w:ascii="宋体" w:hAnsi="宋体"/>
                <w:kern w:val="10"/>
                <w:szCs w:val="21"/>
              </w:rPr>
              <w:t>”</w:t>
            </w:r>
            <w:r>
              <w:rPr>
                <w:rFonts w:hint="eastAsia" w:ascii="宋体" w:hAnsi="宋体"/>
                <w:kern w:val="10"/>
                <w:szCs w:val="21"/>
              </w:rPr>
              <w:t>为其他补充内容。</w:t>
            </w:r>
          </w:p>
        </w:tc>
      </w:tr>
    </w:tbl>
    <w:p>
      <w:pPr>
        <w:rPr>
          <w:rFonts w:ascii="宋体" w:hAnsi="宋体"/>
          <w:kern w:val="10"/>
        </w:rPr>
      </w:pPr>
    </w:p>
    <w:p>
      <w:pPr>
        <w:rPr>
          <w:rFonts w:asciiTheme="minorEastAsia" w:hAnsiTheme="minorEastAsia" w:eastAsiaTheme="minorEastAsia"/>
          <w:color w:val="FF0000"/>
        </w:rPr>
      </w:pPr>
    </w:p>
    <w:p>
      <w:pPr>
        <w:rPr>
          <w:rFonts w:asciiTheme="minorEastAsia" w:hAnsiTheme="minorEastAsia" w:eastAsiaTheme="minorEastAsia"/>
          <w:color w:val="FF0000"/>
        </w:rPr>
      </w:pPr>
    </w:p>
    <w:p>
      <w:pPr>
        <w:rPr>
          <w:rFonts w:hint="eastAsia"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pPr>
      <w:r>
        <w:rPr>
          <w:rFonts w:asciiTheme="minorEastAsia" w:hAnsiTheme="minorEastAsia" w:eastAsiaTheme="minorEastAsia"/>
          <w:color w:val="FF0000"/>
        </w:rPr>
        <w:pict>
          <v:shape id="_x0000_i1028" o:spt="75" type="#_x0000_t75" style="height:640.55pt;width:454.35pt;" filled="f" o:preferrelative="t" stroked="f" coordsize="21600,21600">
            <v:path/>
            <v:fill on="f" focussize="0,0"/>
            <v:stroke on="f" joinstyle="miter"/>
            <v:imagedata r:id="rId37" o:title="02 附图 2.14_页面_2"/>
            <o:lock v:ext="edit" aspectratio="t"/>
            <w10:wrap type="none"/>
            <w10:anchorlock/>
          </v:shape>
        </w:pict>
      </w:r>
      <w:r>
        <w:rPr>
          <w:rFonts w:asciiTheme="minorEastAsia" w:hAnsiTheme="minorEastAsia" w:eastAsiaTheme="minorEastAsia"/>
          <w:color w:val="FF0000"/>
        </w:rPr>
        <w:pict>
          <v:shape id="_x0000_i1029" o:spt="75" type="#_x0000_t75" style="height:640.55pt;width:454.35pt;" filled="f" o:preferrelative="t" stroked="f" coordsize="21600,21600">
            <v:path/>
            <v:fill on="f" focussize="0,0"/>
            <v:stroke on="f" joinstyle="miter"/>
            <v:imagedata r:id="rId38" o:title="02 附图 2.14_页面_3"/>
            <o:lock v:ext="edit" aspectratio="t"/>
            <w10:wrap type="none"/>
            <w10:anchorlock/>
          </v:shape>
        </w:pict>
      </w:r>
      <w:r>
        <w:rPr>
          <w:rFonts w:asciiTheme="minorEastAsia" w:hAnsiTheme="minorEastAsia" w:eastAsiaTheme="minorEastAsia"/>
          <w:color w:val="FF0000"/>
        </w:rPr>
        <w:pict>
          <v:shape id="_x0000_i1030" o:spt="75" type="#_x0000_t75" style="height:640.55pt;width:454.35pt;" filled="f" o:preferrelative="t" stroked="f" coordsize="21600,21600">
            <v:path/>
            <v:fill on="f" focussize="0,0"/>
            <v:stroke on="f" joinstyle="miter"/>
            <v:imagedata r:id="rId39" o:title="02 附图 2.14_页面_4"/>
            <o:lock v:ext="edit" aspectratio="t"/>
            <w10:wrap type="none"/>
            <w10:anchorlock/>
          </v:shape>
        </w:pict>
      </w:r>
      <w:r>
        <w:rPr>
          <w:rFonts w:asciiTheme="minorEastAsia" w:hAnsiTheme="minorEastAsia" w:eastAsiaTheme="minorEastAsia"/>
          <w:color w:val="FF0000"/>
        </w:rPr>
        <w:pict>
          <v:shape id="_x0000_i1031" o:spt="75" type="#_x0000_t75" style="height:640.55pt;width:454.35pt;" filled="f" o:preferrelative="t" stroked="f" coordsize="21600,21600">
            <v:path/>
            <v:fill on="f" focussize="0,0"/>
            <v:stroke on="f" joinstyle="miter"/>
            <v:imagedata r:id="rId40" o:title="02 附图 2.14_页面_5"/>
            <o:lock v:ext="edit" aspectratio="t"/>
            <w10:wrap type="none"/>
            <w10:anchorlock/>
          </v:shape>
        </w:pict>
      </w:r>
      <w:r>
        <w:rPr>
          <w:rFonts w:asciiTheme="minorEastAsia" w:hAnsiTheme="minorEastAsia" w:eastAsiaTheme="minorEastAsia"/>
          <w:color w:val="FF0000"/>
        </w:rPr>
        <w:pict>
          <v:shape id="_x0000_i1032" o:spt="75" type="#_x0000_t75" style="height:640.55pt;width:454.35pt;" filled="f" o:preferrelative="t" stroked="f" coordsize="21600,21600">
            <v:path/>
            <v:fill on="f" focussize="0,0"/>
            <v:stroke on="f" joinstyle="miter"/>
            <v:imagedata r:id="rId41" o:title="02 附图 2.14_页面_6"/>
            <o:lock v:ext="edit" aspectratio="t"/>
            <w10:wrap type="none"/>
            <w10:anchorlock/>
          </v:shape>
        </w:pict>
      </w: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pP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sectPr>
          <w:footerReference r:id="rId12" w:type="default"/>
          <w:pgSz w:w="11906" w:h="16838"/>
          <w:pgMar w:top="1418" w:right="1418" w:bottom="1418" w:left="1418" w:header="851" w:footer="851" w:gutter="0"/>
          <w:cols w:space="720" w:num="1"/>
          <w:docGrid w:linePitch="312" w:charSpace="0"/>
        </w:sectPr>
      </w:pPr>
    </w:p>
    <w:p>
      <w:pPr>
        <w:pStyle w:val="24"/>
        <w:adjustRightInd w:val="0"/>
        <w:snapToGrid w:val="0"/>
        <w:spacing w:before="648" w:beforeLines="270" w:beforeAutospacing="0" w:after="648" w:afterLines="270" w:afterAutospacing="0"/>
        <w:jc w:val="center"/>
        <w:outlineLvl w:val="0"/>
        <w:rPr>
          <w:rFonts w:hint="default"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r>
        <w:rPr>
          <w:rFonts w:hint="default" w:asciiTheme="minorEastAsia" w:hAnsiTheme="minorEastAsia" w:eastAsiaTheme="minorEastAsia"/>
          <w:color w:val="FF0000"/>
        </w:rPr>
        <w:drawing>
          <wp:inline distT="0" distB="0" distL="114300" distR="114300">
            <wp:extent cx="5747385" cy="7647305"/>
            <wp:effectExtent l="0" t="0" r="18415" b="23495"/>
            <wp:docPr id="30" name="图片 30" descr="委托书-大禹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委托书-大禹乡"/>
                    <pic:cNvPicPr>
                      <a:picLocks noChangeAspect="1"/>
                    </pic:cNvPicPr>
                  </pic:nvPicPr>
                  <pic:blipFill>
                    <a:blip r:embed="rId42"/>
                    <a:stretch>
                      <a:fillRect/>
                    </a:stretch>
                  </pic:blipFill>
                  <pic:spPr>
                    <a:xfrm>
                      <a:off x="0" y="0"/>
                      <a:ext cx="5747385" cy="7647305"/>
                    </a:xfrm>
                    <a:prstGeom prst="rect">
                      <a:avLst/>
                    </a:prstGeom>
                  </pic:spPr>
                </pic:pic>
              </a:graphicData>
            </a:graphic>
          </wp:inline>
        </w:drawing>
      </w: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pPr>
      <w:r>
        <w:rPr>
          <w:rFonts w:asciiTheme="minorEastAsia" w:hAnsiTheme="minorEastAsia" w:eastAsiaTheme="minorEastAsia"/>
          <w:color w:val="FF0000"/>
        </w:rPr>
        <w:drawing>
          <wp:inline distT="0" distB="0" distL="114300" distR="114300">
            <wp:extent cx="6003925" cy="8465185"/>
            <wp:effectExtent l="0" t="0" r="15875" b="18415"/>
            <wp:docPr id="31" name="图片 33" descr="03 附件 2.14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3" descr="03 附件 2.14_页面_01"/>
                    <pic:cNvPicPr>
                      <a:picLocks noChangeAspect="1"/>
                    </pic:cNvPicPr>
                  </pic:nvPicPr>
                  <pic:blipFill>
                    <a:blip r:embed="rId43"/>
                    <a:stretch>
                      <a:fillRect/>
                    </a:stretch>
                  </pic:blipFill>
                  <pic:spPr>
                    <a:xfrm>
                      <a:off x="0" y="0"/>
                      <a:ext cx="6003925" cy="8465185"/>
                    </a:xfrm>
                    <a:prstGeom prst="rect">
                      <a:avLst/>
                    </a:prstGeom>
                    <a:noFill/>
                    <a:ln>
                      <a:noFill/>
                    </a:ln>
                  </pic:spPr>
                </pic:pic>
              </a:graphicData>
            </a:graphic>
          </wp:inline>
        </w:drawing>
      </w:r>
      <w:r>
        <w:rPr>
          <w:rFonts w:asciiTheme="minorEastAsia" w:hAnsiTheme="minorEastAsia" w:eastAsiaTheme="minorEastAsia"/>
          <w:color w:val="FF0000"/>
        </w:rPr>
        <w:pict>
          <v:shape id="_x0000_i1033" o:spt="75" alt="03 附件 2.14_页面_02" type="#_x0000_t75" style="height:659.55pt;width:467.8pt;" filled="f" o:preferrelative="t" stroked="f" coordsize="21600,21600">
            <v:path/>
            <v:fill on="f" focussize="0,0"/>
            <v:stroke on="f"/>
            <v:imagedata r:id="rId44" o:title="03 附件 2.14_页面_02"/>
            <o:lock v:ext="edit" aspectratio="t"/>
            <w10:wrap type="none"/>
            <w10:anchorlock/>
          </v:shape>
        </w:pict>
      </w:r>
      <w:r>
        <w:rPr>
          <w:rFonts w:asciiTheme="minorEastAsia" w:hAnsiTheme="minorEastAsia" w:eastAsiaTheme="minorEastAsia"/>
          <w:color w:val="FF0000"/>
        </w:rPr>
        <w:pict>
          <v:shape id="_x0000_i1034" o:spt="75" type="#_x0000_t75" style="height:640.55pt;width:451.85pt;" filled="f" o:preferrelative="t" stroked="f" coordsize="21600,21600">
            <v:path/>
            <v:fill on="f" focussize="0,0"/>
            <v:stroke on="f" joinstyle="miter"/>
            <v:imagedata r:id="rId45" o:title="03 附件 2.14_页面_03"/>
            <o:lock v:ext="edit" aspectratio="t"/>
            <w10:wrap type="none"/>
            <w10:anchorlock/>
          </v:shape>
        </w:pict>
      </w:r>
      <w:r>
        <w:rPr>
          <w:rFonts w:asciiTheme="minorEastAsia" w:hAnsiTheme="minorEastAsia" w:eastAsiaTheme="minorEastAsia"/>
          <w:color w:val="FF0000"/>
        </w:rPr>
        <w:pict>
          <v:shape id="_x0000_i1035" o:spt="75" type="#_x0000_t75" style="height:640.55pt;width:454.35pt;" filled="f" o:preferrelative="t" stroked="f" coordsize="21600,21600">
            <v:path/>
            <v:fill on="f" focussize="0,0"/>
            <v:stroke on="f" joinstyle="miter"/>
            <v:imagedata r:id="rId46" o:title="03 附件 2.14_页面_04"/>
            <o:lock v:ext="edit" aspectratio="t"/>
            <w10:wrap type="none"/>
            <w10:anchorlock/>
          </v:shape>
        </w:pict>
      </w:r>
      <w:r>
        <w:rPr>
          <w:rFonts w:asciiTheme="minorEastAsia" w:hAnsiTheme="minorEastAsia" w:eastAsiaTheme="minorEastAsia"/>
          <w:color w:val="FF0000"/>
        </w:rPr>
        <w:pict>
          <v:shape id="_x0000_i1036" o:spt="75" type="#_x0000_t75" style="height:640.55pt;width:451.85pt;" filled="f" o:preferrelative="t" stroked="f" coordsize="21600,21600">
            <v:path/>
            <v:fill on="f" focussize="0,0"/>
            <v:stroke on="f" joinstyle="miter"/>
            <v:imagedata r:id="rId47" o:title="03 附件 2.14_页面_05"/>
            <o:lock v:ext="edit" aspectratio="t"/>
            <w10:wrap type="none"/>
            <w10:anchorlock/>
          </v:shape>
        </w:pict>
      </w:r>
      <w:r>
        <w:rPr>
          <w:rFonts w:asciiTheme="minorEastAsia" w:hAnsiTheme="minorEastAsia" w:eastAsiaTheme="minorEastAsia"/>
          <w:color w:val="FF0000"/>
        </w:rPr>
        <w:pict>
          <v:shape id="_x0000_i1037" o:spt="75" type="#_x0000_t75" style="height:640.55pt;width:451.85pt;" filled="f" o:preferrelative="t" stroked="f" coordsize="21600,21600">
            <v:path/>
            <v:fill on="f" focussize="0,0"/>
            <v:stroke on="f" joinstyle="miter"/>
            <v:imagedata r:id="rId48" o:title="03 附件 2.14_页面_06"/>
            <o:lock v:ext="edit" aspectratio="t"/>
            <w10:wrap type="none"/>
            <w10:anchorlock/>
          </v:shape>
        </w:pict>
      </w:r>
      <w:r>
        <w:rPr>
          <w:rFonts w:asciiTheme="minorEastAsia" w:hAnsiTheme="minorEastAsia" w:eastAsiaTheme="minorEastAsia"/>
          <w:color w:val="FF0000"/>
        </w:rPr>
        <w:pict>
          <v:shape id="_x0000_i1038" o:spt="75" type="#_x0000_t75" style="height:640.55pt;width:454.35pt;" filled="f" o:preferrelative="t" stroked="f" coordsize="21600,21600">
            <v:path/>
            <v:fill on="f" focussize="0,0"/>
            <v:stroke on="f" joinstyle="miter"/>
            <v:imagedata r:id="rId49" o:title="03 附件 2.14_页面_07"/>
            <o:lock v:ext="edit" aspectratio="t"/>
            <w10:wrap type="none"/>
            <w10:anchorlock/>
          </v:shape>
        </w:pict>
      </w:r>
      <w:r>
        <w:rPr>
          <w:rFonts w:asciiTheme="minorEastAsia" w:hAnsiTheme="minorEastAsia" w:eastAsiaTheme="minorEastAsia"/>
          <w:color w:val="FF0000"/>
        </w:rPr>
        <w:pict>
          <v:shape id="_x0000_i1039" o:spt="75" type="#_x0000_t75" style="height:640.55pt;width:451.85pt;" filled="f" o:preferrelative="t" stroked="f" coordsize="21600,21600">
            <v:path/>
            <v:fill on="f" focussize="0,0"/>
            <v:stroke on="f" joinstyle="miter"/>
            <v:imagedata r:id="rId50" o:title="03 附件 2.14_页面_08"/>
            <o:lock v:ext="edit" aspectratio="t"/>
            <w10:wrap type="none"/>
            <w10:anchorlock/>
          </v:shape>
        </w:pict>
      </w:r>
      <w:r>
        <w:rPr>
          <w:rFonts w:asciiTheme="minorEastAsia" w:hAnsiTheme="minorEastAsia" w:eastAsiaTheme="minorEastAsia"/>
          <w:color w:val="FF0000"/>
        </w:rPr>
        <w:pict>
          <v:shape id="_x0000_i1040" o:spt="75" type="#_x0000_t75" style="height:640.55pt;width:451.85pt;" filled="f" o:preferrelative="t" stroked="f" coordsize="21600,21600">
            <v:path/>
            <v:fill on="f" focussize="0,0"/>
            <v:stroke on="f" joinstyle="miter"/>
            <v:imagedata r:id="rId51" o:title="03 附件 2.14_页面_09"/>
            <o:lock v:ext="edit" aspectratio="t"/>
            <w10:wrap type="none"/>
            <w10:anchorlock/>
          </v:shape>
        </w:pict>
      </w:r>
      <w:r>
        <w:rPr>
          <w:rFonts w:asciiTheme="minorEastAsia" w:hAnsiTheme="minorEastAsia" w:eastAsiaTheme="minorEastAsia"/>
          <w:color w:val="FF0000"/>
        </w:rPr>
        <w:pict>
          <v:shape id="_x0000_i1041" o:spt="75" type="#_x0000_t75" style="height:640.55pt;width:451.85pt;" filled="f" o:preferrelative="t" stroked="f" coordsize="21600,21600">
            <v:path/>
            <v:fill on="f" focussize="0,0"/>
            <v:stroke on="f" joinstyle="miter"/>
            <v:imagedata r:id="rId52" o:title="03 附件 2.14_页面_10"/>
            <o:lock v:ext="edit" aspectratio="t"/>
            <w10:wrap type="none"/>
            <w10:anchorlock/>
          </v:shape>
        </w:pict>
      </w:r>
      <w:r>
        <w:rPr>
          <w:rFonts w:asciiTheme="minorEastAsia" w:hAnsiTheme="minorEastAsia" w:eastAsiaTheme="minorEastAsia"/>
          <w:color w:val="FF0000"/>
        </w:rPr>
        <w:pict>
          <v:shape id="_x0000_i1042" o:spt="75" type="#_x0000_t75" style="height:640.55pt;width:451.85pt;" filled="f" o:preferrelative="t" stroked="f" coordsize="21600,21600">
            <v:path/>
            <v:fill on="f" focussize="0,0"/>
            <v:stroke on="f" joinstyle="miter"/>
            <v:imagedata r:id="rId53" o:title="03 附件 2.14_页面_11"/>
            <o:lock v:ext="edit" aspectratio="t"/>
            <w10:wrap type="none"/>
            <w10:anchorlock/>
          </v:shape>
        </w:pict>
      </w:r>
      <w:r>
        <w:rPr>
          <w:rFonts w:asciiTheme="minorEastAsia" w:hAnsiTheme="minorEastAsia" w:eastAsiaTheme="minorEastAsia"/>
          <w:color w:val="FF0000"/>
        </w:rPr>
        <w:pict>
          <v:shape id="_x0000_i1043" o:spt="75" type="#_x0000_t75" style="height:640.55pt;width:451.85pt;" filled="f" o:preferrelative="t" stroked="f" coordsize="21600,21600">
            <v:path/>
            <v:fill on="f" focussize="0,0"/>
            <v:stroke on="f" joinstyle="miter"/>
            <v:imagedata r:id="rId54" o:title="03 附件 2.14_页面_12"/>
            <o:lock v:ext="edit" aspectratio="t"/>
            <w10:wrap type="none"/>
            <w10:anchorlock/>
          </v:shape>
        </w:pict>
      </w:r>
      <w:r>
        <w:rPr>
          <w:rFonts w:asciiTheme="minorEastAsia" w:hAnsiTheme="minorEastAsia" w:eastAsiaTheme="minorEastAsia"/>
          <w:color w:val="FF0000"/>
        </w:rPr>
        <w:pict>
          <v:shape id="_x0000_i1044" o:spt="75" type="#_x0000_t75" style="height:640.55pt;width:451.85pt;" filled="f" o:preferrelative="t" stroked="f" coordsize="21600,21600">
            <v:path/>
            <v:fill on="f" focussize="0,0"/>
            <v:stroke on="f" joinstyle="miter"/>
            <v:imagedata r:id="rId55" o:title="03 附件 2.14_页面_13"/>
            <o:lock v:ext="edit" aspectratio="t"/>
            <w10:wrap type="none"/>
            <w10:anchorlock/>
          </v:shape>
        </w:pict>
      </w:r>
      <w:r>
        <w:rPr>
          <w:rFonts w:asciiTheme="minorEastAsia" w:hAnsiTheme="minorEastAsia" w:eastAsiaTheme="minorEastAsia"/>
          <w:color w:val="FF0000"/>
        </w:rPr>
        <w:pict>
          <v:shape id="_x0000_i1045" o:spt="75" type="#_x0000_t75" style="height:640.55pt;width:451.85pt;" filled="f" o:preferrelative="t" stroked="f" coordsize="21600,21600">
            <v:path/>
            <v:fill on="f" focussize="0,0"/>
            <v:stroke on="f" joinstyle="miter"/>
            <v:imagedata r:id="rId56" o:title="03 附件 2.14_页面_14"/>
            <o:lock v:ext="edit" aspectratio="t"/>
            <w10:wrap type="none"/>
            <w10:anchorlock/>
          </v:shape>
        </w:pict>
      </w:r>
      <w:r>
        <w:rPr>
          <w:rFonts w:asciiTheme="minorEastAsia" w:hAnsiTheme="minorEastAsia" w:eastAsiaTheme="minorEastAsia"/>
          <w:color w:val="FF0000"/>
        </w:rPr>
        <w:pict>
          <v:shape id="_x0000_i1046" o:spt="75" type="#_x0000_t75" style="height:640.55pt;width:451.85pt;" filled="f" o:preferrelative="t" stroked="f" coordsize="21600,21600">
            <v:path/>
            <v:fill on="f" focussize="0,0"/>
            <v:stroke on="f" joinstyle="miter"/>
            <v:imagedata r:id="rId57" o:title="03 附件 2.14_页面_15"/>
            <o:lock v:ext="edit" aspectratio="t"/>
            <w10:wrap type="none"/>
            <w10:anchorlock/>
          </v:shape>
        </w:pict>
      </w:r>
      <w:r>
        <w:rPr>
          <w:rFonts w:asciiTheme="minorEastAsia" w:hAnsiTheme="minorEastAsia" w:eastAsiaTheme="minorEastAsia"/>
          <w:color w:val="FF0000"/>
        </w:rPr>
        <w:pict>
          <v:shape id="_x0000_i1047" o:spt="75" type="#_x0000_t75" style="height:640.55pt;width:451.85pt;" filled="f" o:preferrelative="t" stroked="f" coordsize="21600,21600">
            <v:path/>
            <v:fill on="f" focussize="0,0"/>
            <v:stroke on="f" joinstyle="miter"/>
            <v:imagedata r:id="rId58" o:title="03 附件 2.14_页面_16"/>
            <o:lock v:ext="edit" aspectratio="t"/>
            <w10:wrap type="none"/>
            <w10:anchorlock/>
          </v:shape>
        </w:pict>
      </w:r>
      <w:r>
        <w:rPr>
          <w:rFonts w:asciiTheme="minorEastAsia" w:hAnsiTheme="minorEastAsia" w:eastAsiaTheme="minorEastAsia"/>
          <w:color w:val="FF0000"/>
        </w:rPr>
        <w:pict>
          <v:shape id="_x0000_i1048" o:spt="75" type="#_x0000_t75" style="height:640.55pt;width:451.85pt;" filled="f" o:preferrelative="t" stroked="f" coordsize="21600,21600">
            <v:path/>
            <v:fill on="f" focussize="0,0"/>
            <v:stroke on="f" joinstyle="miter"/>
            <v:imagedata r:id="rId59" o:title="03 附件 2.14_页面_17"/>
            <o:lock v:ext="edit" aspectratio="t"/>
            <w10:wrap type="none"/>
            <w10:anchorlock/>
          </v:shape>
        </w:pict>
      </w:r>
      <w:r>
        <w:rPr>
          <w:rFonts w:asciiTheme="minorEastAsia" w:hAnsiTheme="minorEastAsia" w:eastAsiaTheme="minorEastAsia"/>
          <w:color w:val="FF0000"/>
        </w:rPr>
        <w:pict>
          <v:shape id="_x0000_i1049" o:spt="75" type="#_x0000_t75" style="height:640.55pt;width:451.85pt;" filled="f" o:preferrelative="t" stroked="f" coordsize="21600,21600">
            <v:path/>
            <v:fill on="f" focussize="0,0"/>
            <v:stroke on="f" joinstyle="miter"/>
            <v:imagedata r:id="rId60" o:title="03 附件 2.14_页面_18"/>
            <o:lock v:ext="edit" aspectratio="t"/>
            <w10:wrap type="none"/>
            <w10:anchorlock/>
          </v:shape>
        </w:pict>
      </w:r>
      <w:r>
        <w:rPr>
          <w:rFonts w:asciiTheme="minorEastAsia" w:hAnsiTheme="minorEastAsia" w:eastAsiaTheme="minorEastAsia"/>
          <w:color w:val="FF0000"/>
        </w:rPr>
        <w:pict>
          <v:shape id="_x0000_i1050" o:spt="75" type="#_x0000_t75" style="height:640.55pt;width:451.85pt;" filled="f" o:preferrelative="t" stroked="f" coordsize="21600,21600">
            <v:path/>
            <v:fill on="f" focussize="0,0"/>
            <v:stroke on="f" joinstyle="miter"/>
            <v:imagedata r:id="rId61" o:title="03 附件 2.14_页面_19"/>
            <o:lock v:ext="edit" aspectratio="t"/>
            <w10:wrap type="none"/>
            <w10:anchorlock/>
          </v:shape>
        </w:pict>
      </w:r>
      <w:r>
        <w:rPr>
          <w:rFonts w:asciiTheme="minorEastAsia" w:hAnsiTheme="minorEastAsia" w:eastAsiaTheme="minorEastAsia"/>
          <w:color w:val="FF0000"/>
        </w:rPr>
        <w:pict>
          <v:shape id="_x0000_i1051" o:spt="75" type="#_x0000_t75" style="height:640.55pt;width:451.85pt;" filled="f" o:preferrelative="t" stroked="f" coordsize="21600,21600">
            <v:path/>
            <v:fill on="f" focussize="0,0"/>
            <v:stroke on="f" joinstyle="miter"/>
            <v:imagedata r:id="rId62" o:title="03 附件 2.14_页面_20"/>
            <o:lock v:ext="edit" aspectratio="t"/>
            <w10:wrap type="none"/>
            <w10:anchorlock/>
          </v:shape>
        </w:pict>
      </w:r>
      <w:r>
        <w:rPr>
          <w:rFonts w:asciiTheme="minorEastAsia" w:hAnsiTheme="minorEastAsia" w:eastAsiaTheme="minorEastAsia"/>
          <w:color w:val="FF0000"/>
        </w:rPr>
        <w:pict>
          <v:shape id="_x0000_i1052" o:spt="75" type="#_x0000_t75" style="height:640.55pt;width:451.85pt;" filled="f" o:preferrelative="t" stroked="f" coordsize="21600,21600">
            <v:path/>
            <v:fill on="f" focussize="0,0"/>
            <v:stroke on="f" joinstyle="miter"/>
            <v:imagedata r:id="rId63" o:title="03 附件 2.14_页面_21"/>
            <o:lock v:ext="edit" aspectratio="t"/>
            <w10:wrap type="none"/>
            <w10:anchorlock/>
          </v:shape>
        </w:pict>
      </w:r>
      <w:r>
        <w:rPr>
          <w:rFonts w:asciiTheme="minorEastAsia" w:hAnsiTheme="minorEastAsia" w:eastAsiaTheme="minorEastAsia"/>
          <w:color w:val="FF0000"/>
        </w:rPr>
        <w:pict>
          <v:shape id="_x0000_i1053" o:spt="75" type="#_x0000_t75" style="height:640.55pt;width:451.85pt;" filled="f" o:preferrelative="t" stroked="f" coordsize="21600,21600">
            <v:path/>
            <v:fill on="f" focussize="0,0"/>
            <v:stroke on="f" joinstyle="miter"/>
            <v:imagedata r:id="rId64" o:title="03 附件 2.14_页面_22"/>
            <o:lock v:ext="edit" aspectratio="t"/>
            <w10:wrap type="none"/>
            <w10:anchorlock/>
          </v:shape>
        </w:pict>
      </w:r>
      <w:r>
        <w:rPr>
          <w:rFonts w:asciiTheme="minorEastAsia" w:hAnsiTheme="minorEastAsia" w:eastAsiaTheme="minorEastAsia"/>
          <w:color w:val="FF0000"/>
        </w:rPr>
        <w:pict>
          <v:shape id="_x0000_i1054" o:spt="75" type="#_x0000_t75" style="height:640.55pt;width:451.85pt;" filled="f" o:preferrelative="t" stroked="f" coordsize="21600,21600">
            <v:path/>
            <v:fill on="f" focussize="0,0"/>
            <v:stroke on="f" joinstyle="miter"/>
            <v:imagedata r:id="rId65" o:title="03 附件 2.14_页面_23"/>
            <o:lock v:ext="edit" aspectratio="t"/>
            <w10:wrap type="none"/>
            <w10:anchorlock/>
          </v:shape>
        </w:pict>
      </w:r>
      <w:r>
        <w:rPr>
          <w:rFonts w:asciiTheme="minorEastAsia" w:hAnsiTheme="minorEastAsia" w:eastAsiaTheme="minorEastAsia"/>
          <w:color w:val="FF0000"/>
        </w:rPr>
        <w:pict>
          <v:shape id="_x0000_i1055" o:spt="75" type="#_x0000_t75" style="height:633.1pt;width:454.35pt;" filled="f" o:preferrelative="t" stroked="f" coordsize="21600,21600">
            <v:path/>
            <v:fill on="f" focussize="0,0"/>
            <v:stroke on="f" joinstyle="miter"/>
            <v:imagedata r:id="rId66" o:title="03 附件 2.14_页面_24"/>
            <o:lock v:ext="edit" aspectratio="t"/>
            <w10:wrap type="none"/>
            <w10:anchorlock/>
          </v:shape>
        </w:pict>
      </w:r>
    </w:p>
    <w:p>
      <w:pPr>
        <w:pStyle w:val="24"/>
        <w:adjustRightInd w:val="0"/>
        <w:snapToGrid w:val="0"/>
        <w:spacing w:before="648" w:beforeLines="270" w:beforeAutospacing="0" w:after="648" w:afterLines="270" w:afterAutospacing="0"/>
        <w:jc w:val="center"/>
        <w:outlineLvl w:val="0"/>
        <w:rPr>
          <w:rFonts w:asciiTheme="minorEastAsia" w:hAnsiTheme="minorEastAsia" w:eastAsiaTheme="minorEastAsia"/>
          <w:color w:val="FF0000"/>
        </w:rPr>
      </w:pPr>
    </w:p>
    <w:sectPr>
      <w:pgSz w:w="11906" w:h="16838"/>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EA05_Body">
    <w:altName w:val="微软雅黑"/>
    <w:panose1 w:val="00000000000000000000"/>
    <w:charset w:val="00"/>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00000000" w:csb1="00000000"/>
  </w:font>
  <w:font w:name="TimesNewRomanPSMT">
    <w:altName w:val="Times New Roman"/>
    <w:panose1 w:val="02020603050405020304"/>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48172"/>
      <w:docPartObj>
        <w:docPartGallery w:val="autotext"/>
      </w:docPartObj>
    </w:sdtPr>
    <w:sdtContent>
      <w:p>
        <w:pPr>
          <w:pStyle w:val="19"/>
          <w:jc w:val="center"/>
        </w:pPr>
        <w:r>
          <w:fldChar w:fldCharType="begin"/>
        </w:r>
        <w:r>
          <w:instrText xml:space="preserve"> PAGE   \* MERGEFORMAT </w:instrText>
        </w:r>
        <w:r>
          <w:fldChar w:fldCharType="separate"/>
        </w:r>
        <w:r>
          <w:rPr>
            <w:lang w:val="zh-CN"/>
          </w:rPr>
          <w:t>2</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916091"/>
      <w:docPartObj>
        <w:docPartGallery w:val="autotext"/>
      </w:docPartObj>
    </w:sdtPr>
    <w:sdtContent>
      <w:p>
        <w:pPr>
          <w:pStyle w:val="19"/>
          <w:jc w:val="center"/>
        </w:pPr>
        <w:r>
          <w:fldChar w:fldCharType="begin"/>
        </w:r>
        <w:r>
          <w:instrText xml:space="preserve"> PAGE   \* MERGEFORMAT </w:instrText>
        </w:r>
        <w:r>
          <w:fldChar w:fldCharType="separate"/>
        </w:r>
        <w:r>
          <w:rPr>
            <w:lang w:val="zh-CN"/>
          </w:rPr>
          <w:t>22</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668984"/>
      <w:docPartObj>
        <w:docPartGallery w:val="autotext"/>
      </w:docPartObj>
    </w:sdtPr>
    <w:sdtContent>
      <w:p>
        <w:pPr>
          <w:pStyle w:val="19"/>
          <w:jc w:val="center"/>
        </w:pPr>
        <w:r>
          <w:fldChar w:fldCharType="begin"/>
        </w:r>
        <w:r>
          <w:instrText xml:space="preserve">PAGE   \* MERGEFORMAT</w:instrText>
        </w:r>
        <w:r>
          <w:fldChar w:fldCharType="separate"/>
        </w:r>
        <w:r>
          <w:rPr>
            <w:lang w:val="zh-CN"/>
          </w:rPr>
          <w:t>75</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14</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83244C"/>
    <w:multiLevelType w:val="multilevel"/>
    <w:tmpl w:val="6983244C"/>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wOTc3MGU5YTM3ODY3ZTc3YTlkM2UyYTQzNDViMWUifQ=="/>
  </w:docVars>
  <w:rsids>
    <w:rsidRoot w:val="00A14947"/>
    <w:rsid w:val="0000114E"/>
    <w:rsid w:val="00004EEE"/>
    <w:rsid w:val="000058AA"/>
    <w:rsid w:val="000060B3"/>
    <w:rsid w:val="00006923"/>
    <w:rsid w:val="00007367"/>
    <w:rsid w:val="00012450"/>
    <w:rsid w:val="00013028"/>
    <w:rsid w:val="00013274"/>
    <w:rsid w:val="00013C25"/>
    <w:rsid w:val="00014DF1"/>
    <w:rsid w:val="00022C14"/>
    <w:rsid w:val="00023046"/>
    <w:rsid w:val="00023D56"/>
    <w:rsid w:val="00023D7E"/>
    <w:rsid w:val="000406FB"/>
    <w:rsid w:val="00042252"/>
    <w:rsid w:val="0004364B"/>
    <w:rsid w:val="00044E21"/>
    <w:rsid w:val="000471E0"/>
    <w:rsid w:val="00053E0A"/>
    <w:rsid w:val="00053E5C"/>
    <w:rsid w:val="00061B1F"/>
    <w:rsid w:val="000718E8"/>
    <w:rsid w:val="00073100"/>
    <w:rsid w:val="000733C4"/>
    <w:rsid w:val="00073761"/>
    <w:rsid w:val="00074783"/>
    <w:rsid w:val="000748D9"/>
    <w:rsid w:val="00074AF7"/>
    <w:rsid w:val="00076030"/>
    <w:rsid w:val="00076372"/>
    <w:rsid w:val="00076A72"/>
    <w:rsid w:val="0008070B"/>
    <w:rsid w:val="000810AC"/>
    <w:rsid w:val="00081A02"/>
    <w:rsid w:val="00081CE3"/>
    <w:rsid w:val="00082231"/>
    <w:rsid w:val="00082C9E"/>
    <w:rsid w:val="00083C50"/>
    <w:rsid w:val="0008416F"/>
    <w:rsid w:val="000853F7"/>
    <w:rsid w:val="00085AE4"/>
    <w:rsid w:val="00086A6D"/>
    <w:rsid w:val="00087E84"/>
    <w:rsid w:val="000901E4"/>
    <w:rsid w:val="000909E8"/>
    <w:rsid w:val="00091F90"/>
    <w:rsid w:val="0009262F"/>
    <w:rsid w:val="00092D38"/>
    <w:rsid w:val="0009377B"/>
    <w:rsid w:val="00094923"/>
    <w:rsid w:val="00094947"/>
    <w:rsid w:val="000976D0"/>
    <w:rsid w:val="000A20AB"/>
    <w:rsid w:val="000A20C9"/>
    <w:rsid w:val="000A24F1"/>
    <w:rsid w:val="000A3667"/>
    <w:rsid w:val="000A52E2"/>
    <w:rsid w:val="000B058F"/>
    <w:rsid w:val="000B131C"/>
    <w:rsid w:val="000B3EB0"/>
    <w:rsid w:val="000B4467"/>
    <w:rsid w:val="000B4DB9"/>
    <w:rsid w:val="000B6472"/>
    <w:rsid w:val="000C09AC"/>
    <w:rsid w:val="000C3DCA"/>
    <w:rsid w:val="000C4CAA"/>
    <w:rsid w:val="000C548D"/>
    <w:rsid w:val="000C6016"/>
    <w:rsid w:val="000C767F"/>
    <w:rsid w:val="000D0647"/>
    <w:rsid w:val="000D0AA5"/>
    <w:rsid w:val="000D5152"/>
    <w:rsid w:val="000D5A44"/>
    <w:rsid w:val="000D6788"/>
    <w:rsid w:val="000D69B4"/>
    <w:rsid w:val="000E0B52"/>
    <w:rsid w:val="000E0BB8"/>
    <w:rsid w:val="000E1034"/>
    <w:rsid w:val="000E13C7"/>
    <w:rsid w:val="000E3ED2"/>
    <w:rsid w:val="000E432B"/>
    <w:rsid w:val="000E4B26"/>
    <w:rsid w:val="000E5A33"/>
    <w:rsid w:val="000F06A0"/>
    <w:rsid w:val="000F13FA"/>
    <w:rsid w:val="000F194C"/>
    <w:rsid w:val="000F2600"/>
    <w:rsid w:val="000F3B89"/>
    <w:rsid w:val="000F6625"/>
    <w:rsid w:val="000F6E83"/>
    <w:rsid w:val="001006AC"/>
    <w:rsid w:val="00103B1E"/>
    <w:rsid w:val="00103C58"/>
    <w:rsid w:val="0010434E"/>
    <w:rsid w:val="001048AA"/>
    <w:rsid w:val="00104D15"/>
    <w:rsid w:val="00105292"/>
    <w:rsid w:val="001073FE"/>
    <w:rsid w:val="001102AE"/>
    <w:rsid w:val="00110BA8"/>
    <w:rsid w:val="00111D0B"/>
    <w:rsid w:val="00112FDE"/>
    <w:rsid w:val="00113709"/>
    <w:rsid w:val="00113767"/>
    <w:rsid w:val="00114026"/>
    <w:rsid w:val="00116629"/>
    <w:rsid w:val="001200D0"/>
    <w:rsid w:val="00121FC8"/>
    <w:rsid w:val="0012292E"/>
    <w:rsid w:val="00122A2A"/>
    <w:rsid w:val="00122F2F"/>
    <w:rsid w:val="0012575C"/>
    <w:rsid w:val="0012648C"/>
    <w:rsid w:val="001309DE"/>
    <w:rsid w:val="00131F42"/>
    <w:rsid w:val="0013330F"/>
    <w:rsid w:val="00133566"/>
    <w:rsid w:val="0013512C"/>
    <w:rsid w:val="001357F1"/>
    <w:rsid w:val="00135F75"/>
    <w:rsid w:val="0014080D"/>
    <w:rsid w:val="00140B9F"/>
    <w:rsid w:val="00140FA8"/>
    <w:rsid w:val="00141FDC"/>
    <w:rsid w:val="00142FEB"/>
    <w:rsid w:val="00143A2D"/>
    <w:rsid w:val="00144A07"/>
    <w:rsid w:val="0014511C"/>
    <w:rsid w:val="00145A41"/>
    <w:rsid w:val="00146470"/>
    <w:rsid w:val="00147C13"/>
    <w:rsid w:val="00150BAB"/>
    <w:rsid w:val="0015158A"/>
    <w:rsid w:val="00151675"/>
    <w:rsid w:val="00152596"/>
    <w:rsid w:val="0015662F"/>
    <w:rsid w:val="00157435"/>
    <w:rsid w:val="001611F4"/>
    <w:rsid w:val="0016507A"/>
    <w:rsid w:val="001702BB"/>
    <w:rsid w:val="00170CBE"/>
    <w:rsid w:val="00170E41"/>
    <w:rsid w:val="00173D88"/>
    <w:rsid w:val="0017463E"/>
    <w:rsid w:val="00174A24"/>
    <w:rsid w:val="0017504D"/>
    <w:rsid w:val="00176160"/>
    <w:rsid w:val="0017671A"/>
    <w:rsid w:val="00177422"/>
    <w:rsid w:val="00182A6A"/>
    <w:rsid w:val="00184590"/>
    <w:rsid w:val="001870D1"/>
    <w:rsid w:val="001876DF"/>
    <w:rsid w:val="0018781E"/>
    <w:rsid w:val="00190AC2"/>
    <w:rsid w:val="00192603"/>
    <w:rsid w:val="0019262D"/>
    <w:rsid w:val="0019418B"/>
    <w:rsid w:val="00194DA0"/>
    <w:rsid w:val="00195085"/>
    <w:rsid w:val="001976A6"/>
    <w:rsid w:val="001A1B35"/>
    <w:rsid w:val="001A47C0"/>
    <w:rsid w:val="001A48A2"/>
    <w:rsid w:val="001A6551"/>
    <w:rsid w:val="001A6E82"/>
    <w:rsid w:val="001A6F61"/>
    <w:rsid w:val="001B1E90"/>
    <w:rsid w:val="001B3B16"/>
    <w:rsid w:val="001B4420"/>
    <w:rsid w:val="001B72B8"/>
    <w:rsid w:val="001C0DBF"/>
    <w:rsid w:val="001C1477"/>
    <w:rsid w:val="001C3B76"/>
    <w:rsid w:val="001C69B3"/>
    <w:rsid w:val="001D0E02"/>
    <w:rsid w:val="001D3540"/>
    <w:rsid w:val="001D44E6"/>
    <w:rsid w:val="001D503A"/>
    <w:rsid w:val="001D5595"/>
    <w:rsid w:val="001D5AD2"/>
    <w:rsid w:val="001D7874"/>
    <w:rsid w:val="001D7D5D"/>
    <w:rsid w:val="001D7F22"/>
    <w:rsid w:val="001E167E"/>
    <w:rsid w:val="001E17BD"/>
    <w:rsid w:val="001E376F"/>
    <w:rsid w:val="001F04B7"/>
    <w:rsid w:val="001F096E"/>
    <w:rsid w:val="001F0F17"/>
    <w:rsid w:val="001F2ED3"/>
    <w:rsid w:val="001F3347"/>
    <w:rsid w:val="001F5E86"/>
    <w:rsid w:val="001F69E4"/>
    <w:rsid w:val="002028BB"/>
    <w:rsid w:val="002047E6"/>
    <w:rsid w:val="002061AD"/>
    <w:rsid w:val="00207578"/>
    <w:rsid w:val="00211AD3"/>
    <w:rsid w:val="00211D96"/>
    <w:rsid w:val="002125B4"/>
    <w:rsid w:val="00213F6B"/>
    <w:rsid w:val="002155B8"/>
    <w:rsid w:val="002159A0"/>
    <w:rsid w:val="00216519"/>
    <w:rsid w:val="0022067C"/>
    <w:rsid w:val="002210E6"/>
    <w:rsid w:val="002227C4"/>
    <w:rsid w:val="00224839"/>
    <w:rsid w:val="002249B2"/>
    <w:rsid w:val="002251F3"/>
    <w:rsid w:val="00225A8F"/>
    <w:rsid w:val="00226574"/>
    <w:rsid w:val="00227123"/>
    <w:rsid w:val="002278EC"/>
    <w:rsid w:val="00230E00"/>
    <w:rsid w:val="0023280E"/>
    <w:rsid w:val="0023311F"/>
    <w:rsid w:val="00236623"/>
    <w:rsid w:val="0023683E"/>
    <w:rsid w:val="002377D1"/>
    <w:rsid w:val="0024000C"/>
    <w:rsid w:val="00240D9A"/>
    <w:rsid w:val="00241BC4"/>
    <w:rsid w:val="00247BDE"/>
    <w:rsid w:val="002506BC"/>
    <w:rsid w:val="00251594"/>
    <w:rsid w:val="00251BB5"/>
    <w:rsid w:val="00254345"/>
    <w:rsid w:val="00254BE2"/>
    <w:rsid w:val="00256FE8"/>
    <w:rsid w:val="00257DD6"/>
    <w:rsid w:val="0026048B"/>
    <w:rsid w:val="0026259A"/>
    <w:rsid w:val="00264557"/>
    <w:rsid w:val="002718BB"/>
    <w:rsid w:val="00271998"/>
    <w:rsid w:val="002726A7"/>
    <w:rsid w:val="002732A4"/>
    <w:rsid w:val="002743BB"/>
    <w:rsid w:val="00274756"/>
    <w:rsid w:val="002748AE"/>
    <w:rsid w:val="00275AE9"/>
    <w:rsid w:val="00277069"/>
    <w:rsid w:val="00280274"/>
    <w:rsid w:val="002805AB"/>
    <w:rsid w:val="0028150A"/>
    <w:rsid w:val="002821DD"/>
    <w:rsid w:val="00282DDB"/>
    <w:rsid w:val="00284204"/>
    <w:rsid w:val="00286AE6"/>
    <w:rsid w:val="0028764D"/>
    <w:rsid w:val="00291773"/>
    <w:rsid w:val="002921E8"/>
    <w:rsid w:val="002928EB"/>
    <w:rsid w:val="00293A68"/>
    <w:rsid w:val="00294298"/>
    <w:rsid w:val="00295B30"/>
    <w:rsid w:val="00296F9D"/>
    <w:rsid w:val="002A168C"/>
    <w:rsid w:val="002A3DC7"/>
    <w:rsid w:val="002A5BAF"/>
    <w:rsid w:val="002A706F"/>
    <w:rsid w:val="002B258F"/>
    <w:rsid w:val="002B4314"/>
    <w:rsid w:val="002B49E2"/>
    <w:rsid w:val="002B7B00"/>
    <w:rsid w:val="002B7C44"/>
    <w:rsid w:val="002C0A76"/>
    <w:rsid w:val="002C136B"/>
    <w:rsid w:val="002C2B17"/>
    <w:rsid w:val="002C3B32"/>
    <w:rsid w:val="002C4E4F"/>
    <w:rsid w:val="002C50B4"/>
    <w:rsid w:val="002C680D"/>
    <w:rsid w:val="002C68CE"/>
    <w:rsid w:val="002D1287"/>
    <w:rsid w:val="002D2F0D"/>
    <w:rsid w:val="002D3DD0"/>
    <w:rsid w:val="002D3E1C"/>
    <w:rsid w:val="002D4A75"/>
    <w:rsid w:val="002D4E19"/>
    <w:rsid w:val="002D6AA4"/>
    <w:rsid w:val="002E033C"/>
    <w:rsid w:val="002E1F3A"/>
    <w:rsid w:val="002E2747"/>
    <w:rsid w:val="002E298A"/>
    <w:rsid w:val="002E4EC2"/>
    <w:rsid w:val="002E5E7E"/>
    <w:rsid w:val="002F09AC"/>
    <w:rsid w:val="002F3B07"/>
    <w:rsid w:val="002F4974"/>
    <w:rsid w:val="002F7602"/>
    <w:rsid w:val="00301978"/>
    <w:rsid w:val="0030332C"/>
    <w:rsid w:val="003051C2"/>
    <w:rsid w:val="0031181B"/>
    <w:rsid w:val="003118E8"/>
    <w:rsid w:val="00312296"/>
    <w:rsid w:val="00312AE4"/>
    <w:rsid w:val="00313799"/>
    <w:rsid w:val="00314F0E"/>
    <w:rsid w:val="00315418"/>
    <w:rsid w:val="003219B3"/>
    <w:rsid w:val="00321D8E"/>
    <w:rsid w:val="003248BA"/>
    <w:rsid w:val="00325928"/>
    <w:rsid w:val="0032646A"/>
    <w:rsid w:val="00327238"/>
    <w:rsid w:val="0032750C"/>
    <w:rsid w:val="00330FB0"/>
    <w:rsid w:val="003312DB"/>
    <w:rsid w:val="00332863"/>
    <w:rsid w:val="003342EE"/>
    <w:rsid w:val="0033684D"/>
    <w:rsid w:val="00337B42"/>
    <w:rsid w:val="003408F1"/>
    <w:rsid w:val="00341B42"/>
    <w:rsid w:val="00341C12"/>
    <w:rsid w:val="00343302"/>
    <w:rsid w:val="0034348F"/>
    <w:rsid w:val="00345857"/>
    <w:rsid w:val="00346F92"/>
    <w:rsid w:val="00347E35"/>
    <w:rsid w:val="003504AB"/>
    <w:rsid w:val="00351458"/>
    <w:rsid w:val="00356653"/>
    <w:rsid w:val="0035743F"/>
    <w:rsid w:val="00357BE2"/>
    <w:rsid w:val="0036170C"/>
    <w:rsid w:val="00361D2F"/>
    <w:rsid w:val="00361EED"/>
    <w:rsid w:val="00364B88"/>
    <w:rsid w:val="00365F21"/>
    <w:rsid w:val="00366E0F"/>
    <w:rsid w:val="00367835"/>
    <w:rsid w:val="00367F91"/>
    <w:rsid w:val="00380832"/>
    <w:rsid w:val="00381602"/>
    <w:rsid w:val="00381A72"/>
    <w:rsid w:val="00384676"/>
    <w:rsid w:val="00390597"/>
    <w:rsid w:val="00390857"/>
    <w:rsid w:val="0039098B"/>
    <w:rsid w:val="00390CCE"/>
    <w:rsid w:val="00393B24"/>
    <w:rsid w:val="0039406A"/>
    <w:rsid w:val="003A0672"/>
    <w:rsid w:val="003A362C"/>
    <w:rsid w:val="003A3DFD"/>
    <w:rsid w:val="003A3E90"/>
    <w:rsid w:val="003A4BF3"/>
    <w:rsid w:val="003B1369"/>
    <w:rsid w:val="003B2015"/>
    <w:rsid w:val="003B2A16"/>
    <w:rsid w:val="003B3369"/>
    <w:rsid w:val="003B3991"/>
    <w:rsid w:val="003B420D"/>
    <w:rsid w:val="003B5B38"/>
    <w:rsid w:val="003C18EB"/>
    <w:rsid w:val="003C3784"/>
    <w:rsid w:val="003C6C16"/>
    <w:rsid w:val="003D20EE"/>
    <w:rsid w:val="003D2578"/>
    <w:rsid w:val="003D2C97"/>
    <w:rsid w:val="003D40FE"/>
    <w:rsid w:val="003D4F22"/>
    <w:rsid w:val="003D562D"/>
    <w:rsid w:val="003D6B1C"/>
    <w:rsid w:val="003D794D"/>
    <w:rsid w:val="003E25A0"/>
    <w:rsid w:val="003E3058"/>
    <w:rsid w:val="003E3132"/>
    <w:rsid w:val="003E6346"/>
    <w:rsid w:val="003E76A9"/>
    <w:rsid w:val="003E7F50"/>
    <w:rsid w:val="003F0809"/>
    <w:rsid w:val="003F3006"/>
    <w:rsid w:val="003F4A86"/>
    <w:rsid w:val="003F6A8C"/>
    <w:rsid w:val="003F755C"/>
    <w:rsid w:val="00404361"/>
    <w:rsid w:val="004047C0"/>
    <w:rsid w:val="004054A7"/>
    <w:rsid w:val="00406F01"/>
    <w:rsid w:val="00407744"/>
    <w:rsid w:val="0040799D"/>
    <w:rsid w:val="00411EC8"/>
    <w:rsid w:val="00413CFD"/>
    <w:rsid w:val="00414C0D"/>
    <w:rsid w:val="00415C38"/>
    <w:rsid w:val="004167B9"/>
    <w:rsid w:val="00416D50"/>
    <w:rsid w:val="00416FD5"/>
    <w:rsid w:val="00417772"/>
    <w:rsid w:val="00420E6A"/>
    <w:rsid w:val="00420E83"/>
    <w:rsid w:val="00424900"/>
    <w:rsid w:val="00425A9E"/>
    <w:rsid w:val="00426A7C"/>
    <w:rsid w:val="00426D6B"/>
    <w:rsid w:val="00426FE3"/>
    <w:rsid w:val="0043005C"/>
    <w:rsid w:val="0043053E"/>
    <w:rsid w:val="00431974"/>
    <w:rsid w:val="00431E6C"/>
    <w:rsid w:val="00431F57"/>
    <w:rsid w:val="00432BA3"/>
    <w:rsid w:val="00433466"/>
    <w:rsid w:val="0043386B"/>
    <w:rsid w:val="00433CE7"/>
    <w:rsid w:val="004364A1"/>
    <w:rsid w:val="00436C8E"/>
    <w:rsid w:val="00437B2A"/>
    <w:rsid w:val="0044526D"/>
    <w:rsid w:val="00450E46"/>
    <w:rsid w:val="0045204C"/>
    <w:rsid w:val="00452086"/>
    <w:rsid w:val="00452738"/>
    <w:rsid w:val="00454300"/>
    <w:rsid w:val="004552C2"/>
    <w:rsid w:val="00456091"/>
    <w:rsid w:val="00457D82"/>
    <w:rsid w:val="0046495D"/>
    <w:rsid w:val="00464997"/>
    <w:rsid w:val="00466321"/>
    <w:rsid w:val="00467E51"/>
    <w:rsid w:val="00471C9B"/>
    <w:rsid w:val="00471E3B"/>
    <w:rsid w:val="00472486"/>
    <w:rsid w:val="0047252D"/>
    <w:rsid w:val="00475EB9"/>
    <w:rsid w:val="00483463"/>
    <w:rsid w:val="00484B9B"/>
    <w:rsid w:val="004852DA"/>
    <w:rsid w:val="004855F6"/>
    <w:rsid w:val="0048636D"/>
    <w:rsid w:val="004864F4"/>
    <w:rsid w:val="0048661E"/>
    <w:rsid w:val="00490872"/>
    <w:rsid w:val="00491294"/>
    <w:rsid w:val="00494670"/>
    <w:rsid w:val="00494678"/>
    <w:rsid w:val="004973A9"/>
    <w:rsid w:val="004A3823"/>
    <w:rsid w:val="004A3827"/>
    <w:rsid w:val="004A3DE0"/>
    <w:rsid w:val="004A462B"/>
    <w:rsid w:val="004A6D86"/>
    <w:rsid w:val="004A6FA0"/>
    <w:rsid w:val="004B1DCF"/>
    <w:rsid w:val="004B3593"/>
    <w:rsid w:val="004B40C2"/>
    <w:rsid w:val="004B4C47"/>
    <w:rsid w:val="004B5DCA"/>
    <w:rsid w:val="004C1424"/>
    <w:rsid w:val="004C730E"/>
    <w:rsid w:val="004D19A4"/>
    <w:rsid w:val="004D4D41"/>
    <w:rsid w:val="004D68A0"/>
    <w:rsid w:val="004D6F7B"/>
    <w:rsid w:val="004E00EE"/>
    <w:rsid w:val="004E20EF"/>
    <w:rsid w:val="004E3289"/>
    <w:rsid w:val="004E6946"/>
    <w:rsid w:val="004E6F70"/>
    <w:rsid w:val="004F06F4"/>
    <w:rsid w:val="004F1AD8"/>
    <w:rsid w:val="004F6835"/>
    <w:rsid w:val="004F7B5A"/>
    <w:rsid w:val="005004E0"/>
    <w:rsid w:val="00500509"/>
    <w:rsid w:val="005018E6"/>
    <w:rsid w:val="005039CB"/>
    <w:rsid w:val="00503D68"/>
    <w:rsid w:val="0050558F"/>
    <w:rsid w:val="00506286"/>
    <w:rsid w:val="0050694F"/>
    <w:rsid w:val="00510813"/>
    <w:rsid w:val="00510958"/>
    <w:rsid w:val="00511990"/>
    <w:rsid w:val="00511DE0"/>
    <w:rsid w:val="00512624"/>
    <w:rsid w:val="00513C84"/>
    <w:rsid w:val="00514870"/>
    <w:rsid w:val="00514B9B"/>
    <w:rsid w:val="00517F02"/>
    <w:rsid w:val="00524303"/>
    <w:rsid w:val="005258A2"/>
    <w:rsid w:val="00526488"/>
    <w:rsid w:val="005271BE"/>
    <w:rsid w:val="005310B6"/>
    <w:rsid w:val="00533557"/>
    <w:rsid w:val="00533F94"/>
    <w:rsid w:val="00535088"/>
    <w:rsid w:val="00536292"/>
    <w:rsid w:val="005401AE"/>
    <w:rsid w:val="0054046F"/>
    <w:rsid w:val="005415DF"/>
    <w:rsid w:val="00542E07"/>
    <w:rsid w:val="005439E0"/>
    <w:rsid w:val="00544D55"/>
    <w:rsid w:val="00545424"/>
    <w:rsid w:val="005501E9"/>
    <w:rsid w:val="00551820"/>
    <w:rsid w:val="005538EA"/>
    <w:rsid w:val="00554A7B"/>
    <w:rsid w:val="00554DFB"/>
    <w:rsid w:val="00555138"/>
    <w:rsid w:val="0055572C"/>
    <w:rsid w:val="00556F79"/>
    <w:rsid w:val="0056106A"/>
    <w:rsid w:val="005613A7"/>
    <w:rsid w:val="00562738"/>
    <w:rsid w:val="00565449"/>
    <w:rsid w:val="00566BCB"/>
    <w:rsid w:val="00566E03"/>
    <w:rsid w:val="00567C5A"/>
    <w:rsid w:val="005702AB"/>
    <w:rsid w:val="00570E0F"/>
    <w:rsid w:val="005720AE"/>
    <w:rsid w:val="005723F0"/>
    <w:rsid w:val="00572ED3"/>
    <w:rsid w:val="00574783"/>
    <w:rsid w:val="00576837"/>
    <w:rsid w:val="00577FF9"/>
    <w:rsid w:val="005800D7"/>
    <w:rsid w:val="0058018E"/>
    <w:rsid w:val="00584E31"/>
    <w:rsid w:val="005857C7"/>
    <w:rsid w:val="00585CC6"/>
    <w:rsid w:val="00594D77"/>
    <w:rsid w:val="0059532B"/>
    <w:rsid w:val="00595F39"/>
    <w:rsid w:val="005969E4"/>
    <w:rsid w:val="00596F57"/>
    <w:rsid w:val="005A018B"/>
    <w:rsid w:val="005A06B7"/>
    <w:rsid w:val="005A0F3F"/>
    <w:rsid w:val="005A1180"/>
    <w:rsid w:val="005A1759"/>
    <w:rsid w:val="005A27A8"/>
    <w:rsid w:val="005A396A"/>
    <w:rsid w:val="005A573C"/>
    <w:rsid w:val="005A5BC6"/>
    <w:rsid w:val="005A68A7"/>
    <w:rsid w:val="005A6CE1"/>
    <w:rsid w:val="005B1616"/>
    <w:rsid w:val="005B40C5"/>
    <w:rsid w:val="005B4B32"/>
    <w:rsid w:val="005B5C1B"/>
    <w:rsid w:val="005B69A9"/>
    <w:rsid w:val="005B6E46"/>
    <w:rsid w:val="005C084C"/>
    <w:rsid w:val="005C14FC"/>
    <w:rsid w:val="005C2461"/>
    <w:rsid w:val="005D0358"/>
    <w:rsid w:val="005D0C0B"/>
    <w:rsid w:val="005D278A"/>
    <w:rsid w:val="005D28AA"/>
    <w:rsid w:val="005D30E4"/>
    <w:rsid w:val="005D36AB"/>
    <w:rsid w:val="005D4162"/>
    <w:rsid w:val="005D5173"/>
    <w:rsid w:val="005D74C7"/>
    <w:rsid w:val="005E0633"/>
    <w:rsid w:val="005E0D65"/>
    <w:rsid w:val="005E2614"/>
    <w:rsid w:val="005E4353"/>
    <w:rsid w:val="005E602C"/>
    <w:rsid w:val="005E7080"/>
    <w:rsid w:val="005F606A"/>
    <w:rsid w:val="005F6AF5"/>
    <w:rsid w:val="005F75B9"/>
    <w:rsid w:val="005F77A0"/>
    <w:rsid w:val="00601582"/>
    <w:rsid w:val="00601C9D"/>
    <w:rsid w:val="006036AA"/>
    <w:rsid w:val="00606D79"/>
    <w:rsid w:val="00614DC9"/>
    <w:rsid w:val="00617CC3"/>
    <w:rsid w:val="006264D2"/>
    <w:rsid w:val="00630134"/>
    <w:rsid w:val="00632BBE"/>
    <w:rsid w:val="00632C04"/>
    <w:rsid w:val="00636B0D"/>
    <w:rsid w:val="006377A6"/>
    <w:rsid w:val="00637A3D"/>
    <w:rsid w:val="006411EF"/>
    <w:rsid w:val="00641935"/>
    <w:rsid w:val="00643892"/>
    <w:rsid w:val="006459B4"/>
    <w:rsid w:val="00650A9B"/>
    <w:rsid w:val="00650B80"/>
    <w:rsid w:val="00651BD5"/>
    <w:rsid w:val="00654A2A"/>
    <w:rsid w:val="00655634"/>
    <w:rsid w:val="00660E91"/>
    <w:rsid w:val="00662C98"/>
    <w:rsid w:val="00663899"/>
    <w:rsid w:val="00664A77"/>
    <w:rsid w:val="00671DFD"/>
    <w:rsid w:val="00672516"/>
    <w:rsid w:val="006737FE"/>
    <w:rsid w:val="006748B8"/>
    <w:rsid w:val="006775C3"/>
    <w:rsid w:val="00680311"/>
    <w:rsid w:val="006828E0"/>
    <w:rsid w:val="00682F72"/>
    <w:rsid w:val="00683370"/>
    <w:rsid w:val="00683AC9"/>
    <w:rsid w:val="0068538B"/>
    <w:rsid w:val="0069290A"/>
    <w:rsid w:val="0069434B"/>
    <w:rsid w:val="0069544D"/>
    <w:rsid w:val="006971B5"/>
    <w:rsid w:val="0069775A"/>
    <w:rsid w:val="00697813"/>
    <w:rsid w:val="006A361A"/>
    <w:rsid w:val="006A3EE8"/>
    <w:rsid w:val="006A5ACB"/>
    <w:rsid w:val="006A5E85"/>
    <w:rsid w:val="006A6AD9"/>
    <w:rsid w:val="006A72BF"/>
    <w:rsid w:val="006B03F2"/>
    <w:rsid w:val="006B1B4B"/>
    <w:rsid w:val="006B37DC"/>
    <w:rsid w:val="006B4B86"/>
    <w:rsid w:val="006B4F68"/>
    <w:rsid w:val="006C0592"/>
    <w:rsid w:val="006C272E"/>
    <w:rsid w:val="006C5479"/>
    <w:rsid w:val="006C6234"/>
    <w:rsid w:val="006D0AB9"/>
    <w:rsid w:val="006D0E3A"/>
    <w:rsid w:val="006D13B5"/>
    <w:rsid w:val="006D57ED"/>
    <w:rsid w:val="006D6ADF"/>
    <w:rsid w:val="006D7673"/>
    <w:rsid w:val="006E12FF"/>
    <w:rsid w:val="006E215A"/>
    <w:rsid w:val="006E2B04"/>
    <w:rsid w:val="006E4B30"/>
    <w:rsid w:val="006E607E"/>
    <w:rsid w:val="006E66E0"/>
    <w:rsid w:val="006E6748"/>
    <w:rsid w:val="006E7443"/>
    <w:rsid w:val="006F1509"/>
    <w:rsid w:val="006F3605"/>
    <w:rsid w:val="006F4921"/>
    <w:rsid w:val="006F57B4"/>
    <w:rsid w:val="006F5BF4"/>
    <w:rsid w:val="00700B3B"/>
    <w:rsid w:val="007015BB"/>
    <w:rsid w:val="007034C3"/>
    <w:rsid w:val="00704DF0"/>
    <w:rsid w:val="007066C7"/>
    <w:rsid w:val="00706C5D"/>
    <w:rsid w:val="007076A0"/>
    <w:rsid w:val="0071067D"/>
    <w:rsid w:val="00710D80"/>
    <w:rsid w:val="0071204E"/>
    <w:rsid w:val="00713B43"/>
    <w:rsid w:val="00714940"/>
    <w:rsid w:val="007159CF"/>
    <w:rsid w:val="007161A0"/>
    <w:rsid w:val="00717675"/>
    <w:rsid w:val="007248FE"/>
    <w:rsid w:val="00726CF0"/>
    <w:rsid w:val="00726D53"/>
    <w:rsid w:val="00727031"/>
    <w:rsid w:val="00727C15"/>
    <w:rsid w:val="007315C4"/>
    <w:rsid w:val="00732922"/>
    <w:rsid w:val="00732B64"/>
    <w:rsid w:val="0073322D"/>
    <w:rsid w:val="00733E89"/>
    <w:rsid w:val="007352A2"/>
    <w:rsid w:val="00737B6D"/>
    <w:rsid w:val="00741D0D"/>
    <w:rsid w:val="00742ACF"/>
    <w:rsid w:val="00742CE1"/>
    <w:rsid w:val="0074320E"/>
    <w:rsid w:val="007478BA"/>
    <w:rsid w:val="0075162E"/>
    <w:rsid w:val="00752407"/>
    <w:rsid w:val="007539C8"/>
    <w:rsid w:val="00754034"/>
    <w:rsid w:val="00754C2C"/>
    <w:rsid w:val="00756168"/>
    <w:rsid w:val="00756556"/>
    <w:rsid w:val="00757585"/>
    <w:rsid w:val="00760F69"/>
    <w:rsid w:val="007618C4"/>
    <w:rsid w:val="0076388F"/>
    <w:rsid w:val="00764ED4"/>
    <w:rsid w:val="007676D2"/>
    <w:rsid w:val="00767980"/>
    <w:rsid w:val="00770B19"/>
    <w:rsid w:val="00772FA7"/>
    <w:rsid w:val="0077463F"/>
    <w:rsid w:val="00781BBE"/>
    <w:rsid w:val="007827D7"/>
    <w:rsid w:val="007836EA"/>
    <w:rsid w:val="00784CDA"/>
    <w:rsid w:val="00785CE7"/>
    <w:rsid w:val="00787078"/>
    <w:rsid w:val="007906C4"/>
    <w:rsid w:val="007907D4"/>
    <w:rsid w:val="00791160"/>
    <w:rsid w:val="00791789"/>
    <w:rsid w:val="007940EA"/>
    <w:rsid w:val="007946CD"/>
    <w:rsid w:val="007967E8"/>
    <w:rsid w:val="00797375"/>
    <w:rsid w:val="0079796B"/>
    <w:rsid w:val="007A0BFB"/>
    <w:rsid w:val="007A0FAA"/>
    <w:rsid w:val="007A1BE0"/>
    <w:rsid w:val="007A1E9B"/>
    <w:rsid w:val="007A2170"/>
    <w:rsid w:val="007A22BF"/>
    <w:rsid w:val="007A3323"/>
    <w:rsid w:val="007A3AAE"/>
    <w:rsid w:val="007A3AC2"/>
    <w:rsid w:val="007A5AA4"/>
    <w:rsid w:val="007A68CD"/>
    <w:rsid w:val="007A7E54"/>
    <w:rsid w:val="007B0D6E"/>
    <w:rsid w:val="007B14F6"/>
    <w:rsid w:val="007B23A1"/>
    <w:rsid w:val="007B2544"/>
    <w:rsid w:val="007B43B0"/>
    <w:rsid w:val="007B6568"/>
    <w:rsid w:val="007B6CF4"/>
    <w:rsid w:val="007B6E59"/>
    <w:rsid w:val="007B72B8"/>
    <w:rsid w:val="007B7A58"/>
    <w:rsid w:val="007C09BB"/>
    <w:rsid w:val="007C21B5"/>
    <w:rsid w:val="007C3D37"/>
    <w:rsid w:val="007C3F91"/>
    <w:rsid w:val="007C6FED"/>
    <w:rsid w:val="007D039E"/>
    <w:rsid w:val="007D0553"/>
    <w:rsid w:val="007D1727"/>
    <w:rsid w:val="007D413E"/>
    <w:rsid w:val="007E1118"/>
    <w:rsid w:val="007E20E3"/>
    <w:rsid w:val="007E38D0"/>
    <w:rsid w:val="007E4448"/>
    <w:rsid w:val="007E4699"/>
    <w:rsid w:val="007E4BD2"/>
    <w:rsid w:val="007E4EB2"/>
    <w:rsid w:val="007E5B6C"/>
    <w:rsid w:val="007F1606"/>
    <w:rsid w:val="007F1C8A"/>
    <w:rsid w:val="007F3D0F"/>
    <w:rsid w:val="007F4085"/>
    <w:rsid w:val="007F7DAD"/>
    <w:rsid w:val="00801393"/>
    <w:rsid w:val="00802F88"/>
    <w:rsid w:val="0080331B"/>
    <w:rsid w:val="00806D55"/>
    <w:rsid w:val="00810158"/>
    <w:rsid w:val="008103C0"/>
    <w:rsid w:val="00811954"/>
    <w:rsid w:val="0081293E"/>
    <w:rsid w:val="00812F47"/>
    <w:rsid w:val="00814692"/>
    <w:rsid w:val="00815465"/>
    <w:rsid w:val="008161CD"/>
    <w:rsid w:val="00817E9A"/>
    <w:rsid w:val="00820FAA"/>
    <w:rsid w:val="0082171C"/>
    <w:rsid w:val="008245EB"/>
    <w:rsid w:val="00825A91"/>
    <w:rsid w:val="00826A19"/>
    <w:rsid w:val="008306BD"/>
    <w:rsid w:val="00831A80"/>
    <w:rsid w:val="008329E5"/>
    <w:rsid w:val="00833743"/>
    <w:rsid w:val="008340A4"/>
    <w:rsid w:val="00835D5F"/>
    <w:rsid w:val="00835F10"/>
    <w:rsid w:val="00836B30"/>
    <w:rsid w:val="00837098"/>
    <w:rsid w:val="00841F7F"/>
    <w:rsid w:val="0084206E"/>
    <w:rsid w:val="00845570"/>
    <w:rsid w:val="0084573B"/>
    <w:rsid w:val="00846011"/>
    <w:rsid w:val="00847B1C"/>
    <w:rsid w:val="00847C60"/>
    <w:rsid w:val="00850815"/>
    <w:rsid w:val="0085158C"/>
    <w:rsid w:val="00852BE7"/>
    <w:rsid w:val="00852DE7"/>
    <w:rsid w:val="00854E54"/>
    <w:rsid w:val="00855B13"/>
    <w:rsid w:val="008639B1"/>
    <w:rsid w:val="00865C64"/>
    <w:rsid w:val="008702E9"/>
    <w:rsid w:val="0087135F"/>
    <w:rsid w:val="00872D94"/>
    <w:rsid w:val="00880364"/>
    <w:rsid w:val="008807FB"/>
    <w:rsid w:val="008817FB"/>
    <w:rsid w:val="00881E40"/>
    <w:rsid w:val="00883F03"/>
    <w:rsid w:val="0088596E"/>
    <w:rsid w:val="00891592"/>
    <w:rsid w:val="00891E9E"/>
    <w:rsid w:val="00894978"/>
    <w:rsid w:val="00896572"/>
    <w:rsid w:val="0089678F"/>
    <w:rsid w:val="008A2018"/>
    <w:rsid w:val="008A2F68"/>
    <w:rsid w:val="008A3438"/>
    <w:rsid w:val="008A5AA2"/>
    <w:rsid w:val="008A6012"/>
    <w:rsid w:val="008B071E"/>
    <w:rsid w:val="008B11D3"/>
    <w:rsid w:val="008B1852"/>
    <w:rsid w:val="008B240A"/>
    <w:rsid w:val="008B354F"/>
    <w:rsid w:val="008B3B53"/>
    <w:rsid w:val="008B4FA6"/>
    <w:rsid w:val="008B5282"/>
    <w:rsid w:val="008B64E3"/>
    <w:rsid w:val="008B6991"/>
    <w:rsid w:val="008B7918"/>
    <w:rsid w:val="008B79F4"/>
    <w:rsid w:val="008B7C17"/>
    <w:rsid w:val="008C2D01"/>
    <w:rsid w:val="008C3120"/>
    <w:rsid w:val="008C40E6"/>
    <w:rsid w:val="008C4D49"/>
    <w:rsid w:val="008C51B7"/>
    <w:rsid w:val="008C6C3A"/>
    <w:rsid w:val="008D0F7A"/>
    <w:rsid w:val="008D12E2"/>
    <w:rsid w:val="008D3FE0"/>
    <w:rsid w:val="008D46EE"/>
    <w:rsid w:val="008D513A"/>
    <w:rsid w:val="008D68E4"/>
    <w:rsid w:val="008E0210"/>
    <w:rsid w:val="008E0506"/>
    <w:rsid w:val="008E0CFF"/>
    <w:rsid w:val="008E16DB"/>
    <w:rsid w:val="008E27BB"/>
    <w:rsid w:val="008E469D"/>
    <w:rsid w:val="008E5D6B"/>
    <w:rsid w:val="008E76F0"/>
    <w:rsid w:val="008F15FE"/>
    <w:rsid w:val="008F2214"/>
    <w:rsid w:val="008F2D29"/>
    <w:rsid w:val="008F437B"/>
    <w:rsid w:val="008F47AE"/>
    <w:rsid w:val="008F5187"/>
    <w:rsid w:val="008F53C5"/>
    <w:rsid w:val="008F60D8"/>
    <w:rsid w:val="00901807"/>
    <w:rsid w:val="00902727"/>
    <w:rsid w:val="0090312B"/>
    <w:rsid w:val="00903B07"/>
    <w:rsid w:val="00903CB0"/>
    <w:rsid w:val="00903CD8"/>
    <w:rsid w:val="00904780"/>
    <w:rsid w:val="00904832"/>
    <w:rsid w:val="00904E3E"/>
    <w:rsid w:val="00910001"/>
    <w:rsid w:val="00910B27"/>
    <w:rsid w:val="00915B75"/>
    <w:rsid w:val="0091736D"/>
    <w:rsid w:val="00926373"/>
    <w:rsid w:val="00926924"/>
    <w:rsid w:val="0093037A"/>
    <w:rsid w:val="00930F87"/>
    <w:rsid w:val="009368DB"/>
    <w:rsid w:val="0093768F"/>
    <w:rsid w:val="0094154D"/>
    <w:rsid w:val="00943DBE"/>
    <w:rsid w:val="0095155F"/>
    <w:rsid w:val="00954429"/>
    <w:rsid w:val="009563CE"/>
    <w:rsid w:val="00957C30"/>
    <w:rsid w:val="009614ED"/>
    <w:rsid w:val="0096251D"/>
    <w:rsid w:val="00964EC0"/>
    <w:rsid w:val="00966A29"/>
    <w:rsid w:val="00966B5F"/>
    <w:rsid w:val="009734DC"/>
    <w:rsid w:val="00976328"/>
    <w:rsid w:val="009765BD"/>
    <w:rsid w:val="0097680D"/>
    <w:rsid w:val="00980246"/>
    <w:rsid w:val="00982438"/>
    <w:rsid w:val="00983A25"/>
    <w:rsid w:val="00983E40"/>
    <w:rsid w:val="0098404C"/>
    <w:rsid w:val="00985283"/>
    <w:rsid w:val="0098750C"/>
    <w:rsid w:val="009879AB"/>
    <w:rsid w:val="00987FFA"/>
    <w:rsid w:val="00990E68"/>
    <w:rsid w:val="0099168A"/>
    <w:rsid w:val="00991A5E"/>
    <w:rsid w:val="00995992"/>
    <w:rsid w:val="00995F76"/>
    <w:rsid w:val="00996EA1"/>
    <w:rsid w:val="00997A33"/>
    <w:rsid w:val="009A03E5"/>
    <w:rsid w:val="009A050C"/>
    <w:rsid w:val="009A0F3B"/>
    <w:rsid w:val="009A1BB4"/>
    <w:rsid w:val="009A21FD"/>
    <w:rsid w:val="009A235F"/>
    <w:rsid w:val="009A2628"/>
    <w:rsid w:val="009A2C9B"/>
    <w:rsid w:val="009A2FDB"/>
    <w:rsid w:val="009A3200"/>
    <w:rsid w:val="009B0897"/>
    <w:rsid w:val="009B3B42"/>
    <w:rsid w:val="009B7BD9"/>
    <w:rsid w:val="009C0E6B"/>
    <w:rsid w:val="009C1C17"/>
    <w:rsid w:val="009C3706"/>
    <w:rsid w:val="009C671D"/>
    <w:rsid w:val="009C6A46"/>
    <w:rsid w:val="009C7DD5"/>
    <w:rsid w:val="009D0793"/>
    <w:rsid w:val="009D0929"/>
    <w:rsid w:val="009D1878"/>
    <w:rsid w:val="009D2B2A"/>
    <w:rsid w:val="009D4314"/>
    <w:rsid w:val="009E2036"/>
    <w:rsid w:val="009E227D"/>
    <w:rsid w:val="009E2CC1"/>
    <w:rsid w:val="009E3317"/>
    <w:rsid w:val="009E34A3"/>
    <w:rsid w:val="009E461E"/>
    <w:rsid w:val="009E5019"/>
    <w:rsid w:val="009E7868"/>
    <w:rsid w:val="009F1367"/>
    <w:rsid w:val="009F7269"/>
    <w:rsid w:val="009F73D8"/>
    <w:rsid w:val="009F7E6E"/>
    <w:rsid w:val="00A027CD"/>
    <w:rsid w:val="00A033FE"/>
    <w:rsid w:val="00A043A7"/>
    <w:rsid w:val="00A04F1B"/>
    <w:rsid w:val="00A0501B"/>
    <w:rsid w:val="00A06CE6"/>
    <w:rsid w:val="00A0778E"/>
    <w:rsid w:val="00A1001D"/>
    <w:rsid w:val="00A12644"/>
    <w:rsid w:val="00A13D4D"/>
    <w:rsid w:val="00A14947"/>
    <w:rsid w:val="00A175A6"/>
    <w:rsid w:val="00A20512"/>
    <w:rsid w:val="00A20FE4"/>
    <w:rsid w:val="00A27F3A"/>
    <w:rsid w:val="00A30C61"/>
    <w:rsid w:val="00A318C9"/>
    <w:rsid w:val="00A324F7"/>
    <w:rsid w:val="00A32A83"/>
    <w:rsid w:val="00A32D85"/>
    <w:rsid w:val="00A368DB"/>
    <w:rsid w:val="00A37E65"/>
    <w:rsid w:val="00A37EA1"/>
    <w:rsid w:val="00A41138"/>
    <w:rsid w:val="00A423AA"/>
    <w:rsid w:val="00A433C5"/>
    <w:rsid w:val="00A45337"/>
    <w:rsid w:val="00A50DDF"/>
    <w:rsid w:val="00A5296A"/>
    <w:rsid w:val="00A53937"/>
    <w:rsid w:val="00A53EC6"/>
    <w:rsid w:val="00A55751"/>
    <w:rsid w:val="00A55C0F"/>
    <w:rsid w:val="00A55E2C"/>
    <w:rsid w:val="00A630C1"/>
    <w:rsid w:val="00A6371E"/>
    <w:rsid w:val="00A6738B"/>
    <w:rsid w:val="00A700BE"/>
    <w:rsid w:val="00A705AA"/>
    <w:rsid w:val="00A74AC7"/>
    <w:rsid w:val="00A761EE"/>
    <w:rsid w:val="00A77CCA"/>
    <w:rsid w:val="00A80B11"/>
    <w:rsid w:val="00A80F30"/>
    <w:rsid w:val="00A812DF"/>
    <w:rsid w:val="00A82566"/>
    <w:rsid w:val="00A83731"/>
    <w:rsid w:val="00A84D2B"/>
    <w:rsid w:val="00A84EEF"/>
    <w:rsid w:val="00A8713F"/>
    <w:rsid w:val="00A90BA1"/>
    <w:rsid w:val="00A90F50"/>
    <w:rsid w:val="00A91E59"/>
    <w:rsid w:val="00A936EB"/>
    <w:rsid w:val="00A966D4"/>
    <w:rsid w:val="00A96BAA"/>
    <w:rsid w:val="00A97A9A"/>
    <w:rsid w:val="00A97E20"/>
    <w:rsid w:val="00AA0671"/>
    <w:rsid w:val="00AA0D96"/>
    <w:rsid w:val="00AA1485"/>
    <w:rsid w:val="00AA2531"/>
    <w:rsid w:val="00AA4F46"/>
    <w:rsid w:val="00AA57AE"/>
    <w:rsid w:val="00AA5B84"/>
    <w:rsid w:val="00AA73C0"/>
    <w:rsid w:val="00AB0EAB"/>
    <w:rsid w:val="00AB0EC3"/>
    <w:rsid w:val="00AB1E09"/>
    <w:rsid w:val="00AB1FF2"/>
    <w:rsid w:val="00AB4EEE"/>
    <w:rsid w:val="00AB5330"/>
    <w:rsid w:val="00AB5474"/>
    <w:rsid w:val="00AB661D"/>
    <w:rsid w:val="00AB6AD8"/>
    <w:rsid w:val="00AB7747"/>
    <w:rsid w:val="00AB7D62"/>
    <w:rsid w:val="00AC0718"/>
    <w:rsid w:val="00AC14CE"/>
    <w:rsid w:val="00AC17AE"/>
    <w:rsid w:val="00AC2A56"/>
    <w:rsid w:val="00AC4773"/>
    <w:rsid w:val="00AD055E"/>
    <w:rsid w:val="00AD2521"/>
    <w:rsid w:val="00AD2EAA"/>
    <w:rsid w:val="00AD3FC6"/>
    <w:rsid w:val="00AD47A7"/>
    <w:rsid w:val="00AD5B29"/>
    <w:rsid w:val="00AD6D65"/>
    <w:rsid w:val="00AE0C23"/>
    <w:rsid w:val="00AE23BD"/>
    <w:rsid w:val="00AE2795"/>
    <w:rsid w:val="00AE5D47"/>
    <w:rsid w:val="00AE6EC8"/>
    <w:rsid w:val="00AF0CBF"/>
    <w:rsid w:val="00AF257F"/>
    <w:rsid w:val="00AF33CF"/>
    <w:rsid w:val="00AF34F6"/>
    <w:rsid w:val="00AF43CE"/>
    <w:rsid w:val="00AF4D50"/>
    <w:rsid w:val="00AF59AA"/>
    <w:rsid w:val="00AF6179"/>
    <w:rsid w:val="00AF62F6"/>
    <w:rsid w:val="00AF7052"/>
    <w:rsid w:val="00B004FC"/>
    <w:rsid w:val="00B00EC2"/>
    <w:rsid w:val="00B029AF"/>
    <w:rsid w:val="00B02B47"/>
    <w:rsid w:val="00B02F9B"/>
    <w:rsid w:val="00B0669C"/>
    <w:rsid w:val="00B07EEF"/>
    <w:rsid w:val="00B100DE"/>
    <w:rsid w:val="00B1056F"/>
    <w:rsid w:val="00B118CC"/>
    <w:rsid w:val="00B12306"/>
    <w:rsid w:val="00B12725"/>
    <w:rsid w:val="00B1295A"/>
    <w:rsid w:val="00B12B76"/>
    <w:rsid w:val="00B14431"/>
    <w:rsid w:val="00B14FEC"/>
    <w:rsid w:val="00B17743"/>
    <w:rsid w:val="00B20A45"/>
    <w:rsid w:val="00B2105D"/>
    <w:rsid w:val="00B22C5C"/>
    <w:rsid w:val="00B231A2"/>
    <w:rsid w:val="00B231D9"/>
    <w:rsid w:val="00B23A01"/>
    <w:rsid w:val="00B2409D"/>
    <w:rsid w:val="00B24F30"/>
    <w:rsid w:val="00B26CAE"/>
    <w:rsid w:val="00B31ABF"/>
    <w:rsid w:val="00B3289C"/>
    <w:rsid w:val="00B32963"/>
    <w:rsid w:val="00B33B75"/>
    <w:rsid w:val="00B33BE3"/>
    <w:rsid w:val="00B349E3"/>
    <w:rsid w:val="00B34C4E"/>
    <w:rsid w:val="00B37964"/>
    <w:rsid w:val="00B42149"/>
    <w:rsid w:val="00B4382B"/>
    <w:rsid w:val="00B43A8B"/>
    <w:rsid w:val="00B45206"/>
    <w:rsid w:val="00B53B5D"/>
    <w:rsid w:val="00B5558B"/>
    <w:rsid w:val="00B55606"/>
    <w:rsid w:val="00B55F71"/>
    <w:rsid w:val="00B56640"/>
    <w:rsid w:val="00B5787A"/>
    <w:rsid w:val="00B60377"/>
    <w:rsid w:val="00B6055E"/>
    <w:rsid w:val="00B6085C"/>
    <w:rsid w:val="00B613DC"/>
    <w:rsid w:val="00B61A7E"/>
    <w:rsid w:val="00B61D63"/>
    <w:rsid w:val="00B62B2C"/>
    <w:rsid w:val="00B6317D"/>
    <w:rsid w:val="00B63DDC"/>
    <w:rsid w:val="00B64BCF"/>
    <w:rsid w:val="00B64F5C"/>
    <w:rsid w:val="00B654D4"/>
    <w:rsid w:val="00B7018B"/>
    <w:rsid w:val="00B705B6"/>
    <w:rsid w:val="00B713AF"/>
    <w:rsid w:val="00B7307F"/>
    <w:rsid w:val="00B733F1"/>
    <w:rsid w:val="00B73A03"/>
    <w:rsid w:val="00B73B9C"/>
    <w:rsid w:val="00B73CE9"/>
    <w:rsid w:val="00B76974"/>
    <w:rsid w:val="00B76C32"/>
    <w:rsid w:val="00B7723F"/>
    <w:rsid w:val="00B7769E"/>
    <w:rsid w:val="00B77866"/>
    <w:rsid w:val="00B77A3E"/>
    <w:rsid w:val="00B80534"/>
    <w:rsid w:val="00B8094D"/>
    <w:rsid w:val="00B82013"/>
    <w:rsid w:val="00B8433C"/>
    <w:rsid w:val="00B850D8"/>
    <w:rsid w:val="00B85DED"/>
    <w:rsid w:val="00B87186"/>
    <w:rsid w:val="00B87491"/>
    <w:rsid w:val="00B9412A"/>
    <w:rsid w:val="00B95056"/>
    <w:rsid w:val="00BA0EB5"/>
    <w:rsid w:val="00BA29E9"/>
    <w:rsid w:val="00BA318D"/>
    <w:rsid w:val="00BA3397"/>
    <w:rsid w:val="00BA374F"/>
    <w:rsid w:val="00BA3B23"/>
    <w:rsid w:val="00BA5AE2"/>
    <w:rsid w:val="00BA629D"/>
    <w:rsid w:val="00BA657B"/>
    <w:rsid w:val="00BA6986"/>
    <w:rsid w:val="00BA6F1E"/>
    <w:rsid w:val="00BA7142"/>
    <w:rsid w:val="00BA7B91"/>
    <w:rsid w:val="00BB072A"/>
    <w:rsid w:val="00BB1B37"/>
    <w:rsid w:val="00BB1CE4"/>
    <w:rsid w:val="00BB1F2E"/>
    <w:rsid w:val="00BB2096"/>
    <w:rsid w:val="00BB237C"/>
    <w:rsid w:val="00BB2F11"/>
    <w:rsid w:val="00BB2F45"/>
    <w:rsid w:val="00BB3DDF"/>
    <w:rsid w:val="00BB41A3"/>
    <w:rsid w:val="00BB5BDC"/>
    <w:rsid w:val="00BB7DDB"/>
    <w:rsid w:val="00BC016F"/>
    <w:rsid w:val="00BC1888"/>
    <w:rsid w:val="00BC32DC"/>
    <w:rsid w:val="00BC35B6"/>
    <w:rsid w:val="00BC4C66"/>
    <w:rsid w:val="00BD1B51"/>
    <w:rsid w:val="00BD4596"/>
    <w:rsid w:val="00BD4C11"/>
    <w:rsid w:val="00BD59D2"/>
    <w:rsid w:val="00BD5C85"/>
    <w:rsid w:val="00BE090C"/>
    <w:rsid w:val="00BE1405"/>
    <w:rsid w:val="00BE2D84"/>
    <w:rsid w:val="00BE312D"/>
    <w:rsid w:val="00BF1C20"/>
    <w:rsid w:val="00BF23FF"/>
    <w:rsid w:val="00BF4EAF"/>
    <w:rsid w:val="00BF50B0"/>
    <w:rsid w:val="00BF50B8"/>
    <w:rsid w:val="00BF5BDA"/>
    <w:rsid w:val="00BF7EED"/>
    <w:rsid w:val="00C01725"/>
    <w:rsid w:val="00C0226D"/>
    <w:rsid w:val="00C079AB"/>
    <w:rsid w:val="00C102D3"/>
    <w:rsid w:val="00C10578"/>
    <w:rsid w:val="00C12BE7"/>
    <w:rsid w:val="00C135BC"/>
    <w:rsid w:val="00C15746"/>
    <w:rsid w:val="00C15C95"/>
    <w:rsid w:val="00C16DC0"/>
    <w:rsid w:val="00C20A65"/>
    <w:rsid w:val="00C2596A"/>
    <w:rsid w:val="00C2724D"/>
    <w:rsid w:val="00C27537"/>
    <w:rsid w:val="00C31EED"/>
    <w:rsid w:val="00C328FE"/>
    <w:rsid w:val="00C33507"/>
    <w:rsid w:val="00C34EAB"/>
    <w:rsid w:val="00C35F27"/>
    <w:rsid w:val="00C36A55"/>
    <w:rsid w:val="00C41CC8"/>
    <w:rsid w:val="00C42912"/>
    <w:rsid w:val="00C4409D"/>
    <w:rsid w:val="00C44E72"/>
    <w:rsid w:val="00C45060"/>
    <w:rsid w:val="00C454D3"/>
    <w:rsid w:val="00C45A06"/>
    <w:rsid w:val="00C463D6"/>
    <w:rsid w:val="00C47DAC"/>
    <w:rsid w:val="00C47E5B"/>
    <w:rsid w:val="00C5351D"/>
    <w:rsid w:val="00C536CA"/>
    <w:rsid w:val="00C5478A"/>
    <w:rsid w:val="00C56BD4"/>
    <w:rsid w:val="00C60A0F"/>
    <w:rsid w:val="00C612BF"/>
    <w:rsid w:val="00C61E4B"/>
    <w:rsid w:val="00C646E3"/>
    <w:rsid w:val="00C64BFF"/>
    <w:rsid w:val="00C6747B"/>
    <w:rsid w:val="00C704E9"/>
    <w:rsid w:val="00C719A1"/>
    <w:rsid w:val="00C7334F"/>
    <w:rsid w:val="00C73DD5"/>
    <w:rsid w:val="00C763C9"/>
    <w:rsid w:val="00C77EFA"/>
    <w:rsid w:val="00C80057"/>
    <w:rsid w:val="00C81435"/>
    <w:rsid w:val="00C818F7"/>
    <w:rsid w:val="00C82232"/>
    <w:rsid w:val="00C82913"/>
    <w:rsid w:val="00C82A6D"/>
    <w:rsid w:val="00C92B36"/>
    <w:rsid w:val="00C92FFD"/>
    <w:rsid w:val="00C94CFC"/>
    <w:rsid w:val="00C96AF3"/>
    <w:rsid w:val="00C972B1"/>
    <w:rsid w:val="00CA04EC"/>
    <w:rsid w:val="00CA2CCE"/>
    <w:rsid w:val="00CA39B5"/>
    <w:rsid w:val="00CA43FD"/>
    <w:rsid w:val="00CA7EF8"/>
    <w:rsid w:val="00CB2A38"/>
    <w:rsid w:val="00CB43E5"/>
    <w:rsid w:val="00CB7E1A"/>
    <w:rsid w:val="00CC20A4"/>
    <w:rsid w:val="00CC41FB"/>
    <w:rsid w:val="00CC489B"/>
    <w:rsid w:val="00CD06FA"/>
    <w:rsid w:val="00CD15EA"/>
    <w:rsid w:val="00CD218F"/>
    <w:rsid w:val="00CD2656"/>
    <w:rsid w:val="00CD2BCD"/>
    <w:rsid w:val="00CD3A4C"/>
    <w:rsid w:val="00CD4D8F"/>
    <w:rsid w:val="00CD6412"/>
    <w:rsid w:val="00CE06D8"/>
    <w:rsid w:val="00CE10E9"/>
    <w:rsid w:val="00CE2910"/>
    <w:rsid w:val="00CE5393"/>
    <w:rsid w:val="00CE56E7"/>
    <w:rsid w:val="00CE57AF"/>
    <w:rsid w:val="00CF248F"/>
    <w:rsid w:val="00CF346A"/>
    <w:rsid w:val="00CF36BE"/>
    <w:rsid w:val="00CF4654"/>
    <w:rsid w:val="00CF52B3"/>
    <w:rsid w:val="00CF6000"/>
    <w:rsid w:val="00CF6A30"/>
    <w:rsid w:val="00D003F3"/>
    <w:rsid w:val="00D0364F"/>
    <w:rsid w:val="00D0415E"/>
    <w:rsid w:val="00D05827"/>
    <w:rsid w:val="00D06834"/>
    <w:rsid w:val="00D07C95"/>
    <w:rsid w:val="00D12627"/>
    <w:rsid w:val="00D12FBA"/>
    <w:rsid w:val="00D14BA9"/>
    <w:rsid w:val="00D17C52"/>
    <w:rsid w:val="00D24584"/>
    <w:rsid w:val="00D26039"/>
    <w:rsid w:val="00D30456"/>
    <w:rsid w:val="00D308ED"/>
    <w:rsid w:val="00D31CA5"/>
    <w:rsid w:val="00D32CB7"/>
    <w:rsid w:val="00D33658"/>
    <w:rsid w:val="00D34B5D"/>
    <w:rsid w:val="00D364D7"/>
    <w:rsid w:val="00D36D86"/>
    <w:rsid w:val="00D405F6"/>
    <w:rsid w:val="00D40D7D"/>
    <w:rsid w:val="00D428AA"/>
    <w:rsid w:val="00D4767D"/>
    <w:rsid w:val="00D50A34"/>
    <w:rsid w:val="00D52505"/>
    <w:rsid w:val="00D52543"/>
    <w:rsid w:val="00D52FDF"/>
    <w:rsid w:val="00D53EFA"/>
    <w:rsid w:val="00D54FD7"/>
    <w:rsid w:val="00D56FBF"/>
    <w:rsid w:val="00D57CA5"/>
    <w:rsid w:val="00D61E1F"/>
    <w:rsid w:val="00D63AAC"/>
    <w:rsid w:val="00D657A5"/>
    <w:rsid w:val="00D73E96"/>
    <w:rsid w:val="00D7524F"/>
    <w:rsid w:val="00D76169"/>
    <w:rsid w:val="00D77669"/>
    <w:rsid w:val="00D77B6F"/>
    <w:rsid w:val="00D80B2C"/>
    <w:rsid w:val="00D82D2F"/>
    <w:rsid w:val="00D8319E"/>
    <w:rsid w:val="00D94A7C"/>
    <w:rsid w:val="00D95896"/>
    <w:rsid w:val="00D965D5"/>
    <w:rsid w:val="00D96C18"/>
    <w:rsid w:val="00D97B0C"/>
    <w:rsid w:val="00DA28F8"/>
    <w:rsid w:val="00DA2E34"/>
    <w:rsid w:val="00DA40BB"/>
    <w:rsid w:val="00DA4282"/>
    <w:rsid w:val="00DB227A"/>
    <w:rsid w:val="00DB2983"/>
    <w:rsid w:val="00DB3679"/>
    <w:rsid w:val="00DC0639"/>
    <w:rsid w:val="00DC1257"/>
    <w:rsid w:val="00DC1453"/>
    <w:rsid w:val="00DC1DD8"/>
    <w:rsid w:val="00DC3DC0"/>
    <w:rsid w:val="00DC475B"/>
    <w:rsid w:val="00DC5B2B"/>
    <w:rsid w:val="00DC5BB8"/>
    <w:rsid w:val="00DC6A42"/>
    <w:rsid w:val="00DD2A2A"/>
    <w:rsid w:val="00DD318D"/>
    <w:rsid w:val="00DD360E"/>
    <w:rsid w:val="00DD3833"/>
    <w:rsid w:val="00DD7CCE"/>
    <w:rsid w:val="00DE1560"/>
    <w:rsid w:val="00DE1976"/>
    <w:rsid w:val="00DE2522"/>
    <w:rsid w:val="00DE26E8"/>
    <w:rsid w:val="00DE30B7"/>
    <w:rsid w:val="00DE3778"/>
    <w:rsid w:val="00DE678F"/>
    <w:rsid w:val="00DF0D11"/>
    <w:rsid w:val="00DF0DBA"/>
    <w:rsid w:val="00DF2E12"/>
    <w:rsid w:val="00DF514A"/>
    <w:rsid w:val="00DF58B9"/>
    <w:rsid w:val="00DF6690"/>
    <w:rsid w:val="00DF6804"/>
    <w:rsid w:val="00E00729"/>
    <w:rsid w:val="00E01997"/>
    <w:rsid w:val="00E0358D"/>
    <w:rsid w:val="00E035EE"/>
    <w:rsid w:val="00E03D7A"/>
    <w:rsid w:val="00E04323"/>
    <w:rsid w:val="00E070A2"/>
    <w:rsid w:val="00E1312D"/>
    <w:rsid w:val="00E13698"/>
    <w:rsid w:val="00E15CC1"/>
    <w:rsid w:val="00E1713B"/>
    <w:rsid w:val="00E17D96"/>
    <w:rsid w:val="00E2409C"/>
    <w:rsid w:val="00E26237"/>
    <w:rsid w:val="00E2656A"/>
    <w:rsid w:val="00E303FD"/>
    <w:rsid w:val="00E32678"/>
    <w:rsid w:val="00E3485C"/>
    <w:rsid w:val="00E412D0"/>
    <w:rsid w:val="00E4271A"/>
    <w:rsid w:val="00E42C7E"/>
    <w:rsid w:val="00E433AE"/>
    <w:rsid w:val="00E43DAB"/>
    <w:rsid w:val="00E43FB5"/>
    <w:rsid w:val="00E44442"/>
    <w:rsid w:val="00E46F64"/>
    <w:rsid w:val="00E50E49"/>
    <w:rsid w:val="00E52DA4"/>
    <w:rsid w:val="00E55E66"/>
    <w:rsid w:val="00E56231"/>
    <w:rsid w:val="00E56322"/>
    <w:rsid w:val="00E5647C"/>
    <w:rsid w:val="00E576D1"/>
    <w:rsid w:val="00E607B2"/>
    <w:rsid w:val="00E60982"/>
    <w:rsid w:val="00E62C62"/>
    <w:rsid w:val="00E654C1"/>
    <w:rsid w:val="00E6589A"/>
    <w:rsid w:val="00E65D97"/>
    <w:rsid w:val="00E712B7"/>
    <w:rsid w:val="00E72A5A"/>
    <w:rsid w:val="00E7311A"/>
    <w:rsid w:val="00E73354"/>
    <w:rsid w:val="00E75DB9"/>
    <w:rsid w:val="00E76D12"/>
    <w:rsid w:val="00E77D81"/>
    <w:rsid w:val="00E829ED"/>
    <w:rsid w:val="00E82DD0"/>
    <w:rsid w:val="00E85B63"/>
    <w:rsid w:val="00E86713"/>
    <w:rsid w:val="00E90B75"/>
    <w:rsid w:val="00E91297"/>
    <w:rsid w:val="00E9242D"/>
    <w:rsid w:val="00E93C59"/>
    <w:rsid w:val="00E94007"/>
    <w:rsid w:val="00E9563A"/>
    <w:rsid w:val="00EA25ED"/>
    <w:rsid w:val="00EA2885"/>
    <w:rsid w:val="00EA28A1"/>
    <w:rsid w:val="00EA2921"/>
    <w:rsid w:val="00EA2E7C"/>
    <w:rsid w:val="00EA33F1"/>
    <w:rsid w:val="00EA387E"/>
    <w:rsid w:val="00EA49AE"/>
    <w:rsid w:val="00EA7B14"/>
    <w:rsid w:val="00EB15B0"/>
    <w:rsid w:val="00EB37B1"/>
    <w:rsid w:val="00EB4B3B"/>
    <w:rsid w:val="00EB5255"/>
    <w:rsid w:val="00EB5C47"/>
    <w:rsid w:val="00EB5FD7"/>
    <w:rsid w:val="00EC07B0"/>
    <w:rsid w:val="00EC40E8"/>
    <w:rsid w:val="00EC5213"/>
    <w:rsid w:val="00EC73B6"/>
    <w:rsid w:val="00EC74AC"/>
    <w:rsid w:val="00ED0379"/>
    <w:rsid w:val="00ED052D"/>
    <w:rsid w:val="00ED0639"/>
    <w:rsid w:val="00ED06EE"/>
    <w:rsid w:val="00ED0726"/>
    <w:rsid w:val="00ED1B46"/>
    <w:rsid w:val="00ED395D"/>
    <w:rsid w:val="00ED59B7"/>
    <w:rsid w:val="00ED5DE8"/>
    <w:rsid w:val="00ED6A66"/>
    <w:rsid w:val="00EE08D8"/>
    <w:rsid w:val="00EE1673"/>
    <w:rsid w:val="00EE57AC"/>
    <w:rsid w:val="00EE5973"/>
    <w:rsid w:val="00EE6FD8"/>
    <w:rsid w:val="00EF106E"/>
    <w:rsid w:val="00EF162B"/>
    <w:rsid w:val="00EF4755"/>
    <w:rsid w:val="00EF5E2B"/>
    <w:rsid w:val="00EF6E94"/>
    <w:rsid w:val="00EF706E"/>
    <w:rsid w:val="00EF7135"/>
    <w:rsid w:val="00EF7A48"/>
    <w:rsid w:val="00EF7DEB"/>
    <w:rsid w:val="00F01DCE"/>
    <w:rsid w:val="00F02744"/>
    <w:rsid w:val="00F027DB"/>
    <w:rsid w:val="00F02ADF"/>
    <w:rsid w:val="00F06868"/>
    <w:rsid w:val="00F06921"/>
    <w:rsid w:val="00F06D92"/>
    <w:rsid w:val="00F13DDA"/>
    <w:rsid w:val="00F14892"/>
    <w:rsid w:val="00F14A7A"/>
    <w:rsid w:val="00F1670A"/>
    <w:rsid w:val="00F17CF3"/>
    <w:rsid w:val="00F2093F"/>
    <w:rsid w:val="00F21A73"/>
    <w:rsid w:val="00F21F0C"/>
    <w:rsid w:val="00F22985"/>
    <w:rsid w:val="00F25E4E"/>
    <w:rsid w:val="00F266C2"/>
    <w:rsid w:val="00F329E1"/>
    <w:rsid w:val="00F3383E"/>
    <w:rsid w:val="00F3752B"/>
    <w:rsid w:val="00F43BE6"/>
    <w:rsid w:val="00F44B8B"/>
    <w:rsid w:val="00F465A7"/>
    <w:rsid w:val="00F46658"/>
    <w:rsid w:val="00F4761D"/>
    <w:rsid w:val="00F507B4"/>
    <w:rsid w:val="00F508E8"/>
    <w:rsid w:val="00F50B7C"/>
    <w:rsid w:val="00F5285D"/>
    <w:rsid w:val="00F550E6"/>
    <w:rsid w:val="00F6000F"/>
    <w:rsid w:val="00F610C5"/>
    <w:rsid w:val="00F663D2"/>
    <w:rsid w:val="00F73AB3"/>
    <w:rsid w:val="00F74345"/>
    <w:rsid w:val="00F77114"/>
    <w:rsid w:val="00F80A0A"/>
    <w:rsid w:val="00F82B19"/>
    <w:rsid w:val="00F84AAD"/>
    <w:rsid w:val="00F852FC"/>
    <w:rsid w:val="00F85795"/>
    <w:rsid w:val="00F877DC"/>
    <w:rsid w:val="00F90722"/>
    <w:rsid w:val="00F90A35"/>
    <w:rsid w:val="00F9207A"/>
    <w:rsid w:val="00F9212D"/>
    <w:rsid w:val="00F926D8"/>
    <w:rsid w:val="00F953BE"/>
    <w:rsid w:val="00F965DA"/>
    <w:rsid w:val="00FA017A"/>
    <w:rsid w:val="00FA0D86"/>
    <w:rsid w:val="00FA168A"/>
    <w:rsid w:val="00FA1F92"/>
    <w:rsid w:val="00FA3CEC"/>
    <w:rsid w:val="00FA406A"/>
    <w:rsid w:val="00FA5C26"/>
    <w:rsid w:val="00FA6B94"/>
    <w:rsid w:val="00FA71DC"/>
    <w:rsid w:val="00FA7AE6"/>
    <w:rsid w:val="00FB384E"/>
    <w:rsid w:val="00FB503A"/>
    <w:rsid w:val="00FB516C"/>
    <w:rsid w:val="00FC174C"/>
    <w:rsid w:val="00FC2143"/>
    <w:rsid w:val="00FC454F"/>
    <w:rsid w:val="00FD0056"/>
    <w:rsid w:val="00FD0236"/>
    <w:rsid w:val="00FD18F4"/>
    <w:rsid w:val="00FD302C"/>
    <w:rsid w:val="00FD54DB"/>
    <w:rsid w:val="00FD619F"/>
    <w:rsid w:val="00FD68DB"/>
    <w:rsid w:val="00FD7862"/>
    <w:rsid w:val="00FE1B22"/>
    <w:rsid w:val="00FE3041"/>
    <w:rsid w:val="00FE41E3"/>
    <w:rsid w:val="00FF3B7B"/>
    <w:rsid w:val="00FF5D7A"/>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566C24"/>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7A1EED"/>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 w:val="FF96F9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semiHidden="0" w:name="heading 2" w:locked="1"/>
    <w:lsdException w:qFormat="1" w:unhideWhenUsed="0" w:uiPriority="0" w:semiHidden="0" w:name="heading 3" w:locked="1"/>
    <w:lsdException w:qFormat="1" w:unhideWhenUsed="0" w:uiPriority="1"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iPriority="99" w:semiHidden="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qFormat="1" w:uiPriority="99" w:semiHidden="0" w:name="Body Text First Indent 2" w:locked="1"/>
    <w:lsdException w:uiPriority="0" w:name="Note Heading" w:locked="1"/>
    <w:lsdException w:uiPriority="0" w:name="Body Text 2" w:locked="1"/>
    <w:lsdException w:uiPriority="0" w:name="Body Text 3" w:locked="1"/>
    <w:lsdException w:uiPriority="0" w:semiHidden="0" w:name="Body Text Indent 2" w:locked="1"/>
    <w:lsdException w:qFormat="1" w:unhideWhenUsed="0" w:uiPriority="0" w:semiHidden="0" w:name="Body Text Indent 3" w:locked="1"/>
    <w:lsdException w:uiPriority="0" w:name="Block Text" w:locked="1"/>
    <w:lsdException w:qFormat="1"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iPriority="99"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6"/>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5"/>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22"/>
    <w:qFormat/>
    <w:locked/>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131"/>
    <w:qFormat/>
    <w:locked/>
    <w:uiPriority w:val="1"/>
    <w:pPr>
      <w:ind w:left="1234" w:hanging="677"/>
      <w:outlineLvl w:val="3"/>
    </w:pPr>
    <w:rPr>
      <w:rFonts w:ascii="仿宋_GB2312" w:hAnsi="仿宋_GB2312" w:eastAsia="仿宋_GB2312" w:cs="仿宋_GB2312"/>
      <w:b/>
      <w:bCs/>
      <w:sz w:val="30"/>
      <w:szCs w:val="30"/>
      <w:lang w:val="zh-CN" w:bidi="zh-CN"/>
    </w:rPr>
  </w:style>
  <w:style w:type="paragraph" w:styleId="6">
    <w:name w:val="heading 5"/>
    <w:basedOn w:val="1"/>
    <w:next w:val="1"/>
    <w:link w:val="132"/>
    <w:qFormat/>
    <w:locked/>
    <w:uiPriority w:val="1"/>
    <w:pPr>
      <w:ind w:left="1080" w:hanging="703"/>
      <w:outlineLvl w:val="4"/>
    </w:pPr>
    <w:rPr>
      <w:rFonts w:ascii="仿宋_GB2312" w:hAnsi="仿宋_GB2312" w:eastAsia="仿宋_GB2312" w:cs="仿宋_GB2312"/>
      <w:b/>
      <w:bCs/>
      <w:sz w:val="28"/>
      <w:szCs w:val="28"/>
      <w:lang w:val="zh-CN" w:bidi="zh-CN"/>
    </w:rPr>
  </w:style>
  <w:style w:type="character" w:default="1" w:styleId="30">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7">
    <w:name w:val="table of authorities"/>
    <w:basedOn w:val="1"/>
    <w:next w:val="1"/>
    <w:unhideWhenUsed/>
    <w:qFormat/>
    <w:locked/>
    <w:uiPriority w:val="99"/>
    <w:pPr>
      <w:ind w:left="420" w:leftChars="200"/>
    </w:pPr>
    <w:rPr>
      <w:szCs w:val="20"/>
    </w:rPr>
  </w:style>
  <w:style w:type="paragraph" w:styleId="8">
    <w:name w:val="Normal Indent"/>
    <w:basedOn w:val="1"/>
    <w:next w:val="1"/>
    <w:link w:val="76"/>
    <w:qFormat/>
    <w:locked/>
    <w:uiPriority w:val="0"/>
    <w:pPr>
      <w:ind w:firstLine="420" w:firstLineChars="200"/>
    </w:pPr>
  </w:style>
  <w:style w:type="paragraph" w:styleId="9">
    <w:name w:val="caption"/>
    <w:basedOn w:val="1"/>
    <w:next w:val="1"/>
    <w:qFormat/>
    <w:locked/>
    <w:uiPriority w:val="0"/>
    <w:rPr>
      <w:rFonts w:ascii="Arial" w:hAnsi="Arial" w:eastAsia="黑体" w:cs="Arial"/>
      <w:sz w:val="20"/>
      <w:szCs w:val="20"/>
    </w:rPr>
  </w:style>
  <w:style w:type="paragraph" w:styleId="10">
    <w:name w:val="Document Map"/>
    <w:basedOn w:val="1"/>
    <w:link w:val="90"/>
    <w:semiHidden/>
    <w:unhideWhenUsed/>
    <w:qFormat/>
    <w:locked/>
    <w:uiPriority w:val="99"/>
    <w:rPr>
      <w:rFonts w:ascii="宋体"/>
      <w:sz w:val="18"/>
      <w:szCs w:val="18"/>
    </w:rPr>
  </w:style>
  <w:style w:type="paragraph" w:styleId="11">
    <w:name w:val="annotation text"/>
    <w:basedOn w:val="1"/>
    <w:link w:val="43"/>
    <w:semiHidden/>
    <w:qFormat/>
    <w:uiPriority w:val="99"/>
    <w:pPr>
      <w:jc w:val="left"/>
    </w:pPr>
    <w:rPr>
      <w:kern w:val="0"/>
      <w:sz w:val="24"/>
      <w:szCs w:val="20"/>
    </w:rPr>
  </w:style>
  <w:style w:type="paragraph" w:styleId="12">
    <w:name w:val="Body Text"/>
    <w:basedOn w:val="1"/>
    <w:link w:val="42"/>
    <w:qFormat/>
    <w:uiPriority w:val="0"/>
    <w:pPr>
      <w:widowControl/>
      <w:snapToGrid w:val="0"/>
      <w:spacing w:before="60" w:after="160" w:line="259" w:lineRule="auto"/>
      <w:ind w:right="113"/>
    </w:pPr>
    <w:rPr>
      <w:kern w:val="0"/>
      <w:sz w:val="18"/>
      <w:szCs w:val="20"/>
    </w:rPr>
  </w:style>
  <w:style w:type="paragraph" w:styleId="13">
    <w:name w:val="Body Text Indent"/>
    <w:basedOn w:val="1"/>
    <w:link w:val="51"/>
    <w:qFormat/>
    <w:uiPriority w:val="0"/>
    <w:pPr>
      <w:spacing w:after="120"/>
      <w:ind w:left="420" w:leftChars="200"/>
    </w:pPr>
    <w:rPr>
      <w:kern w:val="0"/>
      <w:sz w:val="24"/>
      <w:szCs w:val="20"/>
    </w:rPr>
  </w:style>
  <w:style w:type="paragraph" w:styleId="14">
    <w:name w:val="toc 3"/>
    <w:basedOn w:val="1"/>
    <w:next w:val="1"/>
    <w:qFormat/>
    <w:locked/>
    <w:uiPriority w:val="0"/>
    <w:pPr>
      <w:ind w:left="840" w:leftChars="400"/>
    </w:pPr>
    <w:rPr>
      <w:szCs w:val="20"/>
    </w:rPr>
  </w:style>
  <w:style w:type="paragraph" w:styleId="15">
    <w:name w:val="Plain Text"/>
    <w:basedOn w:val="1"/>
    <w:link w:val="60"/>
    <w:qFormat/>
    <w:locked/>
    <w:uiPriority w:val="0"/>
    <w:rPr>
      <w:rFonts w:ascii="宋体" w:hAnsi="Courier New" w:cs="Courier New"/>
      <w:szCs w:val="21"/>
    </w:rPr>
  </w:style>
  <w:style w:type="paragraph" w:styleId="16">
    <w:name w:val="Date"/>
    <w:basedOn w:val="1"/>
    <w:next w:val="1"/>
    <w:link w:val="38"/>
    <w:uiPriority w:val="0"/>
    <w:pPr>
      <w:ind w:left="100" w:leftChars="2500"/>
    </w:pPr>
    <w:rPr>
      <w:kern w:val="0"/>
      <w:sz w:val="24"/>
      <w:szCs w:val="20"/>
    </w:rPr>
  </w:style>
  <w:style w:type="paragraph" w:styleId="17">
    <w:name w:val="Body Text Indent 2"/>
    <w:basedOn w:val="1"/>
    <w:link w:val="86"/>
    <w:unhideWhenUsed/>
    <w:locked/>
    <w:uiPriority w:val="0"/>
    <w:pPr>
      <w:spacing w:after="120" w:line="480" w:lineRule="auto"/>
      <w:ind w:left="420" w:leftChars="200"/>
    </w:pPr>
  </w:style>
  <w:style w:type="paragraph" w:styleId="18">
    <w:name w:val="Balloon Text"/>
    <w:basedOn w:val="1"/>
    <w:link w:val="47"/>
    <w:qFormat/>
    <w:uiPriority w:val="0"/>
    <w:rPr>
      <w:kern w:val="0"/>
      <w:sz w:val="18"/>
      <w:szCs w:val="20"/>
    </w:rPr>
  </w:style>
  <w:style w:type="paragraph" w:styleId="19">
    <w:name w:val="footer"/>
    <w:basedOn w:val="1"/>
    <w:link w:val="37"/>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rPr>
      <w:szCs w:val="20"/>
    </w:rPr>
  </w:style>
  <w:style w:type="paragraph" w:styleId="22">
    <w:name w:val="Body Text Indent 3"/>
    <w:basedOn w:val="1"/>
    <w:link w:val="61"/>
    <w:qFormat/>
    <w:locked/>
    <w:uiPriority w:val="0"/>
    <w:pPr>
      <w:spacing w:after="120"/>
      <w:ind w:left="420" w:leftChars="200"/>
    </w:pPr>
    <w:rPr>
      <w:sz w:val="16"/>
      <w:szCs w:val="16"/>
    </w:rPr>
  </w:style>
  <w:style w:type="paragraph" w:styleId="23">
    <w:name w:val="toc 2"/>
    <w:basedOn w:val="1"/>
    <w:next w:val="1"/>
    <w:qFormat/>
    <w:locked/>
    <w:uiPriority w:val="0"/>
    <w:pPr>
      <w:ind w:left="420" w:leftChars="200"/>
    </w:pPr>
    <w:rPr>
      <w:szCs w:val="20"/>
    </w:rPr>
  </w:style>
  <w:style w:type="paragraph" w:styleId="24">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1"/>
    <w:next w:val="11"/>
    <w:link w:val="48"/>
    <w:semiHidden/>
    <w:uiPriority w:val="0"/>
    <w:rPr>
      <w:b/>
    </w:rPr>
  </w:style>
  <w:style w:type="paragraph" w:styleId="26">
    <w:name w:val="Body Text First Indent"/>
    <w:basedOn w:val="12"/>
    <w:link w:val="58"/>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3"/>
    <w:link w:val="73"/>
    <w:unhideWhenUsed/>
    <w:qFormat/>
    <w:locked/>
    <w:uiPriority w:val="99"/>
    <w:pPr>
      <w:ind w:firstLine="420" w:firstLineChars="200"/>
    </w:pPr>
    <w:rPr>
      <w:kern w:val="2"/>
      <w:sz w:val="21"/>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basedOn w:val="30"/>
    <w:qFormat/>
    <w:locked/>
    <w:uiPriority w:val="0"/>
  </w:style>
  <w:style w:type="character" w:styleId="33">
    <w:name w:val="FollowedHyperlink"/>
    <w:qFormat/>
    <w:locked/>
    <w:uiPriority w:val="0"/>
    <w:rPr>
      <w:color w:val="800080"/>
      <w:u w:val="none"/>
    </w:rPr>
  </w:style>
  <w:style w:type="character" w:styleId="34">
    <w:name w:val="Emphasis"/>
    <w:qFormat/>
    <w:locked/>
    <w:uiPriority w:val="0"/>
  </w:style>
  <w:style w:type="character" w:styleId="35">
    <w:name w:val="Hyperlink"/>
    <w:basedOn w:val="30"/>
    <w:unhideWhenUsed/>
    <w:qFormat/>
    <w:locked/>
    <w:uiPriority w:val="0"/>
    <w:rPr>
      <w:color w:val="0000FF"/>
      <w:u w:val="single"/>
    </w:rPr>
  </w:style>
  <w:style w:type="character" w:styleId="36">
    <w:name w:val="annotation reference"/>
    <w:semiHidden/>
    <w:qFormat/>
    <w:uiPriority w:val="99"/>
    <w:rPr>
      <w:sz w:val="21"/>
    </w:rPr>
  </w:style>
  <w:style w:type="character" w:customStyle="1" w:styleId="37">
    <w:name w:val="页脚 字符1"/>
    <w:link w:val="19"/>
    <w:locked/>
    <w:uiPriority w:val="99"/>
    <w:rPr>
      <w:sz w:val="18"/>
    </w:rPr>
  </w:style>
  <w:style w:type="character" w:customStyle="1" w:styleId="38">
    <w:name w:val="日期 字符1"/>
    <w:link w:val="16"/>
    <w:qFormat/>
    <w:locked/>
    <w:uiPriority w:val="99"/>
    <w:rPr>
      <w:rFonts w:ascii="Times New Roman" w:hAnsi="Times New Roman" w:eastAsia="宋体"/>
      <w:sz w:val="24"/>
    </w:rPr>
  </w:style>
  <w:style w:type="character" w:customStyle="1" w:styleId="39">
    <w:name w:val="页脚 字符"/>
    <w:basedOn w:val="30"/>
    <w:qFormat/>
    <w:uiPriority w:val="99"/>
  </w:style>
  <w:style w:type="character" w:customStyle="1" w:styleId="40">
    <w:name w:val="普通(网站) 字符"/>
    <w:link w:val="24"/>
    <w:qFormat/>
    <w:locked/>
    <w:uiPriority w:val="0"/>
    <w:rPr>
      <w:rFonts w:ascii="宋体" w:hAnsi="宋体" w:eastAsia="宋体"/>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正文文本 字符"/>
    <w:link w:val="12"/>
    <w:qFormat/>
    <w:locked/>
    <w:uiPriority w:val="99"/>
    <w:rPr>
      <w:sz w:val="18"/>
    </w:rPr>
  </w:style>
  <w:style w:type="character" w:customStyle="1" w:styleId="43">
    <w:name w:val="批注文字 字符"/>
    <w:link w:val="11"/>
    <w:locked/>
    <w:uiPriority w:val="99"/>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框文本 字符"/>
    <w:link w:val="18"/>
    <w:semiHidden/>
    <w:qFormat/>
    <w:locked/>
    <w:uiPriority w:val="99"/>
    <w:rPr>
      <w:rFonts w:ascii="Times New Roman" w:hAnsi="Times New Roman" w:eastAsia="宋体"/>
      <w:sz w:val="18"/>
    </w:rPr>
  </w:style>
  <w:style w:type="character" w:customStyle="1" w:styleId="48">
    <w:name w:val="批注主题 字符"/>
    <w:link w:val="25"/>
    <w:semiHidden/>
    <w:locked/>
    <w:uiPriority w:val="99"/>
    <w:rPr>
      <w:rFonts w:ascii="Times New Roman" w:hAnsi="Times New Roman" w:eastAsia="宋体"/>
      <w:b/>
      <w:kern w:val="2"/>
      <w:sz w:val="24"/>
    </w:rPr>
  </w:style>
  <w:style w:type="character" w:customStyle="1" w:styleId="49">
    <w:name w:val="页眉 字符"/>
    <w:link w:val="20"/>
    <w:qFormat/>
    <w:locked/>
    <w:uiPriority w:val="99"/>
    <w:rPr>
      <w:sz w:val="18"/>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正文文本缩进 字符"/>
    <w:link w:val="13"/>
    <w:semiHidden/>
    <w:locked/>
    <w:uiPriority w:val="99"/>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55">
    <w:name w:val="Body text|2_"/>
    <w:link w:val="56"/>
    <w:qFormat/>
    <w:uiPriority w:val="0"/>
    <w:rPr>
      <w:rFonts w:ascii="PMingLiU" w:hAnsi="PMingLiU" w:eastAsia="PMingLiU" w:cs="PMingLiU"/>
      <w:sz w:val="22"/>
      <w:szCs w:val="22"/>
      <w:shd w:val="clear" w:color="auto" w:fill="FFFFFF"/>
    </w:rPr>
  </w:style>
  <w:style w:type="paragraph" w:customStyle="1" w:styleId="56">
    <w:name w:val="Body text|221"/>
    <w:basedOn w:val="1"/>
    <w:link w:val="55"/>
    <w:qFormat/>
    <w:uiPriority w:val="0"/>
    <w:pPr>
      <w:shd w:val="clear" w:color="auto" w:fill="FFFFFF"/>
      <w:spacing w:before="780" w:after="300" w:line="220" w:lineRule="exact"/>
      <w:ind w:hanging="560"/>
    </w:pPr>
    <w:rPr>
      <w:rFonts w:ascii="PMingLiU" w:hAnsi="PMingLiU" w:eastAsia="PMingLiU" w:cs="PMingLiU"/>
      <w:kern w:val="0"/>
      <w:sz w:val="22"/>
      <w:szCs w:val="22"/>
    </w:rPr>
  </w:style>
  <w:style w:type="character" w:customStyle="1" w:styleId="57">
    <w:name w:val="Body text|2 + 10 pt"/>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58">
    <w:name w:val="正文首行缩进 字符"/>
    <w:basedOn w:val="42"/>
    <w:link w:val="26"/>
    <w:qFormat/>
    <w:uiPriority w:val="0"/>
    <w:rPr>
      <w:kern w:val="2"/>
      <w:sz w:val="21"/>
      <w:szCs w:val="24"/>
    </w:rPr>
  </w:style>
  <w:style w:type="character" w:customStyle="1" w:styleId="59">
    <w:name w:val="纯文本 Char"/>
    <w:basedOn w:val="30"/>
    <w:qFormat/>
    <w:uiPriority w:val="0"/>
    <w:rPr>
      <w:rFonts w:ascii="宋体" w:hAnsi="Courier New" w:cs="Courier New"/>
      <w:kern w:val="2"/>
      <w:sz w:val="21"/>
      <w:szCs w:val="21"/>
    </w:rPr>
  </w:style>
  <w:style w:type="character" w:customStyle="1" w:styleId="60">
    <w:name w:val="纯文本 字符"/>
    <w:basedOn w:val="30"/>
    <w:link w:val="15"/>
    <w:qFormat/>
    <w:uiPriority w:val="0"/>
    <w:rPr>
      <w:rFonts w:ascii="宋体" w:hAnsi="Courier New" w:cs="Courier New"/>
      <w:kern w:val="2"/>
      <w:sz w:val="21"/>
      <w:szCs w:val="21"/>
    </w:rPr>
  </w:style>
  <w:style w:type="character" w:customStyle="1" w:styleId="61">
    <w:name w:val="正文文本缩进 3 字符"/>
    <w:basedOn w:val="30"/>
    <w:link w:val="22"/>
    <w:qFormat/>
    <w:uiPriority w:val="0"/>
    <w:rPr>
      <w:kern w:val="2"/>
      <w:sz w:val="16"/>
      <w:szCs w:val="16"/>
    </w:rPr>
  </w:style>
  <w:style w:type="paragraph" w:customStyle="1" w:styleId="62">
    <w:name w:val="cb正文"/>
    <w:basedOn w:val="1"/>
    <w:qFormat/>
    <w:uiPriority w:val="0"/>
    <w:pPr>
      <w:widowControl/>
      <w:adjustRightInd w:val="0"/>
      <w:snapToGrid w:val="0"/>
      <w:spacing w:after="200" w:line="500" w:lineRule="exact"/>
      <w:jc w:val="left"/>
    </w:pPr>
    <w:rPr>
      <w:rFonts w:asciiTheme="minorHAnsi" w:hAnsiTheme="minorHAnsi" w:eastAsiaTheme="minorEastAsia" w:cstheme="minorBidi"/>
      <w:snapToGrid w:val="0"/>
      <w:kern w:val="0"/>
      <w:sz w:val="28"/>
      <w:szCs w:val="20"/>
      <w:lang w:eastAsia="en-US" w:bidi="en-US"/>
    </w:rPr>
  </w:style>
  <w:style w:type="paragraph" w:customStyle="1" w:styleId="63">
    <w:name w:val="标准正文"/>
    <w:basedOn w:val="1"/>
    <w:link w:val="64"/>
    <w:qFormat/>
    <w:uiPriority w:val="0"/>
    <w:pPr>
      <w:spacing w:line="360" w:lineRule="auto"/>
      <w:ind w:firstLine="200" w:firstLineChars="200"/>
      <w:jc w:val="left"/>
    </w:pPr>
    <w:rPr>
      <w:sz w:val="24"/>
      <w:szCs w:val="22"/>
    </w:rPr>
  </w:style>
  <w:style w:type="character" w:customStyle="1" w:styleId="64">
    <w:name w:val="标准正文 Char"/>
    <w:basedOn w:val="30"/>
    <w:link w:val="63"/>
    <w:qFormat/>
    <w:uiPriority w:val="0"/>
    <w:rPr>
      <w:kern w:val="2"/>
      <w:sz w:val="24"/>
      <w:szCs w:val="22"/>
    </w:rPr>
  </w:style>
  <w:style w:type="character" w:customStyle="1" w:styleId="65">
    <w:name w:val="样式 小四 行距: 1.5 倍行距 Char"/>
    <w:link w:val="66"/>
    <w:qFormat/>
    <w:locked/>
    <w:uiPriority w:val="99"/>
    <w:rPr>
      <w:rFonts w:eastAsia="仿宋_GB2312"/>
      <w:kern w:val="2"/>
      <w:sz w:val="28"/>
    </w:rPr>
  </w:style>
  <w:style w:type="paragraph" w:customStyle="1" w:styleId="66">
    <w:name w:val="样式 小四 行距: 1.5 倍行距"/>
    <w:basedOn w:val="1"/>
    <w:link w:val="65"/>
    <w:qFormat/>
    <w:uiPriority w:val="99"/>
    <w:pPr>
      <w:tabs>
        <w:tab w:val="left" w:pos="7770"/>
      </w:tabs>
      <w:adjustRightInd w:val="0"/>
      <w:snapToGrid w:val="0"/>
      <w:spacing w:line="360" w:lineRule="auto"/>
      <w:ind w:firstLine="560" w:firstLineChars="200"/>
    </w:pPr>
    <w:rPr>
      <w:rFonts w:eastAsia="仿宋_GB2312"/>
      <w:sz w:val="28"/>
      <w:szCs w:val="20"/>
    </w:rPr>
  </w:style>
  <w:style w:type="paragraph" w:customStyle="1" w:styleId="67">
    <w:name w:val="表文字"/>
    <w:basedOn w:val="1"/>
    <w:qFormat/>
    <w:uiPriority w:val="0"/>
    <w:pPr>
      <w:snapToGrid w:val="0"/>
      <w:jc w:val="center"/>
    </w:pPr>
    <w:rPr>
      <w:color w:val="000000"/>
    </w:rPr>
  </w:style>
  <w:style w:type="paragraph" w:styleId="68">
    <w:name w:val="List Paragraph"/>
    <w:basedOn w:val="1"/>
    <w:qFormat/>
    <w:uiPriority w:val="1"/>
    <w:pPr>
      <w:ind w:firstLine="420" w:firstLineChars="200"/>
    </w:pPr>
  </w:style>
  <w:style w:type="paragraph" w:customStyle="1" w:styleId="69">
    <w:name w:val="表格文字"/>
    <w:basedOn w:val="1"/>
    <w:link w:val="70"/>
    <w:qFormat/>
    <w:uiPriority w:val="0"/>
    <w:pPr>
      <w:adjustRightInd w:val="0"/>
      <w:spacing w:line="400" w:lineRule="atLeast"/>
      <w:jc w:val="center"/>
    </w:pPr>
    <w:rPr>
      <w:kern w:val="24"/>
      <w:sz w:val="24"/>
      <w:szCs w:val="20"/>
    </w:rPr>
  </w:style>
  <w:style w:type="character" w:customStyle="1" w:styleId="70">
    <w:name w:val="表格文字 Char"/>
    <w:basedOn w:val="30"/>
    <w:link w:val="69"/>
    <w:qFormat/>
    <w:uiPriority w:val="0"/>
    <w:rPr>
      <w:kern w:val="24"/>
      <w:sz w:val="24"/>
    </w:rPr>
  </w:style>
  <w:style w:type="character" w:customStyle="1" w:styleId="71">
    <w:name w:val="日期 Char"/>
    <w:link w:val="72"/>
    <w:qFormat/>
    <w:uiPriority w:val="0"/>
    <w:rPr>
      <w:rFonts w:ascii="Tahoma" w:hAnsi="Tahoma"/>
    </w:rPr>
  </w:style>
  <w:style w:type="paragraph" w:customStyle="1" w:styleId="72">
    <w:name w:val="日期1"/>
    <w:basedOn w:val="1"/>
    <w:next w:val="1"/>
    <w:link w:val="71"/>
    <w:qFormat/>
    <w:uiPriority w:val="0"/>
    <w:pPr>
      <w:widowControl/>
      <w:adjustRightInd w:val="0"/>
      <w:snapToGrid w:val="0"/>
      <w:ind w:left="100" w:leftChars="2500"/>
      <w:jc w:val="left"/>
    </w:pPr>
    <w:rPr>
      <w:rFonts w:ascii="Tahoma" w:hAnsi="Tahoma"/>
      <w:kern w:val="0"/>
      <w:sz w:val="20"/>
      <w:szCs w:val="20"/>
    </w:rPr>
  </w:style>
  <w:style w:type="character" w:customStyle="1" w:styleId="73">
    <w:name w:val="正文首行缩进 2 字符"/>
    <w:basedOn w:val="51"/>
    <w:link w:val="27"/>
    <w:semiHidden/>
    <w:qFormat/>
    <w:uiPriority w:val="99"/>
    <w:rPr>
      <w:rFonts w:ascii="Times New Roman" w:hAnsi="Times New Roman" w:eastAsia="宋体"/>
      <w:kern w:val="2"/>
      <w:sz w:val="21"/>
      <w:szCs w:val="24"/>
    </w:rPr>
  </w:style>
  <w:style w:type="paragraph" w:customStyle="1" w:styleId="74">
    <w:name w:val="表内正文"/>
    <w:basedOn w:val="1"/>
    <w:qFormat/>
    <w:uiPriority w:val="0"/>
    <w:pPr>
      <w:ind w:firstLine="200" w:firstLineChars="200"/>
    </w:pPr>
    <w:rPr>
      <w:rFonts w:ascii="仿宋_GB2312" w:hAnsi="宋体" w:eastAsia="仿宋_GB2312"/>
      <w:sz w:val="28"/>
    </w:rPr>
  </w:style>
  <w:style w:type="paragraph" w:customStyle="1" w:styleId="7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6">
    <w:name w:val="正文缩进 字符"/>
    <w:link w:val="8"/>
    <w:qFormat/>
    <w:uiPriority w:val="0"/>
    <w:rPr>
      <w:kern w:val="2"/>
      <w:sz w:val="21"/>
      <w:szCs w:val="24"/>
    </w:rPr>
  </w:style>
  <w:style w:type="paragraph" w:customStyle="1" w:styleId="77">
    <w:name w:val="表头"/>
    <w:basedOn w:val="1"/>
    <w:link w:val="78"/>
    <w:qFormat/>
    <w:uiPriority w:val="0"/>
    <w:pPr>
      <w:spacing w:beforeLines="20" w:afterLines="20" w:line="460" w:lineRule="exact"/>
      <w:jc w:val="center"/>
    </w:pPr>
    <w:rPr>
      <w:rFonts w:eastAsia="黑体"/>
      <w:color w:val="000000"/>
      <w:szCs w:val="28"/>
    </w:rPr>
  </w:style>
  <w:style w:type="character" w:customStyle="1" w:styleId="78">
    <w:name w:val="表头 Char2"/>
    <w:link w:val="77"/>
    <w:qFormat/>
    <w:uiPriority w:val="0"/>
    <w:rPr>
      <w:rFonts w:eastAsia="黑体"/>
      <w:color w:val="000000"/>
      <w:kern w:val="2"/>
      <w:sz w:val="21"/>
      <w:szCs w:val="28"/>
    </w:rPr>
  </w:style>
  <w:style w:type="table" w:customStyle="1" w:styleId="79">
    <w:name w:val="无格式表格 21"/>
    <w:basedOn w:val="28"/>
    <w:qFormat/>
    <w:uiPriority w:val="42"/>
    <w:pPr>
      <w:jc w:val="center"/>
    </w:pPr>
    <w:rPr>
      <w:rFonts w:eastAsiaTheme="minorEastAsia" w:cstheme="minorBidi"/>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80">
    <w:name w:val="纯文本 Char1"/>
    <w:qFormat/>
    <w:uiPriority w:val="0"/>
    <w:rPr>
      <w:rFonts w:ascii="宋体" w:hAnsi="Courier New" w:eastAsia="宋体" w:cs="Courier New"/>
      <w:kern w:val="2"/>
      <w:sz w:val="21"/>
      <w:szCs w:val="21"/>
      <w:lang w:val="en-US" w:eastAsia="zh-CN" w:bidi="ar-SA"/>
    </w:rPr>
  </w:style>
  <w:style w:type="paragraph" w:customStyle="1" w:styleId="81">
    <w:name w:val="小标1"/>
    <w:basedOn w:val="1"/>
    <w:next w:val="1"/>
    <w:qFormat/>
    <w:uiPriority w:val="0"/>
    <w:pPr>
      <w:spacing w:beforeLines="50" w:line="480" w:lineRule="exact"/>
      <w:ind w:firstLine="635" w:firstLineChars="200"/>
    </w:pPr>
    <w:rPr>
      <w:rFonts w:eastAsia="黑体"/>
      <w:b/>
      <w:sz w:val="28"/>
    </w:rPr>
  </w:style>
  <w:style w:type="character" w:customStyle="1" w:styleId="82">
    <w:name w:val="表格头 Char"/>
    <w:link w:val="83"/>
    <w:qFormat/>
    <w:uiPriority w:val="0"/>
    <w:rPr>
      <w:b/>
      <w:sz w:val="21"/>
    </w:rPr>
  </w:style>
  <w:style w:type="paragraph" w:customStyle="1" w:styleId="83">
    <w:name w:val="表格头"/>
    <w:basedOn w:val="1"/>
    <w:next w:val="1"/>
    <w:link w:val="82"/>
    <w:qFormat/>
    <w:uiPriority w:val="0"/>
    <w:pPr>
      <w:spacing w:line="360" w:lineRule="exact"/>
      <w:jc w:val="center"/>
    </w:pPr>
    <w:rPr>
      <w:b/>
      <w:kern w:val="0"/>
      <w:szCs w:val="20"/>
    </w:rPr>
  </w:style>
  <w:style w:type="paragraph" w:customStyle="1" w:styleId="84">
    <w:name w:val="表格新格式"/>
    <w:basedOn w:val="1"/>
    <w:qFormat/>
    <w:uiPriority w:val="0"/>
    <w:pPr>
      <w:spacing w:line="280" w:lineRule="exact"/>
      <w:jc w:val="center"/>
    </w:pPr>
    <w:rPr>
      <w:rFonts w:ascii="Calibri" w:hAnsi="Calibri"/>
      <w:color w:val="000000"/>
      <w:szCs w:val="21"/>
    </w:rPr>
  </w:style>
  <w:style w:type="paragraph" w:customStyle="1" w:styleId="85">
    <w:name w:val="表格文字 16磅"/>
    <w:basedOn w:val="15"/>
    <w:next w:val="1"/>
    <w:qFormat/>
    <w:uiPriority w:val="0"/>
    <w:pPr>
      <w:spacing w:line="320" w:lineRule="exact"/>
      <w:jc w:val="center"/>
      <w:textAlignment w:val="baseline"/>
    </w:pPr>
    <w:rPr>
      <w:rFonts w:hAnsi="宋体" w:cs="Times New Roman"/>
      <w:color w:val="0070C0"/>
    </w:rPr>
  </w:style>
  <w:style w:type="character" w:customStyle="1" w:styleId="86">
    <w:name w:val="正文文本缩进 2 字符"/>
    <w:basedOn w:val="30"/>
    <w:link w:val="17"/>
    <w:qFormat/>
    <w:uiPriority w:val="99"/>
    <w:rPr>
      <w:kern w:val="2"/>
      <w:sz w:val="21"/>
      <w:szCs w:val="24"/>
    </w:rPr>
  </w:style>
  <w:style w:type="paragraph" w:customStyle="1" w:styleId="87">
    <w:name w:val="环评正文"/>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character" w:customStyle="1" w:styleId="88">
    <w:name w:val="表格文字 Char Char"/>
    <w:qFormat/>
    <w:uiPriority w:val="0"/>
    <w:rPr>
      <w:b/>
      <w:kern w:val="2"/>
      <w:sz w:val="21"/>
      <w:szCs w:val="21"/>
    </w:rPr>
  </w:style>
  <w:style w:type="character" w:customStyle="1" w:styleId="89">
    <w:name w:val="表格标题 Char"/>
    <w:uiPriority w:val="0"/>
    <w:rPr>
      <w:rFonts w:ascii="宋体" w:hAnsi="宋体"/>
      <w:b/>
      <w:kern w:val="2"/>
      <w:sz w:val="24"/>
      <w:szCs w:val="24"/>
    </w:rPr>
  </w:style>
  <w:style w:type="character" w:customStyle="1" w:styleId="90">
    <w:name w:val="文档结构图 字符"/>
    <w:basedOn w:val="30"/>
    <w:link w:val="10"/>
    <w:semiHidden/>
    <w:uiPriority w:val="99"/>
    <w:rPr>
      <w:rFonts w:ascii="宋体"/>
      <w:kern w:val="2"/>
      <w:sz w:val="18"/>
      <w:szCs w:val="18"/>
    </w:rPr>
  </w:style>
  <w:style w:type="paragraph" w:customStyle="1" w:styleId="91">
    <w:name w:val="内蒙官矿正文"/>
    <w:basedOn w:val="1"/>
    <w:uiPriority w:val="0"/>
    <w:pPr>
      <w:tabs>
        <w:tab w:val="left" w:pos="2340"/>
      </w:tabs>
      <w:snapToGrid w:val="0"/>
      <w:spacing w:line="240" w:lineRule="atLeast"/>
      <w:ind w:firstLine="560" w:firstLineChars="200"/>
      <w:jc w:val="left"/>
    </w:pPr>
    <w:rPr>
      <w:rFonts w:ascii="宋体" w:hAnsi="宋体" w:eastAsia="Times New Roman"/>
      <w:sz w:val="28"/>
      <w:szCs w:val="20"/>
    </w:rPr>
  </w:style>
  <w:style w:type="character" w:customStyle="1" w:styleId="92">
    <w:name w:val="zlf表头样式"/>
    <w:uiPriority w:val="0"/>
    <w:rPr>
      <w:rFonts w:ascii="Times New Roman" w:hAnsi="Times New Roman" w:eastAsia="宋体"/>
      <w:b/>
      <w:bCs/>
      <w:spacing w:val="4"/>
      <w:sz w:val="21"/>
    </w:rPr>
  </w:style>
  <w:style w:type="character" w:customStyle="1" w:styleId="93">
    <w:name w:val="我的正文1 字符"/>
    <w:link w:val="94"/>
    <w:locked/>
    <w:uiPriority w:val="0"/>
    <w:rPr>
      <w:bCs/>
      <w:kern w:val="2"/>
      <w:sz w:val="24"/>
      <w:szCs w:val="24"/>
    </w:rPr>
  </w:style>
  <w:style w:type="paragraph" w:customStyle="1" w:styleId="94">
    <w:name w:val="我的正文1"/>
    <w:basedOn w:val="1"/>
    <w:link w:val="93"/>
    <w:qFormat/>
    <w:uiPriority w:val="0"/>
    <w:pPr>
      <w:adjustRightInd w:val="0"/>
      <w:snapToGrid w:val="0"/>
      <w:spacing w:line="480" w:lineRule="exact"/>
      <w:ind w:firstLine="503" w:firstLineChars="200"/>
    </w:pPr>
    <w:rPr>
      <w:bCs/>
      <w:sz w:val="24"/>
    </w:rPr>
  </w:style>
  <w:style w:type="paragraph" w:customStyle="1" w:styleId="9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96">
    <w:name w:val="Table Paragraph"/>
    <w:basedOn w:val="1"/>
    <w:qFormat/>
    <w:uiPriority w:val="1"/>
    <w:pPr>
      <w:autoSpaceDE w:val="0"/>
      <w:autoSpaceDN w:val="0"/>
      <w:adjustRightInd w:val="0"/>
    </w:pPr>
    <w:rPr>
      <w:kern w:val="0"/>
    </w:rPr>
  </w:style>
  <w:style w:type="character" w:customStyle="1" w:styleId="97">
    <w:name w:val="表头1-1 字符"/>
    <w:link w:val="98"/>
    <w:qFormat/>
    <w:locked/>
    <w:uiPriority w:val="0"/>
    <w:rPr>
      <w:b/>
      <w:kern w:val="2"/>
      <w:sz w:val="21"/>
      <w:szCs w:val="24"/>
    </w:rPr>
  </w:style>
  <w:style w:type="paragraph" w:customStyle="1" w:styleId="98">
    <w:name w:val="表头1-1"/>
    <w:basedOn w:val="1"/>
    <w:link w:val="97"/>
    <w:qFormat/>
    <w:uiPriority w:val="0"/>
    <w:pPr>
      <w:spacing w:line="500" w:lineRule="exact"/>
      <w:jc w:val="center"/>
    </w:pPr>
    <w:rPr>
      <w:b/>
    </w:rPr>
  </w:style>
  <w:style w:type="paragraph" w:customStyle="1" w:styleId="99">
    <w:name w:val="Revision"/>
    <w:hidden/>
    <w:semiHidden/>
    <w:uiPriority w:val="99"/>
    <w:rPr>
      <w:rFonts w:ascii="Times New Roman" w:hAnsi="Times New Roman" w:eastAsia="宋体" w:cs="Times New Roman"/>
      <w:kern w:val="2"/>
      <w:sz w:val="21"/>
      <w:szCs w:val="24"/>
      <w:lang w:val="en-US" w:eastAsia="zh-CN" w:bidi="ar-SA"/>
    </w:rPr>
  </w:style>
  <w:style w:type="paragraph" w:customStyle="1" w:styleId="100">
    <w:name w:val="Char1"/>
    <w:basedOn w:val="1"/>
    <w:qFormat/>
    <w:uiPriority w:val="0"/>
    <w:pPr>
      <w:snapToGrid w:val="0"/>
      <w:spacing w:line="360" w:lineRule="auto"/>
      <w:ind w:firstLine="529" w:firstLineChars="200"/>
    </w:pPr>
    <w:rPr>
      <w:rFonts w:ascii="宋体" w:hAnsi="宋体" w:eastAsia="Times New Roman"/>
      <w:kern w:val="0"/>
      <w:sz w:val="28"/>
      <w:szCs w:val="28"/>
    </w:rPr>
  </w:style>
  <w:style w:type="character" w:customStyle="1" w:styleId="101">
    <w:name w:val="正文1 Char"/>
    <w:qFormat/>
    <w:uiPriority w:val="0"/>
    <w:rPr>
      <w:color w:val="000000"/>
      <w:kern w:val="2"/>
      <w:sz w:val="24"/>
      <w:szCs w:val="24"/>
    </w:rPr>
  </w:style>
  <w:style w:type="character" w:customStyle="1" w:styleId="102">
    <w:name w:val="标题 2 字符"/>
    <w:basedOn w:val="30"/>
    <w:semiHidden/>
    <w:qFormat/>
    <w:uiPriority w:val="9"/>
    <w:rPr>
      <w:rFonts w:asciiTheme="majorHAnsi" w:hAnsiTheme="majorHAnsi" w:eastAsiaTheme="majorEastAsia" w:cstheme="majorBidi"/>
      <w:b/>
      <w:bCs/>
      <w:kern w:val="2"/>
      <w:sz w:val="32"/>
      <w:szCs w:val="32"/>
    </w:rPr>
  </w:style>
  <w:style w:type="character" w:customStyle="1" w:styleId="103">
    <w:name w:val="标题 3 字符"/>
    <w:basedOn w:val="30"/>
    <w:semiHidden/>
    <w:qFormat/>
    <w:uiPriority w:val="9"/>
    <w:rPr>
      <w:b/>
      <w:bCs/>
      <w:kern w:val="2"/>
      <w:sz w:val="32"/>
      <w:szCs w:val="32"/>
    </w:rPr>
  </w:style>
  <w:style w:type="character" w:customStyle="1" w:styleId="104">
    <w:name w:val="标题 4 字符"/>
    <w:basedOn w:val="30"/>
    <w:semiHidden/>
    <w:qFormat/>
    <w:uiPriority w:val="9"/>
    <w:rPr>
      <w:rFonts w:asciiTheme="majorHAnsi" w:hAnsiTheme="majorHAnsi" w:eastAsiaTheme="majorEastAsia" w:cstheme="majorBidi"/>
      <w:b/>
      <w:bCs/>
      <w:kern w:val="2"/>
      <w:sz w:val="28"/>
      <w:szCs w:val="28"/>
    </w:rPr>
  </w:style>
  <w:style w:type="character" w:customStyle="1" w:styleId="105">
    <w:name w:val="标题 5 字符"/>
    <w:basedOn w:val="30"/>
    <w:semiHidden/>
    <w:qFormat/>
    <w:uiPriority w:val="9"/>
    <w:rPr>
      <w:b/>
      <w:bCs/>
      <w:kern w:val="2"/>
      <w:sz w:val="28"/>
      <w:szCs w:val="28"/>
    </w:rPr>
  </w:style>
  <w:style w:type="character" w:customStyle="1" w:styleId="106">
    <w:name w:val="标题 1 字符"/>
    <w:basedOn w:val="30"/>
    <w:link w:val="2"/>
    <w:qFormat/>
    <w:uiPriority w:val="9"/>
    <w:rPr>
      <w:rFonts w:eastAsia="黑体"/>
      <w:b/>
      <w:bCs/>
      <w:color w:val="000000"/>
      <w:kern w:val="44"/>
      <w:sz w:val="30"/>
      <w:szCs w:val="30"/>
    </w:rPr>
  </w:style>
  <w:style w:type="character" w:customStyle="1" w:styleId="107">
    <w:name w:val="页脚 Char"/>
    <w:locked/>
    <w:uiPriority w:val="99"/>
    <w:rPr>
      <w:sz w:val="18"/>
    </w:rPr>
  </w:style>
  <w:style w:type="character" w:customStyle="1" w:styleId="108">
    <w:name w:val="日期 字符2"/>
    <w:qFormat/>
    <w:locked/>
    <w:uiPriority w:val="0"/>
    <w:rPr>
      <w:rFonts w:ascii="Times New Roman" w:hAnsi="Times New Roman" w:eastAsia="宋体"/>
      <w:sz w:val="24"/>
    </w:rPr>
  </w:style>
  <w:style w:type="character" w:customStyle="1" w:styleId="109">
    <w:name w:val="正文文本 字符2"/>
    <w:qFormat/>
    <w:locked/>
    <w:uiPriority w:val="0"/>
    <w:rPr>
      <w:sz w:val="18"/>
    </w:rPr>
  </w:style>
  <w:style w:type="character" w:customStyle="1" w:styleId="110">
    <w:name w:val="批注文字 Char"/>
    <w:qFormat/>
    <w:locked/>
    <w:uiPriority w:val="99"/>
    <w:rPr>
      <w:rFonts w:ascii="Times New Roman" w:hAnsi="Times New Roman" w:eastAsia="宋体"/>
      <w:sz w:val="24"/>
    </w:rPr>
  </w:style>
  <w:style w:type="character" w:customStyle="1" w:styleId="111">
    <w:name w:val="批注框文本 字符1"/>
    <w:qFormat/>
    <w:locked/>
    <w:uiPriority w:val="0"/>
    <w:rPr>
      <w:rFonts w:ascii="Times New Roman" w:hAnsi="Times New Roman" w:eastAsia="宋体"/>
      <w:sz w:val="18"/>
    </w:rPr>
  </w:style>
  <w:style w:type="character" w:customStyle="1" w:styleId="112">
    <w:name w:val="批注主题 字符1"/>
    <w:semiHidden/>
    <w:qFormat/>
    <w:locked/>
    <w:uiPriority w:val="0"/>
    <w:rPr>
      <w:rFonts w:ascii="Times New Roman" w:hAnsi="Times New Roman" w:eastAsia="宋体"/>
      <w:b/>
      <w:sz w:val="24"/>
    </w:rPr>
  </w:style>
  <w:style w:type="character" w:customStyle="1" w:styleId="113">
    <w:name w:val="页眉 Char"/>
    <w:qFormat/>
    <w:locked/>
    <w:uiPriority w:val="0"/>
    <w:rPr>
      <w:sz w:val="18"/>
    </w:rPr>
  </w:style>
  <w:style w:type="character" w:customStyle="1" w:styleId="114">
    <w:name w:val="正文文本缩进 字符1"/>
    <w:qFormat/>
    <w:locked/>
    <w:uiPriority w:val="0"/>
    <w:rPr>
      <w:rFonts w:ascii="Times New Roman" w:hAnsi="Times New Roman" w:eastAsia="宋体"/>
      <w:sz w:val="24"/>
    </w:rPr>
  </w:style>
  <w:style w:type="character" w:customStyle="1" w:styleId="115">
    <w:name w:val="标题 2 字符1"/>
    <w:link w:val="3"/>
    <w:qFormat/>
    <w:uiPriority w:val="0"/>
    <w:rPr>
      <w:rFonts w:ascii="Cambria" w:hAnsi="Cambria"/>
      <w:b/>
      <w:bCs/>
      <w:kern w:val="2"/>
      <w:sz w:val="32"/>
      <w:szCs w:val="32"/>
    </w:rPr>
  </w:style>
  <w:style w:type="paragraph" w:customStyle="1" w:styleId="116">
    <w:name w:val="样式 小四 行距: 固定值 25 磅8"/>
    <w:basedOn w:val="1"/>
    <w:next w:val="1"/>
    <w:uiPriority w:val="0"/>
    <w:pPr>
      <w:spacing w:line="500" w:lineRule="exact"/>
      <w:ind w:firstLine="464" w:firstLineChars="200"/>
    </w:pPr>
    <w:rPr>
      <w:sz w:val="24"/>
      <w:szCs w:val="20"/>
    </w:rPr>
  </w:style>
  <w:style w:type="character" w:customStyle="1" w:styleId="117">
    <w:name w:val="正文文本缩进 2 字符1"/>
    <w:uiPriority w:val="0"/>
    <w:rPr>
      <w:sz w:val="24"/>
      <w:szCs w:val="24"/>
    </w:rPr>
  </w:style>
  <w:style w:type="character" w:customStyle="1" w:styleId="118">
    <w:name w:val="正文文本缩进 2 Char1"/>
    <w:uiPriority w:val="0"/>
    <w:rPr>
      <w:rFonts w:ascii="Calibri" w:hAnsi="Calibri"/>
      <w:kern w:val="2"/>
      <w:sz w:val="21"/>
      <w:szCs w:val="22"/>
    </w:rPr>
  </w:style>
  <w:style w:type="character" w:customStyle="1" w:styleId="119">
    <w:name w:val="0正文 Char"/>
    <w:link w:val="120"/>
    <w:locked/>
    <w:uiPriority w:val="0"/>
    <w:rPr>
      <w:sz w:val="24"/>
    </w:rPr>
  </w:style>
  <w:style w:type="paragraph" w:customStyle="1" w:styleId="120">
    <w:name w:val="0正文"/>
    <w:basedOn w:val="1"/>
    <w:link w:val="119"/>
    <w:qFormat/>
    <w:uiPriority w:val="0"/>
    <w:pPr>
      <w:adjustRightInd w:val="0"/>
      <w:spacing w:line="480" w:lineRule="exact"/>
      <w:ind w:firstLine="200" w:firstLineChars="200"/>
      <w:contextualSpacing/>
    </w:pPr>
    <w:rPr>
      <w:kern w:val="0"/>
      <w:sz w:val="24"/>
      <w:szCs w:val="20"/>
    </w:rPr>
  </w:style>
  <w:style w:type="character" w:customStyle="1" w:styleId="121">
    <w:name w:val="标题 3 Char"/>
    <w:semiHidden/>
    <w:uiPriority w:val="0"/>
    <w:rPr>
      <w:rFonts w:ascii="Calibri" w:hAnsi="Calibri"/>
      <w:b/>
      <w:bCs/>
      <w:kern w:val="2"/>
      <w:sz w:val="32"/>
      <w:szCs w:val="32"/>
    </w:rPr>
  </w:style>
  <w:style w:type="character" w:customStyle="1" w:styleId="122">
    <w:name w:val="标题 3 字符1"/>
    <w:link w:val="4"/>
    <w:qFormat/>
    <w:uiPriority w:val="0"/>
    <w:rPr>
      <w:rFonts w:ascii="Calibri" w:hAnsi="Calibri"/>
      <w:b/>
      <w:bCs/>
      <w:kern w:val="2"/>
      <w:sz w:val="32"/>
      <w:szCs w:val="32"/>
    </w:rPr>
  </w:style>
  <w:style w:type="character" w:customStyle="1" w:styleId="123">
    <w:name w:val="江建权 Char1"/>
    <w:link w:val="124"/>
    <w:qFormat/>
    <w:locked/>
    <w:uiPriority w:val="99"/>
    <w:rPr>
      <w:sz w:val="24"/>
    </w:rPr>
  </w:style>
  <w:style w:type="paragraph" w:customStyle="1" w:styleId="124">
    <w:name w:val="江建权"/>
    <w:basedOn w:val="1"/>
    <w:link w:val="123"/>
    <w:qFormat/>
    <w:uiPriority w:val="99"/>
    <w:pPr>
      <w:spacing w:line="360" w:lineRule="auto"/>
    </w:pPr>
    <w:rPr>
      <w:kern w:val="0"/>
      <w:sz w:val="24"/>
      <w:szCs w:val="20"/>
    </w:rPr>
  </w:style>
  <w:style w:type="paragraph" w:customStyle="1" w:styleId="125">
    <w:name w:val="江建权1"/>
    <w:basedOn w:val="1"/>
    <w:qFormat/>
    <w:uiPriority w:val="99"/>
    <w:pPr>
      <w:spacing w:line="324" w:lineRule="auto"/>
    </w:pPr>
    <w:rPr>
      <w:rFonts w:ascii="宋体" w:hAnsi="宋体"/>
      <w:kern w:val="0"/>
      <w:sz w:val="24"/>
      <w:szCs w:val="20"/>
    </w:rPr>
  </w:style>
  <w:style w:type="character" w:customStyle="1" w:styleId="126">
    <w:name w:val="5-正文 Char"/>
    <w:link w:val="127"/>
    <w:locked/>
    <w:uiPriority w:val="0"/>
    <w:rPr>
      <w:color w:val="FF00FF"/>
      <w:sz w:val="24"/>
    </w:rPr>
  </w:style>
  <w:style w:type="paragraph" w:customStyle="1" w:styleId="127">
    <w:name w:val="5-正文"/>
    <w:basedOn w:val="1"/>
    <w:link w:val="126"/>
    <w:qFormat/>
    <w:uiPriority w:val="0"/>
    <w:pPr>
      <w:snapToGrid w:val="0"/>
      <w:spacing w:line="500" w:lineRule="exact"/>
      <w:ind w:firstLine="200" w:firstLineChars="200"/>
    </w:pPr>
    <w:rPr>
      <w:color w:val="FF00FF"/>
      <w:kern w:val="0"/>
      <w:sz w:val="24"/>
      <w:szCs w:val="20"/>
    </w:rPr>
  </w:style>
  <w:style w:type="paragraph" w:customStyle="1" w:styleId="128">
    <w:name w:val="正1211"/>
    <w:basedOn w:val="1"/>
    <w:qFormat/>
    <w:uiPriority w:val="99"/>
    <w:pPr>
      <w:adjustRightInd w:val="0"/>
      <w:spacing w:line="400" w:lineRule="exact"/>
      <w:ind w:firstLine="200" w:firstLineChars="200"/>
      <w:textAlignment w:val="baseline"/>
    </w:pPr>
    <w:rPr>
      <w:snapToGrid w:val="0"/>
      <w:spacing w:val="6"/>
      <w:kern w:val="0"/>
      <w:sz w:val="24"/>
      <w:szCs w:val="20"/>
    </w:rPr>
  </w:style>
  <w:style w:type="character" w:styleId="129">
    <w:name w:val="Placeholder Text"/>
    <w:semiHidden/>
    <w:uiPriority w:val="99"/>
    <w:rPr>
      <w:color w:val="808080"/>
    </w:rPr>
  </w:style>
  <w:style w:type="character" w:customStyle="1" w:styleId="130">
    <w:name w:val="font21"/>
    <w:qFormat/>
    <w:uiPriority w:val="0"/>
    <w:rPr>
      <w:rFonts w:hint="default" w:ascii="Times New Roman" w:hAnsi="Times New Roman" w:cs="Times New Roman"/>
      <w:color w:val="000000"/>
      <w:sz w:val="12"/>
      <w:szCs w:val="12"/>
      <w:u w:val="none"/>
    </w:rPr>
  </w:style>
  <w:style w:type="character" w:customStyle="1" w:styleId="131">
    <w:name w:val="标题 4 字符1"/>
    <w:link w:val="5"/>
    <w:uiPriority w:val="1"/>
    <w:rPr>
      <w:rFonts w:ascii="仿宋_GB2312" w:hAnsi="仿宋_GB2312" w:eastAsia="仿宋_GB2312" w:cs="仿宋_GB2312"/>
      <w:b/>
      <w:bCs/>
      <w:kern w:val="2"/>
      <w:sz w:val="30"/>
      <w:szCs w:val="30"/>
      <w:lang w:val="zh-CN" w:bidi="zh-CN"/>
    </w:rPr>
  </w:style>
  <w:style w:type="character" w:customStyle="1" w:styleId="132">
    <w:name w:val="标题 5 字符1"/>
    <w:link w:val="6"/>
    <w:uiPriority w:val="1"/>
    <w:rPr>
      <w:rFonts w:ascii="仿宋_GB2312" w:hAnsi="仿宋_GB2312" w:eastAsia="仿宋_GB2312" w:cs="仿宋_GB2312"/>
      <w:b/>
      <w:bCs/>
      <w:kern w:val="2"/>
      <w:sz w:val="28"/>
      <w:szCs w:val="28"/>
      <w:lang w:val="zh-CN" w:bidi="zh-CN"/>
    </w:rPr>
  </w:style>
  <w:style w:type="paragraph" w:customStyle="1" w:styleId="133">
    <w:name w:val="正文首行缩进 21"/>
    <w:basedOn w:val="134"/>
    <w:qFormat/>
    <w:uiPriority w:val="0"/>
    <w:pPr>
      <w:ind w:firstLine="420" w:firstLineChars="200"/>
    </w:pPr>
  </w:style>
  <w:style w:type="paragraph" w:customStyle="1" w:styleId="134">
    <w:name w:val="正文文本缩进1"/>
    <w:basedOn w:val="1"/>
    <w:qFormat/>
    <w:uiPriority w:val="0"/>
    <w:pPr>
      <w:ind w:left="420" w:leftChars="200"/>
    </w:pPr>
    <w:rPr>
      <w:szCs w:val="20"/>
    </w:rPr>
  </w:style>
  <w:style w:type="character" w:customStyle="1" w:styleId="135">
    <w:name w:val="正文首行缩进 2 字符1"/>
    <w:qFormat/>
    <w:uiPriority w:val="99"/>
    <w:rPr>
      <w:rFonts w:ascii="Times New Roman" w:hAnsi="Times New Roman" w:eastAsia="宋体" w:cs="Times New Roman"/>
      <w:szCs w:val="20"/>
    </w:rPr>
  </w:style>
  <w:style w:type="paragraph" w:customStyle="1" w:styleId="136">
    <w:name w:val="正文 Char Char"/>
    <w:next w:val="1"/>
    <w:qFormat/>
    <w:uiPriority w:val="0"/>
    <w:rPr>
      <w:rFonts w:ascii="Calibri" w:hAnsi="Calibri" w:eastAsia="宋体" w:cs="宋体"/>
      <w:sz w:val="24"/>
      <w:szCs w:val="22"/>
      <w:lang w:val="en-US" w:eastAsia="zh-CN" w:bidi="ar-SA"/>
    </w:rPr>
  </w:style>
  <w:style w:type="paragraph" w:customStyle="1" w:styleId="137">
    <w:name w:val="文字"/>
    <w:basedOn w:val="1"/>
    <w:qFormat/>
    <w:uiPriority w:val="0"/>
    <w:pPr>
      <w:widowControl/>
      <w:autoSpaceDE w:val="0"/>
      <w:autoSpaceDN w:val="0"/>
      <w:spacing w:line="500" w:lineRule="atLeast"/>
      <w:ind w:firstLine="560" w:firstLineChars="200"/>
      <w:jc w:val="left"/>
    </w:pPr>
    <w:rPr>
      <w:rFonts w:eastAsia="仿宋_GB2312"/>
      <w:sz w:val="30"/>
      <w:szCs w:val="28"/>
    </w:rPr>
  </w:style>
  <w:style w:type="paragraph" w:customStyle="1" w:styleId="138">
    <w:name w:val="WPS Plain"/>
    <w:qFormat/>
    <w:uiPriority w:val="0"/>
    <w:rPr>
      <w:rFonts w:ascii="Times New Roman" w:hAnsi="Times New Roman" w:eastAsia="宋体" w:cs="Times New Roman"/>
      <w:lang w:val="en-US" w:eastAsia="zh-CN" w:bidi="ar-SA"/>
    </w:rPr>
  </w:style>
  <w:style w:type="paragraph" w:customStyle="1" w:styleId="139">
    <w:name w:val="p15"/>
    <w:basedOn w:val="1"/>
    <w:qFormat/>
    <w:uiPriority w:val="0"/>
    <w:pPr>
      <w:widowControl/>
      <w:jc w:val="left"/>
    </w:pPr>
    <w:rPr>
      <w:kern w:val="0"/>
      <w:sz w:val="20"/>
      <w:szCs w:val="20"/>
    </w:rPr>
  </w:style>
  <w:style w:type="paragraph" w:customStyle="1" w:styleId="140">
    <w:name w:val="p0"/>
    <w:basedOn w:val="1"/>
    <w:next w:val="19"/>
    <w:qFormat/>
    <w:uiPriority w:val="0"/>
    <w:pPr>
      <w:widowControl/>
    </w:pPr>
    <w:rPr>
      <w:kern w:val="0"/>
      <w:szCs w:val="21"/>
    </w:rPr>
  </w:style>
  <w:style w:type="paragraph" w:customStyle="1" w:styleId="141">
    <w:name w:val="无间隔1"/>
    <w:qFormat/>
    <w:uiPriority w:val="0"/>
    <w:pPr>
      <w:widowControl w:val="0"/>
      <w:ind w:firstLine="600" w:firstLineChars="200"/>
      <w:jc w:val="both"/>
    </w:pPr>
    <w:rPr>
      <w:rFonts w:ascii="仿宋" w:hAnsi="仿宋" w:eastAsia="仿宋" w:cs="仿宋_GB2312"/>
      <w:color w:val="000000"/>
      <w:kern w:val="2"/>
      <w:sz w:val="30"/>
      <w:szCs w:val="30"/>
      <w:lang w:val="en-US" w:eastAsia="zh-CN" w:bidi="ar-SA"/>
    </w:rPr>
  </w:style>
  <w:style w:type="character" w:customStyle="1" w:styleId="142">
    <w:name w:val="bsharetext"/>
    <w:qFormat/>
    <w:uiPriority w:val="0"/>
  </w:style>
  <w:style w:type="character" w:customStyle="1" w:styleId="143">
    <w:name w:val="disabled"/>
    <w:qFormat/>
    <w:uiPriority w:val="0"/>
    <w:rPr>
      <w:vanish/>
    </w:rPr>
  </w:style>
  <w:style w:type="character" w:customStyle="1" w:styleId="144">
    <w:name w:val="znspantitle"/>
    <w:qFormat/>
    <w:uiPriority w:val="0"/>
    <w:rPr>
      <w:b/>
      <w:bCs/>
      <w:color w:val="333333"/>
    </w:rPr>
  </w:style>
  <w:style w:type="character" w:customStyle="1" w:styleId="145">
    <w:name w:val="font11"/>
    <w:qFormat/>
    <w:uiPriority w:val="0"/>
    <w:rPr>
      <w:rFonts w:hint="eastAsia" w:ascii="宋体" w:hAnsi="宋体" w:eastAsia="宋体" w:cs="宋体"/>
      <w:color w:val="000000"/>
      <w:sz w:val="20"/>
      <w:szCs w:val="20"/>
      <w:u w:val="none"/>
    </w:rPr>
  </w:style>
  <w:style w:type="character" w:customStyle="1" w:styleId="146">
    <w:name w:val="font41"/>
    <w:qFormat/>
    <w:uiPriority w:val="0"/>
    <w:rPr>
      <w:rFonts w:hint="eastAsia" w:ascii="宋体" w:hAnsi="宋体" w:eastAsia="宋体" w:cs="宋体"/>
      <w:color w:val="000000"/>
      <w:sz w:val="20"/>
      <w:szCs w:val="20"/>
      <w:u w:val="none"/>
    </w:rPr>
  </w:style>
  <w:style w:type="character" w:customStyle="1" w:styleId="147">
    <w:name w:val="font01"/>
    <w:qFormat/>
    <w:uiPriority w:val="0"/>
    <w:rPr>
      <w:rFonts w:hint="eastAsia" w:ascii="宋体" w:hAnsi="宋体" w:eastAsia="宋体" w:cs="宋体"/>
      <w:color w:val="000000"/>
      <w:sz w:val="18"/>
      <w:szCs w:val="18"/>
      <w:u w:val="none"/>
    </w:rPr>
  </w:style>
  <w:style w:type="character" w:customStyle="1" w:styleId="148">
    <w:name w:val="font71"/>
    <w:qFormat/>
    <w:uiPriority w:val="0"/>
    <w:rPr>
      <w:rFonts w:hint="default" w:ascii="Courier New" w:hAnsi="Courier New" w:cs="Courier New"/>
      <w:color w:val="000000"/>
      <w:sz w:val="20"/>
      <w:szCs w:val="20"/>
      <w:u w:val="none"/>
    </w:rPr>
  </w:style>
  <w:style w:type="character" w:customStyle="1" w:styleId="149">
    <w:name w:val="font31"/>
    <w:qFormat/>
    <w:uiPriority w:val="0"/>
    <w:rPr>
      <w:rFonts w:ascii="仿宋" w:hAnsi="仿宋" w:eastAsia="仿宋" w:cs="仿宋"/>
      <w:color w:val="000000"/>
      <w:sz w:val="20"/>
      <w:szCs w:val="20"/>
      <w:u w:val="none"/>
    </w:rPr>
  </w:style>
  <w:style w:type="character" w:customStyle="1" w:styleId="150">
    <w:name w:val="font51"/>
    <w:qFormat/>
    <w:uiPriority w:val="0"/>
    <w:rPr>
      <w:rFonts w:hint="default" w:ascii="Times New Roman" w:hAnsi="Times New Roman" w:cs="Times New Roman"/>
      <w:color w:val="000000"/>
      <w:sz w:val="18"/>
      <w:szCs w:val="18"/>
      <w:u w:val="none"/>
    </w:rPr>
  </w:style>
  <w:style w:type="paragraph" w:customStyle="1" w:styleId="151">
    <w:name w:val="表标题"/>
    <w:basedOn w:val="1"/>
    <w:qFormat/>
    <w:uiPriority w:val="0"/>
    <w:pPr>
      <w:jc w:val="center"/>
    </w:pPr>
    <w:rPr>
      <w:szCs w:val="22"/>
    </w:rPr>
  </w:style>
  <w:style w:type="paragraph" w:customStyle="1" w:styleId="152">
    <w:name w:val="表格内容(居中)"/>
    <w:basedOn w:val="1"/>
    <w:qFormat/>
    <w:uiPriority w:val="0"/>
    <w:pPr>
      <w:jc w:val="center"/>
    </w:pPr>
    <w:rPr>
      <w:rFonts w:ascii="宋体"/>
      <w:szCs w:val="28"/>
    </w:rPr>
  </w:style>
  <w:style w:type="character" w:customStyle="1" w:styleId="153">
    <w:name w:val="NormalCharacter"/>
    <w:qFormat/>
    <w:uiPriority w:val="0"/>
    <w:rPr>
      <w:rFonts w:ascii="宋体" w:eastAsia="宋体" w:cs="EA05_Body"/>
      <w:kern w:val="2"/>
      <w:sz w:val="24"/>
      <w:lang w:val="en-US" w:eastAsia="zh-CN" w:bidi="ar-SA"/>
    </w:rPr>
  </w:style>
  <w:style w:type="paragraph" w:customStyle="1" w:styleId="154">
    <w:name w:val="Body text|1"/>
    <w:basedOn w:val="1"/>
    <w:qFormat/>
    <w:uiPriority w:val="0"/>
    <w:pPr>
      <w:spacing w:line="480" w:lineRule="auto"/>
      <w:ind w:firstLine="400"/>
    </w:pPr>
    <w:rPr>
      <w:rFonts w:ascii="宋体" w:hAnsi="宋体" w:cs="宋体"/>
      <w:sz w:val="28"/>
      <w:szCs w:val="28"/>
      <w:lang w:val="zh-TW" w:eastAsia="zh-TW" w:bidi="zh-TW"/>
    </w:rPr>
  </w:style>
  <w:style w:type="paragraph" w:customStyle="1" w:styleId="155">
    <w:name w:val="cont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正文新"/>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57">
    <w:name w:val="正文图名"/>
    <w:qFormat/>
    <w:uiPriority w:val="0"/>
    <w:pPr>
      <w:jc w:val="center"/>
    </w:pPr>
    <w:rPr>
      <w:rFonts w:ascii="Times New Roman" w:hAnsi="Times New Roman" w:eastAsia="黑体" w:cs="Times New Roman"/>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jpeg"/><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3.xml"/><Relationship Id="rId59" Type="http://schemas.openxmlformats.org/officeDocument/2006/relationships/image" Target="media/image40.jpe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header" Target="header1.xml"/><Relationship Id="rId49" Type="http://schemas.openxmlformats.org/officeDocument/2006/relationships/image" Target="media/image30.jpeg"/><Relationship Id="rId48" Type="http://schemas.openxmlformats.org/officeDocument/2006/relationships/image" Target="media/image29.jpe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wmf"/><Relationship Id="rId35" Type="http://schemas.openxmlformats.org/officeDocument/2006/relationships/oleObject" Target="embeddings/oleObject6.bin"/><Relationship Id="rId34" Type="http://schemas.openxmlformats.org/officeDocument/2006/relationships/image" Target="media/image16.wmf"/><Relationship Id="rId33" Type="http://schemas.openxmlformats.org/officeDocument/2006/relationships/oleObject" Target="embeddings/oleObject5.bin"/><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2.wmf"/><Relationship Id="rId27" Type="http://schemas.openxmlformats.org/officeDocument/2006/relationships/oleObject" Target="embeddings/oleObject3.bin"/><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wmf"/><Relationship Id="rId17" Type="http://schemas.openxmlformats.org/officeDocument/2006/relationships/oleObject" Target="embeddings/oleObject1.bin"/><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Library\Containers\com.kingsoft.wpsoffice.mac\Data\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6"/>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125</Pages>
  <Words>48465</Words>
  <Characters>56575</Characters>
  <Lines>444</Lines>
  <Paragraphs>125</Paragraphs>
  <TotalTime>0</TotalTime>
  <ScaleCrop>false</ScaleCrop>
  <LinksUpToDate>false</LinksUpToDate>
  <CharactersWithSpaces>56989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2021-05-27T21:34:00Z</dcterms:created>
  <dc:creator>lhj</dc:creator>
  <cp:lastModifiedBy></cp:lastModifiedBy>
  <cp:lastPrinted>2020-12-29T10:43:00Z</cp:lastPrinted>
  <dcterms:modified xsi:type="dcterms:W3CDTF">2023-07-14T01:21:33Z</dcterms:modified>
  <dc:title>附件2</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5EAACBF298AC4C985CBDED63634974FF</vt:lpwstr>
  </property>
</Properties>
</file>