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36"/>
          <w:szCs w:val="36"/>
        </w:rPr>
      </w:pPr>
      <w:bookmarkStart w:id="0" w:name="_Hlk491075456"/>
      <w:bookmarkStart w:id="1" w:name="_Toc499205526"/>
      <w:bookmarkStart w:id="2" w:name="_Toc499205376"/>
      <w:bookmarkStart w:id="3" w:name="_Toc225155060"/>
      <w:bookmarkStart w:id="4" w:name="_Toc147820524"/>
      <w:bookmarkStart w:id="5" w:name="_Toc255195774"/>
      <w:bookmarkStart w:id="6" w:name="_Toc247622614"/>
      <w:bookmarkStart w:id="7" w:name="_Toc168481409"/>
    </w:p>
    <w:p>
      <w:pPr>
        <w:jc w:val="center"/>
        <w:rPr>
          <w:b/>
          <w:sz w:val="36"/>
          <w:szCs w:val="36"/>
        </w:rPr>
      </w:pPr>
    </w:p>
    <w:p>
      <w:pPr>
        <w:jc w:val="center"/>
        <w:rPr>
          <w:rFonts w:eastAsia="黑体"/>
          <w:b/>
          <w:bCs/>
          <w:sz w:val="44"/>
          <w:szCs w:val="44"/>
        </w:rPr>
      </w:pPr>
      <w:r>
        <w:rPr>
          <w:rFonts w:hint="eastAsia" w:eastAsia="黑体"/>
          <w:b/>
          <w:bCs/>
          <w:sz w:val="44"/>
          <w:szCs w:val="44"/>
        </w:rPr>
        <w:t>山西煤炭运销集团新工煤业有限公司</w:t>
      </w:r>
    </w:p>
    <w:p>
      <w:pPr>
        <w:jc w:val="center"/>
        <w:rPr>
          <w:rFonts w:eastAsia="黑体"/>
          <w:b/>
          <w:bCs/>
          <w:sz w:val="44"/>
          <w:szCs w:val="44"/>
        </w:rPr>
      </w:pPr>
      <w:r>
        <w:rPr>
          <w:rFonts w:hint="eastAsia" w:eastAsia="黑体"/>
          <w:b/>
          <w:bCs/>
          <w:sz w:val="44"/>
          <w:szCs w:val="44"/>
        </w:rPr>
        <w:t>120万t/a矿井兼并重组整合项目</w:t>
      </w:r>
    </w:p>
    <w:p>
      <w:pPr>
        <w:jc w:val="center"/>
        <w:rPr>
          <w:rFonts w:eastAsia="隶书"/>
          <w:sz w:val="84"/>
          <w:szCs w:val="84"/>
        </w:rPr>
      </w:pPr>
      <w:r>
        <w:rPr>
          <w:rFonts w:hint="eastAsia" w:eastAsia="隶书"/>
          <w:sz w:val="84"/>
          <w:szCs w:val="84"/>
        </w:rPr>
        <w:t>变更环境影响报告书</w:t>
      </w:r>
    </w:p>
    <w:p>
      <w:pPr>
        <w:jc w:val="center"/>
        <w:rPr>
          <w:rFonts w:eastAsia="隶书"/>
          <w:sz w:val="36"/>
          <w:szCs w:val="36"/>
        </w:rPr>
      </w:pPr>
      <w:r>
        <w:rPr>
          <w:rFonts w:hint="eastAsia" w:eastAsia="隶书"/>
          <w:sz w:val="36"/>
          <w:szCs w:val="36"/>
        </w:rPr>
        <w:t>（公示本）</w:t>
      </w:r>
    </w:p>
    <w:p>
      <w:pPr>
        <w:ind w:firstLine="2142" w:firstLineChars="595"/>
        <w:rPr>
          <w:b/>
          <w:sz w:val="36"/>
          <w:szCs w:val="36"/>
        </w:rPr>
      </w:pPr>
    </w:p>
    <w:p>
      <w:pPr>
        <w:ind w:firstLine="2142" w:firstLineChars="595"/>
        <w:rPr>
          <w:rFonts w:eastAsiaTheme="minorEastAsia"/>
          <w:b/>
          <w:sz w:val="36"/>
          <w:szCs w:val="36"/>
        </w:rPr>
      </w:pPr>
    </w:p>
    <w:p>
      <w:pPr>
        <w:ind w:firstLine="2142" w:firstLineChars="595"/>
        <w:rPr>
          <w:b/>
          <w:sz w:val="36"/>
          <w:szCs w:val="36"/>
        </w:rPr>
      </w:pPr>
    </w:p>
    <w:p>
      <w:pPr>
        <w:ind w:firstLine="2142" w:firstLineChars="595"/>
        <w:rPr>
          <w:b/>
          <w:sz w:val="36"/>
          <w:szCs w:val="36"/>
        </w:rPr>
      </w:pPr>
    </w:p>
    <w:p>
      <w:pPr>
        <w:ind w:firstLine="2142" w:firstLineChars="595"/>
        <w:rPr>
          <w:b/>
          <w:sz w:val="36"/>
          <w:szCs w:val="36"/>
        </w:rPr>
      </w:pPr>
    </w:p>
    <w:p>
      <w:pPr>
        <w:ind w:firstLine="2142" w:firstLineChars="595"/>
        <w:rPr>
          <w:b/>
          <w:sz w:val="36"/>
          <w:szCs w:val="36"/>
        </w:rPr>
      </w:pPr>
    </w:p>
    <w:p>
      <w:pPr>
        <w:ind w:firstLine="2142" w:firstLineChars="595"/>
        <w:rPr>
          <w:b/>
          <w:sz w:val="36"/>
          <w:szCs w:val="36"/>
        </w:rPr>
      </w:pPr>
    </w:p>
    <w:p>
      <w:pPr>
        <w:ind w:firstLine="2142" w:firstLineChars="595"/>
        <w:rPr>
          <w:b/>
          <w:sz w:val="36"/>
          <w:szCs w:val="36"/>
        </w:rPr>
      </w:pPr>
    </w:p>
    <w:p>
      <w:pPr>
        <w:spacing w:line="360" w:lineRule="auto"/>
        <w:jc w:val="center"/>
        <w:rPr>
          <w:rFonts w:eastAsia="黑体"/>
          <w:b/>
          <w:bCs/>
          <w:sz w:val="32"/>
          <w:szCs w:val="32"/>
        </w:rPr>
      </w:pPr>
      <w:r>
        <w:rPr>
          <w:rFonts w:hint="eastAsia" w:eastAsia="黑体"/>
          <w:sz w:val="32"/>
          <w:szCs w:val="32"/>
        </w:rPr>
        <w:t>建设单位：</w:t>
      </w:r>
      <w:r>
        <w:rPr>
          <w:rFonts w:hint="eastAsia" w:eastAsia="黑体"/>
          <w:bCs/>
          <w:sz w:val="32"/>
          <w:szCs w:val="32"/>
        </w:rPr>
        <w:t>山西煤炭运销集团新工煤业有限公司</w:t>
      </w:r>
    </w:p>
    <w:p>
      <w:pPr>
        <w:spacing w:line="360" w:lineRule="auto"/>
        <w:jc w:val="center"/>
        <w:rPr>
          <w:rFonts w:eastAsia="黑体"/>
          <w:sz w:val="32"/>
          <w:szCs w:val="32"/>
        </w:rPr>
      </w:pPr>
      <w:r>
        <w:rPr>
          <w:rFonts w:hint="eastAsia" w:eastAsia="黑体"/>
          <w:sz w:val="32"/>
          <w:szCs w:val="32"/>
        </w:rPr>
        <w:t>编制单位：北京绿方舟科技有限责任公司</w:t>
      </w:r>
    </w:p>
    <w:p>
      <w:pPr>
        <w:spacing w:line="360" w:lineRule="auto"/>
        <w:jc w:val="center"/>
        <w:rPr>
          <w:rFonts w:eastAsia="黑体"/>
          <w:sz w:val="32"/>
          <w:szCs w:val="32"/>
        </w:rPr>
      </w:pPr>
      <w:r>
        <w:rPr>
          <w:rFonts w:hint="eastAsia" w:eastAsia="黑体"/>
          <w:sz w:val="32"/>
          <w:szCs w:val="32"/>
        </w:rPr>
        <w:t>国环评证乙字第</w:t>
      </w:r>
      <w:r>
        <w:rPr>
          <w:rFonts w:eastAsia="黑体"/>
          <w:sz w:val="32"/>
          <w:szCs w:val="32"/>
        </w:rPr>
        <w:t>1035</w:t>
      </w:r>
      <w:r>
        <w:rPr>
          <w:rFonts w:hint="eastAsia" w:eastAsia="黑体"/>
          <w:sz w:val="32"/>
          <w:szCs w:val="32"/>
        </w:rPr>
        <w:t>号</w:t>
      </w:r>
    </w:p>
    <w:p>
      <w:pPr>
        <w:spacing w:line="360" w:lineRule="auto"/>
        <w:jc w:val="center"/>
        <w:rPr>
          <w:rFonts w:eastAsiaTheme="minorEastAsia"/>
          <w:sz w:val="32"/>
          <w:szCs w:val="32"/>
        </w:rPr>
        <w:sectPr>
          <w:headerReference r:id="rId5" w:type="first"/>
          <w:headerReference r:id="rId3" w:type="default"/>
          <w:headerReference r:id="rId4" w:type="even"/>
          <w:pgSz w:w="11907" w:h="16840"/>
          <w:pgMar w:top="1786" w:right="1588" w:bottom="1786" w:left="1588" w:header="964" w:footer="964" w:gutter="0"/>
          <w:pgNumType w:fmt="upperRoman" w:start="1"/>
          <w:cols w:space="425" w:num="1"/>
          <w:docGrid w:type="linesAndChars" w:linePitch="328" w:charSpace="0"/>
        </w:sectPr>
      </w:pPr>
      <w:r>
        <w:rPr>
          <w:rFonts w:hint="eastAsia" w:eastAsia="黑体"/>
          <w:kern w:val="0"/>
          <w:sz w:val="32"/>
          <w:szCs w:val="32"/>
        </w:rPr>
        <w:t>二</w:t>
      </w:r>
      <w:r>
        <w:rPr>
          <w:rFonts w:eastAsia="黑体"/>
          <w:kern w:val="0"/>
          <w:sz w:val="32"/>
          <w:szCs w:val="32"/>
        </w:rPr>
        <w:t>O</w:t>
      </w:r>
      <w:r>
        <w:rPr>
          <w:rFonts w:hint="eastAsia" w:eastAsia="黑体"/>
          <w:kern w:val="0"/>
          <w:sz w:val="32"/>
          <w:szCs w:val="32"/>
        </w:rPr>
        <w:t>二一年</w:t>
      </w:r>
      <w:bookmarkEnd w:id="0"/>
      <w:r>
        <w:rPr>
          <w:rFonts w:hint="eastAsia" w:eastAsia="黑体"/>
          <w:kern w:val="0"/>
          <w:sz w:val="32"/>
          <w:szCs w:val="32"/>
        </w:rPr>
        <w:t>五月</w:t>
      </w:r>
    </w:p>
    <w:p>
      <w:pPr>
        <w:spacing w:line="600" w:lineRule="exact"/>
        <w:rPr>
          <w:rFonts w:eastAsiaTheme="minorEastAsia"/>
          <w:b/>
          <w:sz w:val="28"/>
          <w:szCs w:val="28"/>
        </w:rPr>
        <w:sectPr>
          <w:pgSz w:w="11907" w:h="16840"/>
          <w:pgMar w:top="1786" w:right="1588" w:bottom="1786" w:left="1588" w:header="964" w:footer="964" w:gutter="0"/>
          <w:pgNumType w:fmt="upperRoman" w:start="1"/>
          <w:cols w:space="425" w:num="1"/>
          <w:docGrid w:type="linesAndChars" w:linePitch="328" w:charSpace="0"/>
        </w:sectPr>
      </w:pPr>
    </w:p>
    <w:bookmarkEnd w:id="1"/>
    <w:bookmarkEnd w:id="2"/>
    <w:p>
      <w:pPr>
        <w:pStyle w:val="18"/>
        <w:rPr>
          <w:rFonts w:eastAsiaTheme="minorEastAsia"/>
        </w:rPr>
      </w:pPr>
      <w:r>
        <w:rPr>
          <w:rFonts w:hAnsiTheme="minorEastAsia" w:eastAsiaTheme="minorEastAsia"/>
        </w:rPr>
        <w:t>目</w:t>
      </w:r>
      <w:r>
        <w:rPr>
          <w:rFonts w:eastAsiaTheme="minorEastAsia"/>
        </w:rPr>
        <w:t xml:space="preserve">   </w:t>
      </w:r>
      <w:r>
        <w:rPr>
          <w:rFonts w:hAnsiTheme="minorEastAsia" w:eastAsiaTheme="minorEastAsia"/>
        </w:rPr>
        <w:t>录</w:t>
      </w:r>
    </w:p>
    <w:p>
      <w:pPr>
        <w:pStyle w:val="18"/>
        <w:rPr>
          <w:rFonts w:asciiTheme="minorHAnsi" w:hAnsiTheme="minorHAnsi" w:eastAsiaTheme="minorEastAsia" w:cstheme="minorBidi"/>
          <w:b w:val="0"/>
          <w:sz w:val="28"/>
          <w:szCs w:val="28"/>
        </w:rPr>
      </w:pPr>
      <w:r>
        <w:rPr>
          <w:rFonts w:eastAsiaTheme="minorEastAsia"/>
          <w:sz w:val="28"/>
          <w:szCs w:val="28"/>
        </w:rPr>
        <w:fldChar w:fldCharType="begin"/>
      </w:r>
      <w:r>
        <w:rPr>
          <w:rFonts w:eastAsiaTheme="minorEastAsia"/>
          <w:sz w:val="28"/>
          <w:szCs w:val="28"/>
        </w:rPr>
        <w:instrText xml:space="preserve"> TOC \o "1-2" \h \z \u </w:instrText>
      </w:r>
      <w:r>
        <w:rPr>
          <w:rFonts w:eastAsiaTheme="minorEastAsia"/>
          <w:sz w:val="28"/>
          <w:szCs w:val="28"/>
        </w:rPr>
        <w:fldChar w:fldCharType="separate"/>
      </w:r>
      <w:r>
        <w:fldChar w:fldCharType="begin"/>
      </w:r>
      <w:r>
        <w:instrText xml:space="preserve"> HYPERLINK \l "_Toc71551912" </w:instrText>
      </w:r>
      <w:r>
        <w:fldChar w:fldCharType="separate"/>
      </w:r>
      <w:r>
        <w:rPr>
          <w:rStyle w:val="28"/>
          <w:sz w:val="28"/>
          <w:szCs w:val="28"/>
        </w:rPr>
        <w:t>1</w:t>
      </w:r>
      <w:r>
        <w:rPr>
          <w:rStyle w:val="28"/>
          <w:rFonts w:hint="eastAsia" w:hAnsiTheme="minorEastAsia"/>
          <w:sz w:val="28"/>
          <w:szCs w:val="28"/>
        </w:rPr>
        <w:t>、概述</w:t>
      </w:r>
      <w:r>
        <w:rPr>
          <w:sz w:val="28"/>
          <w:szCs w:val="28"/>
        </w:rPr>
        <w:tab/>
      </w:r>
      <w:r>
        <w:rPr>
          <w:sz w:val="28"/>
          <w:szCs w:val="28"/>
        </w:rPr>
        <w:fldChar w:fldCharType="begin"/>
      </w:r>
      <w:r>
        <w:rPr>
          <w:sz w:val="28"/>
          <w:szCs w:val="28"/>
        </w:rPr>
        <w:instrText xml:space="preserve"> PAGEREF _Toc71551912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"_Toc71551913" </w:instrText>
      </w:r>
      <w:r>
        <w:fldChar w:fldCharType="separate"/>
      </w:r>
      <w:r>
        <w:rPr>
          <w:rStyle w:val="28"/>
          <w:kern w:val="44"/>
          <w:sz w:val="28"/>
          <w:szCs w:val="28"/>
        </w:rPr>
        <w:t>1.1</w:t>
      </w:r>
      <w:r>
        <w:rPr>
          <w:rStyle w:val="28"/>
          <w:rFonts w:hint="eastAsia" w:hAnsiTheme="minorEastAsia"/>
          <w:kern w:val="44"/>
          <w:sz w:val="28"/>
          <w:szCs w:val="28"/>
        </w:rPr>
        <w:t>项目概况及评价任务由来</w:t>
      </w:r>
      <w:r>
        <w:rPr>
          <w:sz w:val="28"/>
          <w:szCs w:val="28"/>
        </w:rPr>
        <w:tab/>
      </w:r>
      <w:r>
        <w:rPr>
          <w:sz w:val="28"/>
          <w:szCs w:val="28"/>
        </w:rPr>
        <w:fldChar w:fldCharType="begin"/>
      </w:r>
      <w:r>
        <w:rPr>
          <w:sz w:val="28"/>
          <w:szCs w:val="28"/>
        </w:rPr>
        <w:instrText xml:space="preserve"> PAGEREF _Toc71551913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"_Toc71551914" </w:instrText>
      </w:r>
      <w:r>
        <w:fldChar w:fldCharType="separate"/>
      </w:r>
      <w:r>
        <w:rPr>
          <w:rStyle w:val="28"/>
          <w:kern w:val="44"/>
          <w:sz w:val="28"/>
          <w:szCs w:val="28"/>
        </w:rPr>
        <w:t>1.2</w:t>
      </w:r>
      <w:r>
        <w:rPr>
          <w:rStyle w:val="28"/>
          <w:rFonts w:hint="eastAsia"/>
          <w:kern w:val="44"/>
          <w:sz w:val="28"/>
          <w:szCs w:val="28"/>
        </w:rPr>
        <w:t>变更环境影响评价主要内容</w:t>
      </w:r>
      <w:r>
        <w:rPr>
          <w:sz w:val="28"/>
          <w:szCs w:val="28"/>
        </w:rPr>
        <w:tab/>
      </w:r>
      <w:r>
        <w:rPr>
          <w:sz w:val="28"/>
          <w:szCs w:val="28"/>
        </w:rPr>
        <w:fldChar w:fldCharType="begin"/>
      </w:r>
      <w:r>
        <w:rPr>
          <w:sz w:val="28"/>
          <w:szCs w:val="28"/>
        </w:rPr>
        <w:instrText xml:space="preserve"> PAGEREF _Toc71551914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"_Toc71551915" </w:instrText>
      </w:r>
      <w:r>
        <w:fldChar w:fldCharType="separate"/>
      </w:r>
      <w:r>
        <w:rPr>
          <w:rStyle w:val="28"/>
          <w:kern w:val="44"/>
          <w:sz w:val="28"/>
          <w:szCs w:val="28"/>
        </w:rPr>
        <w:t>1.3</w:t>
      </w:r>
      <w:r>
        <w:rPr>
          <w:rStyle w:val="28"/>
          <w:rFonts w:hint="eastAsia" w:hAnsiTheme="minorEastAsia"/>
          <w:kern w:val="44"/>
          <w:sz w:val="28"/>
          <w:szCs w:val="28"/>
        </w:rPr>
        <w:t>项目可行性判定</w:t>
      </w:r>
      <w:r>
        <w:rPr>
          <w:sz w:val="28"/>
          <w:szCs w:val="28"/>
        </w:rPr>
        <w:tab/>
      </w:r>
      <w:r>
        <w:rPr>
          <w:sz w:val="28"/>
          <w:szCs w:val="28"/>
        </w:rPr>
        <w:fldChar w:fldCharType="begin"/>
      </w:r>
      <w:r>
        <w:rPr>
          <w:sz w:val="28"/>
          <w:szCs w:val="28"/>
        </w:rPr>
        <w:instrText xml:space="preserve"> PAGEREF _Toc71551915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"_Toc71551916" </w:instrText>
      </w:r>
      <w:r>
        <w:fldChar w:fldCharType="separate"/>
      </w:r>
      <w:r>
        <w:rPr>
          <w:rStyle w:val="28"/>
          <w:kern w:val="44"/>
          <w:sz w:val="28"/>
          <w:szCs w:val="28"/>
        </w:rPr>
        <w:t>1.4</w:t>
      </w:r>
      <w:r>
        <w:rPr>
          <w:rStyle w:val="28"/>
          <w:rFonts w:hint="eastAsia" w:hAnsiTheme="minorEastAsia"/>
          <w:kern w:val="44"/>
          <w:sz w:val="28"/>
          <w:szCs w:val="28"/>
        </w:rPr>
        <w:t>环境影响评价工作过程</w:t>
      </w:r>
      <w:r>
        <w:rPr>
          <w:sz w:val="28"/>
          <w:szCs w:val="28"/>
        </w:rPr>
        <w:tab/>
      </w:r>
      <w:r>
        <w:rPr>
          <w:sz w:val="28"/>
          <w:szCs w:val="28"/>
        </w:rPr>
        <w:fldChar w:fldCharType="begin"/>
      </w:r>
      <w:r>
        <w:rPr>
          <w:sz w:val="28"/>
          <w:szCs w:val="28"/>
        </w:rPr>
        <w:instrText xml:space="preserve"> PAGEREF _Toc71551916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"_Toc71551917" </w:instrText>
      </w:r>
      <w:r>
        <w:fldChar w:fldCharType="separate"/>
      </w:r>
      <w:r>
        <w:rPr>
          <w:rStyle w:val="28"/>
          <w:kern w:val="44"/>
          <w:sz w:val="28"/>
          <w:szCs w:val="28"/>
        </w:rPr>
        <w:t>1.5</w:t>
      </w:r>
      <w:r>
        <w:rPr>
          <w:rStyle w:val="28"/>
          <w:rFonts w:hint="eastAsia" w:hAnsiTheme="minorEastAsia"/>
          <w:kern w:val="44"/>
          <w:sz w:val="28"/>
          <w:szCs w:val="28"/>
        </w:rPr>
        <w:t>关注的主要环境问题及环境影响</w:t>
      </w:r>
      <w:r>
        <w:rPr>
          <w:sz w:val="28"/>
          <w:szCs w:val="28"/>
        </w:rPr>
        <w:tab/>
      </w:r>
      <w:r>
        <w:rPr>
          <w:sz w:val="28"/>
          <w:szCs w:val="28"/>
        </w:rPr>
        <w:fldChar w:fldCharType="begin"/>
      </w:r>
      <w:r>
        <w:rPr>
          <w:sz w:val="28"/>
          <w:szCs w:val="28"/>
        </w:rPr>
        <w:instrText xml:space="preserve"> PAGEREF _Toc71551917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"_Toc71551918" </w:instrText>
      </w:r>
      <w:r>
        <w:fldChar w:fldCharType="separate"/>
      </w:r>
      <w:r>
        <w:rPr>
          <w:rStyle w:val="28"/>
          <w:kern w:val="44"/>
          <w:sz w:val="28"/>
          <w:szCs w:val="28"/>
        </w:rPr>
        <w:t>1.6</w:t>
      </w:r>
      <w:r>
        <w:rPr>
          <w:rStyle w:val="28"/>
          <w:rFonts w:hint="eastAsia" w:hAnsiTheme="minorEastAsia"/>
          <w:kern w:val="44"/>
          <w:sz w:val="28"/>
          <w:szCs w:val="28"/>
        </w:rPr>
        <w:t>环境影响评价的主要结论</w:t>
      </w:r>
      <w:r>
        <w:rPr>
          <w:sz w:val="28"/>
          <w:szCs w:val="28"/>
        </w:rPr>
        <w:tab/>
      </w:r>
      <w:r>
        <w:rPr>
          <w:sz w:val="28"/>
          <w:szCs w:val="28"/>
        </w:rPr>
        <w:fldChar w:fldCharType="begin"/>
      </w:r>
      <w:r>
        <w:rPr>
          <w:sz w:val="28"/>
          <w:szCs w:val="28"/>
        </w:rPr>
        <w:instrText xml:space="preserve"> PAGEREF _Toc71551918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18"/>
        <w:rPr>
          <w:rFonts w:asciiTheme="minorHAnsi" w:hAnsiTheme="minorHAnsi" w:eastAsiaTheme="minorEastAsia" w:cstheme="minorBidi"/>
          <w:b w:val="0"/>
          <w:sz w:val="28"/>
          <w:szCs w:val="28"/>
        </w:rPr>
      </w:pPr>
      <w:r>
        <w:fldChar w:fldCharType="begin"/>
      </w:r>
      <w:r>
        <w:instrText xml:space="preserve"> HYPERLINK \l "_Toc71551919" </w:instrText>
      </w:r>
      <w:r>
        <w:fldChar w:fldCharType="separate"/>
      </w:r>
      <w:r>
        <w:rPr>
          <w:rStyle w:val="28"/>
          <w:sz w:val="28"/>
          <w:szCs w:val="28"/>
        </w:rPr>
        <w:t>2</w:t>
      </w:r>
      <w:r>
        <w:rPr>
          <w:rStyle w:val="28"/>
          <w:rFonts w:hint="eastAsia" w:hAnsiTheme="minorEastAsia"/>
          <w:sz w:val="28"/>
          <w:szCs w:val="28"/>
        </w:rPr>
        <w:t>、总则</w:t>
      </w:r>
      <w:r>
        <w:rPr>
          <w:sz w:val="28"/>
          <w:szCs w:val="28"/>
        </w:rPr>
        <w:tab/>
      </w:r>
      <w:r>
        <w:rPr>
          <w:sz w:val="28"/>
          <w:szCs w:val="28"/>
        </w:rPr>
        <w:fldChar w:fldCharType="begin"/>
      </w:r>
      <w:r>
        <w:rPr>
          <w:sz w:val="28"/>
          <w:szCs w:val="28"/>
        </w:rPr>
        <w:instrText xml:space="preserve"> PAGEREF _Toc71551919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"_Toc71551920" </w:instrText>
      </w:r>
      <w:r>
        <w:fldChar w:fldCharType="separate"/>
      </w:r>
      <w:r>
        <w:rPr>
          <w:rStyle w:val="28"/>
          <w:kern w:val="44"/>
          <w:sz w:val="28"/>
          <w:szCs w:val="28"/>
        </w:rPr>
        <w:t>2.1</w:t>
      </w:r>
      <w:r>
        <w:rPr>
          <w:rStyle w:val="28"/>
          <w:rFonts w:hint="eastAsia" w:hAnsiTheme="minorEastAsia"/>
          <w:kern w:val="44"/>
          <w:sz w:val="28"/>
          <w:szCs w:val="28"/>
        </w:rPr>
        <w:t>编制依据</w:t>
      </w:r>
      <w:r>
        <w:rPr>
          <w:sz w:val="28"/>
          <w:szCs w:val="28"/>
        </w:rPr>
        <w:tab/>
      </w:r>
      <w:r>
        <w:rPr>
          <w:sz w:val="28"/>
          <w:szCs w:val="28"/>
        </w:rPr>
        <w:fldChar w:fldCharType="begin"/>
      </w:r>
      <w:r>
        <w:rPr>
          <w:sz w:val="28"/>
          <w:szCs w:val="28"/>
        </w:rPr>
        <w:instrText xml:space="preserve"> PAGEREF _Toc71551920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"_Toc71551921" </w:instrText>
      </w:r>
      <w:r>
        <w:fldChar w:fldCharType="separate"/>
      </w:r>
      <w:r>
        <w:rPr>
          <w:rStyle w:val="28"/>
          <w:sz w:val="28"/>
          <w:szCs w:val="28"/>
        </w:rPr>
        <w:t xml:space="preserve">2.2 </w:t>
      </w:r>
      <w:r>
        <w:rPr>
          <w:rStyle w:val="28"/>
          <w:rFonts w:hint="eastAsia" w:hAnsiTheme="minorEastAsia"/>
          <w:sz w:val="28"/>
          <w:szCs w:val="28"/>
        </w:rPr>
        <w:t>评价目的及原则</w:t>
      </w:r>
      <w:r>
        <w:rPr>
          <w:sz w:val="28"/>
          <w:szCs w:val="28"/>
        </w:rPr>
        <w:tab/>
      </w:r>
      <w:r>
        <w:rPr>
          <w:sz w:val="28"/>
          <w:szCs w:val="28"/>
        </w:rPr>
        <w:fldChar w:fldCharType="begin"/>
      </w:r>
      <w:r>
        <w:rPr>
          <w:sz w:val="28"/>
          <w:szCs w:val="28"/>
        </w:rPr>
        <w:instrText xml:space="preserve"> PAGEREF _Toc71551921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"_Toc71551922" </w:instrText>
      </w:r>
      <w:r>
        <w:fldChar w:fldCharType="separate"/>
      </w:r>
      <w:r>
        <w:rPr>
          <w:rStyle w:val="28"/>
          <w:sz w:val="28"/>
          <w:szCs w:val="28"/>
        </w:rPr>
        <w:t>2.3</w:t>
      </w:r>
      <w:r>
        <w:rPr>
          <w:rStyle w:val="28"/>
          <w:rFonts w:hint="eastAsia" w:hAnsiTheme="minorEastAsia"/>
          <w:sz w:val="28"/>
          <w:szCs w:val="28"/>
        </w:rPr>
        <w:t>评价时段</w:t>
      </w:r>
      <w:r>
        <w:rPr>
          <w:sz w:val="28"/>
          <w:szCs w:val="28"/>
        </w:rPr>
        <w:tab/>
      </w:r>
      <w:r>
        <w:rPr>
          <w:sz w:val="28"/>
          <w:szCs w:val="28"/>
        </w:rPr>
        <w:fldChar w:fldCharType="begin"/>
      </w:r>
      <w:r>
        <w:rPr>
          <w:sz w:val="28"/>
          <w:szCs w:val="28"/>
        </w:rPr>
        <w:instrText xml:space="preserve"> PAGEREF _Toc71551922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"_Toc71551923" </w:instrText>
      </w:r>
      <w:r>
        <w:fldChar w:fldCharType="separate"/>
      </w:r>
      <w:r>
        <w:rPr>
          <w:rStyle w:val="28"/>
          <w:sz w:val="28"/>
          <w:szCs w:val="28"/>
        </w:rPr>
        <w:t>2.4</w:t>
      </w:r>
      <w:r>
        <w:rPr>
          <w:rStyle w:val="28"/>
          <w:rFonts w:hint="eastAsia" w:hAnsiTheme="minorEastAsia"/>
          <w:sz w:val="28"/>
          <w:szCs w:val="28"/>
        </w:rPr>
        <w:t>环境影响识别与评价因子筛选</w:t>
      </w:r>
      <w:r>
        <w:rPr>
          <w:sz w:val="28"/>
          <w:szCs w:val="28"/>
        </w:rPr>
        <w:tab/>
      </w:r>
      <w:r>
        <w:rPr>
          <w:sz w:val="28"/>
          <w:szCs w:val="28"/>
        </w:rPr>
        <w:fldChar w:fldCharType="begin"/>
      </w:r>
      <w:r>
        <w:rPr>
          <w:sz w:val="28"/>
          <w:szCs w:val="28"/>
        </w:rPr>
        <w:instrText xml:space="preserve"> PAGEREF _Toc71551923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"_Toc71551924" </w:instrText>
      </w:r>
      <w:r>
        <w:fldChar w:fldCharType="separate"/>
      </w:r>
      <w:r>
        <w:rPr>
          <w:rStyle w:val="28"/>
          <w:sz w:val="28"/>
          <w:szCs w:val="28"/>
        </w:rPr>
        <w:t>2.5</w:t>
      </w:r>
      <w:r>
        <w:rPr>
          <w:rStyle w:val="28"/>
          <w:rFonts w:hint="eastAsia" w:hAnsiTheme="minorEastAsia"/>
          <w:sz w:val="28"/>
          <w:szCs w:val="28"/>
        </w:rPr>
        <w:t>评价工作等级</w:t>
      </w:r>
      <w:r>
        <w:rPr>
          <w:sz w:val="28"/>
          <w:szCs w:val="28"/>
        </w:rPr>
        <w:tab/>
      </w:r>
      <w:r>
        <w:rPr>
          <w:sz w:val="28"/>
          <w:szCs w:val="28"/>
        </w:rPr>
        <w:fldChar w:fldCharType="begin"/>
      </w:r>
      <w:r>
        <w:rPr>
          <w:sz w:val="28"/>
          <w:szCs w:val="28"/>
        </w:rPr>
        <w:instrText xml:space="preserve"> PAGEREF _Toc71551924 \h </w:instrText>
      </w:r>
      <w:r>
        <w:rPr>
          <w:sz w:val="28"/>
          <w:szCs w:val="28"/>
        </w:rPr>
        <w:fldChar w:fldCharType="separate"/>
      </w:r>
      <w:r>
        <w:rPr>
          <w:sz w:val="28"/>
          <w:szCs w:val="28"/>
        </w:rPr>
        <w:t>32</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"_Toc71551925" </w:instrText>
      </w:r>
      <w:r>
        <w:fldChar w:fldCharType="separate"/>
      </w:r>
      <w:r>
        <w:rPr>
          <w:rStyle w:val="28"/>
          <w:sz w:val="28"/>
          <w:szCs w:val="28"/>
        </w:rPr>
        <w:t>2.6</w:t>
      </w:r>
      <w:r>
        <w:rPr>
          <w:rStyle w:val="28"/>
          <w:rFonts w:hint="eastAsia" w:hAnsiTheme="minorEastAsia"/>
          <w:sz w:val="28"/>
          <w:szCs w:val="28"/>
        </w:rPr>
        <w:t>评价重点</w:t>
      </w:r>
      <w:r>
        <w:rPr>
          <w:sz w:val="28"/>
          <w:szCs w:val="28"/>
        </w:rPr>
        <w:tab/>
      </w:r>
      <w:r>
        <w:rPr>
          <w:sz w:val="28"/>
          <w:szCs w:val="28"/>
        </w:rPr>
        <w:fldChar w:fldCharType="begin"/>
      </w:r>
      <w:r>
        <w:rPr>
          <w:sz w:val="28"/>
          <w:szCs w:val="28"/>
        </w:rPr>
        <w:instrText xml:space="preserve"> PAGEREF _Toc71551925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"_Toc71551926" </w:instrText>
      </w:r>
      <w:r>
        <w:fldChar w:fldCharType="separate"/>
      </w:r>
      <w:r>
        <w:rPr>
          <w:rStyle w:val="28"/>
          <w:sz w:val="28"/>
          <w:szCs w:val="28"/>
        </w:rPr>
        <w:t>2.7</w:t>
      </w:r>
      <w:r>
        <w:rPr>
          <w:rStyle w:val="28"/>
          <w:rFonts w:hint="eastAsia" w:hAnsiTheme="minorEastAsia"/>
          <w:sz w:val="28"/>
          <w:szCs w:val="28"/>
        </w:rPr>
        <w:t>评价范围</w:t>
      </w:r>
      <w:r>
        <w:rPr>
          <w:sz w:val="28"/>
          <w:szCs w:val="28"/>
        </w:rPr>
        <w:tab/>
      </w:r>
      <w:r>
        <w:rPr>
          <w:sz w:val="28"/>
          <w:szCs w:val="28"/>
        </w:rPr>
        <w:fldChar w:fldCharType="begin"/>
      </w:r>
      <w:r>
        <w:rPr>
          <w:sz w:val="28"/>
          <w:szCs w:val="28"/>
        </w:rPr>
        <w:instrText xml:space="preserve"> PAGEREF _Toc71551926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"_Toc71551927" </w:instrText>
      </w:r>
      <w:r>
        <w:fldChar w:fldCharType="separate"/>
      </w:r>
      <w:r>
        <w:rPr>
          <w:rStyle w:val="28"/>
          <w:sz w:val="28"/>
          <w:szCs w:val="28"/>
        </w:rPr>
        <w:t>2.8</w:t>
      </w:r>
      <w:r>
        <w:rPr>
          <w:rStyle w:val="28"/>
          <w:rFonts w:hint="eastAsia" w:hAnsiTheme="minorEastAsia"/>
          <w:sz w:val="28"/>
          <w:szCs w:val="28"/>
        </w:rPr>
        <w:t>环境功能区划</w:t>
      </w:r>
      <w:r>
        <w:rPr>
          <w:sz w:val="28"/>
          <w:szCs w:val="28"/>
        </w:rPr>
        <w:tab/>
      </w:r>
      <w:r>
        <w:rPr>
          <w:sz w:val="28"/>
          <w:szCs w:val="28"/>
        </w:rPr>
        <w:fldChar w:fldCharType="begin"/>
      </w:r>
      <w:r>
        <w:rPr>
          <w:sz w:val="28"/>
          <w:szCs w:val="28"/>
        </w:rPr>
        <w:instrText xml:space="preserve"> PAGEREF _Toc71551927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"_Toc71551928" </w:instrText>
      </w:r>
      <w:r>
        <w:fldChar w:fldCharType="separate"/>
      </w:r>
      <w:r>
        <w:rPr>
          <w:rStyle w:val="28"/>
          <w:sz w:val="28"/>
          <w:szCs w:val="28"/>
        </w:rPr>
        <w:t>2.9</w:t>
      </w:r>
      <w:r>
        <w:rPr>
          <w:rStyle w:val="28"/>
          <w:rFonts w:hint="eastAsia" w:hAnsiTheme="minorEastAsia"/>
          <w:sz w:val="28"/>
          <w:szCs w:val="28"/>
        </w:rPr>
        <w:t>环境保护目标</w:t>
      </w:r>
      <w:r>
        <w:rPr>
          <w:sz w:val="28"/>
          <w:szCs w:val="28"/>
        </w:rPr>
        <w:tab/>
      </w:r>
      <w:r>
        <w:rPr>
          <w:sz w:val="28"/>
          <w:szCs w:val="28"/>
        </w:rPr>
        <w:fldChar w:fldCharType="begin"/>
      </w:r>
      <w:r>
        <w:rPr>
          <w:sz w:val="28"/>
          <w:szCs w:val="28"/>
        </w:rPr>
        <w:instrText xml:space="preserve"> PAGEREF _Toc71551928 \h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18"/>
        <w:rPr>
          <w:rFonts w:asciiTheme="minorHAnsi" w:hAnsiTheme="minorHAnsi" w:eastAsiaTheme="minorEastAsia" w:cstheme="minorBidi"/>
          <w:b w:val="0"/>
          <w:sz w:val="28"/>
          <w:szCs w:val="28"/>
        </w:rPr>
      </w:pPr>
      <w:r>
        <w:fldChar w:fldCharType="begin"/>
      </w:r>
      <w:r>
        <w:instrText xml:space="preserve"> HYPERLINK \l "_Toc71551929" </w:instrText>
      </w:r>
      <w:r>
        <w:fldChar w:fldCharType="separate"/>
      </w:r>
      <w:r>
        <w:rPr>
          <w:rStyle w:val="28"/>
          <w:sz w:val="28"/>
          <w:szCs w:val="28"/>
        </w:rPr>
        <w:t>3</w:t>
      </w:r>
      <w:r>
        <w:rPr>
          <w:rStyle w:val="28"/>
          <w:rFonts w:hint="eastAsia" w:hAnsiTheme="minorEastAsia"/>
          <w:sz w:val="28"/>
          <w:szCs w:val="28"/>
        </w:rPr>
        <w:t>、建设项目工程分析</w:t>
      </w:r>
      <w:r>
        <w:rPr>
          <w:sz w:val="28"/>
          <w:szCs w:val="28"/>
        </w:rPr>
        <w:tab/>
      </w:r>
      <w:r>
        <w:rPr>
          <w:sz w:val="28"/>
          <w:szCs w:val="28"/>
        </w:rPr>
        <w:fldChar w:fldCharType="begin"/>
      </w:r>
      <w:r>
        <w:rPr>
          <w:sz w:val="28"/>
          <w:szCs w:val="28"/>
        </w:rPr>
        <w:instrText xml:space="preserve"> PAGEREF _Toc71551929 \h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"_Toc71551930" </w:instrText>
      </w:r>
      <w:r>
        <w:fldChar w:fldCharType="separate"/>
      </w:r>
      <w:r>
        <w:rPr>
          <w:rStyle w:val="28"/>
          <w:kern w:val="44"/>
          <w:sz w:val="28"/>
          <w:szCs w:val="28"/>
        </w:rPr>
        <w:t>3.1</w:t>
      </w:r>
      <w:r>
        <w:rPr>
          <w:rStyle w:val="28"/>
          <w:rFonts w:hint="eastAsia" w:hAnsiTheme="minorEastAsia"/>
          <w:kern w:val="44"/>
          <w:sz w:val="28"/>
          <w:szCs w:val="28"/>
        </w:rPr>
        <w:t>项目变更情况</w:t>
      </w:r>
      <w:r>
        <w:rPr>
          <w:sz w:val="28"/>
          <w:szCs w:val="28"/>
        </w:rPr>
        <w:tab/>
      </w:r>
      <w:r>
        <w:rPr>
          <w:sz w:val="28"/>
          <w:szCs w:val="28"/>
        </w:rPr>
        <w:fldChar w:fldCharType="begin"/>
      </w:r>
      <w:r>
        <w:rPr>
          <w:sz w:val="28"/>
          <w:szCs w:val="28"/>
        </w:rPr>
        <w:instrText xml:space="preserve"> PAGEREF _Toc71551930 \h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"_Toc71551931" </w:instrText>
      </w:r>
      <w:r>
        <w:fldChar w:fldCharType="separate"/>
      </w:r>
      <w:r>
        <w:rPr>
          <w:rStyle w:val="28"/>
          <w:kern w:val="44"/>
          <w:sz w:val="28"/>
          <w:szCs w:val="28"/>
        </w:rPr>
        <w:t>3.2</w:t>
      </w:r>
      <w:r>
        <w:rPr>
          <w:rStyle w:val="28"/>
          <w:rFonts w:hint="eastAsia" w:hAnsiTheme="minorEastAsia"/>
          <w:kern w:val="44"/>
          <w:sz w:val="28"/>
          <w:szCs w:val="28"/>
        </w:rPr>
        <w:t>工程概况</w:t>
      </w:r>
      <w:r>
        <w:rPr>
          <w:sz w:val="28"/>
          <w:szCs w:val="28"/>
        </w:rPr>
        <w:tab/>
      </w:r>
      <w:r>
        <w:rPr>
          <w:sz w:val="28"/>
          <w:szCs w:val="28"/>
        </w:rPr>
        <w:fldChar w:fldCharType="begin"/>
      </w:r>
      <w:r>
        <w:rPr>
          <w:sz w:val="28"/>
          <w:szCs w:val="28"/>
        </w:rPr>
        <w:instrText xml:space="preserve"> PAGEREF _Toc71551931 \h </w:instrText>
      </w:r>
      <w:r>
        <w:rPr>
          <w:sz w:val="28"/>
          <w:szCs w:val="28"/>
        </w:rPr>
        <w:fldChar w:fldCharType="separate"/>
      </w:r>
      <w:r>
        <w:rPr>
          <w:sz w:val="28"/>
          <w:szCs w:val="28"/>
        </w:rPr>
        <w:t>43</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"_Toc71551932" </w:instrText>
      </w:r>
      <w:r>
        <w:fldChar w:fldCharType="separate"/>
      </w:r>
      <w:r>
        <w:rPr>
          <w:rStyle w:val="28"/>
          <w:kern w:val="44"/>
          <w:sz w:val="28"/>
          <w:szCs w:val="28"/>
        </w:rPr>
        <w:t>3.3</w:t>
      </w:r>
      <w:r>
        <w:rPr>
          <w:rStyle w:val="28"/>
          <w:rFonts w:hint="eastAsia" w:hAnsiTheme="minorEastAsia"/>
          <w:kern w:val="44"/>
          <w:sz w:val="28"/>
          <w:szCs w:val="28"/>
        </w:rPr>
        <w:t>井田开拓方案</w:t>
      </w:r>
      <w:r>
        <w:rPr>
          <w:sz w:val="28"/>
          <w:szCs w:val="28"/>
        </w:rPr>
        <w:tab/>
      </w:r>
      <w:r>
        <w:rPr>
          <w:sz w:val="28"/>
          <w:szCs w:val="28"/>
        </w:rPr>
        <w:fldChar w:fldCharType="begin"/>
      </w:r>
      <w:r>
        <w:rPr>
          <w:sz w:val="28"/>
          <w:szCs w:val="28"/>
        </w:rPr>
        <w:instrText xml:space="preserve"> PAGEREF _Toc71551932 \h </w:instrText>
      </w:r>
      <w:r>
        <w:rPr>
          <w:sz w:val="28"/>
          <w:szCs w:val="28"/>
        </w:rPr>
        <w:fldChar w:fldCharType="separate"/>
      </w:r>
      <w:r>
        <w:rPr>
          <w:sz w:val="28"/>
          <w:szCs w:val="28"/>
        </w:rPr>
        <w:t>75</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"_Toc71551933" </w:instrText>
      </w:r>
      <w:r>
        <w:fldChar w:fldCharType="separate"/>
      </w:r>
      <w:r>
        <w:rPr>
          <w:rStyle w:val="28"/>
          <w:kern w:val="44"/>
          <w:sz w:val="28"/>
          <w:szCs w:val="28"/>
        </w:rPr>
        <w:t>3.4</w:t>
      </w:r>
      <w:r>
        <w:rPr>
          <w:rStyle w:val="28"/>
          <w:rFonts w:hint="eastAsia" w:hAnsiTheme="minorEastAsia"/>
          <w:kern w:val="44"/>
          <w:sz w:val="28"/>
          <w:szCs w:val="28"/>
        </w:rPr>
        <w:t>污染因素及防治措施分析</w:t>
      </w:r>
      <w:r>
        <w:rPr>
          <w:sz w:val="28"/>
          <w:szCs w:val="28"/>
        </w:rPr>
        <w:tab/>
      </w:r>
      <w:r>
        <w:rPr>
          <w:sz w:val="28"/>
          <w:szCs w:val="28"/>
        </w:rPr>
        <w:fldChar w:fldCharType="begin"/>
      </w:r>
      <w:r>
        <w:rPr>
          <w:sz w:val="28"/>
          <w:szCs w:val="28"/>
        </w:rPr>
        <w:instrText xml:space="preserve"> PAGEREF _Toc71551933 \h </w:instrText>
      </w:r>
      <w:r>
        <w:rPr>
          <w:sz w:val="28"/>
          <w:szCs w:val="28"/>
        </w:rPr>
        <w:fldChar w:fldCharType="separate"/>
      </w:r>
      <w:r>
        <w:rPr>
          <w:sz w:val="28"/>
          <w:szCs w:val="28"/>
        </w:rPr>
        <w:t>86</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"_Toc71551934" </w:instrText>
      </w:r>
      <w:r>
        <w:fldChar w:fldCharType="separate"/>
      </w:r>
      <w:r>
        <w:rPr>
          <w:rStyle w:val="28"/>
          <w:kern w:val="44"/>
          <w:sz w:val="28"/>
          <w:szCs w:val="28"/>
        </w:rPr>
        <w:t>3.5</w:t>
      </w:r>
      <w:r>
        <w:rPr>
          <w:rStyle w:val="28"/>
          <w:rFonts w:hint="eastAsia" w:hAnsiTheme="minorEastAsia"/>
          <w:kern w:val="44"/>
          <w:sz w:val="28"/>
          <w:szCs w:val="28"/>
        </w:rPr>
        <w:t>建设项目污染物控制指标</w:t>
      </w:r>
      <w:r>
        <w:rPr>
          <w:sz w:val="28"/>
          <w:szCs w:val="28"/>
        </w:rPr>
        <w:tab/>
      </w:r>
      <w:r>
        <w:rPr>
          <w:sz w:val="28"/>
          <w:szCs w:val="28"/>
        </w:rPr>
        <w:fldChar w:fldCharType="begin"/>
      </w:r>
      <w:r>
        <w:rPr>
          <w:sz w:val="28"/>
          <w:szCs w:val="28"/>
        </w:rPr>
        <w:instrText xml:space="preserve"> PAGEREF _Toc71551934 \h </w:instrText>
      </w:r>
      <w:r>
        <w:rPr>
          <w:sz w:val="28"/>
          <w:szCs w:val="28"/>
        </w:rPr>
        <w:fldChar w:fldCharType="separate"/>
      </w:r>
      <w:r>
        <w:rPr>
          <w:sz w:val="28"/>
          <w:szCs w:val="28"/>
        </w:rPr>
        <w:t>101</w:t>
      </w:r>
      <w:r>
        <w:rPr>
          <w:sz w:val="28"/>
          <w:szCs w:val="28"/>
        </w:rPr>
        <w:fldChar w:fldCharType="end"/>
      </w:r>
      <w:r>
        <w:rPr>
          <w:sz w:val="28"/>
          <w:szCs w:val="28"/>
        </w:rPr>
        <w:fldChar w:fldCharType="end"/>
      </w:r>
    </w:p>
    <w:p>
      <w:pPr>
        <w:pStyle w:val="18"/>
        <w:rPr>
          <w:rFonts w:asciiTheme="minorHAnsi" w:hAnsiTheme="minorHAnsi" w:eastAsiaTheme="minorEastAsia" w:cstheme="minorBidi"/>
          <w:b w:val="0"/>
          <w:sz w:val="28"/>
          <w:szCs w:val="28"/>
        </w:rPr>
      </w:pPr>
      <w:r>
        <w:fldChar w:fldCharType="begin"/>
      </w:r>
      <w:r>
        <w:instrText xml:space="preserve"> HYPERLINK \l "_Toc71551935" </w:instrText>
      </w:r>
      <w:r>
        <w:fldChar w:fldCharType="separate"/>
      </w:r>
      <w:r>
        <w:rPr>
          <w:rStyle w:val="28"/>
          <w:sz w:val="28"/>
          <w:szCs w:val="28"/>
        </w:rPr>
        <w:t>4</w:t>
      </w:r>
      <w:r>
        <w:rPr>
          <w:rStyle w:val="28"/>
          <w:rFonts w:hint="eastAsia" w:hAnsiTheme="minorEastAsia"/>
          <w:sz w:val="28"/>
          <w:szCs w:val="28"/>
        </w:rPr>
        <w:t>、环境现状调查与评价</w:t>
      </w:r>
      <w:r>
        <w:rPr>
          <w:sz w:val="28"/>
          <w:szCs w:val="28"/>
        </w:rPr>
        <w:tab/>
      </w:r>
      <w:r>
        <w:rPr>
          <w:sz w:val="28"/>
          <w:szCs w:val="28"/>
        </w:rPr>
        <w:fldChar w:fldCharType="begin"/>
      </w:r>
      <w:r>
        <w:rPr>
          <w:sz w:val="28"/>
          <w:szCs w:val="28"/>
        </w:rPr>
        <w:instrText xml:space="preserve"> PAGEREF _Toc71551935 \h </w:instrText>
      </w:r>
      <w:r>
        <w:rPr>
          <w:sz w:val="28"/>
          <w:szCs w:val="28"/>
        </w:rPr>
        <w:fldChar w:fldCharType="separate"/>
      </w:r>
      <w:r>
        <w:rPr>
          <w:sz w:val="28"/>
          <w:szCs w:val="28"/>
        </w:rPr>
        <w:t>103</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"_Toc71551936" </w:instrText>
      </w:r>
      <w:r>
        <w:fldChar w:fldCharType="separate"/>
      </w:r>
      <w:r>
        <w:rPr>
          <w:rStyle w:val="28"/>
          <w:kern w:val="44"/>
          <w:sz w:val="28"/>
          <w:szCs w:val="28"/>
        </w:rPr>
        <w:t>4.1</w:t>
      </w:r>
      <w:r>
        <w:rPr>
          <w:rStyle w:val="28"/>
          <w:rFonts w:hint="eastAsia" w:hAnsiTheme="minorEastAsia"/>
          <w:kern w:val="44"/>
          <w:sz w:val="28"/>
          <w:szCs w:val="28"/>
        </w:rPr>
        <w:t>地理位置</w:t>
      </w:r>
      <w:r>
        <w:rPr>
          <w:sz w:val="28"/>
          <w:szCs w:val="28"/>
        </w:rPr>
        <w:tab/>
      </w:r>
      <w:r>
        <w:rPr>
          <w:sz w:val="28"/>
          <w:szCs w:val="28"/>
        </w:rPr>
        <w:fldChar w:fldCharType="begin"/>
      </w:r>
      <w:r>
        <w:rPr>
          <w:sz w:val="28"/>
          <w:szCs w:val="28"/>
        </w:rPr>
        <w:instrText xml:space="preserve"> PAGEREF _Toc71551936 \h </w:instrText>
      </w:r>
      <w:r>
        <w:rPr>
          <w:sz w:val="28"/>
          <w:szCs w:val="28"/>
        </w:rPr>
        <w:fldChar w:fldCharType="separate"/>
      </w:r>
      <w:r>
        <w:rPr>
          <w:sz w:val="28"/>
          <w:szCs w:val="28"/>
        </w:rPr>
        <w:t>103</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"_Toc71551937" </w:instrText>
      </w:r>
      <w:r>
        <w:fldChar w:fldCharType="separate"/>
      </w:r>
      <w:r>
        <w:rPr>
          <w:rStyle w:val="28"/>
          <w:kern w:val="44"/>
          <w:sz w:val="28"/>
          <w:szCs w:val="28"/>
        </w:rPr>
        <w:t>4.2</w:t>
      </w:r>
      <w:r>
        <w:rPr>
          <w:rStyle w:val="28"/>
          <w:rFonts w:hint="eastAsia" w:hAnsiTheme="minorEastAsia"/>
          <w:kern w:val="44"/>
          <w:sz w:val="28"/>
          <w:szCs w:val="28"/>
        </w:rPr>
        <w:t>自然环境概况</w:t>
      </w:r>
      <w:r>
        <w:rPr>
          <w:sz w:val="28"/>
          <w:szCs w:val="28"/>
        </w:rPr>
        <w:tab/>
      </w:r>
      <w:r>
        <w:rPr>
          <w:sz w:val="28"/>
          <w:szCs w:val="28"/>
        </w:rPr>
        <w:fldChar w:fldCharType="begin"/>
      </w:r>
      <w:r>
        <w:rPr>
          <w:sz w:val="28"/>
          <w:szCs w:val="28"/>
        </w:rPr>
        <w:instrText xml:space="preserve"> PAGEREF _Toc71551937 \h </w:instrText>
      </w:r>
      <w:r>
        <w:rPr>
          <w:sz w:val="28"/>
          <w:szCs w:val="28"/>
        </w:rPr>
        <w:fldChar w:fldCharType="separate"/>
      </w:r>
      <w:r>
        <w:rPr>
          <w:sz w:val="28"/>
          <w:szCs w:val="28"/>
        </w:rPr>
        <w:t>103</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"_Toc71551938" </w:instrText>
      </w:r>
      <w:r>
        <w:fldChar w:fldCharType="separate"/>
      </w:r>
      <w:r>
        <w:rPr>
          <w:rStyle w:val="28"/>
          <w:kern w:val="44"/>
          <w:sz w:val="28"/>
          <w:szCs w:val="28"/>
        </w:rPr>
        <w:t>4.3</w:t>
      </w:r>
      <w:r>
        <w:rPr>
          <w:rStyle w:val="28"/>
          <w:rFonts w:hint="eastAsia" w:hAnsiTheme="minorEastAsia"/>
          <w:kern w:val="44"/>
          <w:sz w:val="28"/>
          <w:szCs w:val="28"/>
        </w:rPr>
        <w:t>环境质量现状调查与评价</w:t>
      </w:r>
      <w:r>
        <w:rPr>
          <w:sz w:val="28"/>
          <w:szCs w:val="28"/>
        </w:rPr>
        <w:tab/>
      </w:r>
      <w:r>
        <w:rPr>
          <w:sz w:val="28"/>
          <w:szCs w:val="28"/>
        </w:rPr>
        <w:fldChar w:fldCharType="begin"/>
      </w:r>
      <w:r>
        <w:rPr>
          <w:sz w:val="28"/>
          <w:szCs w:val="28"/>
        </w:rPr>
        <w:instrText xml:space="preserve"> PAGEREF _Toc71551938 \h </w:instrText>
      </w:r>
      <w:r>
        <w:rPr>
          <w:sz w:val="28"/>
          <w:szCs w:val="28"/>
        </w:rPr>
        <w:fldChar w:fldCharType="separate"/>
      </w:r>
      <w:r>
        <w:rPr>
          <w:sz w:val="28"/>
          <w:szCs w:val="28"/>
        </w:rPr>
        <w:t>105</w:t>
      </w:r>
      <w:r>
        <w:rPr>
          <w:sz w:val="28"/>
          <w:szCs w:val="28"/>
        </w:rPr>
        <w:fldChar w:fldCharType="end"/>
      </w:r>
      <w:r>
        <w:rPr>
          <w:sz w:val="28"/>
          <w:szCs w:val="28"/>
        </w:rPr>
        <w:fldChar w:fldCharType="end"/>
      </w:r>
    </w:p>
    <w:p>
      <w:pPr>
        <w:pStyle w:val="18"/>
        <w:rPr>
          <w:rFonts w:asciiTheme="minorHAnsi" w:hAnsiTheme="minorHAnsi" w:eastAsiaTheme="minorEastAsia" w:cstheme="minorBidi"/>
          <w:b w:val="0"/>
          <w:sz w:val="28"/>
          <w:szCs w:val="28"/>
        </w:rPr>
      </w:pPr>
      <w:r>
        <w:fldChar w:fldCharType="begin"/>
      </w:r>
      <w:r>
        <w:instrText xml:space="preserve"> HYPERLINK \l "_Toc71551939" </w:instrText>
      </w:r>
      <w:r>
        <w:fldChar w:fldCharType="separate"/>
      </w:r>
      <w:r>
        <w:rPr>
          <w:rStyle w:val="28"/>
          <w:sz w:val="28"/>
          <w:szCs w:val="28"/>
        </w:rPr>
        <w:t>5</w:t>
      </w:r>
      <w:r>
        <w:rPr>
          <w:rStyle w:val="28"/>
          <w:rFonts w:hint="eastAsia" w:hAnsiTheme="minorEastAsia"/>
          <w:sz w:val="28"/>
          <w:szCs w:val="28"/>
        </w:rPr>
        <w:t>、环境影响预测与评价</w:t>
      </w:r>
      <w:r>
        <w:rPr>
          <w:sz w:val="28"/>
          <w:szCs w:val="28"/>
        </w:rPr>
        <w:tab/>
      </w:r>
      <w:r>
        <w:rPr>
          <w:sz w:val="28"/>
          <w:szCs w:val="28"/>
        </w:rPr>
        <w:fldChar w:fldCharType="begin"/>
      </w:r>
      <w:r>
        <w:rPr>
          <w:sz w:val="28"/>
          <w:szCs w:val="28"/>
        </w:rPr>
        <w:instrText xml:space="preserve"> PAGEREF _Toc71551939 \h </w:instrText>
      </w:r>
      <w:r>
        <w:rPr>
          <w:sz w:val="28"/>
          <w:szCs w:val="28"/>
        </w:rPr>
        <w:fldChar w:fldCharType="separate"/>
      </w:r>
      <w:r>
        <w:rPr>
          <w:sz w:val="28"/>
          <w:szCs w:val="28"/>
        </w:rPr>
        <w:t>138</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"_Toc71551940" </w:instrText>
      </w:r>
      <w:r>
        <w:fldChar w:fldCharType="separate"/>
      </w:r>
      <w:r>
        <w:rPr>
          <w:rStyle w:val="28"/>
          <w:kern w:val="44"/>
          <w:sz w:val="28"/>
          <w:szCs w:val="28"/>
        </w:rPr>
        <w:t>5.1</w:t>
      </w:r>
      <w:r>
        <w:rPr>
          <w:rStyle w:val="28"/>
          <w:rFonts w:hint="eastAsia" w:hAnsiTheme="minorEastAsia"/>
          <w:kern w:val="44"/>
          <w:sz w:val="28"/>
          <w:szCs w:val="28"/>
        </w:rPr>
        <w:t>地表沉陷预测与生态影响评价</w:t>
      </w:r>
      <w:r>
        <w:rPr>
          <w:sz w:val="28"/>
          <w:szCs w:val="28"/>
        </w:rPr>
        <w:tab/>
      </w:r>
      <w:r>
        <w:rPr>
          <w:sz w:val="28"/>
          <w:szCs w:val="28"/>
        </w:rPr>
        <w:fldChar w:fldCharType="begin"/>
      </w:r>
      <w:r>
        <w:rPr>
          <w:sz w:val="28"/>
          <w:szCs w:val="28"/>
        </w:rPr>
        <w:instrText xml:space="preserve"> PAGEREF _Toc71551940 \h </w:instrText>
      </w:r>
      <w:r>
        <w:rPr>
          <w:sz w:val="28"/>
          <w:szCs w:val="28"/>
        </w:rPr>
        <w:fldChar w:fldCharType="separate"/>
      </w:r>
      <w:r>
        <w:rPr>
          <w:sz w:val="28"/>
          <w:szCs w:val="28"/>
        </w:rPr>
        <w:t>138</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"_Toc71551941" </w:instrText>
      </w:r>
      <w:r>
        <w:fldChar w:fldCharType="separate"/>
      </w:r>
      <w:r>
        <w:rPr>
          <w:rStyle w:val="28"/>
          <w:kern w:val="44"/>
          <w:sz w:val="28"/>
          <w:szCs w:val="28"/>
        </w:rPr>
        <w:t>5.2</w:t>
      </w:r>
      <w:r>
        <w:rPr>
          <w:rStyle w:val="28"/>
          <w:rFonts w:hint="eastAsia" w:hAnsiTheme="minorEastAsia"/>
          <w:kern w:val="44"/>
          <w:sz w:val="28"/>
          <w:szCs w:val="28"/>
        </w:rPr>
        <w:t>大气环境影响评价</w:t>
      </w:r>
      <w:r>
        <w:rPr>
          <w:sz w:val="28"/>
          <w:szCs w:val="28"/>
        </w:rPr>
        <w:tab/>
      </w:r>
      <w:r>
        <w:rPr>
          <w:sz w:val="28"/>
          <w:szCs w:val="28"/>
        </w:rPr>
        <w:fldChar w:fldCharType="begin"/>
      </w:r>
      <w:r>
        <w:rPr>
          <w:sz w:val="28"/>
          <w:szCs w:val="28"/>
        </w:rPr>
        <w:instrText xml:space="preserve"> PAGEREF _Toc71551941 \h </w:instrText>
      </w:r>
      <w:r>
        <w:rPr>
          <w:sz w:val="28"/>
          <w:szCs w:val="28"/>
        </w:rPr>
        <w:fldChar w:fldCharType="separate"/>
      </w:r>
      <w:r>
        <w:rPr>
          <w:sz w:val="28"/>
          <w:szCs w:val="28"/>
        </w:rPr>
        <w:t>160</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"_Toc71551942" </w:instrText>
      </w:r>
      <w:r>
        <w:fldChar w:fldCharType="separate"/>
      </w:r>
      <w:r>
        <w:rPr>
          <w:rStyle w:val="28"/>
          <w:kern w:val="44"/>
          <w:sz w:val="28"/>
          <w:szCs w:val="28"/>
        </w:rPr>
        <w:t>5.3</w:t>
      </w:r>
      <w:r>
        <w:rPr>
          <w:rStyle w:val="28"/>
          <w:rFonts w:hint="eastAsia" w:hAnsiTheme="minorEastAsia"/>
          <w:kern w:val="44"/>
          <w:sz w:val="28"/>
          <w:szCs w:val="28"/>
        </w:rPr>
        <w:t>地表水环境影响评价</w:t>
      </w:r>
      <w:r>
        <w:rPr>
          <w:sz w:val="28"/>
          <w:szCs w:val="28"/>
        </w:rPr>
        <w:tab/>
      </w:r>
      <w:r>
        <w:rPr>
          <w:sz w:val="28"/>
          <w:szCs w:val="28"/>
        </w:rPr>
        <w:fldChar w:fldCharType="begin"/>
      </w:r>
      <w:r>
        <w:rPr>
          <w:sz w:val="28"/>
          <w:szCs w:val="28"/>
        </w:rPr>
        <w:instrText xml:space="preserve"> PAGEREF _Toc71551942 \h </w:instrText>
      </w:r>
      <w:r>
        <w:rPr>
          <w:sz w:val="28"/>
          <w:szCs w:val="28"/>
        </w:rPr>
        <w:fldChar w:fldCharType="separate"/>
      </w:r>
      <w:r>
        <w:rPr>
          <w:sz w:val="28"/>
          <w:szCs w:val="28"/>
        </w:rPr>
        <w:t>167</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"_Toc71551943" </w:instrText>
      </w:r>
      <w:r>
        <w:fldChar w:fldCharType="separate"/>
      </w:r>
      <w:r>
        <w:rPr>
          <w:rStyle w:val="28"/>
          <w:kern w:val="44"/>
          <w:sz w:val="28"/>
          <w:szCs w:val="28"/>
        </w:rPr>
        <w:t>5.4</w:t>
      </w:r>
      <w:r>
        <w:rPr>
          <w:rStyle w:val="28"/>
          <w:rFonts w:hint="eastAsia" w:hAnsiTheme="minorEastAsia"/>
          <w:kern w:val="44"/>
          <w:sz w:val="28"/>
          <w:szCs w:val="28"/>
        </w:rPr>
        <w:t>地下水环境影响评价</w:t>
      </w:r>
      <w:r>
        <w:rPr>
          <w:sz w:val="28"/>
          <w:szCs w:val="28"/>
        </w:rPr>
        <w:tab/>
      </w:r>
      <w:r>
        <w:rPr>
          <w:sz w:val="28"/>
          <w:szCs w:val="28"/>
        </w:rPr>
        <w:fldChar w:fldCharType="begin"/>
      </w:r>
      <w:r>
        <w:rPr>
          <w:sz w:val="28"/>
          <w:szCs w:val="28"/>
        </w:rPr>
        <w:instrText xml:space="preserve"> PAGEREF _Toc71551943 \h </w:instrText>
      </w:r>
      <w:r>
        <w:rPr>
          <w:sz w:val="28"/>
          <w:szCs w:val="28"/>
        </w:rPr>
        <w:fldChar w:fldCharType="separate"/>
      </w:r>
      <w:r>
        <w:rPr>
          <w:sz w:val="28"/>
          <w:szCs w:val="28"/>
        </w:rPr>
        <w:t>171</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"_Toc71551944" </w:instrText>
      </w:r>
      <w:r>
        <w:fldChar w:fldCharType="separate"/>
      </w:r>
      <w:r>
        <w:rPr>
          <w:rStyle w:val="28"/>
          <w:kern w:val="44"/>
          <w:sz w:val="28"/>
          <w:szCs w:val="28"/>
        </w:rPr>
        <w:t>5.5</w:t>
      </w:r>
      <w:r>
        <w:rPr>
          <w:rStyle w:val="28"/>
          <w:rFonts w:hint="eastAsia"/>
          <w:kern w:val="44"/>
          <w:sz w:val="28"/>
          <w:szCs w:val="28"/>
        </w:rPr>
        <w:t>声环境影响评价</w:t>
      </w:r>
      <w:r>
        <w:rPr>
          <w:sz w:val="28"/>
          <w:szCs w:val="28"/>
        </w:rPr>
        <w:tab/>
      </w:r>
      <w:r>
        <w:rPr>
          <w:sz w:val="28"/>
          <w:szCs w:val="28"/>
        </w:rPr>
        <w:fldChar w:fldCharType="begin"/>
      </w:r>
      <w:r>
        <w:rPr>
          <w:sz w:val="28"/>
          <w:szCs w:val="28"/>
        </w:rPr>
        <w:instrText xml:space="preserve"> PAGEREF _Toc71551944 \h </w:instrText>
      </w:r>
      <w:r>
        <w:rPr>
          <w:sz w:val="28"/>
          <w:szCs w:val="28"/>
        </w:rPr>
        <w:fldChar w:fldCharType="separate"/>
      </w:r>
      <w:r>
        <w:rPr>
          <w:sz w:val="28"/>
          <w:szCs w:val="28"/>
        </w:rPr>
        <w:t>182</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"_Toc71551945" </w:instrText>
      </w:r>
      <w:r>
        <w:fldChar w:fldCharType="separate"/>
      </w:r>
      <w:r>
        <w:rPr>
          <w:rStyle w:val="28"/>
          <w:kern w:val="44"/>
          <w:sz w:val="28"/>
          <w:szCs w:val="28"/>
        </w:rPr>
        <w:t>5.6</w:t>
      </w:r>
      <w:r>
        <w:rPr>
          <w:rStyle w:val="28"/>
          <w:rFonts w:hint="eastAsia"/>
          <w:kern w:val="44"/>
          <w:sz w:val="28"/>
          <w:szCs w:val="28"/>
        </w:rPr>
        <w:t>固体废物环境影响分析</w:t>
      </w:r>
      <w:r>
        <w:rPr>
          <w:sz w:val="28"/>
          <w:szCs w:val="28"/>
        </w:rPr>
        <w:tab/>
      </w:r>
      <w:r>
        <w:rPr>
          <w:sz w:val="28"/>
          <w:szCs w:val="28"/>
        </w:rPr>
        <w:fldChar w:fldCharType="begin"/>
      </w:r>
      <w:r>
        <w:rPr>
          <w:sz w:val="28"/>
          <w:szCs w:val="28"/>
        </w:rPr>
        <w:instrText xml:space="preserve"> PAGEREF _Toc71551945 \h </w:instrText>
      </w:r>
      <w:r>
        <w:rPr>
          <w:sz w:val="28"/>
          <w:szCs w:val="28"/>
        </w:rPr>
        <w:fldChar w:fldCharType="separate"/>
      </w:r>
      <w:r>
        <w:rPr>
          <w:sz w:val="28"/>
          <w:szCs w:val="28"/>
        </w:rPr>
        <w:t>186</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"_Toc71551946" </w:instrText>
      </w:r>
      <w:r>
        <w:fldChar w:fldCharType="separate"/>
      </w:r>
      <w:r>
        <w:rPr>
          <w:rStyle w:val="28"/>
          <w:kern w:val="44"/>
          <w:sz w:val="28"/>
          <w:szCs w:val="28"/>
        </w:rPr>
        <w:t>5.7</w:t>
      </w:r>
      <w:r>
        <w:rPr>
          <w:rStyle w:val="28"/>
          <w:rFonts w:hint="eastAsia"/>
          <w:kern w:val="44"/>
          <w:sz w:val="28"/>
          <w:szCs w:val="28"/>
        </w:rPr>
        <w:t>土壤环境影响分析</w:t>
      </w:r>
      <w:r>
        <w:rPr>
          <w:sz w:val="28"/>
          <w:szCs w:val="28"/>
        </w:rPr>
        <w:tab/>
      </w:r>
      <w:r>
        <w:rPr>
          <w:sz w:val="28"/>
          <w:szCs w:val="28"/>
        </w:rPr>
        <w:fldChar w:fldCharType="begin"/>
      </w:r>
      <w:r>
        <w:rPr>
          <w:sz w:val="28"/>
          <w:szCs w:val="28"/>
        </w:rPr>
        <w:instrText xml:space="preserve"> PAGEREF _Toc71551946 \h </w:instrText>
      </w:r>
      <w:r>
        <w:rPr>
          <w:sz w:val="28"/>
          <w:szCs w:val="28"/>
        </w:rPr>
        <w:fldChar w:fldCharType="separate"/>
      </w:r>
      <w:r>
        <w:rPr>
          <w:sz w:val="28"/>
          <w:szCs w:val="28"/>
        </w:rPr>
        <w:t>188</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"_Toc71551947" </w:instrText>
      </w:r>
      <w:r>
        <w:fldChar w:fldCharType="separate"/>
      </w:r>
      <w:r>
        <w:rPr>
          <w:rStyle w:val="28"/>
          <w:sz w:val="28"/>
          <w:szCs w:val="28"/>
        </w:rPr>
        <w:t>5.8</w:t>
      </w:r>
      <w:r>
        <w:rPr>
          <w:rStyle w:val="28"/>
          <w:rFonts w:hint="eastAsia"/>
          <w:sz w:val="28"/>
          <w:szCs w:val="28"/>
        </w:rPr>
        <w:t>环境风险评价</w:t>
      </w:r>
      <w:r>
        <w:rPr>
          <w:sz w:val="28"/>
          <w:szCs w:val="28"/>
        </w:rPr>
        <w:tab/>
      </w:r>
      <w:r>
        <w:rPr>
          <w:sz w:val="28"/>
          <w:szCs w:val="28"/>
        </w:rPr>
        <w:fldChar w:fldCharType="begin"/>
      </w:r>
      <w:r>
        <w:rPr>
          <w:sz w:val="28"/>
          <w:szCs w:val="28"/>
        </w:rPr>
        <w:instrText xml:space="preserve"> PAGEREF _Toc71551947 \h </w:instrText>
      </w:r>
      <w:r>
        <w:rPr>
          <w:sz w:val="28"/>
          <w:szCs w:val="28"/>
        </w:rPr>
        <w:fldChar w:fldCharType="separate"/>
      </w:r>
      <w:r>
        <w:rPr>
          <w:sz w:val="28"/>
          <w:szCs w:val="28"/>
        </w:rPr>
        <w:t>190</w:t>
      </w:r>
      <w:r>
        <w:rPr>
          <w:sz w:val="28"/>
          <w:szCs w:val="28"/>
        </w:rPr>
        <w:fldChar w:fldCharType="end"/>
      </w:r>
      <w:r>
        <w:rPr>
          <w:sz w:val="28"/>
          <w:szCs w:val="28"/>
        </w:rPr>
        <w:fldChar w:fldCharType="end"/>
      </w:r>
    </w:p>
    <w:p>
      <w:pPr>
        <w:pStyle w:val="18"/>
        <w:rPr>
          <w:rFonts w:asciiTheme="minorHAnsi" w:hAnsiTheme="minorHAnsi" w:eastAsiaTheme="minorEastAsia" w:cstheme="minorBidi"/>
          <w:b w:val="0"/>
          <w:sz w:val="28"/>
          <w:szCs w:val="28"/>
        </w:rPr>
      </w:pPr>
      <w:r>
        <w:fldChar w:fldCharType="begin"/>
      </w:r>
      <w:r>
        <w:instrText xml:space="preserve"> HYPERLINK \l "_Toc71551948" </w:instrText>
      </w:r>
      <w:r>
        <w:fldChar w:fldCharType="separate"/>
      </w:r>
      <w:r>
        <w:rPr>
          <w:rStyle w:val="28"/>
          <w:sz w:val="28"/>
          <w:szCs w:val="28"/>
        </w:rPr>
        <w:t>6</w:t>
      </w:r>
      <w:r>
        <w:rPr>
          <w:rStyle w:val="28"/>
          <w:rFonts w:hint="eastAsia"/>
          <w:sz w:val="28"/>
          <w:szCs w:val="28"/>
        </w:rPr>
        <w:t>、环境保护措施及可行性分析</w:t>
      </w:r>
      <w:r>
        <w:rPr>
          <w:sz w:val="28"/>
          <w:szCs w:val="28"/>
        </w:rPr>
        <w:tab/>
      </w:r>
      <w:r>
        <w:rPr>
          <w:sz w:val="28"/>
          <w:szCs w:val="28"/>
        </w:rPr>
        <w:fldChar w:fldCharType="begin"/>
      </w:r>
      <w:r>
        <w:rPr>
          <w:sz w:val="28"/>
          <w:szCs w:val="28"/>
        </w:rPr>
        <w:instrText xml:space="preserve"> PAGEREF _Toc71551948 \h </w:instrText>
      </w:r>
      <w:r>
        <w:rPr>
          <w:sz w:val="28"/>
          <w:szCs w:val="28"/>
        </w:rPr>
        <w:fldChar w:fldCharType="separate"/>
      </w:r>
      <w:r>
        <w:rPr>
          <w:sz w:val="28"/>
          <w:szCs w:val="28"/>
        </w:rPr>
        <w:t>194</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"_Toc71551949" </w:instrText>
      </w:r>
      <w:r>
        <w:fldChar w:fldCharType="separate"/>
      </w:r>
      <w:r>
        <w:rPr>
          <w:rStyle w:val="28"/>
          <w:sz w:val="28"/>
          <w:szCs w:val="28"/>
        </w:rPr>
        <w:t>6.1</w:t>
      </w:r>
      <w:r>
        <w:rPr>
          <w:rStyle w:val="28"/>
          <w:rFonts w:hint="eastAsia"/>
          <w:sz w:val="28"/>
          <w:szCs w:val="28"/>
        </w:rPr>
        <w:t>建设期环境保护措施</w:t>
      </w:r>
      <w:r>
        <w:rPr>
          <w:sz w:val="28"/>
          <w:szCs w:val="28"/>
        </w:rPr>
        <w:tab/>
      </w:r>
      <w:r>
        <w:rPr>
          <w:sz w:val="28"/>
          <w:szCs w:val="28"/>
        </w:rPr>
        <w:fldChar w:fldCharType="begin"/>
      </w:r>
      <w:r>
        <w:rPr>
          <w:sz w:val="28"/>
          <w:szCs w:val="28"/>
        </w:rPr>
        <w:instrText xml:space="preserve"> PAGEREF _Toc71551949 \h </w:instrText>
      </w:r>
      <w:r>
        <w:rPr>
          <w:sz w:val="28"/>
          <w:szCs w:val="28"/>
        </w:rPr>
        <w:fldChar w:fldCharType="separate"/>
      </w:r>
      <w:r>
        <w:rPr>
          <w:sz w:val="28"/>
          <w:szCs w:val="28"/>
        </w:rPr>
        <w:t>194</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"_Toc71551950" </w:instrText>
      </w:r>
      <w:r>
        <w:fldChar w:fldCharType="separate"/>
      </w:r>
      <w:r>
        <w:rPr>
          <w:rStyle w:val="28"/>
          <w:sz w:val="28"/>
          <w:szCs w:val="28"/>
        </w:rPr>
        <w:t>6.2</w:t>
      </w:r>
      <w:r>
        <w:rPr>
          <w:rStyle w:val="28"/>
          <w:rFonts w:hint="eastAsia"/>
          <w:sz w:val="28"/>
          <w:szCs w:val="28"/>
        </w:rPr>
        <w:t>运营期环境保护措施及可行性论证</w:t>
      </w:r>
      <w:r>
        <w:rPr>
          <w:sz w:val="28"/>
          <w:szCs w:val="28"/>
        </w:rPr>
        <w:tab/>
      </w:r>
      <w:r>
        <w:rPr>
          <w:sz w:val="28"/>
          <w:szCs w:val="28"/>
        </w:rPr>
        <w:fldChar w:fldCharType="begin"/>
      </w:r>
      <w:r>
        <w:rPr>
          <w:sz w:val="28"/>
          <w:szCs w:val="28"/>
        </w:rPr>
        <w:instrText xml:space="preserve"> PAGEREF _Toc71551950 \h </w:instrText>
      </w:r>
      <w:r>
        <w:rPr>
          <w:sz w:val="28"/>
          <w:szCs w:val="28"/>
        </w:rPr>
        <w:fldChar w:fldCharType="separate"/>
      </w:r>
      <w:r>
        <w:rPr>
          <w:sz w:val="28"/>
          <w:szCs w:val="28"/>
        </w:rPr>
        <w:t>197</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"_Toc71551951" </w:instrText>
      </w:r>
      <w:r>
        <w:fldChar w:fldCharType="separate"/>
      </w:r>
      <w:r>
        <w:rPr>
          <w:rStyle w:val="28"/>
          <w:kern w:val="44"/>
          <w:sz w:val="28"/>
          <w:szCs w:val="28"/>
        </w:rPr>
        <w:t>6.3</w:t>
      </w:r>
      <w:r>
        <w:rPr>
          <w:rStyle w:val="28"/>
          <w:rFonts w:hint="eastAsia"/>
          <w:kern w:val="44"/>
          <w:sz w:val="28"/>
          <w:szCs w:val="28"/>
        </w:rPr>
        <w:t>环境保护措施一览表</w:t>
      </w:r>
      <w:r>
        <w:rPr>
          <w:sz w:val="28"/>
          <w:szCs w:val="28"/>
        </w:rPr>
        <w:tab/>
      </w:r>
      <w:r>
        <w:rPr>
          <w:sz w:val="28"/>
          <w:szCs w:val="28"/>
        </w:rPr>
        <w:fldChar w:fldCharType="begin"/>
      </w:r>
      <w:r>
        <w:rPr>
          <w:sz w:val="28"/>
          <w:szCs w:val="28"/>
        </w:rPr>
        <w:instrText xml:space="preserve"> PAGEREF _Toc71551951 \h </w:instrText>
      </w:r>
      <w:r>
        <w:rPr>
          <w:sz w:val="28"/>
          <w:szCs w:val="28"/>
        </w:rPr>
        <w:fldChar w:fldCharType="separate"/>
      </w:r>
      <w:r>
        <w:rPr>
          <w:sz w:val="28"/>
          <w:szCs w:val="28"/>
        </w:rPr>
        <w:t>207</w:t>
      </w:r>
      <w:r>
        <w:rPr>
          <w:sz w:val="28"/>
          <w:szCs w:val="28"/>
        </w:rPr>
        <w:fldChar w:fldCharType="end"/>
      </w:r>
      <w:r>
        <w:rPr>
          <w:sz w:val="28"/>
          <w:szCs w:val="28"/>
        </w:rPr>
        <w:fldChar w:fldCharType="end"/>
      </w:r>
    </w:p>
    <w:p>
      <w:pPr>
        <w:pStyle w:val="18"/>
        <w:rPr>
          <w:rFonts w:asciiTheme="minorHAnsi" w:hAnsiTheme="minorHAnsi" w:eastAsiaTheme="minorEastAsia" w:cstheme="minorBidi"/>
          <w:b w:val="0"/>
          <w:sz w:val="28"/>
          <w:szCs w:val="28"/>
        </w:rPr>
      </w:pPr>
      <w:r>
        <w:fldChar w:fldCharType="begin"/>
      </w:r>
      <w:r>
        <w:instrText xml:space="preserve"> HYPERLINK \l "_Toc71551952" </w:instrText>
      </w:r>
      <w:r>
        <w:fldChar w:fldCharType="separate"/>
      </w:r>
      <w:r>
        <w:rPr>
          <w:rStyle w:val="28"/>
          <w:sz w:val="28"/>
          <w:szCs w:val="28"/>
        </w:rPr>
        <w:t>7</w:t>
      </w:r>
      <w:r>
        <w:rPr>
          <w:rStyle w:val="28"/>
          <w:rFonts w:hint="eastAsia"/>
          <w:sz w:val="28"/>
          <w:szCs w:val="28"/>
        </w:rPr>
        <w:t>、环境影响经济损益分析</w:t>
      </w:r>
      <w:r>
        <w:rPr>
          <w:sz w:val="28"/>
          <w:szCs w:val="28"/>
        </w:rPr>
        <w:tab/>
      </w:r>
      <w:r>
        <w:rPr>
          <w:sz w:val="28"/>
          <w:szCs w:val="28"/>
        </w:rPr>
        <w:fldChar w:fldCharType="begin"/>
      </w:r>
      <w:r>
        <w:rPr>
          <w:sz w:val="28"/>
          <w:szCs w:val="28"/>
        </w:rPr>
        <w:instrText xml:space="preserve"> PAGEREF _Toc71551952 \h </w:instrText>
      </w:r>
      <w:r>
        <w:rPr>
          <w:sz w:val="28"/>
          <w:szCs w:val="28"/>
        </w:rPr>
        <w:fldChar w:fldCharType="separate"/>
      </w:r>
      <w:r>
        <w:rPr>
          <w:sz w:val="28"/>
          <w:szCs w:val="28"/>
        </w:rPr>
        <w:t>210</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"_Toc71551953" </w:instrText>
      </w:r>
      <w:r>
        <w:fldChar w:fldCharType="separate"/>
      </w:r>
      <w:r>
        <w:rPr>
          <w:rStyle w:val="28"/>
          <w:kern w:val="44"/>
          <w:sz w:val="28"/>
          <w:szCs w:val="28"/>
        </w:rPr>
        <w:t>7.1</w:t>
      </w:r>
      <w:r>
        <w:rPr>
          <w:rStyle w:val="28"/>
          <w:rFonts w:hint="eastAsia"/>
          <w:kern w:val="44"/>
          <w:sz w:val="28"/>
          <w:szCs w:val="28"/>
        </w:rPr>
        <w:t>项目基本情况</w:t>
      </w:r>
      <w:r>
        <w:rPr>
          <w:sz w:val="28"/>
          <w:szCs w:val="28"/>
        </w:rPr>
        <w:tab/>
      </w:r>
      <w:r>
        <w:rPr>
          <w:sz w:val="28"/>
          <w:szCs w:val="28"/>
        </w:rPr>
        <w:fldChar w:fldCharType="begin"/>
      </w:r>
      <w:r>
        <w:rPr>
          <w:sz w:val="28"/>
          <w:szCs w:val="28"/>
        </w:rPr>
        <w:instrText xml:space="preserve"> PAGEREF _Toc71551953 \h </w:instrText>
      </w:r>
      <w:r>
        <w:rPr>
          <w:sz w:val="28"/>
          <w:szCs w:val="28"/>
        </w:rPr>
        <w:fldChar w:fldCharType="separate"/>
      </w:r>
      <w:r>
        <w:rPr>
          <w:sz w:val="28"/>
          <w:szCs w:val="28"/>
        </w:rPr>
        <w:t>210</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"_Toc71551954" </w:instrText>
      </w:r>
      <w:r>
        <w:fldChar w:fldCharType="separate"/>
      </w:r>
      <w:r>
        <w:rPr>
          <w:rStyle w:val="28"/>
          <w:kern w:val="44"/>
          <w:sz w:val="28"/>
          <w:szCs w:val="28"/>
        </w:rPr>
        <w:t>7.2</w:t>
      </w:r>
      <w:r>
        <w:rPr>
          <w:rStyle w:val="28"/>
          <w:rFonts w:hint="eastAsia"/>
          <w:kern w:val="44"/>
          <w:sz w:val="28"/>
          <w:szCs w:val="28"/>
        </w:rPr>
        <w:t>环境保护工程投资分析</w:t>
      </w:r>
      <w:r>
        <w:rPr>
          <w:sz w:val="28"/>
          <w:szCs w:val="28"/>
        </w:rPr>
        <w:tab/>
      </w:r>
      <w:r>
        <w:rPr>
          <w:sz w:val="28"/>
          <w:szCs w:val="28"/>
        </w:rPr>
        <w:fldChar w:fldCharType="begin"/>
      </w:r>
      <w:r>
        <w:rPr>
          <w:sz w:val="28"/>
          <w:szCs w:val="28"/>
        </w:rPr>
        <w:instrText xml:space="preserve"> PAGEREF _Toc71551954 \h </w:instrText>
      </w:r>
      <w:r>
        <w:rPr>
          <w:sz w:val="28"/>
          <w:szCs w:val="28"/>
        </w:rPr>
        <w:fldChar w:fldCharType="separate"/>
      </w:r>
      <w:r>
        <w:rPr>
          <w:sz w:val="28"/>
          <w:szCs w:val="28"/>
        </w:rPr>
        <w:t>210</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"_Toc71551955" </w:instrText>
      </w:r>
      <w:r>
        <w:fldChar w:fldCharType="separate"/>
      </w:r>
      <w:r>
        <w:rPr>
          <w:rStyle w:val="28"/>
          <w:kern w:val="44"/>
          <w:sz w:val="28"/>
          <w:szCs w:val="28"/>
        </w:rPr>
        <w:t>7.3</w:t>
      </w:r>
      <w:r>
        <w:rPr>
          <w:rStyle w:val="28"/>
          <w:rFonts w:hint="eastAsia"/>
          <w:kern w:val="44"/>
          <w:sz w:val="28"/>
          <w:szCs w:val="28"/>
        </w:rPr>
        <w:t>环境经济损益分析及评价</w:t>
      </w:r>
      <w:r>
        <w:rPr>
          <w:sz w:val="28"/>
          <w:szCs w:val="28"/>
        </w:rPr>
        <w:tab/>
      </w:r>
      <w:r>
        <w:rPr>
          <w:sz w:val="28"/>
          <w:szCs w:val="28"/>
        </w:rPr>
        <w:fldChar w:fldCharType="begin"/>
      </w:r>
      <w:r>
        <w:rPr>
          <w:sz w:val="28"/>
          <w:szCs w:val="28"/>
        </w:rPr>
        <w:instrText xml:space="preserve"> PAGEREF _Toc71551955 \h </w:instrText>
      </w:r>
      <w:r>
        <w:rPr>
          <w:sz w:val="28"/>
          <w:szCs w:val="28"/>
        </w:rPr>
        <w:fldChar w:fldCharType="separate"/>
      </w:r>
      <w:r>
        <w:rPr>
          <w:sz w:val="28"/>
          <w:szCs w:val="28"/>
        </w:rPr>
        <w:t>211</w:t>
      </w:r>
      <w:r>
        <w:rPr>
          <w:sz w:val="28"/>
          <w:szCs w:val="28"/>
        </w:rPr>
        <w:fldChar w:fldCharType="end"/>
      </w:r>
      <w:r>
        <w:rPr>
          <w:sz w:val="28"/>
          <w:szCs w:val="28"/>
        </w:rPr>
        <w:fldChar w:fldCharType="end"/>
      </w:r>
    </w:p>
    <w:p>
      <w:pPr>
        <w:pStyle w:val="18"/>
        <w:rPr>
          <w:rFonts w:asciiTheme="minorHAnsi" w:hAnsiTheme="minorHAnsi" w:eastAsiaTheme="minorEastAsia" w:cstheme="minorBidi"/>
          <w:b w:val="0"/>
          <w:sz w:val="28"/>
          <w:szCs w:val="28"/>
        </w:rPr>
      </w:pPr>
      <w:r>
        <w:fldChar w:fldCharType="begin"/>
      </w:r>
      <w:r>
        <w:instrText xml:space="preserve"> HYPERLINK \l "_Toc71551956" </w:instrText>
      </w:r>
      <w:r>
        <w:fldChar w:fldCharType="separate"/>
      </w:r>
      <w:r>
        <w:rPr>
          <w:rStyle w:val="28"/>
          <w:sz w:val="28"/>
          <w:szCs w:val="28"/>
        </w:rPr>
        <w:t>8</w:t>
      </w:r>
      <w:r>
        <w:rPr>
          <w:rStyle w:val="28"/>
          <w:rFonts w:hint="eastAsia"/>
          <w:sz w:val="28"/>
          <w:szCs w:val="28"/>
        </w:rPr>
        <w:t>、环境管理与监测计划</w:t>
      </w:r>
      <w:r>
        <w:rPr>
          <w:sz w:val="28"/>
          <w:szCs w:val="28"/>
        </w:rPr>
        <w:tab/>
      </w:r>
      <w:r>
        <w:rPr>
          <w:sz w:val="28"/>
          <w:szCs w:val="28"/>
        </w:rPr>
        <w:fldChar w:fldCharType="begin"/>
      </w:r>
      <w:r>
        <w:rPr>
          <w:sz w:val="28"/>
          <w:szCs w:val="28"/>
        </w:rPr>
        <w:instrText xml:space="preserve"> PAGEREF _Toc71551956 \h </w:instrText>
      </w:r>
      <w:r>
        <w:rPr>
          <w:sz w:val="28"/>
          <w:szCs w:val="28"/>
        </w:rPr>
        <w:fldChar w:fldCharType="separate"/>
      </w:r>
      <w:r>
        <w:rPr>
          <w:sz w:val="28"/>
          <w:szCs w:val="28"/>
        </w:rPr>
        <w:t>214</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"_Toc71551957" </w:instrText>
      </w:r>
      <w:r>
        <w:fldChar w:fldCharType="separate"/>
      </w:r>
      <w:r>
        <w:rPr>
          <w:rStyle w:val="28"/>
          <w:kern w:val="44"/>
          <w:sz w:val="28"/>
          <w:szCs w:val="28"/>
        </w:rPr>
        <w:t>8.1</w:t>
      </w:r>
      <w:r>
        <w:rPr>
          <w:rStyle w:val="28"/>
          <w:rFonts w:hint="eastAsia"/>
          <w:kern w:val="44"/>
          <w:sz w:val="28"/>
          <w:szCs w:val="28"/>
        </w:rPr>
        <w:t>环境管理</w:t>
      </w:r>
      <w:r>
        <w:rPr>
          <w:sz w:val="28"/>
          <w:szCs w:val="28"/>
        </w:rPr>
        <w:tab/>
      </w:r>
      <w:r>
        <w:rPr>
          <w:sz w:val="28"/>
          <w:szCs w:val="28"/>
        </w:rPr>
        <w:fldChar w:fldCharType="begin"/>
      </w:r>
      <w:r>
        <w:rPr>
          <w:sz w:val="28"/>
          <w:szCs w:val="28"/>
        </w:rPr>
        <w:instrText xml:space="preserve"> PAGEREF _Toc71551957 \h </w:instrText>
      </w:r>
      <w:r>
        <w:rPr>
          <w:sz w:val="28"/>
          <w:szCs w:val="28"/>
        </w:rPr>
        <w:fldChar w:fldCharType="separate"/>
      </w:r>
      <w:r>
        <w:rPr>
          <w:sz w:val="28"/>
          <w:szCs w:val="28"/>
        </w:rPr>
        <w:t>214</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"_Toc71551958" </w:instrText>
      </w:r>
      <w:r>
        <w:fldChar w:fldCharType="separate"/>
      </w:r>
      <w:r>
        <w:rPr>
          <w:rStyle w:val="28"/>
          <w:kern w:val="44"/>
          <w:sz w:val="28"/>
          <w:szCs w:val="28"/>
        </w:rPr>
        <w:t xml:space="preserve">8.2 </w:t>
      </w:r>
      <w:r>
        <w:rPr>
          <w:rStyle w:val="28"/>
          <w:rFonts w:hint="eastAsia"/>
          <w:kern w:val="44"/>
          <w:sz w:val="28"/>
          <w:szCs w:val="28"/>
        </w:rPr>
        <w:t>环境监测计划</w:t>
      </w:r>
      <w:r>
        <w:rPr>
          <w:sz w:val="28"/>
          <w:szCs w:val="28"/>
        </w:rPr>
        <w:tab/>
      </w:r>
      <w:r>
        <w:rPr>
          <w:sz w:val="28"/>
          <w:szCs w:val="28"/>
        </w:rPr>
        <w:fldChar w:fldCharType="begin"/>
      </w:r>
      <w:r>
        <w:rPr>
          <w:sz w:val="28"/>
          <w:szCs w:val="28"/>
        </w:rPr>
        <w:instrText xml:space="preserve"> PAGEREF _Toc71551958 \h </w:instrText>
      </w:r>
      <w:r>
        <w:rPr>
          <w:sz w:val="28"/>
          <w:szCs w:val="28"/>
        </w:rPr>
        <w:fldChar w:fldCharType="separate"/>
      </w:r>
      <w:r>
        <w:rPr>
          <w:sz w:val="28"/>
          <w:szCs w:val="28"/>
        </w:rPr>
        <w:t>223</w:t>
      </w:r>
      <w:r>
        <w:rPr>
          <w:sz w:val="28"/>
          <w:szCs w:val="28"/>
        </w:rPr>
        <w:fldChar w:fldCharType="end"/>
      </w:r>
      <w:r>
        <w:rPr>
          <w:sz w:val="28"/>
          <w:szCs w:val="28"/>
        </w:rPr>
        <w:fldChar w:fldCharType="end"/>
      </w:r>
    </w:p>
    <w:p>
      <w:pPr>
        <w:pStyle w:val="18"/>
        <w:rPr>
          <w:rFonts w:asciiTheme="minorHAnsi" w:hAnsiTheme="minorHAnsi" w:eastAsiaTheme="minorEastAsia" w:cstheme="minorBidi"/>
          <w:b w:val="0"/>
          <w:sz w:val="28"/>
          <w:szCs w:val="28"/>
        </w:rPr>
      </w:pPr>
      <w:r>
        <w:fldChar w:fldCharType="begin"/>
      </w:r>
      <w:r>
        <w:instrText xml:space="preserve"> HYPERLINK \l "_Toc71551959" </w:instrText>
      </w:r>
      <w:r>
        <w:fldChar w:fldCharType="separate"/>
      </w:r>
      <w:r>
        <w:rPr>
          <w:rStyle w:val="28"/>
          <w:sz w:val="28"/>
          <w:szCs w:val="28"/>
        </w:rPr>
        <w:t>9</w:t>
      </w:r>
      <w:r>
        <w:rPr>
          <w:rStyle w:val="28"/>
          <w:rFonts w:hint="eastAsia"/>
          <w:sz w:val="28"/>
          <w:szCs w:val="28"/>
        </w:rPr>
        <w:t>、结</w:t>
      </w:r>
      <w:r>
        <w:rPr>
          <w:rStyle w:val="28"/>
          <w:sz w:val="28"/>
          <w:szCs w:val="28"/>
        </w:rPr>
        <w:t xml:space="preserve">  </w:t>
      </w:r>
      <w:r>
        <w:rPr>
          <w:rStyle w:val="28"/>
          <w:rFonts w:hint="eastAsia"/>
          <w:sz w:val="28"/>
          <w:szCs w:val="28"/>
        </w:rPr>
        <w:t>论</w:t>
      </w:r>
      <w:r>
        <w:rPr>
          <w:sz w:val="28"/>
          <w:szCs w:val="28"/>
        </w:rPr>
        <w:tab/>
      </w:r>
      <w:r>
        <w:rPr>
          <w:sz w:val="28"/>
          <w:szCs w:val="28"/>
        </w:rPr>
        <w:fldChar w:fldCharType="begin"/>
      </w:r>
      <w:r>
        <w:rPr>
          <w:sz w:val="28"/>
          <w:szCs w:val="28"/>
        </w:rPr>
        <w:instrText xml:space="preserve"> PAGEREF _Toc71551959 \h </w:instrText>
      </w:r>
      <w:r>
        <w:rPr>
          <w:sz w:val="28"/>
          <w:szCs w:val="28"/>
        </w:rPr>
        <w:fldChar w:fldCharType="separate"/>
      </w:r>
      <w:r>
        <w:rPr>
          <w:sz w:val="28"/>
          <w:szCs w:val="28"/>
        </w:rPr>
        <w:t>227</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"_Toc71551960" </w:instrText>
      </w:r>
      <w:r>
        <w:fldChar w:fldCharType="separate"/>
      </w:r>
      <w:r>
        <w:rPr>
          <w:rStyle w:val="28"/>
          <w:kern w:val="44"/>
          <w:sz w:val="28"/>
          <w:szCs w:val="28"/>
        </w:rPr>
        <w:t>9.1</w:t>
      </w:r>
      <w:r>
        <w:rPr>
          <w:rStyle w:val="28"/>
          <w:rFonts w:hint="eastAsia"/>
          <w:kern w:val="44"/>
          <w:sz w:val="28"/>
          <w:szCs w:val="28"/>
        </w:rPr>
        <w:t>建设项目概况</w:t>
      </w:r>
      <w:r>
        <w:rPr>
          <w:sz w:val="28"/>
          <w:szCs w:val="28"/>
        </w:rPr>
        <w:tab/>
      </w:r>
      <w:r>
        <w:rPr>
          <w:sz w:val="28"/>
          <w:szCs w:val="28"/>
        </w:rPr>
        <w:fldChar w:fldCharType="begin"/>
      </w:r>
      <w:r>
        <w:rPr>
          <w:sz w:val="28"/>
          <w:szCs w:val="28"/>
        </w:rPr>
        <w:instrText xml:space="preserve"> PAGEREF _Toc71551960 \h </w:instrText>
      </w:r>
      <w:r>
        <w:rPr>
          <w:sz w:val="28"/>
          <w:szCs w:val="28"/>
        </w:rPr>
        <w:fldChar w:fldCharType="separate"/>
      </w:r>
      <w:r>
        <w:rPr>
          <w:sz w:val="28"/>
          <w:szCs w:val="28"/>
        </w:rPr>
        <w:t>227</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"_Toc71551961" </w:instrText>
      </w:r>
      <w:r>
        <w:fldChar w:fldCharType="separate"/>
      </w:r>
      <w:r>
        <w:rPr>
          <w:rStyle w:val="28"/>
          <w:kern w:val="44"/>
          <w:sz w:val="28"/>
          <w:szCs w:val="28"/>
        </w:rPr>
        <w:t xml:space="preserve">9.2  </w:t>
      </w:r>
      <w:r>
        <w:rPr>
          <w:rStyle w:val="28"/>
          <w:rFonts w:hint="eastAsia"/>
          <w:kern w:val="44"/>
          <w:sz w:val="28"/>
          <w:szCs w:val="28"/>
        </w:rPr>
        <w:t>环境质量现状</w:t>
      </w:r>
      <w:r>
        <w:rPr>
          <w:sz w:val="28"/>
          <w:szCs w:val="28"/>
        </w:rPr>
        <w:tab/>
      </w:r>
      <w:r>
        <w:rPr>
          <w:sz w:val="28"/>
          <w:szCs w:val="28"/>
        </w:rPr>
        <w:fldChar w:fldCharType="begin"/>
      </w:r>
      <w:r>
        <w:rPr>
          <w:sz w:val="28"/>
          <w:szCs w:val="28"/>
        </w:rPr>
        <w:instrText xml:space="preserve"> PAGEREF _Toc71551961 \h </w:instrText>
      </w:r>
      <w:r>
        <w:rPr>
          <w:sz w:val="28"/>
          <w:szCs w:val="28"/>
        </w:rPr>
        <w:fldChar w:fldCharType="separate"/>
      </w:r>
      <w:r>
        <w:rPr>
          <w:sz w:val="28"/>
          <w:szCs w:val="28"/>
        </w:rPr>
        <w:t>227</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"_Toc71551962" </w:instrText>
      </w:r>
      <w:r>
        <w:fldChar w:fldCharType="separate"/>
      </w:r>
      <w:r>
        <w:rPr>
          <w:rStyle w:val="28"/>
          <w:kern w:val="44"/>
          <w:sz w:val="28"/>
          <w:szCs w:val="28"/>
        </w:rPr>
        <w:t>9.3</w:t>
      </w:r>
      <w:r>
        <w:rPr>
          <w:rStyle w:val="28"/>
          <w:rFonts w:hint="eastAsia"/>
          <w:kern w:val="44"/>
          <w:sz w:val="28"/>
          <w:szCs w:val="28"/>
        </w:rPr>
        <w:t>环境影响评价</w:t>
      </w:r>
      <w:r>
        <w:rPr>
          <w:sz w:val="28"/>
          <w:szCs w:val="28"/>
        </w:rPr>
        <w:tab/>
      </w:r>
      <w:r>
        <w:rPr>
          <w:sz w:val="28"/>
          <w:szCs w:val="28"/>
        </w:rPr>
        <w:fldChar w:fldCharType="begin"/>
      </w:r>
      <w:r>
        <w:rPr>
          <w:sz w:val="28"/>
          <w:szCs w:val="28"/>
        </w:rPr>
        <w:instrText xml:space="preserve"> PAGEREF _Toc71551962 \h </w:instrText>
      </w:r>
      <w:r>
        <w:rPr>
          <w:sz w:val="28"/>
          <w:szCs w:val="28"/>
        </w:rPr>
        <w:fldChar w:fldCharType="separate"/>
      </w:r>
      <w:r>
        <w:rPr>
          <w:sz w:val="28"/>
          <w:szCs w:val="28"/>
        </w:rPr>
        <w:t>229</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"_Toc71551963" </w:instrText>
      </w:r>
      <w:r>
        <w:fldChar w:fldCharType="separate"/>
      </w:r>
      <w:r>
        <w:rPr>
          <w:rStyle w:val="28"/>
          <w:kern w:val="44"/>
          <w:sz w:val="28"/>
          <w:szCs w:val="28"/>
        </w:rPr>
        <w:t xml:space="preserve">9.4  </w:t>
      </w:r>
      <w:r>
        <w:rPr>
          <w:rStyle w:val="28"/>
          <w:rFonts w:hint="eastAsia"/>
          <w:kern w:val="44"/>
          <w:sz w:val="28"/>
          <w:szCs w:val="28"/>
        </w:rPr>
        <w:t>总量控制</w:t>
      </w:r>
      <w:r>
        <w:rPr>
          <w:sz w:val="28"/>
          <w:szCs w:val="28"/>
        </w:rPr>
        <w:tab/>
      </w:r>
      <w:r>
        <w:rPr>
          <w:sz w:val="28"/>
          <w:szCs w:val="28"/>
        </w:rPr>
        <w:fldChar w:fldCharType="begin"/>
      </w:r>
      <w:r>
        <w:rPr>
          <w:sz w:val="28"/>
          <w:szCs w:val="28"/>
        </w:rPr>
        <w:instrText xml:space="preserve"> PAGEREF _Toc71551963 \h </w:instrText>
      </w:r>
      <w:r>
        <w:rPr>
          <w:sz w:val="28"/>
          <w:szCs w:val="28"/>
        </w:rPr>
        <w:fldChar w:fldCharType="separate"/>
      </w:r>
      <w:r>
        <w:rPr>
          <w:sz w:val="28"/>
          <w:szCs w:val="28"/>
        </w:rPr>
        <w:t>231</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"_Toc71551964" </w:instrText>
      </w:r>
      <w:r>
        <w:fldChar w:fldCharType="separate"/>
      </w:r>
      <w:r>
        <w:rPr>
          <w:rStyle w:val="28"/>
          <w:kern w:val="44"/>
          <w:sz w:val="28"/>
          <w:szCs w:val="28"/>
        </w:rPr>
        <w:t xml:space="preserve">9.5  </w:t>
      </w:r>
      <w:r>
        <w:rPr>
          <w:rStyle w:val="28"/>
          <w:rFonts w:hint="eastAsia"/>
          <w:kern w:val="44"/>
          <w:sz w:val="28"/>
          <w:szCs w:val="28"/>
        </w:rPr>
        <w:t>环境经济损益分析</w:t>
      </w:r>
      <w:r>
        <w:rPr>
          <w:sz w:val="28"/>
          <w:szCs w:val="28"/>
        </w:rPr>
        <w:tab/>
      </w:r>
      <w:r>
        <w:rPr>
          <w:sz w:val="28"/>
          <w:szCs w:val="28"/>
        </w:rPr>
        <w:fldChar w:fldCharType="begin"/>
      </w:r>
      <w:r>
        <w:rPr>
          <w:sz w:val="28"/>
          <w:szCs w:val="28"/>
        </w:rPr>
        <w:instrText xml:space="preserve"> PAGEREF _Toc71551964 \h </w:instrText>
      </w:r>
      <w:r>
        <w:rPr>
          <w:sz w:val="28"/>
          <w:szCs w:val="28"/>
        </w:rPr>
        <w:fldChar w:fldCharType="separate"/>
      </w:r>
      <w:r>
        <w:rPr>
          <w:sz w:val="28"/>
          <w:szCs w:val="28"/>
        </w:rPr>
        <w:t>231</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"_Toc71551965" </w:instrText>
      </w:r>
      <w:r>
        <w:fldChar w:fldCharType="separate"/>
      </w:r>
      <w:r>
        <w:rPr>
          <w:rStyle w:val="28"/>
          <w:kern w:val="44"/>
          <w:sz w:val="28"/>
          <w:szCs w:val="28"/>
        </w:rPr>
        <w:t xml:space="preserve">9.6  </w:t>
      </w:r>
      <w:r>
        <w:rPr>
          <w:rStyle w:val="28"/>
          <w:rFonts w:hint="eastAsia"/>
          <w:kern w:val="44"/>
          <w:sz w:val="28"/>
          <w:szCs w:val="28"/>
        </w:rPr>
        <w:t>环境管理与监测计划</w:t>
      </w:r>
      <w:r>
        <w:rPr>
          <w:sz w:val="28"/>
          <w:szCs w:val="28"/>
        </w:rPr>
        <w:tab/>
      </w:r>
      <w:r>
        <w:rPr>
          <w:sz w:val="28"/>
          <w:szCs w:val="28"/>
        </w:rPr>
        <w:fldChar w:fldCharType="begin"/>
      </w:r>
      <w:r>
        <w:rPr>
          <w:sz w:val="28"/>
          <w:szCs w:val="28"/>
        </w:rPr>
        <w:instrText xml:space="preserve"> PAGEREF _Toc71551965 \h </w:instrText>
      </w:r>
      <w:r>
        <w:rPr>
          <w:sz w:val="28"/>
          <w:szCs w:val="28"/>
        </w:rPr>
        <w:fldChar w:fldCharType="separate"/>
      </w:r>
      <w:r>
        <w:rPr>
          <w:sz w:val="28"/>
          <w:szCs w:val="28"/>
        </w:rPr>
        <w:t>232</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"_Toc71551966" </w:instrText>
      </w:r>
      <w:r>
        <w:fldChar w:fldCharType="separate"/>
      </w:r>
      <w:r>
        <w:rPr>
          <w:rStyle w:val="28"/>
          <w:kern w:val="44"/>
          <w:sz w:val="28"/>
          <w:szCs w:val="28"/>
        </w:rPr>
        <w:t xml:space="preserve">9.7  </w:t>
      </w:r>
      <w:r>
        <w:rPr>
          <w:rStyle w:val="28"/>
          <w:rFonts w:hint="eastAsia"/>
          <w:kern w:val="44"/>
          <w:sz w:val="28"/>
          <w:szCs w:val="28"/>
        </w:rPr>
        <w:t>公众参与</w:t>
      </w:r>
      <w:r>
        <w:rPr>
          <w:sz w:val="28"/>
          <w:szCs w:val="28"/>
        </w:rPr>
        <w:tab/>
      </w:r>
      <w:r>
        <w:rPr>
          <w:sz w:val="28"/>
          <w:szCs w:val="28"/>
        </w:rPr>
        <w:fldChar w:fldCharType="begin"/>
      </w:r>
      <w:r>
        <w:rPr>
          <w:sz w:val="28"/>
          <w:szCs w:val="28"/>
        </w:rPr>
        <w:instrText xml:space="preserve"> PAGEREF _Toc71551966 \h </w:instrText>
      </w:r>
      <w:r>
        <w:rPr>
          <w:sz w:val="28"/>
          <w:szCs w:val="28"/>
        </w:rPr>
        <w:fldChar w:fldCharType="separate"/>
      </w:r>
      <w:r>
        <w:rPr>
          <w:sz w:val="28"/>
          <w:szCs w:val="28"/>
        </w:rPr>
        <w:t>232</w:t>
      </w:r>
      <w:r>
        <w:rPr>
          <w:sz w:val="28"/>
          <w:szCs w:val="28"/>
        </w:rPr>
        <w:fldChar w:fldCharType="end"/>
      </w:r>
      <w:r>
        <w:rPr>
          <w:sz w:val="28"/>
          <w:szCs w:val="28"/>
        </w:rPr>
        <w:fldChar w:fldCharType="end"/>
      </w:r>
    </w:p>
    <w:p>
      <w:pPr>
        <w:pStyle w:val="21"/>
        <w:tabs>
          <w:tab w:val="right" w:leader="dot" w:pos="9060"/>
        </w:tabs>
        <w:rPr>
          <w:rFonts w:asciiTheme="minorHAnsi" w:hAnsiTheme="minorHAnsi" w:eastAsiaTheme="minorEastAsia" w:cstheme="minorBidi"/>
          <w:smallCaps w:val="0"/>
          <w:sz w:val="28"/>
          <w:szCs w:val="28"/>
        </w:rPr>
      </w:pPr>
      <w:r>
        <w:fldChar w:fldCharType="begin"/>
      </w:r>
      <w:r>
        <w:instrText xml:space="preserve"> HYPERLINK \l "_Toc71551967" </w:instrText>
      </w:r>
      <w:r>
        <w:fldChar w:fldCharType="separate"/>
      </w:r>
      <w:r>
        <w:rPr>
          <w:rStyle w:val="28"/>
          <w:kern w:val="44"/>
          <w:sz w:val="28"/>
          <w:szCs w:val="28"/>
        </w:rPr>
        <w:t xml:space="preserve">9.8  </w:t>
      </w:r>
      <w:r>
        <w:rPr>
          <w:rStyle w:val="28"/>
          <w:rFonts w:hint="eastAsia"/>
          <w:kern w:val="44"/>
          <w:sz w:val="28"/>
          <w:szCs w:val="28"/>
        </w:rPr>
        <w:t>总结论</w:t>
      </w:r>
      <w:r>
        <w:rPr>
          <w:sz w:val="28"/>
          <w:szCs w:val="28"/>
        </w:rPr>
        <w:tab/>
      </w:r>
      <w:r>
        <w:rPr>
          <w:sz w:val="28"/>
          <w:szCs w:val="28"/>
        </w:rPr>
        <w:fldChar w:fldCharType="begin"/>
      </w:r>
      <w:r>
        <w:rPr>
          <w:sz w:val="28"/>
          <w:szCs w:val="28"/>
        </w:rPr>
        <w:instrText xml:space="preserve"> PAGEREF _Toc71551967 \h </w:instrText>
      </w:r>
      <w:r>
        <w:rPr>
          <w:sz w:val="28"/>
          <w:szCs w:val="28"/>
        </w:rPr>
        <w:fldChar w:fldCharType="separate"/>
      </w:r>
      <w:r>
        <w:rPr>
          <w:sz w:val="28"/>
          <w:szCs w:val="28"/>
        </w:rPr>
        <w:t>232</w:t>
      </w:r>
      <w:r>
        <w:rPr>
          <w:sz w:val="28"/>
          <w:szCs w:val="28"/>
        </w:rPr>
        <w:fldChar w:fldCharType="end"/>
      </w:r>
      <w:r>
        <w:rPr>
          <w:sz w:val="28"/>
          <w:szCs w:val="28"/>
        </w:rPr>
        <w:fldChar w:fldCharType="end"/>
      </w:r>
    </w:p>
    <w:p>
      <w:pPr>
        <w:spacing w:line="288" w:lineRule="auto"/>
        <w:ind w:firstLine="128" w:firstLineChars="46"/>
        <w:rPr>
          <w:rFonts w:eastAsiaTheme="minorEastAsia"/>
          <w:bCs/>
          <w:caps/>
          <w:sz w:val="28"/>
          <w:szCs w:val="28"/>
        </w:rPr>
      </w:pPr>
      <w:r>
        <w:rPr>
          <w:rFonts w:eastAsiaTheme="minorEastAsia"/>
          <w:bCs/>
          <w:caps/>
          <w:sz w:val="28"/>
          <w:szCs w:val="28"/>
        </w:rPr>
        <w:fldChar w:fldCharType="end"/>
      </w: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276" w:lineRule="auto"/>
        <w:ind w:firstLine="110" w:firstLineChars="46"/>
        <w:rPr>
          <w:rFonts w:eastAsiaTheme="minorEastAsia"/>
          <w:bCs/>
          <w:caps/>
          <w:sz w:val="24"/>
        </w:rPr>
      </w:pPr>
    </w:p>
    <w:p>
      <w:pPr>
        <w:snapToGrid w:val="0"/>
        <w:spacing w:line="360" w:lineRule="auto"/>
        <w:rPr>
          <w:rFonts w:eastAsiaTheme="minorEastAsia"/>
          <w:b/>
          <w:sz w:val="28"/>
          <w:szCs w:val="28"/>
        </w:rPr>
      </w:pPr>
      <w:r>
        <w:rPr>
          <w:rFonts w:hAnsiTheme="minorEastAsia" w:eastAsiaTheme="minorEastAsia"/>
          <w:b/>
          <w:sz w:val="28"/>
          <w:szCs w:val="28"/>
        </w:rPr>
        <w:t>附件：</w:t>
      </w:r>
    </w:p>
    <w:p>
      <w:pPr>
        <w:spacing w:line="360" w:lineRule="auto"/>
        <w:rPr>
          <w:rFonts w:hAnsiTheme="minorEastAsia" w:eastAsiaTheme="minorEastAsia"/>
          <w:bCs/>
          <w:spacing w:val="4"/>
          <w:sz w:val="24"/>
        </w:rPr>
      </w:pPr>
      <w:r>
        <w:rPr>
          <w:rFonts w:hAnsiTheme="minorEastAsia" w:eastAsiaTheme="minorEastAsia"/>
          <w:bCs/>
          <w:spacing w:val="4"/>
          <w:sz w:val="24"/>
        </w:rPr>
        <w:t>附件</w:t>
      </w:r>
      <w:r>
        <w:rPr>
          <w:rFonts w:eastAsiaTheme="minorEastAsia"/>
          <w:bCs/>
          <w:spacing w:val="4"/>
          <w:sz w:val="24"/>
        </w:rPr>
        <w:t>1</w:t>
      </w:r>
      <w:r>
        <w:rPr>
          <w:rFonts w:hAnsiTheme="minorEastAsia" w:eastAsiaTheme="minorEastAsia"/>
          <w:bCs/>
          <w:spacing w:val="4"/>
          <w:sz w:val="24"/>
        </w:rPr>
        <w:t>：委托书；</w:t>
      </w:r>
    </w:p>
    <w:p>
      <w:pPr>
        <w:spacing w:line="360" w:lineRule="auto"/>
        <w:rPr>
          <w:rFonts w:eastAsiaTheme="minorEastAsia"/>
          <w:bCs/>
          <w:spacing w:val="4"/>
          <w:sz w:val="24"/>
        </w:rPr>
      </w:pPr>
      <w:r>
        <w:rPr>
          <w:rFonts w:hAnsiTheme="minorEastAsia" w:eastAsiaTheme="minorEastAsia"/>
          <w:bCs/>
          <w:spacing w:val="4"/>
          <w:sz w:val="24"/>
        </w:rPr>
        <w:t>附件</w:t>
      </w:r>
      <w:r>
        <w:rPr>
          <w:rFonts w:hint="eastAsia" w:eastAsiaTheme="minorEastAsia"/>
          <w:bCs/>
          <w:spacing w:val="4"/>
          <w:sz w:val="24"/>
        </w:rPr>
        <w:t>2</w:t>
      </w:r>
      <w:r>
        <w:rPr>
          <w:rFonts w:hAnsiTheme="minorEastAsia" w:eastAsiaTheme="minorEastAsia"/>
          <w:bCs/>
          <w:spacing w:val="4"/>
          <w:sz w:val="24"/>
        </w:rPr>
        <w:t>：</w:t>
      </w:r>
      <w:r>
        <w:rPr>
          <w:rFonts w:hint="eastAsia" w:hAnsiTheme="minorEastAsia" w:eastAsiaTheme="minorEastAsia"/>
          <w:bCs/>
          <w:spacing w:val="4"/>
          <w:sz w:val="24"/>
        </w:rPr>
        <w:t>采矿证</w:t>
      </w:r>
      <w:r>
        <w:rPr>
          <w:rFonts w:hAnsiTheme="minorEastAsia" w:eastAsiaTheme="minorEastAsia"/>
          <w:bCs/>
          <w:spacing w:val="4"/>
          <w:sz w:val="24"/>
        </w:rPr>
        <w:t>；</w:t>
      </w:r>
    </w:p>
    <w:p>
      <w:pPr>
        <w:spacing w:line="360" w:lineRule="auto"/>
        <w:rPr>
          <w:rFonts w:eastAsiaTheme="minorEastAsia"/>
          <w:snapToGrid w:val="0"/>
          <w:sz w:val="24"/>
        </w:rPr>
      </w:pPr>
      <w:r>
        <w:rPr>
          <w:rFonts w:hAnsiTheme="minorEastAsia" w:eastAsiaTheme="minorEastAsia"/>
          <w:bCs/>
          <w:spacing w:val="4"/>
          <w:sz w:val="24"/>
        </w:rPr>
        <w:t>附件</w:t>
      </w:r>
      <w:r>
        <w:rPr>
          <w:rFonts w:hint="eastAsia" w:eastAsiaTheme="minorEastAsia"/>
          <w:bCs/>
          <w:spacing w:val="4"/>
          <w:sz w:val="24"/>
        </w:rPr>
        <w:t>3</w:t>
      </w:r>
      <w:r>
        <w:rPr>
          <w:rFonts w:hAnsiTheme="minorEastAsia" w:eastAsiaTheme="minorEastAsia"/>
          <w:bCs/>
          <w:spacing w:val="4"/>
          <w:sz w:val="24"/>
        </w:rPr>
        <w:t>：</w:t>
      </w:r>
      <w:r>
        <w:rPr>
          <w:rFonts w:hint="eastAsia" w:hAnsiTheme="minorEastAsia" w:eastAsiaTheme="minorEastAsia"/>
          <w:bCs/>
          <w:sz w:val="24"/>
        </w:rPr>
        <w:t>山西省环境保护厅</w:t>
      </w:r>
      <w:r>
        <w:rPr>
          <w:rFonts w:hAnsiTheme="minorEastAsia" w:eastAsiaTheme="minorEastAsia"/>
          <w:bCs/>
          <w:sz w:val="24"/>
        </w:rPr>
        <w:t>，</w:t>
      </w:r>
      <w:r>
        <w:rPr>
          <w:rFonts w:hint="eastAsia" w:hAnsiTheme="minorEastAsia" w:eastAsiaTheme="minorEastAsia"/>
          <w:bCs/>
          <w:sz w:val="24"/>
        </w:rPr>
        <w:t>晋</w:t>
      </w:r>
      <w:r>
        <w:rPr>
          <w:rFonts w:hAnsiTheme="minorEastAsia" w:eastAsiaTheme="minorEastAsia"/>
          <w:bCs/>
          <w:sz w:val="24"/>
        </w:rPr>
        <w:t>环审</w:t>
      </w:r>
      <w:r>
        <w:rPr>
          <w:rFonts w:eastAsiaTheme="minorEastAsia"/>
          <w:bCs/>
          <w:sz w:val="24"/>
        </w:rPr>
        <w:t>[20</w:t>
      </w:r>
      <w:r>
        <w:rPr>
          <w:rFonts w:hint="eastAsia" w:eastAsiaTheme="minorEastAsia"/>
          <w:bCs/>
          <w:sz w:val="24"/>
        </w:rPr>
        <w:t>14</w:t>
      </w:r>
      <w:r>
        <w:rPr>
          <w:rFonts w:eastAsiaTheme="minorEastAsia"/>
          <w:bCs/>
          <w:sz w:val="24"/>
        </w:rPr>
        <w:t>]</w:t>
      </w:r>
      <w:r>
        <w:rPr>
          <w:rFonts w:hint="eastAsia" w:eastAsiaTheme="minorEastAsia"/>
          <w:bCs/>
          <w:sz w:val="24"/>
        </w:rPr>
        <w:t>745</w:t>
      </w:r>
      <w:r>
        <w:rPr>
          <w:rFonts w:hAnsiTheme="minorEastAsia" w:eastAsiaTheme="minorEastAsia"/>
          <w:bCs/>
          <w:sz w:val="24"/>
        </w:rPr>
        <w:t>号</w:t>
      </w:r>
      <w:r>
        <w:rPr>
          <w:rFonts w:hint="eastAsia" w:eastAsiaTheme="minorEastAsia"/>
          <w:bCs/>
          <w:sz w:val="24"/>
        </w:rPr>
        <w:t>“</w:t>
      </w:r>
      <w:r>
        <w:rPr>
          <w:rFonts w:hAnsiTheme="minorEastAsia" w:eastAsiaTheme="minorEastAsia"/>
          <w:bCs/>
          <w:sz w:val="24"/>
        </w:rPr>
        <w:t>关于《</w:t>
      </w:r>
      <w:r>
        <w:rPr>
          <w:rFonts w:hAnsiTheme="minorEastAsia" w:eastAsiaTheme="minorEastAsia"/>
          <w:sz w:val="24"/>
        </w:rPr>
        <w:t>山西</w:t>
      </w:r>
      <w:r>
        <w:rPr>
          <w:rFonts w:hint="eastAsia" w:hAnsiTheme="minorEastAsia" w:eastAsiaTheme="minorEastAsia"/>
          <w:sz w:val="24"/>
        </w:rPr>
        <w:t>煤炭运销集团新工煤业</w:t>
      </w:r>
      <w:r>
        <w:rPr>
          <w:rFonts w:hAnsiTheme="minorEastAsia" w:eastAsiaTheme="minorEastAsia"/>
          <w:sz w:val="24"/>
        </w:rPr>
        <w:t>有限公司</w:t>
      </w:r>
      <w:r>
        <w:rPr>
          <w:rFonts w:hint="eastAsia" w:hAnsiTheme="minorEastAsia" w:eastAsiaTheme="minorEastAsia"/>
          <w:sz w:val="24"/>
        </w:rPr>
        <w:t>120万t/a矿井兼并重组整合项目</w:t>
      </w:r>
      <w:r>
        <w:rPr>
          <w:rFonts w:hAnsiTheme="minorEastAsia" w:eastAsiaTheme="minorEastAsia"/>
          <w:bCs/>
          <w:sz w:val="24"/>
        </w:rPr>
        <w:t>环境影响报告书》的批复</w:t>
      </w:r>
      <w:r>
        <w:rPr>
          <w:rFonts w:hint="eastAsia" w:eastAsiaTheme="minorEastAsia"/>
          <w:bCs/>
          <w:sz w:val="24"/>
        </w:rPr>
        <w:t>”</w:t>
      </w:r>
      <w:r>
        <w:rPr>
          <w:rFonts w:hAnsiTheme="minorEastAsia" w:eastAsiaTheme="minorEastAsia"/>
          <w:bCs/>
          <w:sz w:val="24"/>
        </w:rPr>
        <w:t>；</w:t>
      </w:r>
    </w:p>
    <w:p>
      <w:pPr>
        <w:spacing w:line="360" w:lineRule="auto"/>
        <w:rPr>
          <w:rFonts w:eastAsiaTheme="minorEastAsia"/>
          <w:sz w:val="24"/>
        </w:rPr>
      </w:pPr>
      <w:r>
        <w:rPr>
          <w:rFonts w:hAnsiTheme="minorEastAsia" w:eastAsiaTheme="minorEastAsia"/>
          <w:bCs/>
          <w:spacing w:val="4"/>
          <w:sz w:val="24"/>
        </w:rPr>
        <w:t>附件</w:t>
      </w:r>
      <w:r>
        <w:rPr>
          <w:rFonts w:hint="eastAsia" w:eastAsiaTheme="minorEastAsia"/>
          <w:bCs/>
          <w:spacing w:val="4"/>
          <w:sz w:val="24"/>
        </w:rPr>
        <w:t>4</w:t>
      </w:r>
      <w:r>
        <w:rPr>
          <w:rFonts w:hAnsiTheme="minorEastAsia" w:eastAsiaTheme="minorEastAsia"/>
          <w:bCs/>
          <w:spacing w:val="4"/>
          <w:sz w:val="24"/>
        </w:rPr>
        <w:t>：</w:t>
      </w:r>
      <w:r>
        <w:rPr>
          <w:rFonts w:hint="eastAsia" w:hAnsiTheme="minorEastAsia" w:eastAsiaTheme="minorEastAsia"/>
          <w:bCs/>
          <w:spacing w:val="4"/>
          <w:sz w:val="24"/>
        </w:rPr>
        <w:t>山西省煤炭工业厅</w:t>
      </w:r>
      <w:r>
        <w:rPr>
          <w:rFonts w:eastAsiaTheme="minorEastAsia"/>
          <w:sz w:val="24"/>
        </w:rPr>
        <w:t xml:space="preserve"> </w:t>
      </w:r>
      <w:r>
        <w:rPr>
          <w:rFonts w:hAnsiTheme="minorEastAsia" w:eastAsiaTheme="minorEastAsia"/>
          <w:sz w:val="24"/>
        </w:rPr>
        <w:t>，</w:t>
      </w:r>
      <w:r>
        <w:rPr>
          <w:rFonts w:hint="eastAsia" w:hAnsiTheme="minorEastAsia" w:eastAsiaTheme="minorEastAsia"/>
          <w:sz w:val="24"/>
        </w:rPr>
        <w:t>晋煤规发</w:t>
      </w:r>
      <w:r>
        <w:rPr>
          <w:rFonts w:hAnsiTheme="minorEastAsia" w:eastAsiaTheme="minorEastAsia"/>
          <w:bCs/>
          <w:sz w:val="24"/>
        </w:rPr>
        <w:t>[20</w:t>
      </w:r>
      <w:r>
        <w:rPr>
          <w:rFonts w:hint="eastAsia" w:hAnsiTheme="minorEastAsia" w:eastAsiaTheme="minorEastAsia"/>
          <w:bCs/>
          <w:sz w:val="24"/>
        </w:rPr>
        <w:t>10</w:t>
      </w:r>
      <w:r>
        <w:rPr>
          <w:rFonts w:hAnsiTheme="minorEastAsia" w:eastAsiaTheme="minorEastAsia"/>
          <w:bCs/>
          <w:sz w:val="24"/>
        </w:rPr>
        <w:t>]</w:t>
      </w:r>
      <w:r>
        <w:rPr>
          <w:rFonts w:hint="eastAsia" w:hAnsiTheme="minorEastAsia" w:eastAsiaTheme="minorEastAsia"/>
          <w:bCs/>
          <w:sz w:val="24"/>
        </w:rPr>
        <w:t>1257</w:t>
      </w:r>
      <w:r>
        <w:rPr>
          <w:rFonts w:hAnsiTheme="minorEastAsia" w:eastAsiaTheme="minorEastAsia"/>
          <w:bCs/>
          <w:sz w:val="24"/>
        </w:rPr>
        <w:t>号</w:t>
      </w:r>
      <w:r>
        <w:rPr>
          <w:rFonts w:hint="eastAsia" w:eastAsiaTheme="minorEastAsia"/>
          <w:sz w:val="24"/>
        </w:rPr>
        <w:t>“</w:t>
      </w:r>
      <w:r>
        <w:rPr>
          <w:rFonts w:hAnsiTheme="minorEastAsia" w:eastAsiaTheme="minorEastAsia"/>
          <w:sz w:val="24"/>
        </w:rPr>
        <w:t>关于山西</w:t>
      </w:r>
      <w:r>
        <w:rPr>
          <w:rFonts w:hint="eastAsia" w:hAnsiTheme="minorEastAsia" w:eastAsiaTheme="minorEastAsia"/>
          <w:sz w:val="24"/>
        </w:rPr>
        <w:t>煤炭运销集团新工煤业</w:t>
      </w:r>
      <w:r>
        <w:rPr>
          <w:rFonts w:hAnsiTheme="minorEastAsia" w:eastAsiaTheme="minorEastAsia"/>
          <w:sz w:val="24"/>
        </w:rPr>
        <w:t>有限公司</w:t>
      </w:r>
      <w:r>
        <w:rPr>
          <w:rFonts w:hint="eastAsia" w:hAnsiTheme="minorEastAsia" w:eastAsiaTheme="minorEastAsia"/>
          <w:sz w:val="24"/>
        </w:rPr>
        <w:t>兼并重组整合矿井地质报告的批复</w:t>
      </w:r>
      <w:r>
        <w:rPr>
          <w:rFonts w:hint="eastAsia" w:eastAsiaTheme="minorEastAsia"/>
          <w:sz w:val="24"/>
        </w:rPr>
        <w:t>”</w:t>
      </w:r>
      <w:r>
        <w:rPr>
          <w:rFonts w:hAnsiTheme="minorEastAsia" w:eastAsiaTheme="minorEastAsia"/>
          <w:sz w:val="24"/>
        </w:rPr>
        <w:t>；</w:t>
      </w:r>
    </w:p>
    <w:p>
      <w:pPr>
        <w:spacing w:line="360" w:lineRule="auto"/>
        <w:rPr>
          <w:rFonts w:hAnsiTheme="minorEastAsia" w:eastAsiaTheme="minorEastAsia"/>
          <w:sz w:val="24"/>
        </w:rPr>
      </w:pPr>
      <w:r>
        <w:rPr>
          <w:rFonts w:hAnsiTheme="minorEastAsia" w:eastAsiaTheme="minorEastAsia"/>
          <w:bCs/>
          <w:spacing w:val="4"/>
          <w:sz w:val="24"/>
        </w:rPr>
        <w:t>附件</w:t>
      </w:r>
      <w:r>
        <w:rPr>
          <w:rFonts w:hint="eastAsia" w:eastAsiaTheme="minorEastAsia"/>
          <w:bCs/>
          <w:spacing w:val="4"/>
          <w:sz w:val="24"/>
        </w:rPr>
        <w:t>5</w:t>
      </w:r>
      <w:r>
        <w:rPr>
          <w:rFonts w:hint="eastAsia" w:hAnsiTheme="minorEastAsia" w:eastAsiaTheme="minorEastAsia"/>
          <w:bCs/>
          <w:spacing w:val="4"/>
          <w:sz w:val="24"/>
        </w:rPr>
        <w:t>：煤矸石检测报告（报告编号：MZ1111383），山西省煤炭地质研究院</w:t>
      </w:r>
      <w:r>
        <w:rPr>
          <w:rFonts w:hAnsiTheme="minorEastAsia" w:eastAsiaTheme="minorEastAsia"/>
          <w:sz w:val="24"/>
        </w:rPr>
        <w:t>；</w:t>
      </w:r>
    </w:p>
    <w:p>
      <w:pPr>
        <w:spacing w:line="360" w:lineRule="auto"/>
        <w:rPr>
          <w:rFonts w:hAnsiTheme="minorEastAsia" w:eastAsiaTheme="minorEastAsia"/>
          <w:sz w:val="24"/>
        </w:rPr>
      </w:pPr>
      <w:r>
        <w:rPr>
          <w:rFonts w:hint="eastAsia" w:hAnsiTheme="minorEastAsia" w:eastAsiaTheme="minorEastAsia"/>
          <w:sz w:val="24"/>
        </w:rPr>
        <w:t>附件6：总量指标批复</w:t>
      </w:r>
    </w:p>
    <w:p>
      <w:pPr>
        <w:spacing w:line="360" w:lineRule="auto"/>
        <w:rPr>
          <w:rFonts w:hAnsiTheme="minorEastAsia" w:eastAsiaTheme="minorEastAsia"/>
          <w:sz w:val="24"/>
        </w:rPr>
      </w:pPr>
      <w:r>
        <w:rPr>
          <w:rFonts w:hint="eastAsia" w:hAnsiTheme="minorEastAsia" w:eastAsiaTheme="minorEastAsia"/>
          <w:sz w:val="24"/>
        </w:rPr>
        <w:t>附件7：水源村搬迁协议</w:t>
      </w:r>
    </w:p>
    <w:p>
      <w:pPr>
        <w:spacing w:line="360" w:lineRule="auto"/>
        <w:rPr>
          <w:rFonts w:eastAsiaTheme="minorEastAsia"/>
          <w:sz w:val="24"/>
        </w:rPr>
      </w:pPr>
      <w:r>
        <w:rPr>
          <w:rFonts w:hint="eastAsia" w:hAnsiTheme="minorEastAsia" w:eastAsiaTheme="minorEastAsia"/>
          <w:sz w:val="24"/>
        </w:rPr>
        <w:t>附件8：风井场地租赁协议</w:t>
      </w:r>
    </w:p>
    <w:p>
      <w:pPr>
        <w:spacing w:line="360" w:lineRule="auto"/>
        <w:rPr>
          <w:rFonts w:hAnsiTheme="minorEastAsia" w:eastAsiaTheme="minorEastAsia"/>
          <w:sz w:val="24"/>
        </w:rPr>
      </w:pPr>
      <w:r>
        <w:rPr>
          <w:rFonts w:hAnsiTheme="minorEastAsia" w:eastAsiaTheme="minorEastAsia"/>
          <w:bCs/>
          <w:spacing w:val="4"/>
          <w:sz w:val="24"/>
        </w:rPr>
        <w:t>附件</w:t>
      </w:r>
      <w:r>
        <w:rPr>
          <w:rFonts w:hint="eastAsia" w:eastAsiaTheme="minorEastAsia"/>
          <w:bCs/>
          <w:spacing w:val="4"/>
          <w:sz w:val="24"/>
        </w:rPr>
        <w:t>7</w:t>
      </w:r>
      <w:r>
        <w:rPr>
          <w:rFonts w:hAnsiTheme="minorEastAsia" w:eastAsiaTheme="minorEastAsia"/>
          <w:bCs/>
          <w:spacing w:val="4"/>
          <w:sz w:val="24"/>
        </w:rPr>
        <w:t>：</w:t>
      </w:r>
      <w:r>
        <w:rPr>
          <w:rFonts w:hAnsiTheme="minorEastAsia" w:eastAsiaTheme="minorEastAsia"/>
          <w:sz w:val="24"/>
        </w:rPr>
        <w:t>项目监测报告</w:t>
      </w:r>
    </w:p>
    <w:p>
      <w:pPr>
        <w:widowControl/>
        <w:jc w:val="left"/>
        <w:rPr>
          <w:rFonts w:hAnsiTheme="minorEastAsia" w:eastAsiaTheme="minorEastAsia"/>
          <w:color w:val="FF0000"/>
          <w:sz w:val="24"/>
        </w:rPr>
      </w:pPr>
      <w:r>
        <w:rPr>
          <w:rFonts w:hAnsiTheme="minorEastAsia" w:eastAsiaTheme="minorEastAsia"/>
          <w:color w:val="FF0000"/>
          <w:sz w:val="24"/>
        </w:rPr>
        <w:br w:type="page"/>
      </w:r>
      <w:r>
        <w:rPr>
          <w:rFonts w:hAnsiTheme="minorEastAsia" w:eastAsiaTheme="minorEastAsia"/>
          <w:color w:val="FF0000"/>
          <w:sz w:val="24"/>
        </w:rPr>
        <w:br w:type="page"/>
      </w:r>
    </w:p>
    <w:p>
      <w:pPr>
        <w:spacing w:line="360" w:lineRule="auto"/>
        <w:rPr>
          <w:rFonts w:eastAsiaTheme="minorEastAsia"/>
          <w:sz w:val="24"/>
        </w:rPr>
        <w:sectPr>
          <w:headerReference r:id="rId6" w:type="default"/>
          <w:footerReference r:id="rId7" w:type="default"/>
          <w:footerReference r:id="rId8" w:type="even"/>
          <w:pgSz w:w="11906" w:h="16838"/>
          <w:pgMar w:top="1701" w:right="1418" w:bottom="1701" w:left="1418" w:header="1134" w:footer="992" w:gutter="0"/>
          <w:pgNumType w:start="1" w:chapStyle="1"/>
          <w:cols w:space="425" w:num="1"/>
          <w:docGrid w:linePitch="312" w:charSpace="0"/>
        </w:sectPr>
      </w:pPr>
    </w:p>
    <w:p>
      <w:pPr>
        <w:pStyle w:val="2"/>
        <w:spacing w:before="0" w:after="0" w:line="360" w:lineRule="auto"/>
        <w:jc w:val="center"/>
        <w:rPr>
          <w:rFonts w:eastAsiaTheme="minorEastAsia"/>
        </w:rPr>
      </w:pPr>
      <w:bookmarkStart w:id="8" w:name="_Toc71551912"/>
      <w:r>
        <w:rPr>
          <w:rFonts w:eastAsiaTheme="minorEastAsia"/>
        </w:rPr>
        <w:t>1</w:t>
      </w:r>
      <w:r>
        <w:rPr>
          <w:rFonts w:hAnsiTheme="minorEastAsia" w:eastAsiaTheme="minorEastAsia"/>
        </w:rPr>
        <w:t>、概述</w:t>
      </w:r>
      <w:bookmarkEnd w:id="8"/>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9" w:name="_Toc497815022"/>
      <w:bookmarkStart w:id="10" w:name="_Toc6475"/>
      <w:bookmarkStart w:id="11" w:name="_Toc2300"/>
      <w:bookmarkStart w:id="12" w:name="_Toc497206079"/>
      <w:bookmarkStart w:id="13" w:name="_Toc433225557"/>
      <w:bookmarkStart w:id="14" w:name="_Toc18649"/>
      <w:bookmarkStart w:id="15" w:name="_Toc23853"/>
      <w:bookmarkStart w:id="16" w:name="_Toc391912240"/>
      <w:bookmarkStart w:id="17" w:name="_Toc19441"/>
      <w:bookmarkStart w:id="18" w:name="_Toc400975551"/>
      <w:bookmarkStart w:id="19" w:name="_Toc502355581"/>
      <w:bookmarkStart w:id="20" w:name="_Toc71551913"/>
      <w:r>
        <w:rPr>
          <w:rFonts w:ascii="Times New Roman" w:hAnsi="Times New Roman" w:eastAsiaTheme="minorEastAsia"/>
          <w:kern w:val="44"/>
          <w:sz w:val="30"/>
          <w:szCs w:val="30"/>
        </w:rPr>
        <w:t>1.1</w:t>
      </w:r>
      <w:r>
        <w:rPr>
          <w:rFonts w:ascii="Times New Roman" w:hAnsiTheme="minorEastAsia" w:eastAsiaTheme="minorEastAsia"/>
          <w:kern w:val="44"/>
          <w:sz w:val="30"/>
          <w:szCs w:val="30"/>
        </w:rPr>
        <w:t>项目</w:t>
      </w:r>
      <w:bookmarkEnd w:id="9"/>
      <w:bookmarkEnd w:id="10"/>
      <w:bookmarkEnd w:id="11"/>
      <w:bookmarkEnd w:id="12"/>
      <w:bookmarkEnd w:id="13"/>
      <w:bookmarkEnd w:id="14"/>
      <w:bookmarkEnd w:id="15"/>
      <w:bookmarkEnd w:id="16"/>
      <w:bookmarkEnd w:id="17"/>
      <w:bookmarkEnd w:id="18"/>
      <w:bookmarkEnd w:id="19"/>
      <w:r>
        <w:rPr>
          <w:rFonts w:ascii="Times New Roman" w:hAnsiTheme="minorEastAsia" w:eastAsiaTheme="minorEastAsia"/>
          <w:kern w:val="44"/>
          <w:sz w:val="30"/>
          <w:szCs w:val="30"/>
        </w:rPr>
        <w:t>概况及评价任务由来</w:t>
      </w:r>
      <w:bookmarkEnd w:id="20"/>
    </w:p>
    <w:p>
      <w:pPr>
        <w:spacing w:line="360" w:lineRule="auto"/>
        <w:outlineLvl w:val="2"/>
        <w:rPr>
          <w:rFonts w:eastAsiaTheme="minorEastAsia"/>
          <w:b/>
          <w:sz w:val="24"/>
        </w:rPr>
      </w:pPr>
      <w:r>
        <w:rPr>
          <w:rFonts w:eastAsiaTheme="minorEastAsia"/>
          <w:b/>
          <w:sz w:val="24"/>
        </w:rPr>
        <w:t>1.1.1</w:t>
      </w:r>
      <w:r>
        <w:rPr>
          <w:rFonts w:hAnsiTheme="minorEastAsia" w:eastAsiaTheme="minorEastAsia"/>
          <w:b/>
          <w:sz w:val="24"/>
        </w:rPr>
        <w:t>项目背景</w:t>
      </w:r>
    </w:p>
    <w:p>
      <w:pPr>
        <w:pStyle w:val="85"/>
        <w:ind w:firstLine="480"/>
        <w:rPr>
          <w:rFonts w:ascii="Times New Roman" w:hAnsi="Times New Roman" w:cs="Times New Roman"/>
          <w:sz w:val="24"/>
        </w:rPr>
      </w:pPr>
      <w:r>
        <w:rPr>
          <w:rFonts w:ascii="Times New Roman" w:hAnsi="Times New Roman" w:cs="Times New Roman"/>
          <w:sz w:val="24"/>
        </w:rPr>
        <w:t>根据山西省煤矿企业兼并重组整合工作领导组办公室晋煤重组办发[2009]23号《关于吕梁市临县煤矿企业兼并重组整合方案（部分）的批复》，以山西煤炭运销集团有限公司为兼并重组整合主体，兼并重组整合原山西盛源工农庄煤矿有限公司、原山西临县宏宇煤业有限公司、原山西临县后庄煤矿有限公司（十关闭）和原山西临县祥宇煤业有限公司（十关闭）共4家煤矿企业，兼并重组后项目名称为山西煤炭运销集团新工煤业有限公司，隶属山西煤炭运销集团吕梁有限公司。</w:t>
      </w:r>
    </w:p>
    <w:p>
      <w:pPr>
        <w:pStyle w:val="85"/>
        <w:ind w:firstLine="480"/>
        <w:rPr>
          <w:rFonts w:ascii="Times New Roman" w:hAnsi="Times New Roman" w:cs="Times New Roman"/>
          <w:sz w:val="24"/>
          <w:szCs w:val="24"/>
        </w:rPr>
      </w:pPr>
      <w:r>
        <w:rPr>
          <w:rFonts w:ascii="Times New Roman" w:cs="Times New Roman" w:hAnsiTheme="minorEastAsia"/>
          <w:sz w:val="24"/>
          <w:szCs w:val="24"/>
        </w:rPr>
        <w:t>山西煤炭运销集团新工煤业有限公司井田位于山西省临县西南约</w:t>
      </w:r>
      <w:r>
        <w:rPr>
          <w:rFonts w:ascii="Times New Roman" w:hAnsi="Times New Roman" w:cs="Times New Roman"/>
          <w:sz w:val="24"/>
          <w:szCs w:val="24"/>
        </w:rPr>
        <w:t>36km</w:t>
      </w:r>
      <w:r>
        <w:rPr>
          <w:rFonts w:ascii="Times New Roman" w:cs="Times New Roman" w:hAnsiTheme="minorEastAsia"/>
          <w:sz w:val="24"/>
          <w:szCs w:val="24"/>
        </w:rPr>
        <w:t>处招贤镇的高家庄村、大长村、工农庄村和林家坪镇的后庄村一带，行政区划隶属临县招贤镇管辖。</w:t>
      </w:r>
      <w:r>
        <w:rPr>
          <w:rFonts w:hint="eastAsia" w:ascii="Times New Roman" w:cs="Times New Roman" w:hAnsiTheme="minorEastAsia"/>
          <w:sz w:val="24"/>
          <w:szCs w:val="24"/>
        </w:rPr>
        <w:t>山西煤炭运销集团新工煤业有限公司由山西煤炭运销集团吕梁有限公司控股（占52%股份），山西亚鑫能源集团有限公司参股（占48%股份）。</w:t>
      </w:r>
    </w:p>
    <w:p>
      <w:pPr>
        <w:spacing w:line="360" w:lineRule="auto"/>
        <w:ind w:firstLine="480" w:firstLineChars="200"/>
        <w:rPr>
          <w:rFonts w:eastAsiaTheme="minorEastAsia"/>
          <w:sz w:val="24"/>
        </w:rPr>
      </w:pPr>
      <w:r>
        <w:rPr>
          <w:rFonts w:hAnsiTheme="minorEastAsia" w:eastAsiaTheme="minorEastAsia"/>
          <w:sz w:val="24"/>
        </w:rPr>
        <w:t>山西煤炭运销集团新工煤业有限公司属于证照齐全的合法生产矿井，根据</w:t>
      </w:r>
      <w:r>
        <w:rPr>
          <w:rFonts w:hint="eastAsia" w:hAnsiTheme="minorEastAsia" w:eastAsiaTheme="minorEastAsia"/>
          <w:sz w:val="24"/>
        </w:rPr>
        <w:t>山西省国土资源厅</w:t>
      </w:r>
      <w:r>
        <w:rPr>
          <w:rFonts w:eastAsiaTheme="minorEastAsia"/>
          <w:sz w:val="24"/>
        </w:rPr>
        <w:t>20</w:t>
      </w:r>
      <w:r>
        <w:rPr>
          <w:rFonts w:hint="eastAsia" w:eastAsiaTheme="minorEastAsia"/>
          <w:sz w:val="24"/>
        </w:rPr>
        <w:t>16</w:t>
      </w:r>
      <w:r>
        <w:rPr>
          <w:rFonts w:hAnsiTheme="minorEastAsia" w:eastAsiaTheme="minorEastAsia"/>
          <w:sz w:val="24"/>
        </w:rPr>
        <w:t>年</w:t>
      </w:r>
      <w:r>
        <w:rPr>
          <w:rFonts w:hint="eastAsia" w:eastAsiaTheme="minorEastAsia"/>
          <w:sz w:val="24"/>
        </w:rPr>
        <w:t>1</w:t>
      </w:r>
      <w:r>
        <w:rPr>
          <w:rFonts w:hAnsiTheme="minorEastAsia" w:eastAsiaTheme="minorEastAsia"/>
          <w:sz w:val="24"/>
        </w:rPr>
        <w:t>月</w:t>
      </w:r>
      <w:r>
        <w:rPr>
          <w:rFonts w:hint="eastAsia" w:hAnsiTheme="minorEastAsia" w:eastAsiaTheme="minorEastAsia"/>
          <w:sz w:val="24"/>
        </w:rPr>
        <w:t>28日</w:t>
      </w:r>
      <w:r>
        <w:rPr>
          <w:rFonts w:hAnsiTheme="minorEastAsia" w:eastAsiaTheme="minorEastAsia"/>
          <w:sz w:val="24"/>
        </w:rPr>
        <w:t>为该矿颁发的采矿许可证（证号：</w:t>
      </w:r>
      <w:r>
        <w:rPr>
          <w:rFonts w:hint="eastAsia" w:hAnsiTheme="minorEastAsia" w:eastAsiaTheme="minorEastAsia"/>
          <w:sz w:val="24"/>
        </w:rPr>
        <w:t>C140000</w:t>
      </w:r>
      <w:r>
        <w:rPr>
          <w:rFonts w:hint="eastAsia" w:eastAsiaTheme="minorEastAsia"/>
          <w:sz w:val="24"/>
        </w:rPr>
        <w:t>2009121220047240</w:t>
      </w:r>
      <w:r>
        <w:rPr>
          <w:rFonts w:hAnsiTheme="minorEastAsia" w:eastAsiaTheme="minorEastAsia"/>
          <w:sz w:val="24"/>
        </w:rPr>
        <w:t>），</w:t>
      </w:r>
      <w:r>
        <w:rPr>
          <w:rFonts w:hint="eastAsia" w:hAnsiTheme="minorEastAsia" w:eastAsiaTheme="minorEastAsia"/>
          <w:sz w:val="24"/>
        </w:rPr>
        <w:t>新工煤业</w:t>
      </w:r>
      <w:r>
        <w:rPr>
          <w:rFonts w:hAnsiTheme="minorEastAsia" w:eastAsiaTheme="minorEastAsia"/>
          <w:sz w:val="24"/>
        </w:rPr>
        <w:t>井田面积为</w:t>
      </w:r>
      <w:r>
        <w:rPr>
          <w:rFonts w:hint="eastAsia" w:eastAsiaTheme="minorEastAsia"/>
          <w:sz w:val="24"/>
        </w:rPr>
        <w:t>5.4518</w:t>
      </w:r>
      <w:r>
        <w:rPr>
          <w:rFonts w:eastAsiaTheme="minorEastAsia"/>
          <w:sz w:val="24"/>
        </w:rPr>
        <w:t>km</w:t>
      </w:r>
      <w:r>
        <w:rPr>
          <w:rFonts w:eastAsiaTheme="minorEastAsia"/>
          <w:sz w:val="24"/>
          <w:vertAlign w:val="superscript"/>
        </w:rPr>
        <w:t>2</w:t>
      </w:r>
      <w:r>
        <w:rPr>
          <w:rFonts w:hAnsiTheme="minorEastAsia" w:eastAsiaTheme="minorEastAsia"/>
          <w:sz w:val="24"/>
        </w:rPr>
        <w:t>，可采煤层为</w:t>
      </w:r>
      <w:r>
        <w:rPr>
          <w:rFonts w:hint="eastAsia" w:eastAsiaTheme="minorEastAsia"/>
          <w:sz w:val="24"/>
        </w:rPr>
        <w:t>4#-</w:t>
      </w:r>
      <w:r>
        <w:rPr>
          <w:rFonts w:eastAsiaTheme="minorEastAsia"/>
          <w:sz w:val="24"/>
        </w:rPr>
        <w:t>9</w:t>
      </w:r>
      <w:r>
        <w:rPr>
          <w:rFonts w:hint="eastAsia" w:hAnsiTheme="minorEastAsia" w:eastAsiaTheme="minorEastAsia"/>
          <w:sz w:val="24"/>
        </w:rPr>
        <w:t>#</w:t>
      </w:r>
      <w:r>
        <w:rPr>
          <w:rFonts w:hAnsiTheme="minorEastAsia" w:eastAsiaTheme="minorEastAsia"/>
          <w:sz w:val="24"/>
        </w:rPr>
        <w:t>煤层</w:t>
      </w:r>
      <w:r>
        <w:rPr>
          <w:rFonts w:hint="eastAsia" w:hAnsiTheme="minorEastAsia" w:eastAsiaTheme="minorEastAsia"/>
          <w:sz w:val="24"/>
        </w:rPr>
        <w:t>，开采方式为地下开采，</w:t>
      </w:r>
      <w:r>
        <w:rPr>
          <w:rFonts w:hAnsiTheme="minorEastAsia" w:eastAsiaTheme="minorEastAsia"/>
          <w:sz w:val="24"/>
        </w:rPr>
        <w:t>矿井生产能力</w:t>
      </w:r>
      <w:r>
        <w:rPr>
          <w:rFonts w:hint="eastAsia" w:hAnsiTheme="minorEastAsia" w:eastAsiaTheme="minorEastAsia"/>
          <w:sz w:val="24"/>
        </w:rPr>
        <w:t>120万</w:t>
      </w:r>
      <w:r>
        <w:rPr>
          <w:rFonts w:eastAsiaTheme="minorEastAsia"/>
          <w:sz w:val="24"/>
        </w:rPr>
        <w:t>t/a</w:t>
      </w:r>
      <w:r>
        <w:rPr>
          <w:rFonts w:hAnsiTheme="minorEastAsia" w:eastAsiaTheme="minorEastAsia"/>
          <w:sz w:val="24"/>
        </w:rPr>
        <w:t>。</w:t>
      </w:r>
    </w:p>
    <w:p>
      <w:pPr>
        <w:spacing w:line="360" w:lineRule="auto"/>
        <w:ind w:firstLine="480" w:firstLineChars="200"/>
        <w:rPr>
          <w:rFonts w:hAnsiTheme="minorEastAsia" w:eastAsiaTheme="minorEastAsia"/>
          <w:sz w:val="24"/>
        </w:rPr>
      </w:pPr>
      <w:r>
        <w:rPr>
          <w:rFonts w:hint="eastAsia" w:eastAsiaTheme="minorEastAsia"/>
          <w:sz w:val="24"/>
        </w:rPr>
        <w:t>2010年10月，</w:t>
      </w:r>
      <w:r>
        <w:rPr>
          <w:rFonts w:hint="eastAsia" w:eastAsiaTheme="minorEastAsia"/>
          <w:bCs/>
          <w:sz w:val="24"/>
        </w:rPr>
        <w:t>山西同地源地质矿产技术有限公司</w:t>
      </w:r>
      <w:r>
        <w:rPr>
          <w:rFonts w:hint="eastAsia" w:eastAsiaTheme="minorEastAsia"/>
          <w:sz w:val="24"/>
        </w:rPr>
        <w:t>编制完成了《山西煤炭运销集团新工煤业有限公司兼并重组整合矿井地质报告》， 2010年10月19日，山西省煤炭工业厅以“晋煤规发[2010]1257号”对山西煤炭运销集团新工煤业有限公司兼并重组整合矿井地质报告进行了批复；2010年12月，</w:t>
      </w:r>
      <w:r>
        <w:rPr>
          <w:rFonts w:hint="eastAsia" w:eastAsiaTheme="minorEastAsia"/>
          <w:bCs/>
          <w:sz w:val="24"/>
        </w:rPr>
        <w:t>煤炭工业合肥设计研究院</w:t>
      </w:r>
      <w:r>
        <w:rPr>
          <w:rFonts w:hint="eastAsia" w:eastAsiaTheme="minorEastAsia"/>
          <w:sz w:val="24"/>
        </w:rPr>
        <w:t>编制完成了山西煤炭运销集团新工煤业有限公司兼并重组整合项目初步设计，2011年1月，山西省煤炭工业厅下发了新工矿井初步设计的批复文件（晋煤办基发[2011]61号）；2014年5月山西清源环境咨询有限公司编制完成了《</w:t>
      </w:r>
      <w:r>
        <w:rPr>
          <w:rFonts w:hint="eastAsia" w:eastAsiaTheme="minorEastAsia"/>
          <w:bCs/>
          <w:sz w:val="24"/>
        </w:rPr>
        <w:t>山西煤炭运销集团新工煤业有限公司120万t/a矿井兼并重组整合项目环境影响报告书</w:t>
      </w:r>
      <w:r>
        <w:rPr>
          <w:rFonts w:hint="eastAsia" w:eastAsiaTheme="minorEastAsia"/>
          <w:sz w:val="24"/>
        </w:rPr>
        <w:t>》，</w:t>
      </w:r>
      <w:r>
        <w:rPr>
          <w:rFonts w:eastAsiaTheme="minorEastAsia"/>
          <w:sz w:val="24"/>
        </w:rPr>
        <w:t>20</w:t>
      </w:r>
      <w:r>
        <w:rPr>
          <w:rFonts w:hint="eastAsia" w:eastAsiaTheme="minorEastAsia"/>
          <w:sz w:val="24"/>
        </w:rPr>
        <w:t>14</w:t>
      </w:r>
      <w:r>
        <w:rPr>
          <w:rFonts w:hAnsiTheme="minorEastAsia" w:eastAsiaTheme="minorEastAsia"/>
          <w:sz w:val="24"/>
        </w:rPr>
        <w:t>年</w:t>
      </w:r>
      <w:r>
        <w:rPr>
          <w:rFonts w:hint="eastAsia" w:eastAsiaTheme="minorEastAsia"/>
          <w:sz w:val="24"/>
        </w:rPr>
        <w:t>7</w:t>
      </w:r>
      <w:r>
        <w:rPr>
          <w:rFonts w:hAnsiTheme="minorEastAsia" w:eastAsiaTheme="minorEastAsia"/>
          <w:sz w:val="24"/>
        </w:rPr>
        <w:t>月</w:t>
      </w:r>
      <w:r>
        <w:rPr>
          <w:rFonts w:eastAsiaTheme="minorEastAsia"/>
          <w:sz w:val="24"/>
        </w:rPr>
        <w:t>1</w:t>
      </w:r>
      <w:r>
        <w:rPr>
          <w:rFonts w:hint="eastAsia" w:eastAsiaTheme="minorEastAsia"/>
          <w:sz w:val="24"/>
        </w:rPr>
        <w:t>4</w:t>
      </w:r>
      <w:r>
        <w:rPr>
          <w:rFonts w:hAnsiTheme="minorEastAsia" w:eastAsiaTheme="minorEastAsia"/>
          <w:sz w:val="24"/>
        </w:rPr>
        <w:t>日，</w:t>
      </w:r>
      <w:r>
        <w:rPr>
          <w:rFonts w:hint="eastAsia" w:hAnsiTheme="minorEastAsia" w:eastAsiaTheme="minorEastAsia"/>
          <w:sz w:val="24"/>
        </w:rPr>
        <w:t>山西省环境保护厅</w:t>
      </w:r>
      <w:r>
        <w:rPr>
          <w:rFonts w:hAnsiTheme="minorEastAsia" w:eastAsiaTheme="minorEastAsia"/>
          <w:sz w:val="24"/>
        </w:rPr>
        <w:t>以</w:t>
      </w:r>
      <w:r>
        <w:rPr>
          <w:rFonts w:hint="eastAsia" w:hAnsiTheme="minorEastAsia" w:eastAsiaTheme="minorEastAsia"/>
          <w:sz w:val="24"/>
        </w:rPr>
        <w:t>“晋</w:t>
      </w:r>
      <w:r>
        <w:rPr>
          <w:rFonts w:hAnsiTheme="minorEastAsia" w:eastAsiaTheme="minorEastAsia"/>
          <w:sz w:val="24"/>
        </w:rPr>
        <w:t>环</w:t>
      </w:r>
      <w:r>
        <w:rPr>
          <w:rFonts w:hint="eastAsia" w:hAnsiTheme="minorEastAsia" w:eastAsiaTheme="minorEastAsia"/>
          <w:sz w:val="24"/>
        </w:rPr>
        <w:t>函</w:t>
      </w:r>
      <w:r>
        <w:rPr>
          <w:rFonts w:hint="eastAsia" w:eastAsiaTheme="minorEastAsia"/>
          <w:sz w:val="24"/>
        </w:rPr>
        <w:t>[2014]745号”对</w:t>
      </w:r>
      <w:r>
        <w:rPr>
          <w:rFonts w:hAnsiTheme="minorEastAsia" w:eastAsiaTheme="minorEastAsia"/>
          <w:sz w:val="24"/>
        </w:rPr>
        <w:t>《</w:t>
      </w:r>
      <w:r>
        <w:rPr>
          <w:rFonts w:hint="eastAsia" w:eastAsiaTheme="minorEastAsia"/>
          <w:bCs/>
          <w:sz w:val="24"/>
        </w:rPr>
        <w:t>山西煤炭运销集团新工煤业有限公司120万t/a矿井兼并重组整合项目环境影响报告书</w:t>
      </w:r>
      <w:r>
        <w:rPr>
          <w:rFonts w:hAnsiTheme="minorEastAsia" w:eastAsiaTheme="minorEastAsia"/>
          <w:sz w:val="24"/>
        </w:rPr>
        <w:t>》</w:t>
      </w:r>
      <w:r>
        <w:rPr>
          <w:rFonts w:hint="eastAsia" w:hAnsiTheme="minorEastAsia" w:eastAsiaTheme="minorEastAsia"/>
          <w:sz w:val="24"/>
        </w:rPr>
        <w:t>进行了</w:t>
      </w:r>
      <w:r>
        <w:rPr>
          <w:rFonts w:hAnsiTheme="minorEastAsia" w:eastAsiaTheme="minorEastAsia"/>
          <w:sz w:val="24"/>
        </w:rPr>
        <w:t>批复。</w:t>
      </w:r>
    </w:p>
    <w:p>
      <w:pPr>
        <w:spacing w:line="360" w:lineRule="auto"/>
        <w:ind w:firstLine="480" w:firstLineChars="200"/>
        <w:rPr>
          <w:rFonts w:hAnsiTheme="minorEastAsia" w:eastAsiaTheme="minorEastAsia"/>
          <w:b/>
          <w:bCs/>
          <w:sz w:val="24"/>
        </w:rPr>
      </w:pPr>
      <w:r>
        <w:rPr>
          <w:rFonts w:hint="eastAsia" w:hAnsiTheme="minorEastAsia" w:eastAsiaTheme="minorEastAsia"/>
          <w:sz w:val="24"/>
        </w:rPr>
        <w:t>因外部因素影响，2015年矿井主、副斜井各施工420m后停工。2019年矿井准备投产建设，但是</w:t>
      </w:r>
      <w:r>
        <w:rPr>
          <w:rFonts w:hint="eastAsia" w:hAnsiTheme="minorEastAsia" w:eastAsiaTheme="minorEastAsia"/>
          <w:bCs/>
          <w:sz w:val="24"/>
        </w:rPr>
        <w:t>由于地面设施、平面布置、矿井开拓及井上、下相关系统均发生了较大变化，风井场地的位置发生了变化。煤炭工业合肥设计研究院有限责任公司于2020年12月编制完成了《新工煤业有限公司矿井兼并重组整合项目初步设计（变更）》。</w:t>
      </w:r>
    </w:p>
    <w:p>
      <w:pPr>
        <w:spacing w:line="360" w:lineRule="auto"/>
        <w:outlineLvl w:val="2"/>
        <w:rPr>
          <w:rFonts w:eastAsiaTheme="minorEastAsia"/>
          <w:b/>
          <w:sz w:val="24"/>
        </w:rPr>
      </w:pPr>
      <w:r>
        <w:rPr>
          <w:rFonts w:eastAsiaTheme="minorEastAsia"/>
          <w:b/>
          <w:sz w:val="24"/>
        </w:rPr>
        <w:t>1.1.2</w:t>
      </w:r>
      <w:r>
        <w:rPr>
          <w:rFonts w:hAnsiTheme="minorEastAsia" w:eastAsiaTheme="minorEastAsia"/>
          <w:b/>
          <w:sz w:val="24"/>
        </w:rPr>
        <w:t>评价任务由来</w:t>
      </w:r>
    </w:p>
    <w:p>
      <w:pPr>
        <w:pStyle w:val="39"/>
        <w:rPr>
          <w:rFonts w:ascii="Times New Roman" w:hAnsi="Times New Roman" w:eastAsiaTheme="minorEastAsia"/>
        </w:rPr>
      </w:pPr>
      <w:r>
        <w:rPr>
          <w:rFonts w:hint="eastAsia" w:ascii="Times New Roman" w:hAnsi="Times New Roman" w:eastAsiaTheme="minorEastAsia"/>
        </w:rPr>
        <w:t>本项目建设过程中风井场地位置发生了变化，依据《关于印发环评管理中部分行业建设项目重大重大变动清单的通知》（环发【</w:t>
      </w:r>
      <w:r>
        <w:rPr>
          <w:rFonts w:ascii="Times New Roman" w:hAnsi="Times New Roman" w:eastAsiaTheme="minorEastAsia"/>
        </w:rPr>
        <w:t>2015</w:t>
      </w:r>
      <w:r>
        <w:rPr>
          <w:rFonts w:hint="eastAsia" w:ascii="Times New Roman" w:hAnsi="Times New Roman" w:eastAsiaTheme="minorEastAsia"/>
        </w:rPr>
        <w:t>】</w:t>
      </w:r>
      <w:r>
        <w:rPr>
          <w:rFonts w:ascii="Times New Roman" w:hAnsi="Times New Roman" w:eastAsiaTheme="minorEastAsia"/>
        </w:rPr>
        <w:t>52</w:t>
      </w:r>
      <w:r>
        <w:rPr>
          <w:rFonts w:hint="eastAsia" w:ascii="Times New Roman" w:hAnsi="Times New Roman" w:eastAsiaTheme="minorEastAsia"/>
        </w:rPr>
        <w:t>号文）中</w:t>
      </w:r>
      <w:r>
        <w:rPr>
          <w:rFonts w:ascii="Times New Roman" w:hAnsi="Times New Roman" w:eastAsiaTheme="minorEastAsia"/>
        </w:rPr>
        <w:t>“</w:t>
      </w:r>
      <w:r>
        <w:rPr>
          <w:rFonts w:hint="eastAsia" w:ascii="Times New Roman" w:hAnsi="Times New Roman" w:eastAsiaTheme="minorEastAsia"/>
        </w:rPr>
        <w:t>煤炭建设项目重大变动清单</w:t>
      </w:r>
      <w:r>
        <w:rPr>
          <w:rFonts w:ascii="Times New Roman" w:hAnsi="Times New Roman" w:eastAsiaTheme="minorEastAsia"/>
        </w:rPr>
        <w:t>”</w:t>
      </w:r>
      <w:r>
        <w:rPr>
          <w:rFonts w:hint="eastAsia" w:ascii="Times New Roman" w:hAnsi="Times New Roman" w:eastAsiaTheme="minorEastAsia"/>
        </w:rPr>
        <w:t>中“地点：4</w:t>
      </w:r>
      <w:r>
        <w:rPr>
          <w:rFonts w:ascii="Times New Roman" w:hAnsi="Times New Roman" w:eastAsiaTheme="minorEastAsia"/>
        </w:rPr>
        <w:t>.</w:t>
      </w:r>
      <w:r>
        <w:rPr>
          <w:rFonts w:hint="eastAsia" w:ascii="Times New Roman" w:hAnsi="Times New Roman" w:eastAsiaTheme="minorEastAsia"/>
        </w:rPr>
        <w:t>新增主（副）井工业场地、风井场地等各类场地（包括排矸场、外排土场），或各类场地位置变化属于重大变动”。因此，根据《中华人民共和国环境保护法》、《中华人民共和国环境影响评价法》、《建设项目环境保护管理条例》、《关于印发环评管理中部分行业建设项目重大重大变动清单的通知》（环发【</w:t>
      </w:r>
      <w:r>
        <w:rPr>
          <w:rFonts w:ascii="Times New Roman" w:hAnsi="Times New Roman" w:eastAsiaTheme="minorEastAsia"/>
        </w:rPr>
        <w:t>2015</w:t>
      </w:r>
      <w:r>
        <w:rPr>
          <w:rFonts w:hint="eastAsia" w:ascii="Times New Roman" w:hAnsi="Times New Roman" w:eastAsiaTheme="minorEastAsia"/>
        </w:rPr>
        <w:t>】</w:t>
      </w:r>
      <w:r>
        <w:rPr>
          <w:rFonts w:ascii="Times New Roman" w:hAnsi="Times New Roman" w:eastAsiaTheme="minorEastAsia"/>
        </w:rPr>
        <w:t>52</w:t>
      </w:r>
      <w:r>
        <w:rPr>
          <w:rFonts w:hint="eastAsia" w:ascii="Times New Roman" w:hAnsi="Times New Roman" w:eastAsiaTheme="minorEastAsia"/>
        </w:rPr>
        <w:t>号文）及有关法律法规要求，该项目需要编制变更环境影评价响报告书。建设单位于</w:t>
      </w:r>
      <w:r>
        <w:rPr>
          <w:rFonts w:ascii="Times New Roman" w:hAnsi="Times New Roman" w:eastAsiaTheme="minorEastAsia"/>
        </w:rPr>
        <w:t>20</w:t>
      </w:r>
      <w:r>
        <w:rPr>
          <w:rFonts w:hint="eastAsia" w:ascii="Times New Roman" w:hAnsi="Times New Roman" w:eastAsiaTheme="minorEastAsia"/>
        </w:rPr>
        <w:t>21年3月委托北京绿方舟科技有限责任公司进行该项目变更的环境影响评价工作。</w:t>
      </w:r>
    </w:p>
    <w:p>
      <w:pPr>
        <w:spacing w:line="360" w:lineRule="auto"/>
        <w:ind w:firstLine="480" w:firstLineChars="200"/>
        <w:rPr>
          <w:rFonts w:hAnsiTheme="minorEastAsia" w:eastAsiaTheme="minorEastAsia"/>
          <w:sz w:val="24"/>
        </w:rPr>
      </w:pPr>
      <w:r>
        <w:rPr>
          <w:rFonts w:hAnsiTheme="minorEastAsia" w:eastAsiaTheme="minorEastAsia"/>
          <w:sz w:val="24"/>
        </w:rPr>
        <w:t>接受委托后，我公司立即组织人员赴现场进行实地踏勘，对矿井工程概况进行了实地调查，对工程所在区域的自然环境、生活质量、周围污染源、存在的敏感因素以及</w:t>
      </w:r>
      <w:r>
        <w:rPr>
          <w:rFonts w:hint="eastAsia" w:hAnsiTheme="minorEastAsia" w:eastAsiaTheme="minorEastAsia"/>
          <w:sz w:val="24"/>
        </w:rPr>
        <w:t>以及变更项目的工程内容和敏感因素</w:t>
      </w:r>
      <w:r>
        <w:rPr>
          <w:rFonts w:hAnsiTheme="minorEastAsia" w:eastAsiaTheme="minorEastAsia"/>
          <w:sz w:val="24"/>
        </w:rPr>
        <w:t>等进行了解，并收集了相关的信息资料。在此基础上，</w:t>
      </w:r>
      <w:r>
        <w:rPr>
          <w:rFonts w:hint="eastAsia" w:hAnsiTheme="minorEastAsia" w:eastAsiaTheme="minorEastAsia"/>
          <w:sz w:val="24"/>
        </w:rPr>
        <w:t>按照环境影响评价技术导则的要求，</w:t>
      </w:r>
      <w:r>
        <w:rPr>
          <w:rFonts w:hAnsiTheme="minorEastAsia" w:eastAsiaTheme="minorEastAsia"/>
          <w:sz w:val="24"/>
        </w:rPr>
        <w:t>编制完成了《</w:t>
      </w:r>
      <w:r>
        <w:rPr>
          <w:rFonts w:hint="eastAsia" w:hAnsiTheme="minorEastAsia" w:eastAsiaTheme="minorEastAsia"/>
          <w:bCs/>
          <w:sz w:val="24"/>
        </w:rPr>
        <w:t>山西煤炭运销集团新工煤业有限公司120万t/a矿井兼并重组整合项目变更</w:t>
      </w:r>
      <w:r>
        <w:rPr>
          <w:rFonts w:hAnsiTheme="minorEastAsia" w:eastAsiaTheme="minorEastAsia"/>
          <w:sz w:val="24"/>
        </w:rPr>
        <w:t>环境影响报告书》（报审本），提交环保部门组织审</w:t>
      </w:r>
      <w:r>
        <w:rPr>
          <w:rFonts w:hint="eastAsia" w:hAnsiTheme="minorEastAsia" w:eastAsiaTheme="minorEastAsia"/>
          <w:sz w:val="24"/>
        </w:rPr>
        <w:t>查</w:t>
      </w:r>
      <w:r>
        <w:rPr>
          <w:rFonts w:hAnsiTheme="minorEastAsia" w:eastAsiaTheme="minorEastAsia"/>
          <w:sz w:val="24"/>
        </w:rPr>
        <w:t>。</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1" w:name="_Toc511810526"/>
      <w:bookmarkStart w:id="22" w:name="_Toc486925568"/>
      <w:bookmarkStart w:id="23" w:name="_Toc71551914"/>
      <w:r>
        <w:rPr>
          <w:rFonts w:ascii="Times New Roman" w:hAnsi="Times New Roman" w:eastAsiaTheme="minorEastAsia"/>
          <w:kern w:val="44"/>
          <w:sz w:val="30"/>
          <w:szCs w:val="30"/>
        </w:rPr>
        <w:t>1.</w:t>
      </w:r>
      <w:r>
        <w:rPr>
          <w:rFonts w:hint="eastAsia" w:ascii="Times New Roman" w:hAnsi="Times New Roman" w:eastAsiaTheme="minorEastAsia"/>
          <w:kern w:val="44"/>
          <w:sz w:val="30"/>
          <w:szCs w:val="30"/>
        </w:rPr>
        <w:t>2变更环境影响评价主要</w:t>
      </w:r>
      <w:bookmarkEnd w:id="21"/>
      <w:bookmarkEnd w:id="22"/>
      <w:r>
        <w:rPr>
          <w:rFonts w:hint="eastAsia" w:ascii="Times New Roman" w:hAnsi="Times New Roman" w:eastAsiaTheme="minorEastAsia"/>
          <w:kern w:val="44"/>
          <w:sz w:val="30"/>
          <w:szCs w:val="30"/>
        </w:rPr>
        <w:t>内容</w:t>
      </w:r>
      <w:bookmarkEnd w:id="23"/>
    </w:p>
    <w:p>
      <w:pPr>
        <w:pStyle w:val="39"/>
        <w:rPr>
          <w:rFonts w:ascii="Times New Roman" w:hAnsi="Times New Roman" w:eastAsiaTheme="minorEastAsia"/>
        </w:rPr>
      </w:pPr>
      <w:r>
        <w:rPr>
          <w:rFonts w:hint="eastAsia" w:ascii="Times New Roman" w:hAnsi="Times New Roman" w:eastAsiaTheme="minorEastAsia"/>
        </w:rPr>
        <w:t>煤矿实际建设过程中，主要发生如下变更：</w:t>
      </w:r>
    </w:p>
    <w:p>
      <w:pPr>
        <w:pStyle w:val="128"/>
        <w:adjustRightInd/>
        <w:spacing w:line="360" w:lineRule="auto"/>
        <w:ind w:firstLine="480"/>
        <w:rPr>
          <w:rFonts w:ascii="Times New Roman" w:hAnsi="Times New Roman" w:eastAsia="宋体"/>
          <w:szCs w:val="24"/>
        </w:rPr>
      </w:pPr>
      <w:r>
        <w:rPr>
          <w:rFonts w:hint="eastAsia" w:ascii="Times New Roman" w:hAnsi="Times New Roman"/>
          <w:szCs w:val="24"/>
        </w:rPr>
        <w:t>本次评价主要针对山西煤炭运销集团新工煤业有限公司120万t/a矿井兼并重组整合变更情况，具体如下：</w:t>
      </w:r>
    </w:p>
    <w:p>
      <w:pPr>
        <w:spacing w:line="360" w:lineRule="auto"/>
        <w:ind w:firstLine="480" w:firstLineChars="200"/>
        <w:rPr>
          <w:rFonts w:eastAsiaTheme="minorEastAsia"/>
          <w:sz w:val="24"/>
        </w:rPr>
      </w:pPr>
      <w:r>
        <w:rPr>
          <w:rFonts w:hint="eastAsia" w:cs="宋体"/>
          <w:sz w:val="24"/>
        </w:rPr>
        <w:t>①</w:t>
      </w:r>
      <w:r>
        <w:rPr>
          <w:rFonts w:hint="eastAsia"/>
          <w:sz w:val="24"/>
        </w:rPr>
        <w:t>风井场地位置发生变化：变更前</w:t>
      </w:r>
      <w:r>
        <w:rPr>
          <w:rFonts w:hint="eastAsia" w:eastAsiaTheme="minorEastAsia"/>
          <w:sz w:val="24"/>
        </w:rPr>
        <w:t>风井场地位于工业场地北约1500m处的原宏宇煤业有限公司工业场地附近，风井场地设通风机房及电控室等，占地1.63hm</w:t>
      </w:r>
      <w:r>
        <w:rPr>
          <w:rFonts w:hint="eastAsia" w:eastAsiaTheme="minorEastAsia"/>
          <w:sz w:val="24"/>
          <w:vertAlign w:val="superscript"/>
        </w:rPr>
        <w:t>2</w:t>
      </w:r>
      <w:r>
        <w:rPr>
          <w:rFonts w:hint="eastAsia" w:eastAsiaTheme="minorEastAsia"/>
          <w:sz w:val="24"/>
        </w:rPr>
        <w:t>。</w:t>
      </w:r>
    </w:p>
    <w:p>
      <w:pPr>
        <w:spacing w:line="360" w:lineRule="auto"/>
        <w:ind w:firstLine="480" w:firstLineChars="200"/>
        <w:rPr>
          <w:rFonts w:eastAsiaTheme="minorEastAsia"/>
          <w:sz w:val="24"/>
        </w:rPr>
      </w:pPr>
      <w:r>
        <w:rPr>
          <w:rFonts w:hint="eastAsia" w:eastAsiaTheme="minorEastAsia"/>
          <w:sz w:val="24"/>
        </w:rPr>
        <w:t>变更后风井场地位于工业场地西北约1600m的原后庄矿工业场地附近。防火灌浆站从工业场地移至风井场地，并在风井场地内增设10kV变电所、通风机房电控室、消防水池及泵房、沉淀池等。占地1.32hm</w:t>
      </w:r>
      <w:r>
        <w:rPr>
          <w:rFonts w:hint="eastAsia" w:eastAsiaTheme="minorEastAsia"/>
          <w:sz w:val="24"/>
          <w:vertAlign w:val="superscript"/>
        </w:rPr>
        <w:t>2</w:t>
      </w:r>
      <w:r>
        <w:rPr>
          <w:rFonts w:hint="eastAsia" w:eastAsiaTheme="minorEastAsia"/>
          <w:sz w:val="24"/>
        </w:rPr>
        <w:t>。</w:t>
      </w:r>
    </w:p>
    <w:p>
      <w:pPr>
        <w:pStyle w:val="85"/>
        <w:adjustRightInd/>
        <w:snapToGrid/>
        <w:ind w:firstLine="480"/>
        <w:rPr>
          <w:rFonts w:ascii="Times New Roman" w:hAnsi="Times New Roman" w:cs="Times New Roman"/>
          <w:sz w:val="24"/>
        </w:rPr>
      </w:pPr>
      <w:r>
        <w:rPr>
          <w:rFonts w:hint="eastAsia" w:ascii="宋体" w:hAnsi="宋体" w:eastAsia="宋体" w:cs="宋体"/>
          <w:sz w:val="24"/>
          <w:szCs w:val="24"/>
        </w:rPr>
        <w:t>②</w:t>
      </w:r>
      <w:r>
        <w:rPr>
          <w:rFonts w:hint="eastAsia" w:ascii="Times New Roman" w:hAnsi="Times New Roman"/>
          <w:sz w:val="24"/>
          <w:szCs w:val="24"/>
        </w:rPr>
        <w:t>回风立井井筒位置发生变更：变更前回风立井</w:t>
      </w:r>
      <w:r>
        <w:rPr>
          <w:rFonts w:ascii="Times New Roman" w:hAnsi="Times New Roman" w:cs="Times New Roman"/>
          <w:sz w:val="24"/>
        </w:rPr>
        <w:t>改造原宏宇煤矿副立井作为本矿井的回风井，副立井由原直径2.5m刷大到净直径5.0m，并装备梯子间，做为矿井的一个安全出口。</w:t>
      </w:r>
    </w:p>
    <w:p>
      <w:pPr>
        <w:pStyle w:val="85"/>
        <w:adjustRightInd/>
        <w:snapToGrid/>
        <w:ind w:firstLine="480"/>
        <w:rPr>
          <w:sz w:val="24"/>
        </w:rPr>
      </w:pPr>
      <w:r>
        <w:rPr>
          <w:rFonts w:hint="eastAsia" w:ascii="Times New Roman" w:cs="Times New Roman" w:hAnsiTheme="minorEastAsia"/>
          <w:sz w:val="24"/>
        </w:rPr>
        <w:t>变更后</w:t>
      </w:r>
      <w:r>
        <w:rPr>
          <w:rFonts w:hint="eastAsia"/>
          <w:sz w:val="24"/>
          <w:szCs w:val="24"/>
        </w:rPr>
        <w:t>回风立井井口位置改在原后庄矿工业场地，</w:t>
      </w:r>
      <w:r>
        <w:rPr>
          <w:rFonts w:ascii="Times New Roman" w:cs="Times New Roman" w:hAnsiTheme="minorEastAsia"/>
          <w:sz w:val="24"/>
        </w:rPr>
        <w:t>井筒净直径为</w:t>
      </w:r>
      <w:r>
        <w:rPr>
          <w:rFonts w:ascii="Times New Roman" w:hAnsi="Times New Roman" w:cs="Times New Roman"/>
          <w:sz w:val="24"/>
        </w:rPr>
        <w:t>5.5m</w:t>
      </w:r>
      <w:r>
        <w:rPr>
          <w:rFonts w:ascii="Times New Roman" w:cs="Times New Roman" w:hAnsiTheme="minorEastAsia"/>
          <w:sz w:val="24"/>
        </w:rPr>
        <w:t>，井口绝对标高为</w:t>
      </w:r>
      <w:r>
        <w:rPr>
          <w:rFonts w:ascii="Times New Roman" w:hAnsi="Times New Roman" w:cs="Times New Roman"/>
          <w:sz w:val="24"/>
        </w:rPr>
        <w:t>+906m</w:t>
      </w:r>
      <w:r>
        <w:rPr>
          <w:rFonts w:ascii="Times New Roman" w:cs="Times New Roman" w:hAnsiTheme="minorEastAsia"/>
          <w:sz w:val="24"/>
        </w:rPr>
        <w:t>，井筒深度为</w:t>
      </w:r>
      <w:r>
        <w:rPr>
          <w:rFonts w:ascii="Times New Roman" w:hAnsi="Times New Roman" w:cs="Times New Roman"/>
          <w:sz w:val="24"/>
        </w:rPr>
        <w:t>240m</w:t>
      </w:r>
      <w:r>
        <w:rPr>
          <w:rFonts w:ascii="Times New Roman" w:cs="Times New Roman" w:hAnsiTheme="minorEastAsia"/>
          <w:sz w:val="24"/>
        </w:rPr>
        <w:t>。本井筒为矿井专用回风井。井筒内装备玻璃钢封闭梯子间，为矿井另一安全出口。梯子间梁采用托架固定于井壁上。井筒内还敷设两趟强排水管和一趟灌浆管。</w:t>
      </w:r>
    </w:p>
    <w:p>
      <w:pPr>
        <w:pStyle w:val="39"/>
        <w:rPr>
          <w:rFonts w:ascii="Times New Roman" w:hAnsi="Times New Roman" w:eastAsiaTheme="minorEastAsia"/>
        </w:rPr>
      </w:pPr>
      <w:r>
        <w:rPr>
          <w:rFonts w:hint="eastAsia" w:cs="宋体"/>
        </w:rPr>
        <w:t>③主</w:t>
      </w:r>
      <w:r>
        <w:rPr>
          <w:rFonts w:hint="eastAsia" w:ascii="Times New Roman" w:hAnsi="Times New Roman" w:eastAsiaTheme="minorEastAsia"/>
        </w:rPr>
        <w:t>工业场地平面布置和建设内容发生变化</w:t>
      </w:r>
    </w:p>
    <w:p>
      <w:pPr>
        <w:pStyle w:val="77"/>
        <w:ind w:firstLine="480"/>
      </w:pPr>
      <w:r>
        <w:rPr>
          <w:rFonts w:hint="eastAsia"/>
        </w:rPr>
        <w:t>生产区利用紧临矿井工业场地的龙宇选煤厂设施，矿井工业场地西南侧布置带式输送机栈桥至既有选煤厂原煤棚；工业场地东南侧新增预留原煤仓及其栈桥；工业场地内的防火灌浆站移至风井场地；取消矿井消防站。</w:t>
      </w:r>
    </w:p>
    <w:p>
      <w:pPr>
        <w:pStyle w:val="77"/>
        <w:ind w:firstLine="480"/>
      </w:pPr>
      <w:r>
        <w:rPr>
          <w:rFonts w:hint="eastAsia"/>
        </w:rPr>
        <w:t>变更后工业场地</w:t>
      </w:r>
      <w:r>
        <w:t>(</w:t>
      </w:r>
      <w:r>
        <w:rPr>
          <w:rFonts w:hint="eastAsia"/>
        </w:rPr>
        <w:t>主生产区、辅助生产区、行政办公区</w:t>
      </w:r>
      <w:r>
        <w:t>)</w:t>
      </w:r>
      <w:r>
        <w:rPr>
          <w:rFonts w:hint="eastAsia"/>
        </w:rPr>
        <w:t>占地面积9.58</w:t>
      </w:r>
      <w:r>
        <w:t>hm</w:t>
      </w:r>
      <w:r>
        <w:rPr>
          <w:vertAlign w:val="superscript"/>
        </w:rPr>
        <w:t>2</w:t>
      </w:r>
      <w:r>
        <w:rPr>
          <w:rFonts w:hint="eastAsia"/>
        </w:rPr>
        <w:t>，比原设计减少2.13</w:t>
      </w:r>
      <w:r>
        <w:t>hm</w:t>
      </w:r>
      <w:r>
        <w:rPr>
          <w:vertAlign w:val="superscript"/>
        </w:rPr>
        <w:t>2</w:t>
      </w:r>
      <w:r>
        <w:rPr>
          <w:rFonts w:hint="eastAsia"/>
        </w:rPr>
        <w:t>。</w:t>
      </w:r>
    </w:p>
    <w:p>
      <w:pPr>
        <w:spacing w:line="360" w:lineRule="auto"/>
        <w:ind w:firstLine="480" w:firstLineChars="200"/>
        <w:rPr>
          <w:rFonts w:eastAsiaTheme="minorEastAsia"/>
          <w:kern w:val="0"/>
          <w:sz w:val="24"/>
        </w:rPr>
      </w:pPr>
      <w:r>
        <w:rPr>
          <w:rFonts w:hAnsiTheme="minorEastAsia" w:eastAsiaTheme="minorEastAsia"/>
          <w:sz w:val="24"/>
        </w:rPr>
        <w:t>④锅炉选型及运行制度发生变化：原环评在</w:t>
      </w:r>
      <w:r>
        <w:rPr>
          <w:rFonts w:hAnsiTheme="minorEastAsia" w:eastAsiaTheme="minorEastAsia"/>
          <w:kern w:val="0"/>
          <w:sz w:val="24"/>
        </w:rPr>
        <w:t>工业场地新建锅炉房一座，配置</w:t>
      </w:r>
      <w:r>
        <w:rPr>
          <w:rFonts w:eastAsiaTheme="minorEastAsia"/>
          <w:kern w:val="0"/>
          <w:sz w:val="24"/>
        </w:rPr>
        <w:t>2</w:t>
      </w:r>
      <w:r>
        <w:rPr>
          <w:rFonts w:hAnsiTheme="minorEastAsia" w:eastAsiaTheme="minorEastAsia"/>
          <w:kern w:val="0"/>
          <w:sz w:val="24"/>
        </w:rPr>
        <w:t>台</w:t>
      </w:r>
      <w:r>
        <w:rPr>
          <w:rFonts w:eastAsiaTheme="minorEastAsia"/>
          <w:kern w:val="0"/>
          <w:sz w:val="24"/>
        </w:rPr>
        <w:t>SZL10-1.25-A</w:t>
      </w:r>
      <w:r>
        <w:rPr>
          <w:rFonts w:asciiTheme="minorEastAsia" w:hAnsiTheme="minorEastAsia" w:eastAsiaTheme="minorEastAsia"/>
          <w:kern w:val="0"/>
          <w:sz w:val="24"/>
        </w:rPr>
        <w:t>Ⅱ</w:t>
      </w:r>
      <w:r>
        <w:rPr>
          <w:rFonts w:hAnsiTheme="minorEastAsia" w:eastAsiaTheme="minorEastAsia"/>
          <w:kern w:val="0"/>
          <w:sz w:val="24"/>
        </w:rPr>
        <w:t>型蒸汽锅炉和</w:t>
      </w:r>
      <w:r>
        <w:rPr>
          <w:rFonts w:eastAsiaTheme="minorEastAsia"/>
          <w:kern w:val="0"/>
          <w:sz w:val="24"/>
        </w:rPr>
        <w:t>1</w:t>
      </w:r>
      <w:r>
        <w:rPr>
          <w:rFonts w:hAnsiTheme="minorEastAsia" w:eastAsiaTheme="minorEastAsia"/>
          <w:kern w:val="0"/>
          <w:sz w:val="24"/>
        </w:rPr>
        <w:t>台</w:t>
      </w:r>
      <w:r>
        <w:rPr>
          <w:rFonts w:eastAsiaTheme="minorEastAsia"/>
          <w:kern w:val="0"/>
          <w:sz w:val="24"/>
        </w:rPr>
        <w:t>SZL2-1.0-A</w:t>
      </w:r>
      <w:r>
        <w:rPr>
          <w:rFonts w:asciiTheme="minorEastAsia" w:hAnsiTheme="minorEastAsia" w:eastAsiaTheme="minorEastAsia"/>
          <w:kern w:val="0"/>
          <w:sz w:val="24"/>
        </w:rPr>
        <w:t>Ⅱ</w:t>
      </w:r>
      <w:r>
        <w:rPr>
          <w:rFonts w:hAnsiTheme="minorEastAsia" w:eastAsiaTheme="minorEastAsia"/>
          <w:kern w:val="0"/>
          <w:sz w:val="24"/>
        </w:rPr>
        <w:t>型蒸汽锅炉。非采暖运行</w:t>
      </w:r>
      <w:r>
        <w:rPr>
          <w:rFonts w:eastAsiaTheme="minorEastAsia"/>
          <w:kern w:val="0"/>
          <w:sz w:val="24"/>
        </w:rPr>
        <w:t>1</w:t>
      </w:r>
      <w:r>
        <w:rPr>
          <w:rFonts w:hAnsiTheme="minorEastAsia" w:eastAsiaTheme="minorEastAsia"/>
          <w:kern w:val="0"/>
          <w:sz w:val="24"/>
        </w:rPr>
        <w:t>台</w:t>
      </w:r>
      <w:r>
        <w:rPr>
          <w:rFonts w:eastAsiaTheme="minorEastAsia"/>
          <w:kern w:val="0"/>
          <w:sz w:val="24"/>
        </w:rPr>
        <w:t>SZL2-1.0-A</w:t>
      </w:r>
      <w:r>
        <w:rPr>
          <w:rFonts w:asciiTheme="minorEastAsia" w:hAnsiTheme="minorEastAsia" w:eastAsiaTheme="minorEastAsia"/>
          <w:kern w:val="0"/>
          <w:sz w:val="24"/>
        </w:rPr>
        <w:t>Ⅱ</w:t>
      </w:r>
      <w:r>
        <w:rPr>
          <w:rFonts w:hAnsiTheme="minorEastAsia" w:eastAsiaTheme="minorEastAsia"/>
          <w:kern w:val="0"/>
          <w:sz w:val="24"/>
        </w:rPr>
        <w:t>型蒸汽锅炉供生活用热。采暖期</w:t>
      </w:r>
      <w:r>
        <w:rPr>
          <w:rFonts w:eastAsiaTheme="minorEastAsia"/>
          <w:kern w:val="0"/>
          <w:sz w:val="24"/>
        </w:rPr>
        <w:t>2</w:t>
      </w:r>
      <w:r>
        <w:rPr>
          <w:rFonts w:hAnsiTheme="minorEastAsia" w:eastAsiaTheme="minorEastAsia"/>
          <w:kern w:val="0"/>
          <w:sz w:val="24"/>
        </w:rPr>
        <w:t>台蒸汽锅炉运行供建筑物采暖系统、生活用热、井筒防冻系统。锅炉房设一根烟囱，烟囱高</w:t>
      </w:r>
      <w:r>
        <w:rPr>
          <w:rFonts w:eastAsiaTheme="minorEastAsia"/>
          <w:kern w:val="0"/>
          <w:sz w:val="24"/>
        </w:rPr>
        <w:t>55m</w:t>
      </w:r>
      <w:r>
        <w:rPr>
          <w:rFonts w:hAnsiTheme="minorEastAsia" w:eastAsiaTheme="minorEastAsia"/>
          <w:kern w:val="0"/>
          <w:sz w:val="24"/>
        </w:rPr>
        <w:t>，上口直径</w:t>
      </w:r>
      <w:r>
        <w:rPr>
          <w:rFonts w:eastAsiaTheme="minorEastAsia"/>
          <w:kern w:val="0"/>
          <w:sz w:val="24"/>
        </w:rPr>
        <w:t>1.0m</w:t>
      </w:r>
      <w:r>
        <w:rPr>
          <w:rFonts w:hAnsiTheme="minorEastAsia" w:eastAsiaTheme="minorEastAsia"/>
          <w:kern w:val="0"/>
          <w:sz w:val="24"/>
        </w:rPr>
        <w:t>。</w:t>
      </w:r>
    </w:p>
    <w:p>
      <w:pPr>
        <w:spacing w:line="360" w:lineRule="auto"/>
        <w:ind w:firstLine="480" w:firstLineChars="200"/>
        <w:rPr>
          <w:rFonts w:eastAsiaTheme="minorEastAsia"/>
          <w:color w:val="FF0000"/>
          <w:kern w:val="0"/>
          <w:sz w:val="24"/>
          <w:lang w:val="en-GB"/>
        </w:rPr>
      </w:pPr>
      <w:r>
        <w:rPr>
          <w:rFonts w:hAnsiTheme="minorEastAsia" w:eastAsiaTheme="minorEastAsia"/>
          <w:sz w:val="24"/>
        </w:rPr>
        <w:t>变更后工业场地锅炉选用</w:t>
      </w:r>
      <w:r>
        <w:rPr>
          <w:rFonts w:eastAsiaTheme="minorEastAsia"/>
          <w:sz w:val="24"/>
        </w:rPr>
        <w:t>2</w:t>
      </w:r>
      <w:r>
        <w:rPr>
          <w:rFonts w:hAnsiTheme="minorEastAsia" w:eastAsiaTheme="minorEastAsia"/>
          <w:sz w:val="24"/>
        </w:rPr>
        <w:t>台超低氮</w:t>
      </w:r>
      <w:r>
        <w:rPr>
          <w:rFonts w:eastAsiaTheme="minorEastAsia"/>
          <w:sz w:val="24"/>
        </w:rPr>
        <w:t>LSS8-1.25</w:t>
      </w:r>
      <w:r>
        <w:rPr>
          <w:rFonts w:hAnsiTheme="minorEastAsia" w:eastAsiaTheme="minorEastAsia"/>
          <w:sz w:val="24"/>
        </w:rPr>
        <w:t>型燃气蒸汽锅炉，</w:t>
      </w:r>
      <w:r>
        <w:rPr>
          <w:rFonts w:hAnsiTheme="minorEastAsia" w:eastAsiaTheme="minorEastAsia"/>
          <w:kern w:val="0"/>
          <w:sz w:val="24"/>
        </w:rPr>
        <w:t>其中</w:t>
      </w:r>
      <w:r>
        <w:rPr>
          <w:rFonts w:hAnsiTheme="minorEastAsia" w:eastAsiaTheme="minorEastAsia"/>
          <w:sz w:val="24"/>
        </w:rPr>
        <w:t>采暖期</w:t>
      </w:r>
      <w:r>
        <w:rPr>
          <w:rFonts w:eastAsiaTheme="minorEastAsia"/>
          <w:sz w:val="24"/>
        </w:rPr>
        <w:t>2</w:t>
      </w:r>
      <w:r>
        <w:rPr>
          <w:rFonts w:hAnsiTheme="minorEastAsia" w:eastAsiaTheme="minorEastAsia"/>
          <w:sz w:val="24"/>
        </w:rPr>
        <w:t>台锅炉同时运行，</w:t>
      </w:r>
      <w:r>
        <w:rPr>
          <w:rFonts w:hAnsiTheme="minorEastAsia" w:eastAsiaTheme="minorEastAsia"/>
          <w:kern w:val="0"/>
          <w:sz w:val="24"/>
        </w:rPr>
        <w:t>供建筑物采暖系统、生活用热、井筒防冻系统</w:t>
      </w:r>
      <w:r>
        <w:rPr>
          <w:rFonts w:hAnsiTheme="minorEastAsia" w:eastAsiaTheme="minorEastAsia"/>
          <w:sz w:val="24"/>
        </w:rPr>
        <w:t>，年运行</w:t>
      </w:r>
      <w:r>
        <w:rPr>
          <w:rFonts w:eastAsiaTheme="minorEastAsia"/>
          <w:sz w:val="24"/>
        </w:rPr>
        <w:t>150</w:t>
      </w:r>
      <w:r>
        <w:rPr>
          <w:rFonts w:hAnsiTheme="minorEastAsia" w:eastAsiaTheme="minorEastAsia"/>
          <w:sz w:val="24"/>
        </w:rPr>
        <w:t>天，每天</w:t>
      </w:r>
      <w:r>
        <w:rPr>
          <w:rFonts w:eastAsiaTheme="minorEastAsia"/>
          <w:sz w:val="24"/>
        </w:rPr>
        <w:t>16</w:t>
      </w:r>
      <w:r>
        <w:rPr>
          <w:rFonts w:hAnsiTheme="minorEastAsia" w:eastAsiaTheme="minorEastAsia"/>
          <w:sz w:val="24"/>
        </w:rPr>
        <w:t>小时；非采暖期运行</w:t>
      </w:r>
      <w:r>
        <w:rPr>
          <w:rFonts w:eastAsiaTheme="minorEastAsia"/>
          <w:sz w:val="24"/>
        </w:rPr>
        <w:t>1</w:t>
      </w:r>
      <w:r>
        <w:rPr>
          <w:rFonts w:hAnsiTheme="minorEastAsia" w:eastAsiaTheme="minorEastAsia"/>
          <w:sz w:val="24"/>
        </w:rPr>
        <w:t>台锅炉，</w:t>
      </w:r>
      <w:r>
        <w:rPr>
          <w:rFonts w:hAnsiTheme="minorEastAsia" w:eastAsiaTheme="minorEastAsia"/>
          <w:kern w:val="0"/>
          <w:sz w:val="24"/>
        </w:rPr>
        <w:t>供浴室和食堂用热，</w:t>
      </w:r>
      <w:r>
        <w:rPr>
          <w:rFonts w:hAnsiTheme="minorEastAsia" w:eastAsiaTheme="minorEastAsia"/>
          <w:sz w:val="24"/>
        </w:rPr>
        <w:t>年运行</w:t>
      </w:r>
      <w:r>
        <w:rPr>
          <w:rFonts w:eastAsiaTheme="minorEastAsia"/>
          <w:sz w:val="24"/>
        </w:rPr>
        <w:t>180</w:t>
      </w:r>
      <w:r>
        <w:rPr>
          <w:rFonts w:hAnsiTheme="minorEastAsia" w:eastAsiaTheme="minorEastAsia"/>
          <w:sz w:val="24"/>
        </w:rPr>
        <w:t>天，每天</w:t>
      </w:r>
      <w:r>
        <w:rPr>
          <w:rFonts w:eastAsiaTheme="minorEastAsia"/>
          <w:sz w:val="24"/>
        </w:rPr>
        <w:t>8h</w:t>
      </w:r>
      <w:r>
        <w:rPr>
          <w:rFonts w:hAnsiTheme="minorEastAsia" w:eastAsiaTheme="minorEastAsia"/>
          <w:sz w:val="24"/>
        </w:rPr>
        <w:t>。每台</w:t>
      </w:r>
      <w:r>
        <w:rPr>
          <w:rFonts w:hAnsiTheme="minorEastAsia" w:eastAsiaTheme="minorEastAsia"/>
          <w:sz w:val="24"/>
          <w:lang w:bidi="en-US"/>
        </w:rPr>
        <w:t>锅炉</w:t>
      </w:r>
      <w:r>
        <w:rPr>
          <w:rFonts w:hAnsiTheme="minorEastAsia" w:eastAsiaTheme="minorEastAsia"/>
          <w:sz w:val="24"/>
        </w:rPr>
        <w:t>耗气量为</w:t>
      </w:r>
      <w:r>
        <w:rPr>
          <w:rFonts w:eastAsiaTheme="minorEastAsia"/>
          <w:sz w:val="24"/>
        </w:rPr>
        <w:t>656 m</w:t>
      </w:r>
      <w:r>
        <w:rPr>
          <w:rFonts w:eastAsiaTheme="minorEastAsia"/>
          <w:sz w:val="24"/>
          <w:vertAlign w:val="superscript"/>
        </w:rPr>
        <w:t>3</w:t>
      </w:r>
      <w:r>
        <w:rPr>
          <w:rFonts w:eastAsiaTheme="minorEastAsia"/>
          <w:sz w:val="24"/>
        </w:rPr>
        <w:t>/h</w:t>
      </w:r>
      <w:r>
        <w:rPr>
          <w:rFonts w:hAnsiTheme="minorEastAsia" w:eastAsiaTheme="minorEastAsia"/>
          <w:sz w:val="24"/>
        </w:rPr>
        <w:t>，每台锅炉设置一根</w:t>
      </w:r>
      <w:r>
        <w:rPr>
          <w:rFonts w:hint="eastAsia" w:eastAsiaTheme="minorEastAsia"/>
          <w:sz w:val="24"/>
        </w:rPr>
        <w:t>15</w:t>
      </w:r>
      <w:r>
        <w:rPr>
          <w:rFonts w:eastAsiaTheme="minorEastAsia"/>
          <w:sz w:val="24"/>
        </w:rPr>
        <w:t>m</w:t>
      </w:r>
      <w:r>
        <w:rPr>
          <w:rFonts w:hAnsiTheme="minorEastAsia" w:eastAsiaTheme="minorEastAsia"/>
          <w:sz w:val="24"/>
        </w:rPr>
        <w:t>高的排气筒</w:t>
      </w:r>
      <w:r>
        <w:rPr>
          <w:rFonts w:hAnsiTheme="minorEastAsia" w:eastAsiaTheme="minorEastAsia"/>
          <w:kern w:val="0"/>
          <w:sz w:val="24"/>
        </w:rPr>
        <w:t>。工业场地内建筑生活福利联合建筑及区队办公楼、职工食堂、职工宿舍、行政办公楼采暖期采用超低温空气能热泵式集中空调系统供热。</w:t>
      </w:r>
    </w:p>
    <w:p>
      <w:pPr>
        <w:spacing w:line="360" w:lineRule="auto"/>
        <w:ind w:firstLine="480" w:firstLineChars="200"/>
      </w:pPr>
      <w:r>
        <w:rPr>
          <w:rFonts w:hint="eastAsia" w:ascii="宋体" w:hAnsi="宋体" w:cs="宋体"/>
          <w:sz w:val="24"/>
        </w:rPr>
        <w:t>⑤</w:t>
      </w:r>
      <w:r>
        <w:rPr>
          <w:rFonts w:hint="eastAsia" w:eastAsiaTheme="minorEastAsia"/>
          <w:sz w:val="24"/>
        </w:rPr>
        <w:t>储煤仓容积发生变化：原环评中，</w:t>
      </w:r>
      <w:r>
        <w:rPr>
          <w:rFonts w:eastAsiaTheme="minorEastAsia"/>
          <w:sz w:val="24"/>
        </w:rPr>
        <w:t>原煤采用筒仓储存。矿井共设有2个φ18m、H=34m的圆筒仓，总容量11000t，</w:t>
      </w:r>
      <w:r>
        <w:rPr>
          <w:rFonts w:hint="eastAsia"/>
          <w:sz w:val="24"/>
        </w:rPr>
        <w:t>可以满足矿井3</w:t>
      </w:r>
      <w:r>
        <w:rPr>
          <w:sz w:val="24"/>
        </w:rPr>
        <w:t>d</w:t>
      </w:r>
      <w:r>
        <w:rPr>
          <w:rFonts w:hint="eastAsia"/>
          <w:sz w:val="24"/>
        </w:rPr>
        <w:t>的储煤量</w:t>
      </w:r>
      <w:r>
        <w:rPr>
          <w:rFonts w:hint="eastAsia" w:eastAsiaTheme="minorEastAsia"/>
          <w:sz w:val="24"/>
        </w:rPr>
        <w:t>。实际依托洗煤厂</w:t>
      </w:r>
      <w:r>
        <w:rPr>
          <w:rFonts w:hint="eastAsia"/>
          <w:sz w:val="24"/>
        </w:rPr>
        <w:t>全封闭式储煤场，原煤和精煤分别储存，原煤库长</w:t>
      </w:r>
      <w:r>
        <w:rPr>
          <w:sz w:val="24"/>
        </w:rPr>
        <w:t>×</w:t>
      </w:r>
      <w:r>
        <w:rPr>
          <w:rFonts w:hint="eastAsia"/>
          <w:sz w:val="24"/>
        </w:rPr>
        <w:t>宽＝</w:t>
      </w:r>
      <w:r>
        <w:rPr>
          <w:sz w:val="24"/>
        </w:rPr>
        <w:t>120m×</w:t>
      </w:r>
      <w:r>
        <w:rPr>
          <w:rFonts w:hint="eastAsia"/>
          <w:sz w:val="24"/>
        </w:rPr>
        <w:t>81</w:t>
      </w:r>
      <w:r>
        <w:rPr>
          <w:sz w:val="24"/>
        </w:rPr>
        <w:t>m</w:t>
      </w:r>
      <w:r>
        <w:rPr>
          <w:rFonts w:hint="eastAsia"/>
          <w:sz w:val="24"/>
        </w:rPr>
        <w:t>，面积9720</w:t>
      </w:r>
      <w:r>
        <w:rPr>
          <w:sz w:val="24"/>
        </w:rPr>
        <w:t>m</w:t>
      </w:r>
      <w:r>
        <w:rPr>
          <w:sz w:val="24"/>
          <w:vertAlign w:val="superscript"/>
        </w:rPr>
        <w:t>2</w:t>
      </w:r>
      <w:r>
        <w:rPr>
          <w:rFonts w:hint="eastAsia"/>
          <w:sz w:val="24"/>
        </w:rPr>
        <w:t>，堆高</w:t>
      </w:r>
      <w:r>
        <w:rPr>
          <w:sz w:val="24"/>
        </w:rPr>
        <w:t>H=</w:t>
      </w:r>
      <w:r>
        <w:rPr>
          <w:rFonts w:hint="eastAsia"/>
          <w:sz w:val="24"/>
        </w:rPr>
        <w:t>6</w:t>
      </w:r>
      <w:r>
        <w:rPr>
          <w:sz w:val="24"/>
        </w:rPr>
        <w:t>m</w:t>
      </w:r>
      <w:r>
        <w:rPr>
          <w:rFonts w:hint="eastAsia"/>
          <w:sz w:val="24"/>
        </w:rPr>
        <w:t>，可存原煤58320</w:t>
      </w:r>
      <w:r>
        <w:rPr>
          <w:sz w:val="24"/>
        </w:rPr>
        <w:t>0t</w:t>
      </w:r>
      <w:r>
        <w:rPr>
          <w:rFonts w:hint="eastAsia"/>
          <w:sz w:val="24"/>
        </w:rPr>
        <w:t>。精煤库长</w:t>
      </w:r>
      <w:r>
        <w:rPr>
          <w:sz w:val="24"/>
        </w:rPr>
        <w:t>×</w:t>
      </w:r>
      <w:r>
        <w:rPr>
          <w:rFonts w:hint="eastAsia"/>
          <w:sz w:val="24"/>
        </w:rPr>
        <w:t>宽＝</w:t>
      </w:r>
      <w:r>
        <w:rPr>
          <w:sz w:val="24"/>
        </w:rPr>
        <w:t>1</w:t>
      </w:r>
      <w:r>
        <w:rPr>
          <w:rFonts w:hint="eastAsia"/>
          <w:sz w:val="24"/>
        </w:rPr>
        <w:t>08</w:t>
      </w:r>
      <w:r>
        <w:rPr>
          <w:sz w:val="24"/>
        </w:rPr>
        <w:t>m×</w:t>
      </w:r>
      <w:r>
        <w:rPr>
          <w:rFonts w:hint="eastAsia"/>
          <w:sz w:val="24"/>
        </w:rPr>
        <w:t>88</w:t>
      </w:r>
      <w:r>
        <w:rPr>
          <w:sz w:val="24"/>
        </w:rPr>
        <w:t>m</w:t>
      </w:r>
      <w:r>
        <w:rPr>
          <w:rFonts w:hint="eastAsia"/>
          <w:sz w:val="24"/>
        </w:rPr>
        <w:t>，面积9504</w:t>
      </w:r>
      <w:r>
        <w:rPr>
          <w:sz w:val="24"/>
        </w:rPr>
        <w:t>m</w:t>
      </w:r>
      <w:r>
        <w:rPr>
          <w:sz w:val="24"/>
          <w:vertAlign w:val="superscript"/>
        </w:rPr>
        <w:t>2</w:t>
      </w:r>
      <w:r>
        <w:rPr>
          <w:rFonts w:hint="eastAsia"/>
          <w:sz w:val="24"/>
        </w:rPr>
        <w:t>，堆高</w:t>
      </w:r>
      <w:r>
        <w:rPr>
          <w:sz w:val="24"/>
        </w:rPr>
        <w:t>H=</w:t>
      </w:r>
      <w:r>
        <w:rPr>
          <w:rFonts w:hint="eastAsia"/>
          <w:sz w:val="24"/>
        </w:rPr>
        <w:t>6</w:t>
      </w:r>
      <w:r>
        <w:rPr>
          <w:sz w:val="24"/>
        </w:rPr>
        <w:t>m</w:t>
      </w:r>
      <w:r>
        <w:rPr>
          <w:rFonts w:hint="eastAsia"/>
          <w:sz w:val="24"/>
        </w:rPr>
        <w:t>，可存精煤57000</w:t>
      </w:r>
      <w:r>
        <w:rPr>
          <w:sz w:val="24"/>
        </w:rPr>
        <w:t>t</w:t>
      </w:r>
      <w:r>
        <w:rPr>
          <w:rFonts w:hint="eastAsia"/>
          <w:sz w:val="24"/>
        </w:rPr>
        <w:t>。</w:t>
      </w:r>
    </w:p>
    <w:p>
      <w:pPr>
        <w:pStyle w:val="99"/>
        <w:adjustRightInd/>
        <w:spacing w:line="360" w:lineRule="auto"/>
        <w:ind w:firstLine="480" w:firstLineChars="200"/>
        <w:jc w:val="both"/>
        <w:rPr>
          <w:rFonts w:ascii="Times New Roman" w:cs="Times New Roman" w:hAnsiTheme="minorEastAsia" w:eastAsiaTheme="minorEastAsia"/>
          <w:color w:val="auto"/>
          <w:szCs w:val="24"/>
        </w:rPr>
      </w:pPr>
      <w:r>
        <w:rPr>
          <w:rFonts w:ascii="Times New Roman" w:cs="Times New Roman" w:hAnsiTheme="minorEastAsia" w:eastAsiaTheme="minorEastAsia"/>
          <w:color w:val="auto"/>
        </w:rPr>
        <w:t>⑥</w:t>
      </w:r>
      <w:r>
        <w:rPr>
          <w:rFonts w:ascii="Times New Roman" w:cs="Times New Roman" w:hAnsiTheme="minorEastAsia" w:eastAsiaTheme="minorEastAsia"/>
          <w:color w:val="auto"/>
          <w:szCs w:val="24"/>
        </w:rPr>
        <w:t>矿井水处理站处理规模、处理工艺及排水去向发生变化：</w:t>
      </w:r>
    </w:p>
    <w:p>
      <w:pPr>
        <w:spacing w:line="360" w:lineRule="auto"/>
        <w:ind w:firstLine="480" w:firstLineChars="200"/>
        <w:rPr>
          <w:rFonts w:eastAsiaTheme="minorEastAsia"/>
          <w:sz w:val="24"/>
        </w:rPr>
      </w:pPr>
      <w:r>
        <w:rPr>
          <w:rFonts w:hint="eastAsia" w:hAnsiTheme="minorEastAsia" w:eastAsiaTheme="minorEastAsia"/>
          <w:sz w:val="24"/>
        </w:rPr>
        <w:t>工业场地建设一座矿井水处理站，采用</w:t>
      </w:r>
      <w:r>
        <w:rPr>
          <w:rFonts w:eastAsiaTheme="minorEastAsia"/>
          <w:sz w:val="24"/>
        </w:rPr>
        <w:t>3</w:t>
      </w:r>
      <w:r>
        <w:rPr>
          <w:rFonts w:hAnsiTheme="minorEastAsia" w:eastAsiaTheme="minorEastAsia"/>
          <w:sz w:val="24"/>
        </w:rPr>
        <w:t>台</w:t>
      </w:r>
      <w:r>
        <w:rPr>
          <w:rFonts w:eastAsiaTheme="minorEastAsia"/>
          <w:sz w:val="24"/>
        </w:rPr>
        <w:t>J-30</w:t>
      </w:r>
      <w:r>
        <w:rPr>
          <w:rFonts w:hAnsiTheme="minorEastAsia" w:eastAsiaTheme="minorEastAsia"/>
          <w:sz w:val="24"/>
        </w:rPr>
        <w:t>型全自动高效一体化净水器，单台处理能力为</w:t>
      </w:r>
      <w:r>
        <w:rPr>
          <w:rFonts w:eastAsiaTheme="minorEastAsia"/>
          <w:sz w:val="24"/>
        </w:rPr>
        <w:t>30m</w:t>
      </w:r>
      <w:r>
        <w:rPr>
          <w:rFonts w:eastAsiaTheme="minorEastAsia"/>
          <w:sz w:val="24"/>
          <w:vertAlign w:val="superscript"/>
        </w:rPr>
        <w:t>3</w:t>
      </w:r>
      <w:r>
        <w:rPr>
          <w:rFonts w:eastAsiaTheme="minorEastAsia"/>
          <w:sz w:val="24"/>
        </w:rPr>
        <w:t>/h</w:t>
      </w:r>
      <w:r>
        <w:rPr>
          <w:rFonts w:hAnsiTheme="minorEastAsia" w:eastAsiaTheme="minorEastAsia"/>
          <w:sz w:val="24"/>
        </w:rPr>
        <w:t>，采用调节、混凝、沉淀、过滤、消毒等工艺对矿井水处理</w:t>
      </w:r>
      <w:r>
        <w:rPr>
          <w:rFonts w:hint="eastAsia" w:eastAsiaTheme="minorEastAsia"/>
          <w:sz w:val="24"/>
        </w:rPr>
        <w:t>，</w:t>
      </w:r>
      <w:r>
        <w:rPr>
          <w:rFonts w:hAnsiTheme="minorEastAsia" w:eastAsiaTheme="minorEastAsia"/>
          <w:sz w:val="24"/>
        </w:rPr>
        <w:t>处理后的矿井水回用于井下洒水。</w:t>
      </w:r>
    </w:p>
    <w:p>
      <w:pPr>
        <w:spacing w:line="360" w:lineRule="auto"/>
        <w:ind w:firstLine="420" w:firstLineChars="200"/>
        <w:rPr>
          <w:rFonts w:hAnsiTheme="minorEastAsia" w:eastAsiaTheme="minorEastAsia"/>
          <w:sz w:val="24"/>
        </w:rPr>
      </w:pPr>
      <w:r>
        <w:rPr>
          <w:rFonts w:hAnsiTheme="minorEastAsia" w:eastAsiaTheme="minorEastAsia"/>
        </w:rPr>
        <w:t>变更后</w:t>
      </w:r>
      <w:r>
        <w:rPr>
          <w:rFonts w:hint="eastAsia" w:hAnsiTheme="minorEastAsia" w:eastAsiaTheme="minorEastAsia"/>
          <w:sz w:val="24"/>
        </w:rPr>
        <w:t>工业场地设置一座矿井水处理站，设计处理规模为6120m</w:t>
      </w:r>
      <w:r>
        <w:rPr>
          <w:rFonts w:hint="eastAsia" w:hAnsiTheme="minorEastAsia" w:eastAsiaTheme="minorEastAsia"/>
          <w:sz w:val="24"/>
          <w:vertAlign w:val="superscript"/>
        </w:rPr>
        <w:t>3</w:t>
      </w:r>
      <w:r>
        <w:rPr>
          <w:rFonts w:hint="eastAsia" w:hAnsiTheme="minorEastAsia" w:eastAsiaTheme="minorEastAsia"/>
          <w:sz w:val="24"/>
        </w:rPr>
        <w:t>/d 。矿井水处理采用“高效旋流过滤、压力式超滤”处理工艺。开采4、5号煤层时，处理达标后的矿井水全部回用于井下生产用水；开采8、9号煤层时，处理达标后的矿井水部分回用于井下生产用水，采暖季多余部分回用于洗车平台用水，非采暖季多余部分回用于锅炉补充用水，处理后的矿井水全部回用，不外排。</w:t>
      </w:r>
    </w:p>
    <w:p>
      <w:pPr>
        <w:pStyle w:val="99"/>
        <w:adjustRightInd/>
        <w:spacing w:line="360" w:lineRule="auto"/>
        <w:ind w:firstLine="480" w:firstLineChars="200"/>
        <w:jc w:val="both"/>
        <w:rPr>
          <w:rFonts w:ascii="Times New Roman" w:cs="Times New Roman" w:hAnsiTheme="minorEastAsia" w:eastAsiaTheme="minorEastAsia"/>
          <w:color w:val="auto"/>
          <w:szCs w:val="24"/>
        </w:rPr>
      </w:pPr>
      <w:r>
        <w:rPr>
          <w:rFonts w:hint="eastAsia" w:hAnsiTheme="minorEastAsia" w:eastAsiaTheme="minorEastAsia"/>
        </w:rPr>
        <w:t>⑦</w:t>
      </w:r>
      <w:r>
        <w:rPr>
          <w:rFonts w:hint="eastAsia" w:ascii="Times New Roman" w:cs="Times New Roman" w:hAnsiTheme="minorEastAsia" w:eastAsiaTheme="minorEastAsia"/>
          <w:color w:val="auto"/>
        </w:rPr>
        <w:t>生活污水</w:t>
      </w:r>
      <w:r>
        <w:rPr>
          <w:rFonts w:ascii="Times New Roman" w:cs="Times New Roman" w:hAnsiTheme="minorEastAsia" w:eastAsiaTheme="minorEastAsia"/>
          <w:color w:val="auto"/>
          <w:szCs w:val="24"/>
        </w:rPr>
        <w:t>处理站处理规模、处理工艺及排水去向发生变化：</w:t>
      </w:r>
    </w:p>
    <w:p>
      <w:pPr>
        <w:tabs>
          <w:tab w:val="left" w:pos="1050"/>
        </w:tabs>
        <w:spacing w:line="360" w:lineRule="auto"/>
        <w:ind w:firstLine="470" w:firstLineChars="196"/>
        <w:rPr>
          <w:rFonts w:hAnsiTheme="minorEastAsia" w:eastAsiaTheme="minorEastAsia"/>
          <w:sz w:val="24"/>
        </w:rPr>
      </w:pPr>
      <w:r>
        <w:rPr>
          <w:rFonts w:hint="eastAsia" w:hAnsiTheme="minorEastAsia" w:eastAsiaTheme="minorEastAsia"/>
          <w:sz w:val="24"/>
        </w:rPr>
        <w:t>原环评生活污水采用</w:t>
      </w:r>
      <w:r>
        <w:rPr>
          <w:rFonts w:hAnsiTheme="minorEastAsia" w:eastAsiaTheme="minorEastAsia"/>
          <w:sz w:val="24"/>
        </w:rPr>
        <w:t>1</w:t>
      </w:r>
      <w:r>
        <w:rPr>
          <w:rFonts w:hint="eastAsia" w:hAnsiTheme="minorEastAsia" w:eastAsiaTheme="minorEastAsia"/>
          <w:sz w:val="24"/>
        </w:rPr>
        <w:t>套</w:t>
      </w:r>
      <w:r>
        <w:rPr>
          <w:rFonts w:eastAsiaTheme="minorEastAsia"/>
          <w:sz w:val="24"/>
        </w:rPr>
        <w:t>WSZ-15F</w:t>
      </w:r>
      <w:r>
        <w:rPr>
          <w:rFonts w:hAnsiTheme="minorEastAsia" w:eastAsiaTheme="minorEastAsia"/>
          <w:sz w:val="24"/>
        </w:rPr>
        <w:t>型地埋式生活污水处理装置处理</w:t>
      </w:r>
      <w:r>
        <w:rPr>
          <w:rFonts w:hint="eastAsia" w:hAnsiTheme="minorEastAsia" w:eastAsiaTheme="minorEastAsia"/>
          <w:sz w:val="24"/>
        </w:rPr>
        <w:t>，</w:t>
      </w:r>
      <w:r>
        <w:rPr>
          <w:rFonts w:hAnsiTheme="minorEastAsia" w:eastAsiaTheme="minorEastAsia"/>
          <w:sz w:val="24"/>
        </w:rPr>
        <w:t>处理能力为</w:t>
      </w:r>
      <w:r>
        <w:rPr>
          <w:rFonts w:eastAsiaTheme="minorEastAsia"/>
          <w:sz w:val="24"/>
        </w:rPr>
        <w:t>15m</w:t>
      </w:r>
      <w:r>
        <w:rPr>
          <w:rFonts w:eastAsiaTheme="minorEastAsia"/>
          <w:sz w:val="24"/>
          <w:vertAlign w:val="superscript"/>
        </w:rPr>
        <w:t>3</w:t>
      </w:r>
      <w:r>
        <w:rPr>
          <w:rFonts w:eastAsiaTheme="minorEastAsia"/>
          <w:sz w:val="24"/>
        </w:rPr>
        <w:t>/h</w:t>
      </w:r>
      <w:r>
        <w:rPr>
          <w:rFonts w:hAnsiTheme="minorEastAsia" w:eastAsiaTheme="minorEastAsia"/>
          <w:sz w:val="24"/>
        </w:rPr>
        <w:t>，</w:t>
      </w:r>
      <w:r>
        <w:rPr>
          <w:rFonts w:hint="eastAsia" w:hAnsiTheme="minorEastAsia" w:eastAsiaTheme="minorEastAsia"/>
          <w:sz w:val="24"/>
        </w:rPr>
        <w:t>采用生物膜法：缺氧</w:t>
      </w:r>
      <w:r>
        <w:rPr>
          <w:rFonts w:hAnsiTheme="minorEastAsia" w:eastAsiaTheme="minorEastAsia"/>
          <w:sz w:val="24"/>
        </w:rPr>
        <w:t>----</w:t>
      </w:r>
      <w:r>
        <w:rPr>
          <w:rFonts w:hint="eastAsia" w:hAnsiTheme="minorEastAsia" w:eastAsiaTheme="minorEastAsia"/>
          <w:sz w:val="24"/>
        </w:rPr>
        <w:t>好氧</w:t>
      </w:r>
      <w:r>
        <w:rPr>
          <w:rFonts w:hAnsiTheme="minorEastAsia" w:eastAsiaTheme="minorEastAsia"/>
          <w:sz w:val="24"/>
        </w:rPr>
        <w:t>(A/O)+</w:t>
      </w:r>
      <w:r>
        <w:rPr>
          <w:rFonts w:hint="eastAsia" w:hAnsiTheme="minorEastAsia" w:eastAsiaTheme="minorEastAsia"/>
          <w:sz w:val="24"/>
        </w:rPr>
        <w:t>活性炭吸附处理工艺。</w:t>
      </w:r>
      <w:r>
        <w:rPr>
          <w:rFonts w:hAnsiTheme="minorEastAsia" w:eastAsiaTheme="minorEastAsia"/>
          <w:sz w:val="24"/>
        </w:rPr>
        <w:t>处理后的生活污水全部回用，无外排</w:t>
      </w:r>
      <w:r>
        <w:rPr>
          <w:rFonts w:hAnsiTheme="minorEastAsia" w:eastAsiaTheme="minorEastAsia"/>
          <w:bCs/>
          <w:spacing w:val="2"/>
          <w:sz w:val="24"/>
        </w:rPr>
        <w:t>。</w:t>
      </w:r>
    </w:p>
    <w:p>
      <w:pPr>
        <w:spacing w:line="360" w:lineRule="auto"/>
        <w:ind w:firstLine="480" w:firstLineChars="200"/>
        <w:jc w:val="left"/>
        <w:rPr>
          <w:rFonts w:hAnsiTheme="minorEastAsia" w:eastAsiaTheme="minorEastAsia"/>
          <w:bCs/>
          <w:sz w:val="24"/>
        </w:rPr>
      </w:pPr>
      <w:r>
        <w:rPr>
          <w:rFonts w:hint="eastAsia" w:hAnsiTheme="minorEastAsia" w:eastAsiaTheme="minorEastAsia"/>
          <w:sz w:val="24"/>
        </w:rPr>
        <w:t>变更后，在工业场地设置有一座生活污水处理站，处理规模</w:t>
      </w:r>
      <w:r>
        <w:rPr>
          <w:rFonts w:hAnsiTheme="minorEastAsia" w:eastAsiaTheme="minorEastAsia"/>
          <w:sz w:val="24"/>
        </w:rPr>
        <w:t>450m</w:t>
      </w:r>
      <w:r>
        <w:rPr>
          <w:rFonts w:hAnsiTheme="minorEastAsia" w:eastAsiaTheme="minorEastAsia"/>
          <w:sz w:val="24"/>
          <w:vertAlign w:val="superscript"/>
        </w:rPr>
        <w:t>3</w:t>
      </w:r>
      <w:r>
        <w:rPr>
          <w:rFonts w:hAnsiTheme="minorEastAsia" w:eastAsiaTheme="minorEastAsia"/>
          <w:sz w:val="24"/>
        </w:rPr>
        <w:t>/d</w:t>
      </w:r>
      <w:r>
        <w:rPr>
          <w:rFonts w:hint="eastAsia" w:hAnsiTheme="minorEastAsia" w:eastAsiaTheme="minorEastAsia"/>
          <w:sz w:val="24"/>
        </w:rPr>
        <w:t>。处理工艺采用厌氧、缺氧、好氧同步脱碳除磷生物处理法</w:t>
      </w:r>
      <w:r>
        <w:rPr>
          <w:rFonts w:hAnsiTheme="minorEastAsia" w:eastAsiaTheme="minorEastAsia"/>
          <w:sz w:val="24"/>
        </w:rPr>
        <w:t>+</w:t>
      </w:r>
      <w:r>
        <w:rPr>
          <w:rFonts w:hint="eastAsia" w:hAnsiTheme="minorEastAsia" w:eastAsiaTheme="minorEastAsia"/>
          <w:sz w:val="24"/>
        </w:rPr>
        <w:t>臭氧氧化、活性炭过滤厌。生产生活污水</w:t>
      </w:r>
      <w:r>
        <w:rPr>
          <w:rFonts w:hint="eastAsia" w:hAnsiTheme="minorEastAsia" w:eastAsiaTheme="minorEastAsia"/>
          <w:bCs/>
          <w:sz w:val="24"/>
        </w:rPr>
        <w:t>经处理后的生活污水回用于储煤场洒水、厂区道路洒水、绿化洒水、洗车平台用水，其余送至龙宇洗煤厂作为洗煤厂补充水，生活污水全部回用，不外排。</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4" w:name="_Toc71551915"/>
      <w:bookmarkStart w:id="25" w:name="_Toc11918294"/>
      <w:bookmarkStart w:id="26" w:name="_Toc351651121"/>
      <w:bookmarkStart w:id="27" w:name="_Toc480708204"/>
      <w:r>
        <w:rPr>
          <w:rFonts w:ascii="Times New Roman" w:hAnsi="Times New Roman" w:eastAsiaTheme="minorEastAsia"/>
          <w:kern w:val="44"/>
          <w:sz w:val="30"/>
          <w:szCs w:val="30"/>
        </w:rPr>
        <w:t>1.</w:t>
      </w:r>
      <w:r>
        <w:rPr>
          <w:rFonts w:hint="eastAsia" w:ascii="Times New Roman" w:hAnsi="Times New Roman" w:eastAsiaTheme="minorEastAsia"/>
          <w:kern w:val="44"/>
          <w:sz w:val="30"/>
          <w:szCs w:val="30"/>
        </w:rPr>
        <w:t>3</w:t>
      </w:r>
      <w:r>
        <w:rPr>
          <w:rFonts w:ascii="Times New Roman" w:hAnsiTheme="minorEastAsia" w:eastAsiaTheme="minorEastAsia"/>
          <w:kern w:val="44"/>
          <w:sz w:val="30"/>
          <w:szCs w:val="30"/>
        </w:rPr>
        <w:t>项目可行性判定</w:t>
      </w:r>
      <w:bookmarkEnd w:id="24"/>
    </w:p>
    <w:bookmarkEnd w:id="25"/>
    <w:p>
      <w:pPr>
        <w:spacing w:line="360" w:lineRule="auto"/>
        <w:outlineLvl w:val="2"/>
        <w:rPr>
          <w:rFonts w:eastAsiaTheme="minorEastAsia"/>
          <w:b/>
          <w:sz w:val="24"/>
        </w:rPr>
      </w:pPr>
      <w:r>
        <w:rPr>
          <w:rFonts w:eastAsiaTheme="minorEastAsia"/>
          <w:b/>
          <w:sz w:val="24"/>
        </w:rPr>
        <w:t>1.</w:t>
      </w:r>
      <w:r>
        <w:rPr>
          <w:rFonts w:hint="eastAsia" w:eastAsiaTheme="minorEastAsia"/>
          <w:b/>
          <w:sz w:val="24"/>
        </w:rPr>
        <w:t>3</w:t>
      </w:r>
      <w:r>
        <w:rPr>
          <w:rFonts w:eastAsiaTheme="minorEastAsia"/>
          <w:b/>
          <w:sz w:val="24"/>
        </w:rPr>
        <w:t>.1</w:t>
      </w:r>
      <w:r>
        <w:rPr>
          <w:rFonts w:hAnsiTheme="minorEastAsia" w:eastAsiaTheme="minorEastAsia"/>
          <w:b/>
          <w:sz w:val="24"/>
        </w:rPr>
        <w:t>政策及规划符合性分析</w:t>
      </w:r>
    </w:p>
    <w:p>
      <w:pPr>
        <w:widowControl/>
        <w:spacing w:line="360" w:lineRule="auto"/>
        <w:ind w:firstLine="480" w:firstLineChars="200"/>
        <w:jc w:val="left"/>
        <w:rPr>
          <w:rFonts w:eastAsiaTheme="minorEastAsia"/>
          <w:bCs/>
          <w:kern w:val="0"/>
          <w:sz w:val="24"/>
        </w:rPr>
      </w:pPr>
      <w:r>
        <w:rPr>
          <w:rFonts w:hAnsiTheme="minorEastAsia" w:eastAsiaTheme="minorEastAsia"/>
          <w:bCs/>
          <w:kern w:val="0"/>
          <w:sz w:val="24"/>
        </w:rPr>
        <w:t>（</w:t>
      </w:r>
      <w:r>
        <w:rPr>
          <w:rFonts w:eastAsiaTheme="minorEastAsia"/>
          <w:bCs/>
          <w:kern w:val="0"/>
          <w:sz w:val="24"/>
        </w:rPr>
        <w:t>1</w:t>
      </w:r>
      <w:r>
        <w:rPr>
          <w:rFonts w:hAnsiTheme="minorEastAsia" w:eastAsiaTheme="minorEastAsia"/>
          <w:bCs/>
          <w:kern w:val="0"/>
          <w:sz w:val="24"/>
        </w:rPr>
        <w:t>）国家产业政策符合性分析</w:t>
      </w:r>
    </w:p>
    <w:p>
      <w:pPr>
        <w:widowControl/>
        <w:spacing w:line="360" w:lineRule="auto"/>
        <w:ind w:firstLine="496" w:firstLineChars="200"/>
        <w:rPr>
          <w:bCs/>
          <w:spacing w:val="4"/>
          <w:sz w:val="24"/>
        </w:rPr>
      </w:pPr>
      <w:r>
        <w:rPr>
          <w:rFonts w:hint="eastAsia"/>
          <w:bCs/>
          <w:spacing w:val="4"/>
          <w:sz w:val="24"/>
        </w:rPr>
        <w:t>本矿井生产能力为120万吨</w:t>
      </w:r>
      <w:r>
        <w:rPr>
          <w:bCs/>
          <w:spacing w:val="4"/>
          <w:sz w:val="24"/>
        </w:rPr>
        <w:t>/</w:t>
      </w:r>
      <w:r>
        <w:rPr>
          <w:rFonts w:hint="eastAsia"/>
          <w:bCs/>
          <w:spacing w:val="4"/>
          <w:sz w:val="24"/>
        </w:rPr>
        <w:t>年，根据国家发改委《产业结构调整指导目录（</w:t>
      </w:r>
      <w:r>
        <w:rPr>
          <w:bCs/>
          <w:spacing w:val="4"/>
          <w:sz w:val="24"/>
        </w:rPr>
        <w:t>2019</w:t>
      </w:r>
      <w:r>
        <w:rPr>
          <w:rFonts w:hint="eastAsia"/>
          <w:bCs/>
          <w:spacing w:val="4"/>
          <w:sz w:val="24"/>
        </w:rPr>
        <w:t>年本）》，本项目不属于限制类和淘汰类项目，</w:t>
      </w:r>
      <w:r>
        <w:rPr>
          <w:rFonts w:hint="eastAsia" w:hAnsiTheme="minorEastAsia" w:eastAsiaTheme="minorEastAsia"/>
          <w:kern w:val="0"/>
          <w:sz w:val="24"/>
        </w:rPr>
        <w:t>为允许类项目。</w:t>
      </w:r>
      <w:r>
        <w:rPr>
          <w:rFonts w:hint="eastAsia"/>
          <w:bCs/>
          <w:spacing w:val="4"/>
          <w:sz w:val="24"/>
        </w:rPr>
        <w:t>因此本项目的建设符合相关的产业政策。</w:t>
      </w:r>
    </w:p>
    <w:p>
      <w:pPr>
        <w:widowControl/>
        <w:spacing w:line="360" w:lineRule="auto"/>
        <w:ind w:firstLine="480" w:firstLineChars="200"/>
        <w:jc w:val="left"/>
        <w:rPr>
          <w:rFonts w:eastAsiaTheme="minorEastAsia"/>
          <w:bCs/>
          <w:kern w:val="0"/>
          <w:sz w:val="24"/>
        </w:rPr>
      </w:pPr>
      <w:r>
        <w:rPr>
          <w:rFonts w:hAnsiTheme="minorEastAsia" w:eastAsiaTheme="minorEastAsia"/>
          <w:bCs/>
          <w:kern w:val="0"/>
          <w:sz w:val="24"/>
        </w:rPr>
        <w:t>（</w:t>
      </w:r>
      <w:r>
        <w:rPr>
          <w:rFonts w:eastAsiaTheme="minorEastAsia"/>
          <w:bCs/>
          <w:kern w:val="0"/>
          <w:sz w:val="24"/>
        </w:rPr>
        <w:t>2</w:t>
      </w:r>
      <w:r>
        <w:rPr>
          <w:rFonts w:hAnsiTheme="minorEastAsia" w:eastAsiaTheme="minorEastAsia"/>
          <w:bCs/>
          <w:kern w:val="0"/>
          <w:sz w:val="24"/>
        </w:rPr>
        <w:t>）与《</w:t>
      </w:r>
      <w:r>
        <w:rPr>
          <w:rFonts w:hint="eastAsia" w:hAnsiTheme="minorEastAsia" w:eastAsiaTheme="minorEastAsia"/>
          <w:bCs/>
          <w:kern w:val="0"/>
          <w:sz w:val="24"/>
        </w:rPr>
        <w:t>吕梁</w:t>
      </w:r>
      <w:r>
        <w:rPr>
          <w:rFonts w:hAnsiTheme="minorEastAsia" w:eastAsiaTheme="minorEastAsia"/>
          <w:bCs/>
          <w:kern w:val="0"/>
          <w:sz w:val="24"/>
        </w:rPr>
        <w:t>市城市总体规划》的符合性分析</w:t>
      </w:r>
    </w:p>
    <w:p>
      <w:pPr>
        <w:widowControl/>
        <w:spacing w:line="360" w:lineRule="auto"/>
        <w:ind w:firstLine="480"/>
        <w:rPr>
          <w:rFonts w:hAnsiTheme="minorEastAsia" w:eastAsiaTheme="minorEastAsia"/>
          <w:sz w:val="24"/>
        </w:rPr>
      </w:pPr>
      <w:r>
        <w:rPr>
          <w:rFonts w:hAnsiTheme="minorEastAsia" w:eastAsiaTheme="minorEastAsia"/>
          <w:sz w:val="24"/>
        </w:rPr>
        <w:t>根据《</w:t>
      </w:r>
      <w:r>
        <w:rPr>
          <w:rFonts w:hint="eastAsia" w:hAnsiTheme="minorEastAsia" w:eastAsiaTheme="minorEastAsia"/>
          <w:sz w:val="24"/>
        </w:rPr>
        <w:t>吕梁</w:t>
      </w:r>
      <w:r>
        <w:rPr>
          <w:rFonts w:hAnsiTheme="minorEastAsia" w:eastAsiaTheme="minorEastAsia"/>
          <w:sz w:val="24"/>
        </w:rPr>
        <w:t>市城市总体规划（</w:t>
      </w:r>
      <w:r>
        <w:rPr>
          <w:rFonts w:eastAsiaTheme="minorEastAsia"/>
          <w:sz w:val="24"/>
        </w:rPr>
        <w:t>2001-2020</w:t>
      </w:r>
      <w:r>
        <w:rPr>
          <w:rFonts w:hAnsiTheme="minorEastAsia" w:eastAsiaTheme="minorEastAsia"/>
          <w:sz w:val="24"/>
        </w:rPr>
        <w:t>）》，</w:t>
      </w:r>
      <w:r>
        <w:rPr>
          <w:rFonts w:hint="eastAsia" w:hAnsiTheme="minorEastAsia" w:eastAsiaTheme="minorEastAsia"/>
          <w:sz w:val="24"/>
        </w:rPr>
        <w:t>新工</w:t>
      </w:r>
      <w:r>
        <w:rPr>
          <w:rFonts w:hAnsiTheme="minorEastAsia" w:eastAsiaTheme="minorEastAsia"/>
          <w:sz w:val="24"/>
        </w:rPr>
        <w:t>矿井田位于临县西南约36km处招贤镇的高家庄村、大长村、工农庄村和林家坪镇的后庄村一带，项目选址不在</w:t>
      </w:r>
      <w:r>
        <w:rPr>
          <w:rFonts w:hint="eastAsia" w:hAnsiTheme="minorEastAsia" w:eastAsiaTheme="minorEastAsia"/>
          <w:sz w:val="24"/>
        </w:rPr>
        <w:t>吕梁</w:t>
      </w:r>
      <w:r>
        <w:rPr>
          <w:rFonts w:hAnsiTheme="minorEastAsia" w:eastAsiaTheme="minorEastAsia"/>
          <w:sz w:val="24"/>
        </w:rPr>
        <w:t>市城市总体规划范围之内。本项目的建设不违背</w:t>
      </w:r>
      <w:r>
        <w:rPr>
          <w:rFonts w:hint="eastAsia" w:hAnsiTheme="minorEastAsia" w:eastAsiaTheme="minorEastAsia"/>
          <w:sz w:val="24"/>
        </w:rPr>
        <w:t>吕梁</w:t>
      </w:r>
      <w:r>
        <w:rPr>
          <w:rFonts w:hAnsiTheme="minorEastAsia" w:eastAsiaTheme="minorEastAsia"/>
          <w:sz w:val="24"/>
        </w:rPr>
        <w:t>市城市总体规划。</w:t>
      </w:r>
    </w:p>
    <w:p>
      <w:pPr>
        <w:widowControl/>
        <w:spacing w:line="360" w:lineRule="auto"/>
        <w:ind w:firstLine="496" w:firstLineChars="200"/>
      </w:pPr>
      <w:r>
        <w:rPr>
          <w:rFonts w:hint="eastAsia"/>
          <w:bCs/>
          <w:spacing w:val="4"/>
          <w:sz w:val="24"/>
        </w:rPr>
        <w:t>（</w:t>
      </w:r>
      <w:r>
        <w:rPr>
          <w:bCs/>
          <w:spacing w:val="4"/>
          <w:sz w:val="24"/>
        </w:rPr>
        <w:t>3</w:t>
      </w:r>
      <w:r>
        <w:rPr>
          <w:rFonts w:hint="eastAsia"/>
          <w:bCs/>
          <w:spacing w:val="4"/>
          <w:sz w:val="24"/>
        </w:rPr>
        <w:t>）与山西省“十三五”煤炭工业发展规划</w:t>
      </w:r>
    </w:p>
    <w:p>
      <w:pPr>
        <w:widowControl/>
        <w:spacing w:line="360" w:lineRule="auto"/>
        <w:ind w:firstLine="480"/>
        <w:rPr>
          <w:sz w:val="24"/>
        </w:rPr>
      </w:pPr>
      <w:r>
        <w:rPr>
          <w:rFonts w:hint="eastAsia"/>
          <w:sz w:val="24"/>
        </w:rPr>
        <w:t>山西省</w:t>
      </w:r>
      <w:r>
        <w:rPr>
          <w:sz w:val="24"/>
        </w:rPr>
        <w:t>“</w:t>
      </w:r>
      <w:r>
        <w:rPr>
          <w:rFonts w:hint="eastAsia"/>
          <w:sz w:val="24"/>
        </w:rPr>
        <w:t>十三五</w:t>
      </w:r>
      <w:r>
        <w:rPr>
          <w:sz w:val="24"/>
        </w:rPr>
        <w:t>”</w:t>
      </w:r>
      <w:r>
        <w:rPr>
          <w:rFonts w:hint="eastAsia"/>
          <w:sz w:val="24"/>
        </w:rPr>
        <w:t>煤炭工业发展规划</w:t>
      </w:r>
      <w:r>
        <w:rPr>
          <w:sz w:val="24"/>
        </w:rPr>
        <w:t>——</w:t>
      </w:r>
      <w:r>
        <w:rPr>
          <w:rFonts w:hint="eastAsia"/>
          <w:sz w:val="24"/>
        </w:rPr>
        <w:t>生态环保：</w:t>
      </w:r>
      <w:r>
        <w:rPr>
          <w:sz w:val="24"/>
        </w:rPr>
        <w:t>“</w:t>
      </w:r>
      <w:r>
        <w:rPr>
          <w:rFonts w:hint="eastAsia"/>
          <w:sz w:val="24"/>
        </w:rPr>
        <w:t>到</w:t>
      </w:r>
      <w:r>
        <w:rPr>
          <w:sz w:val="24"/>
        </w:rPr>
        <w:t>2020</w:t>
      </w:r>
      <w:r>
        <w:rPr>
          <w:rFonts w:hint="eastAsia"/>
          <w:sz w:val="24"/>
        </w:rPr>
        <w:t>年，矿井水和生活污水处置率达到</w:t>
      </w:r>
      <w:r>
        <w:rPr>
          <w:sz w:val="24"/>
        </w:rPr>
        <w:t>100%</w:t>
      </w:r>
      <w:r>
        <w:rPr>
          <w:rFonts w:hint="eastAsia"/>
          <w:sz w:val="24"/>
        </w:rPr>
        <w:t>，矿井水综合利用率达到</w:t>
      </w:r>
      <w:r>
        <w:rPr>
          <w:sz w:val="24"/>
        </w:rPr>
        <w:t>90%</w:t>
      </w:r>
      <w:r>
        <w:rPr>
          <w:rFonts w:hint="eastAsia"/>
          <w:sz w:val="24"/>
        </w:rPr>
        <w:t>，力争实现</w:t>
      </w:r>
      <w:r>
        <w:rPr>
          <w:sz w:val="24"/>
        </w:rPr>
        <w:t>30%</w:t>
      </w:r>
      <w:r>
        <w:rPr>
          <w:rFonts w:hint="eastAsia"/>
          <w:sz w:val="24"/>
        </w:rPr>
        <w:t>的绿色矿山建设目标。对重点矿区实施地质环境保护与环境恢复治理工程，新建和生产煤矿全面治理，毁损土地全面复垦，历史遗留煤矿地质环境恢复治理率达到</w:t>
      </w:r>
      <w:r>
        <w:rPr>
          <w:sz w:val="24"/>
        </w:rPr>
        <w:t>35%</w:t>
      </w:r>
      <w:r>
        <w:rPr>
          <w:rFonts w:hint="eastAsia"/>
          <w:sz w:val="24"/>
        </w:rPr>
        <w:t>。</w:t>
      </w:r>
      <w:r>
        <w:rPr>
          <w:sz w:val="24"/>
        </w:rPr>
        <w:t>”</w:t>
      </w:r>
    </w:p>
    <w:p>
      <w:pPr>
        <w:widowControl/>
        <w:spacing w:line="360" w:lineRule="auto"/>
        <w:ind w:firstLine="480"/>
        <w:rPr>
          <w:sz w:val="24"/>
        </w:rPr>
      </w:pPr>
      <w:r>
        <w:rPr>
          <w:rFonts w:hint="eastAsia"/>
          <w:sz w:val="24"/>
        </w:rPr>
        <w:t>本项目矿井水和生活污水处理率达到</w:t>
      </w:r>
      <w:r>
        <w:rPr>
          <w:sz w:val="24"/>
        </w:rPr>
        <w:t>100%</w:t>
      </w:r>
      <w:r>
        <w:rPr>
          <w:rFonts w:hint="eastAsia"/>
          <w:sz w:val="24"/>
        </w:rPr>
        <w:t>，开采期间矿井水全部回用不外排。目前矿井已编制矿山生态环境保护与恢复治理方案（2020年-2022年），将解决历史遗留问题，对整合前的工业场地以及4号煤采空区形成的塌陷区进行治理，同时矿井投产后将进一步对5号、8号、9号煤开采所造成的地表沉陷裂缝问题逐月进行调查，及时恢复治理，对损毁土地进行及时、全面的复垦。</w:t>
      </w:r>
    </w:p>
    <w:p>
      <w:pPr>
        <w:widowControl/>
        <w:spacing w:line="360" w:lineRule="auto"/>
        <w:ind w:firstLine="480"/>
        <w:rPr>
          <w:sz w:val="24"/>
        </w:rPr>
      </w:pPr>
      <w:r>
        <w:rPr>
          <w:rFonts w:hint="eastAsia"/>
          <w:sz w:val="24"/>
        </w:rPr>
        <w:t>综上所述，项目建设符合</w:t>
      </w:r>
      <w:r>
        <w:rPr>
          <w:sz w:val="24"/>
        </w:rPr>
        <w:t>“</w:t>
      </w:r>
      <w:r>
        <w:rPr>
          <w:rFonts w:hint="eastAsia"/>
          <w:sz w:val="24"/>
        </w:rPr>
        <w:t>山西省</w:t>
      </w:r>
      <w:r>
        <w:rPr>
          <w:sz w:val="24"/>
        </w:rPr>
        <w:t>“</w:t>
      </w:r>
      <w:r>
        <w:rPr>
          <w:rFonts w:hint="eastAsia"/>
          <w:sz w:val="24"/>
        </w:rPr>
        <w:t>十三五</w:t>
      </w:r>
      <w:r>
        <w:rPr>
          <w:sz w:val="24"/>
        </w:rPr>
        <w:t>”</w:t>
      </w:r>
      <w:r>
        <w:rPr>
          <w:rFonts w:hint="eastAsia"/>
          <w:sz w:val="24"/>
        </w:rPr>
        <w:t>煤炭工业发展规划</w:t>
      </w:r>
      <w:r>
        <w:rPr>
          <w:sz w:val="24"/>
        </w:rPr>
        <w:t>”</w:t>
      </w:r>
      <w:r>
        <w:rPr>
          <w:rFonts w:hint="eastAsia"/>
          <w:sz w:val="24"/>
        </w:rPr>
        <w:t>要求。</w:t>
      </w:r>
    </w:p>
    <w:p>
      <w:pPr>
        <w:widowControl/>
        <w:spacing w:line="360" w:lineRule="auto"/>
        <w:ind w:firstLine="496" w:firstLineChars="200"/>
      </w:pPr>
      <w:r>
        <w:rPr>
          <w:rFonts w:hint="eastAsia"/>
          <w:bCs/>
          <w:spacing w:val="4"/>
          <w:sz w:val="24"/>
        </w:rPr>
        <w:t>（4）与《</w:t>
      </w:r>
      <w:r>
        <w:rPr>
          <w:rFonts w:hint="eastAsia"/>
          <w:sz w:val="24"/>
        </w:rPr>
        <w:t>山西省矿产资源总体规划（</w:t>
      </w:r>
      <w:r>
        <w:rPr>
          <w:sz w:val="24"/>
        </w:rPr>
        <w:t>2016-2020</w:t>
      </w:r>
      <w:r>
        <w:rPr>
          <w:rFonts w:hint="eastAsia"/>
          <w:sz w:val="24"/>
        </w:rPr>
        <w:t>年）</w:t>
      </w:r>
      <w:r>
        <w:rPr>
          <w:rFonts w:hint="eastAsia"/>
          <w:bCs/>
          <w:spacing w:val="4"/>
          <w:sz w:val="24"/>
        </w:rPr>
        <w:t>》及规划环评的符合性分析</w:t>
      </w:r>
    </w:p>
    <w:p>
      <w:pPr>
        <w:widowControl/>
        <w:spacing w:line="360" w:lineRule="auto"/>
        <w:ind w:firstLine="480" w:firstLineChars="200"/>
        <w:rPr>
          <w:sz w:val="24"/>
        </w:rPr>
      </w:pPr>
      <w:r>
        <w:rPr>
          <w:rFonts w:hint="eastAsia" w:ascii="宋体" w:hAnsi="宋体" w:cs="宋体"/>
          <w:sz w:val="24"/>
        </w:rPr>
        <w:t>①</w:t>
      </w:r>
      <w:r>
        <w:rPr>
          <w:rFonts w:hint="eastAsia"/>
          <w:sz w:val="24"/>
        </w:rPr>
        <w:t>与《山西省矿产资源总体规划（</w:t>
      </w:r>
      <w:r>
        <w:rPr>
          <w:sz w:val="24"/>
        </w:rPr>
        <w:t>2016-2020</w:t>
      </w:r>
      <w:r>
        <w:rPr>
          <w:rFonts w:hint="eastAsia"/>
          <w:sz w:val="24"/>
        </w:rPr>
        <w:t>年）》的符合性分析</w:t>
      </w:r>
    </w:p>
    <w:p>
      <w:pPr>
        <w:pStyle w:val="99"/>
        <w:spacing w:line="360" w:lineRule="auto"/>
        <w:ind w:firstLine="496" w:firstLineChars="200"/>
        <w:jc w:val="both"/>
        <w:rPr>
          <w:rFonts w:ascii="Times New Roman" w:hAnsi="Times New Roman" w:eastAsia="宋体" w:cs="Times New Roman"/>
          <w:color w:val="auto"/>
          <w:szCs w:val="24"/>
        </w:rPr>
      </w:pPr>
      <w:r>
        <w:rPr>
          <w:rFonts w:hint="eastAsia" w:ascii="Times New Roman" w:hAnsi="Times New Roman" w:eastAsia="宋体" w:cs="Times New Roman"/>
          <w:bCs/>
          <w:color w:val="auto"/>
          <w:spacing w:val="4"/>
        </w:rPr>
        <w:t>山西煤炭运销集团新工煤业有限公司</w:t>
      </w:r>
      <w:r>
        <w:rPr>
          <w:rFonts w:hint="eastAsia" w:ascii="Times New Roman" w:hAnsi="Times New Roman" w:eastAsia="宋体" w:cs="Times New Roman"/>
          <w:color w:val="auto"/>
          <w:szCs w:val="24"/>
        </w:rPr>
        <w:t>矿井位于《山西省矿产资源总体规划（</w:t>
      </w:r>
      <w:r>
        <w:rPr>
          <w:rFonts w:ascii="Times New Roman" w:hAnsi="Times New Roman" w:eastAsia="宋体" w:cs="Times New Roman"/>
          <w:color w:val="auto"/>
          <w:szCs w:val="24"/>
        </w:rPr>
        <w:t>2016-2020</w:t>
      </w:r>
      <w:r>
        <w:rPr>
          <w:rFonts w:hint="eastAsia" w:ascii="Times New Roman" w:hAnsi="Times New Roman" w:eastAsia="宋体" w:cs="Times New Roman"/>
          <w:color w:val="auto"/>
          <w:szCs w:val="24"/>
        </w:rPr>
        <w:t>年）》规划的三大煤炭基地晋中煤炭基地离柳矿区，属于开采规划分区的重点矿区。</w:t>
      </w:r>
    </w:p>
    <w:p>
      <w:pPr>
        <w:pStyle w:val="13"/>
        <w:ind w:firstLine="480" w:firstLineChars="200"/>
        <w:rPr>
          <w:rFonts w:ascii="Times New Roman" w:hAnsi="Times New Roman"/>
          <w:sz w:val="24"/>
          <w:szCs w:val="24"/>
        </w:rPr>
      </w:pPr>
      <w:r>
        <w:rPr>
          <w:rFonts w:hint="eastAsia" w:ascii="Times New Roman" w:hAnsi="Times New Roman"/>
          <w:sz w:val="24"/>
          <w:szCs w:val="24"/>
        </w:rPr>
        <w:t>本项目与《山西省矿产资源总体规划（</w:t>
      </w:r>
      <w:r>
        <w:rPr>
          <w:rFonts w:ascii="Times New Roman" w:hAnsi="Times New Roman"/>
          <w:sz w:val="24"/>
          <w:szCs w:val="24"/>
        </w:rPr>
        <w:t>2016-2020</w:t>
      </w:r>
      <w:r>
        <w:rPr>
          <w:rFonts w:hint="eastAsia" w:ascii="Times New Roman" w:hAnsi="Times New Roman"/>
          <w:sz w:val="24"/>
          <w:szCs w:val="24"/>
        </w:rPr>
        <w:t>年）》的符合性分析如下：</w:t>
      </w:r>
    </w:p>
    <w:p>
      <w:pPr>
        <w:pStyle w:val="13"/>
        <w:spacing w:line="500" w:lineRule="exact"/>
        <w:jc w:val="center"/>
        <w:rPr>
          <w:rFonts w:ascii="Times New Roman" w:hAnsi="Times New Roman"/>
          <w:b/>
          <w:bCs/>
          <w:szCs w:val="21"/>
        </w:rPr>
      </w:pPr>
      <w:r>
        <w:rPr>
          <w:rFonts w:hint="eastAsia" w:ascii="Times New Roman" w:hAnsi="Times New Roman"/>
          <w:b/>
          <w:bCs/>
          <w:szCs w:val="21"/>
        </w:rPr>
        <w:t>表</w:t>
      </w:r>
      <w:r>
        <w:rPr>
          <w:rFonts w:ascii="Times New Roman" w:hAnsi="Times New Roman"/>
          <w:b/>
          <w:bCs/>
          <w:szCs w:val="21"/>
        </w:rPr>
        <w:t>1.</w:t>
      </w:r>
      <w:r>
        <w:rPr>
          <w:rFonts w:hint="eastAsia" w:ascii="Times New Roman" w:hAnsi="Times New Roman"/>
          <w:b/>
          <w:bCs/>
          <w:szCs w:val="21"/>
        </w:rPr>
        <w:t>3</w:t>
      </w:r>
      <w:r>
        <w:rPr>
          <w:rFonts w:ascii="Times New Roman" w:hAnsi="Times New Roman"/>
          <w:b/>
          <w:bCs/>
          <w:szCs w:val="21"/>
        </w:rPr>
        <w:t xml:space="preserve">-1  </w:t>
      </w:r>
      <w:r>
        <w:rPr>
          <w:rFonts w:hint="eastAsia" w:ascii="Times New Roman" w:hAnsi="Times New Roman"/>
          <w:b/>
          <w:bCs/>
          <w:szCs w:val="21"/>
        </w:rPr>
        <w:t>《山西省矿产资源总体规划（</w:t>
      </w:r>
      <w:r>
        <w:rPr>
          <w:rFonts w:ascii="Times New Roman" w:hAnsi="Times New Roman"/>
          <w:b/>
          <w:bCs/>
          <w:szCs w:val="21"/>
        </w:rPr>
        <w:t>2016-2020</w:t>
      </w:r>
      <w:r>
        <w:rPr>
          <w:rFonts w:hint="eastAsia" w:ascii="Times New Roman" w:hAnsi="Times New Roman"/>
          <w:b/>
          <w:bCs/>
          <w:szCs w:val="21"/>
        </w:rPr>
        <w:t>年）》的符合性分析</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670"/>
        <w:gridCol w:w="4550"/>
        <w:gridCol w:w="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tcBorders>
              <w:top w:val="single" w:color="auto" w:sz="12" w:space="0"/>
              <w:left w:val="single" w:color="auto" w:sz="12" w:space="0"/>
              <w:bottom w:val="single" w:color="auto" w:sz="4" w:space="0"/>
              <w:right w:val="single" w:color="auto" w:sz="4" w:space="0"/>
            </w:tcBorders>
            <w:noWrap/>
            <w:vAlign w:val="center"/>
          </w:tcPr>
          <w:p>
            <w:pPr>
              <w:autoSpaceDE w:val="0"/>
              <w:autoSpaceDN w:val="0"/>
              <w:jc w:val="center"/>
              <w:rPr>
                <w:kern w:val="0"/>
                <w:szCs w:val="21"/>
              </w:rPr>
            </w:pPr>
            <w:r>
              <w:rPr>
                <w:rFonts w:hint="eastAsia"/>
                <w:kern w:val="0"/>
                <w:szCs w:val="21"/>
              </w:rPr>
              <w:t>序号</w:t>
            </w:r>
          </w:p>
        </w:tc>
        <w:tc>
          <w:tcPr>
            <w:tcW w:w="1976" w:type="pct"/>
            <w:tcBorders>
              <w:top w:val="single" w:color="auto" w:sz="12" w:space="0"/>
              <w:left w:val="single" w:color="auto" w:sz="4" w:space="0"/>
              <w:bottom w:val="single" w:color="auto" w:sz="4" w:space="0"/>
              <w:right w:val="single" w:color="auto" w:sz="4" w:space="0"/>
            </w:tcBorders>
            <w:noWrap/>
            <w:vAlign w:val="center"/>
          </w:tcPr>
          <w:p>
            <w:pPr>
              <w:autoSpaceDE w:val="0"/>
              <w:autoSpaceDN w:val="0"/>
              <w:jc w:val="center"/>
              <w:rPr>
                <w:kern w:val="0"/>
                <w:szCs w:val="21"/>
              </w:rPr>
            </w:pPr>
            <w:r>
              <w:rPr>
                <w:rFonts w:hint="eastAsia"/>
                <w:kern w:val="0"/>
                <w:szCs w:val="21"/>
              </w:rPr>
              <w:t>规划提出的要求</w:t>
            </w:r>
          </w:p>
        </w:tc>
        <w:tc>
          <w:tcPr>
            <w:tcW w:w="2450" w:type="pct"/>
            <w:tcBorders>
              <w:top w:val="single" w:color="auto" w:sz="12" w:space="0"/>
              <w:left w:val="single" w:color="auto" w:sz="4" w:space="0"/>
              <w:bottom w:val="single" w:color="auto" w:sz="4" w:space="0"/>
              <w:right w:val="single" w:color="auto" w:sz="4" w:space="0"/>
            </w:tcBorders>
            <w:noWrap/>
            <w:vAlign w:val="center"/>
          </w:tcPr>
          <w:p>
            <w:pPr>
              <w:autoSpaceDE w:val="0"/>
              <w:autoSpaceDN w:val="0"/>
              <w:jc w:val="center"/>
              <w:rPr>
                <w:kern w:val="0"/>
                <w:szCs w:val="21"/>
              </w:rPr>
            </w:pPr>
            <w:r>
              <w:rPr>
                <w:rFonts w:hint="eastAsia"/>
                <w:kern w:val="0"/>
                <w:szCs w:val="21"/>
              </w:rPr>
              <w:t>本项目环评落实情况</w:t>
            </w:r>
          </w:p>
        </w:tc>
        <w:tc>
          <w:tcPr>
            <w:tcW w:w="286" w:type="pct"/>
            <w:tcBorders>
              <w:top w:val="single" w:color="auto" w:sz="12" w:space="0"/>
              <w:left w:val="single" w:color="auto" w:sz="4" w:space="0"/>
              <w:bottom w:val="single" w:color="auto" w:sz="4" w:space="0"/>
              <w:right w:val="single" w:color="auto" w:sz="12" w:space="0"/>
            </w:tcBorders>
            <w:noWrap/>
            <w:vAlign w:val="center"/>
          </w:tcPr>
          <w:p>
            <w:pPr>
              <w:autoSpaceDE w:val="0"/>
              <w:autoSpaceDN w:val="0"/>
              <w:jc w:val="center"/>
              <w:rPr>
                <w:szCs w:val="21"/>
              </w:rPr>
            </w:pPr>
            <w:r>
              <w:rPr>
                <w:rFonts w:hint="eastAsia"/>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autoSpaceDE w:val="0"/>
              <w:autoSpaceDN w:val="0"/>
              <w:jc w:val="center"/>
              <w:rPr>
                <w:kern w:val="0"/>
                <w:szCs w:val="21"/>
              </w:rPr>
            </w:pPr>
            <w:r>
              <w:rPr>
                <w:kern w:val="0"/>
                <w:szCs w:val="21"/>
              </w:rPr>
              <w:t>1</w:t>
            </w:r>
          </w:p>
        </w:tc>
        <w:tc>
          <w:tcPr>
            <w:tcW w:w="1976"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highlight w:val="yellow"/>
              </w:rPr>
            </w:pPr>
            <w:r>
              <w:rPr>
                <w:rFonts w:hint="eastAsia"/>
                <w:kern w:val="0"/>
                <w:szCs w:val="21"/>
              </w:rPr>
              <w:t>深化煤炭管理制度改革。按照</w:t>
            </w:r>
            <w:r>
              <w:rPr>
                <w:kern w:val="0"/>
                <w:szCs w:val="21"/>
              </w:rPr>
              <w:t>“</w:t>
            </w:r>
            <w:r>
              <w:rPr>
                <w:rFonts w:hint="eastAsia"/>
                <w:kern w:val="0"/>
                <w:szCs w:val="21"/>
              </w:rPr>
              <w:t>严控总量、优化存量、清洁利用</w:t>
            </w:r>
            <w:r>
              <w:rPr>
                <w:kern w:val="0"/>
                <w:szCs w:val="21"/>
              </w:rPr>
              <w:t>”</w:t>
            </w:r>
            <w:r>
              <w:rPr>
                <w:rFonts w:hint="eastAsia"/>
                <w:kern w:val="0"/>
                <w:szCs w:val="21"/>
              </w:rPr>
              <w:t>的思路，加强供给侧结构性改革，严格控制超能力生产，严格控制高硫、高灰劣质煤生产和消费，加快淘汰落后产能。加大煤炭洗选比重，加大煤矸石、矿井水等资源综合利用的力度，逐步实现煤炭利用近零排放。</w:t>
            </w:r>
          </w:p>
        </w:tc>
        <w:tc>
          <w:tcPr>
            <w:tcW w:w="2450"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highlight w:val="yellow"/>
              </w:rPr>
            </w:pPr>
            <w:r>
              <w:rPr>
                <w:rFonts w:hint="eastAsia"/>
                <w:kern w:val="0"/>
                <w:szCs w:val="21"/>
              </w:rPr>
              <w:t>山西煤炭运销集团新工煤业有限公司属于山西省煤矿企业兼并重组整合工作领导组办公室以文件晋煤重组办发</w:t>
            </w:r>
            <w:r>
              <w:rPr>
                <w:kern w:val="0"/>
                <w:szCs w:val="21"/>
              </w:rPr>
              <w:t>[2009]</w:t>
            </w:r>
            <w:r>
              <w:rPr>
                <w:rFonts w:hint="eastAsia"/>
                <w:kern w:val="0"/>
                <w:szCs w:val="21"/>
              </w:rPr>
              <w:t>23号文批复的整合矿井，不属于淘汰落后产能；原煤全部送至本集团收购的龙宇洗煤厂进行洗选；</w:t>
            </w:r>
            <w:r>
              <w:rPr>
                <w:rFonts w:hint="eastAsia" w:eastAsiaTheme="minorEastAsia"/>
                <w:szCs w:val="21"/>
              </w:rPr>
              <w:t>矸石优先送往山西华光发电有限责任公司综合利用，利用不畅时送至原环评批复的临时矸石场填埋；矿井水经处理后</w:t>
            </w:r>
            <w:r>
              <w:rPr>
                <w:rFonts w:hint="eastAsia"/>
                <w:bCs/>
                <w:szCs w:val="21"/>
              </w:rPr>
              <w:t>全部回用于井下生产用水、洗车平台用水和锅炉补充水等，不外排。</w:t>
            </w:r>
          </w:p>
        </w:tc>
        <w:tc>
          <w:tcPr>
            <w:tcW w:w="286" w:type="pct"/>
            <w:tcBorders>
              <w:top w:val="single" w:color="auto" w:sz="4" w:space="0"/>
              <w:left w:val="single" w:color="auto" w:sz="4" w:space="0"/>
              <w:bottom w:val="single" w:color="auto" w:sz="4" w:space="0"/>
              <w:right w:val="single" w:color="auto" w:sz="12" w:space="0"/>
            </w:tcBorders>
            <w:noWrap/>
            <w:vAlign w:val="center"/>
          </w:tcPr>
          <w:p>
            <w:pPr>
              <w:autoSpaceDE w:val="0"/>
              <w:autoSpaceDN w:val="0"/>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autoSpaceDE w:val="0"/>
              <w:autoSpaceDN w:val="0"/>
              <w:jc w:val="center"/>
              <w:rPr>
                <w:kern w:val="0"/>
                <w:szCs w:val="21"/>
              </w:rPr>
            </w:pPr>
            <w:r>
              <w:rPr>
                <w:kern w:val="0"/>
                <w:szCs w:val="21"/>
              </w:rPr>
              <w:t>2</w:t>
            </w:r>
          </w:p>
        </w:tc>
        <w:tc>
          <w:tcPr>
            <w:tcW w:w="1976"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rPr>
            </w:pPr>
            <w:r>
              <w:rPr>
                <w:rFonts w:hint="eastAsia"/>
                <w:kern w:val="0"/>
                <w:szCs w:val="21"/>
              </w:rPr>
              <w:t>限制开采高硫煤、高灰煤、低发热量煤等矿产。</w:t>
            </w:r>
          </w:p>
        </w:tc>
        <w:tc>
          <w:tcPr>
            <w:tcW w:w="2450"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rPr>
            </w:pPr>
            <w:r>
              <w:rPr>
                <w:rFonts w:hint="eastAsia"/>
                <w:kern w:val="0"/>
                <w:szCs w:val="21"/>
              </w:rPr>
              <w:t>本矿井不涉及高硫、高灰、低发热量煤</w:t>
            </w:r>
          </w:p>
        </w:tc>
        <w:tc>
          <w:tcPr>
            <w:tcW w:w="286" w:type="pct"/>
            <w:tcBorders>
              <w:top w:val="single" w:color="auto" w:sz="4" w:space="0"/>
              <w:left w:val="single" w:color="auto" w:sz="4" w:space="0"/>
              <w:bottom w:val="single" w:color="auto" w:sz="4" w:space="0"/>
              <w:right w:val="single" w:color="auto" w:sz="12" w:space="0"/>
            </w:tcBorders>
            <w:noWrap/>
            <w:vAlign w:val="center"/>
          </w:tcPr>
          <w:p>
            <w:pPr>
              <w:autoSpaceDE w:val="0"/>
              <w:autoSpaceDN w:val="0"/>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autoSpaceDE w:val="0"/>
              <w:autoSpaceDN w:val="0"/>
              <w:jc w:val="center"/>
              <w:rPr>
                <w:kern w:val="0"/>
                <w:szCs w:val="21"/>
              </w:rPr>
            </w:pPr>
            <w:r>
              <w:rPr>
                <w:kern w:val="0"/>
                <w:szCs w:val="21"/>
              </w:rPr>
              <w:t>3</w:t>
            </w:r>
          </w:p>
        </w:tc>
        <w:tc>
          <w:tcPr>
            <w:tcW w:w="1976"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rPr>
            </w:pPr>
            <w:r>
              <w:rPr>
                <w:rFonts w:hint="eastAsia"/>
                <w:kern w:val="0"/>
                <w:szCs w:val="21"/>
              </w:rPr>
              <w:t>严格矿产开发准入条件：新建矿山要严格执行矿山开采最低规模要求，煤炭不得低于</w:t>
            </w:r>
            <w:r>
              <w:rPr>
                <w:kern w:val="0"/>
                <w:szCs w:val="21"/>
              </w:rPr>
              <w:t>120</w:t>
            </w:r>
            <w:r>
              <w:rPr>
                <w:rFonts w:hint="eastAsia"/>
                <w:kern w:val="0"/>
                <w:szCs w:val="21"/>
              </w:rPr>
              <w:t>万吨</w:t>
            </w:r>
            <w:r>
              <w:rPr>
                <w:kern w:val="0"/>
                <w:szCs w:val="21"/>
              </w:rPr>
              <w:t>/</w:t>
            </w:r>
            <w:r>
              <w:rPr>
                <w:rFonts w:hint="eastAsia"/>
                <w:kern w:val="0"/>
                <w:szCs w:val="21"/>
              </w:rPr>
              <w:t>年；执行开采规划区划设置的准入条件，严禁大矿小开、一证多矿（井）。</w:t>
            </w:r>
          </w:p>
        </w:tc>
        <w:tc>
          <w:tcPr>
            <w:tcW w:w="2450" w:type="pct"/>
            <w:tcBorders>
              <w:top w:val="single" w:color="auto" w:sz="4" w:space="0"/>
              <w:left w:val="single" w:color="auto" w:sz="4" w:space="0"/>
              <w:bottom w:val="single" w:color="auto" w:sz="4" w:space="0"/>
              <w:right w:val="single" w:color="auto" w:sz="4" w:space="0"/>
            </w:tcBorders>
            <w:noWrap/>
            <w:vAlign w:val="center"/>
          </w:tcPr>
          <w:p>
            <w:pPr>
              <w:widowControl/>
              <w:rPr>
                <w:kern w:val="0"/>
                <w:sz w:val="20"/>
                <w:szCs w:val="20"/>
              </w:rPr>
            </w:pPr>
            <w:r>
              <w:rPr>
                <w:rFonts w:hint="eastAsia"/>
                <w:bCs/>
                <w:spacing w:val="4"/>
                <w:szCs w:val="21"/>
              </w:rPr>
              <w:t>本矿井生产能力为12</w:t>
            </w:r>
            <w:r>
              <w:rPr>
                <w:bCs/>
                <w:spacing w:val="4"/>
                <w:szCs w:val="21"/>
              </w:rPr>
              <w:t>0</w:t>
            </w:r>
            <w:r>
              <w:rPr>
                <w:rFonts w:hint="eastAsia"/>
                <w:bCs/>
                <w:spacing w:val="4"/>
                <w:szCs w:val="21"/>
              </w:rPr>
              <w:t>万吨</w:t>
            </w:r>
            <w:r>
              <w:rPr>
                <w:bCs/>
                <w:spacing w:val="4"/>
                <w:szCs w:val="21"/>
              </w:rPr>
              <w:t>/</w:t>
            </w:r>
            <w:r>
              <w:rPr>
                <w:rFonts w:hint="eastAsia"/>
                <w:bCs/>
                <w:spacing w:val="4"/>
                <w:szCs w:val="21"/>
              </w:rPr>
              <w:t>年，根据国家发改委《产业结构调整指导目录（</w:t>
            </w:r>
            <w:r>
              <w:rPr>
                <w:bCs/>
                <w:spacing w:val="4"/>
                <w:szCs w:val="21"/>
              </w:rPr>
              <w:t>2019</w:t>
            </w:r>
            <w:r>
              <w:rPr>
                <w:rFonts w:hint="eastAsia"/>
                <w:bCs/>
                <w:spacing w:val="4"/>
                <w:szCs w:val="21"/>
              </w:rPr>
              <w:t>年本）》，本项目不属于限制类和淘汰类项目，属于允许类项目，因此本项目的建设符合相关的产业政策。</w:t>
            </w:r>
          </w:p>
        </w:tc>
        <w:tc>
          <w:tcPr>
            <w:tcW w:w="286" w:type="pct"/>
            <w:tcBorders>
              <w:top w:val="single" w:color="auto" w:sz="4" w:space="0"/>
              <w:left w:val="single" w:color="auto" w:sz="4" w:space="0"/>
              <w:bottom w:val="single" w:color="auto" w:sz="4" w:space="0"/>
              <w:right w:val="single" w:color="auto" w:sz="12" w:space="0"/>
            </w:tcBorders>
            <w:noWrap/>
            <w:vAlign w:val="center"/>
          </w:tcPr>
          <w:p>
            <w:pPr>
              <w:autoSpaceDE w:val="0"/>
              <w:autoSpaceDN w:val="0"/>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autoSpaceDE w:val="0"/>
              <w:autoSpaceDN w:val="0"/>
              <w:jc w:val="center"/>
              <w:rPr>
                <w:kern w:val="0"/>
                <w:szCs w:val="21"/>
              </w:rPr>
            </w:pPr>
            <w:r>
              <w:rPr>
                <w:kern w:val="0"/>
                <w:szCs w:val="21"/>
              </w:rPr>
              <w:t>4</w:t>
            </w:r>
          </w:p>
        </w:tc>
        <w:tc>
          <w:tcPr>
            <w:tcW w:w="1976"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rPr>
            </w:pPr>
            <w:r>
              <w:rPr>
                <w:rFonts w:hint="eastAsia"/>
                <w:kern w:val="0"/>
                <w:szCs w:val="21"/>
              </w:rPr>
              <w:t>优化矿山开采规模结构：大力调整和优化矿山规模结构，坚持</w:t>
            </w:r>
            <w:r>
              <w:rPr>
                <w:kern w:val="0"/>
                <w:szCs w:val="21"/>
              </w:rPr>
              <w:t>“</w:t>
            </w:r>
            <w:r>
              <w:rPr>
                <w:rFonts w:hint="eastAsia"/>
                <w:kern w:val="0"/>
                <w:szCs w:val="21"/>
              </w:rPr>
              <w:t>节约化、基地化</w:t>
            </w:r>
            <w:r>
              <w:rPr>
                <w:kern w:val="0"/>
                <w:szCs w:val="21"/>
              </w:rPr>
              <w:t>”</w:t>
            </w:r>
            <w:r>
              <w:rPr>
                <w:rFonts w:hint="eastAsia"/>
                <w:kern w:val="0"/>
                <w:szCs w:val="21"/>
              </w:rPr>
              <w:t>发展，以大型煤炭企业为主体，继续推进煤炭资源整合和煤矿企业</w:t>
            </w:r>
            <w:r>
              <w:rPr>
                <w:kern w:val="0"/>
                <w:szCs w:val="21"/>
              </w:rPr>
              <w:t>39</w:t>
            </w:r>
            <w:r>
              <w:rPr>
                <w:rFonts w:hint="eastAsia"/>
                <w:kern w:val="0"/>
                <w:szCs w:val="21"/>
              </w:rPr>
              <w:t>兼并重组，进一步减少全省煤炭矿井个数。</w:t>
            </w:r>
          </w:p>
        </w:tc>
        <w:tc>
          <w:tcPr>
            <w:tcW w:w="2450" w:type="pct"/>
            <w:tcBorders>
              <w:top w:val="single" w:color="auto" w:sz="4" w:space="0"/>
              <w:left w:val="single" w:color="auto" w:sz="4" w:space="0"/>
              <w:bottom w:val="single" w:color="auto" w:sz="4" w:space="0"/>
              <w:right w:val="single" w:color="auto" w:sz="4" w:space="0"/>
            </w:tcBorders>
            <w:noWrap/>
            <w:vAlign w:val="center"/>
          </w:tcPr>
          <w:p>
            <w:pPr>
              <w:autoSpaceDE w:val="0"/>
              <w:autoSpaceDN w:val="0"/>
            </w:pPr>
            <w:r>
              <w:rPr>
                <w:rFonts w:hint="eastAsia"/>
                <w:kern w:val="0"/>
                <w:szCs w:val="21"/>
              </w:rPr>
              <w:t>山西长治羊头岭南窑沟煤业有限公司属于山西省煤矿企业兼并重组整合工作领导组办公室以文件晋煤重组办发</w:t>
            </w:r>
            <w:r>
              <w:rPr>
                <w:kern w:val="0"/>
                <w:szCs w:val="21"/>
              </w:rPr>
              <w:t>[2009]</w:t>
            </w:r>
            <w:r>
              <w:rPr>
                <w:rFonts w:hint="eastAsia"/>
                <w:kern w:val="0"/>
                <w:szCs w:val="21"/>
              </w:rPr>
              <w:t>23号文批复的整合矿井。</w:t>
            </w:r>
          </w:p>
        </w:tc>
        <w:tc>
          <w:tcPr>
            <w:tcW w:w="286" w:type="pct"/>
            <w:tcBorders>
              <w:top w:val="single" w:color="auto" w:sz="4" w:space="0"/>
              <w:left w:val="single" w:color="auto" w:sz="4" w:space="0"/>
              <w:bottom w:val="single" w:color="auto" w:sz="4" w:space="0"/>
              <w:right w:val="single" w:color="auto" w:sz="12" w:space="0"/>
            </w:tcBorders>
            <w:noWrap/>
            <w:vAlign w:val="center"/>
          </w:tcPr>
          <w:p>
            <w:pPr>
              <w:autoSpaceDE w:val="0"/>
              <w:autoSpaceDN w:val="0"/>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autoSpaceDE w:val="0"/>
              <w:autoSpaceDN w:val="0"/>
              <w:jc w:val="center"/>
              <w:rPr>
                <w:kern w:val="0"/>
                <w:szCs w:val="21"/>
              </w:rPr>
            </w:pPr>
            <w:r>
              <w:rPr>
                <w:kern w:val="0"/>
                <w:szCs w:val="21"/>
              </w:rPr>
              <w:t>5</w:t>
            </w:r>
          </w:p>
        </w:tc>
        <w:tc>
          <w:tcPr>
            <w:tcW w:w="1976"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highlight w:val="yellow"/>
              </w:rPr>
            </w:pPr>
            <w:r>
              <w:rPr>
                <w:rFonts w:hint="eastAsia"/>
                <w:kern w:val="0"/>
                <w:szCs w:val="21"/>
              </w:rPr>
              <w:t>改善矿产资源产品结构：加大煤炭洗选比重，加大煤矸石、矿井水等资源综合利用力度，逐步实现煤炭利用近零排放。</w:t>
            </w:r>
          </w:p>
        </w:tc>
        <w:tc>
          <w:tcPr>
            <w:tcW w:w="2450"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highlight w:val="yellow"/>
              </w:rPr>
            </w:pPr>
            <w:r>
              <w:rPr>
                <w:rFonts w:hint="eastAsia"/>
                <w:kern w:val="0"/>
                <w:szCs w:val="21"/>
              </w:rPr>
              <w:t>原煤全部送至本矿井收购的龙宇洗煤厂进行洗选；</w:t>
            </w:r>
            <w:r>
              <w:rPr>
                <w:rFonts w:hint="eastAsia" w:eastAsiaTheme="minorEastAsia"/>
                <w:szCs w:val="21"/>
              </w:rPr>
              <w:t>矸石优先送往山西华光发电有限责任公司综合利用，利用不畅时送至原环评批复的临时矸石场填埋；矿井水经处理后</w:t>
            </w:r>
            <w:r>
              <w:rPr>
                <w:rFonts w:hint="eastAsia"/>
                <w:bCs/>
                <w:szCs w:val="21"/>
              </w:rPr>
              <w:t>全部回用于井下生产用水、洗车平台用水和锅炉补充水等，不外排。</w:t>
            </w:r>
          </w:p>
        </w:tc>
        <w:tc>
          <w:tcPr>
            <w:tcW w:w="286" w:type="pct"/>
            <w:tcBorders>
              <w:top w:val="single" w:color="auto" w:sz="4" w:space="0"/>
              <w:left w:val="single" w:color="auto" w:sz="4" w:space="0"/>
              <w:bottom w:val="single" w:color="auto" w:sz="4" w:space="0"/>
              <w:right w:val="single" w:color="auto" w:sz="12" w:space="0"/>
            </w:tcBorders>
            <w:noWrap/>
            <w:vAlign w:val="center"/>
          </w:tcPr>
          <w:p>
            <w:pPr>
              <w:autoSpaceDE w:val="0"/>
              <w:autoSpaceDN w:val="0"/>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autoSpaceDE w:val="0"/>
              <w:autoSpaceDN w:val="0"/>
              <w:jc w:val="center"/>
              <w:rPr>
                <w:kern w:val="0"/>
                <w:szCs w:val="21"/>
              </w:rPr>
            </w:pPr>
            <w:r>
              <w:rPr>
                <w:kern w:val="0"/>
                <w:szCs w:val="21"/>
              </w:rPr>
              <w:t>6</w:t>
            </w:r>
          </w:p>
        </w:tc>
        <w:tc>
          <w:tcPr>
            <w:tcW w:w="1976"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rPr>
            </w:pPr>
            <w:r>
              <w:rPr>
                <w:rFonts w:hint="eastAsia"/>
                <w:kern w:val="0"/>
                <w:szCs w:val="21"/>
              </w:rPr>
              <w:t>加强尾矿、废石等废弃物的综合利用：充分利用废石和尾矿进行矿山采矿区回填、土地复垦回填，加强矿区生态环境恢复治理，避免水土流失。</w:t>
            </w:r>
          </w:p>
        </w:tc>
        <w:tc>
          <w:tcPr>
            <w:tcW w:w="2450"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kern w:val="0"/>
                <w:szCs w:val="21"/>
              </w:rPr>
            </w:pPr>
            <w:r>
              <w:rPr>
                <w:rFonts w:hint="eastAsia" w:eastAsiaTheme="minorEastAsia"/>
                <w:szCs w:val="21"/>
              </w:rPr>
              <w:t>矸石优先送往山西华光发电有限责任公司综合利用，利用不畅时送至原环评批复的临时矸石场填埋；</w:t>
            </w:r>
            <w:r>
              <w:rPr>
                <w:rFonts w:hint="eastAsia"/>
                <w:kern w:val="0"/>
                <w:szCs w:val="21"/>
              </w:rPr>
              <w:t>评价要求矿方边开采边恢复，制定了生态环境恢复治理目标和相关指标，避免水土流失。</w:t>
            </w:r>
          </w:p>
        </w:tc>
        <w:tc>
          <w:tcPr>
            <w:tcW w:w="286" w:type="pct"/>
            <w:tcBorders>
              <w:top w:val="single" w:color="auto" w:sz="4" w:space="0"/>
              <w:left w:val="single" w:color="auto" w:sz="4" w:space="0"/>
              <w:bottom w:val="single" w:color="auto" w:sz="4" w:space="0"/>
              <w:right w:val="single" w:color="auto" w:sz="12" w:space="0"/>
            </w:tcBorders>
            <w:noWrap/>
            <w:vAlign w:val="center"/>
          </w:tcPr>
          <w:p>
            <w:pPr>
              <w:autoSpaceDE w:val="0"/>
              <w:autoSpaceDN w:val="0"/>
              <w:jc w:val="center"/>
              <w:rPr>
                <w:szCs w:val="21"/>
              </w:rPr>
            </w:pPr>
            <w:r>
              <w:rPr>
                <w:rFonts w:hint="eastAsia"/>
                <w:szCs w:val="21"/>
              </w:rPr>
              <w:t>符合</w:t>
            </w:r>
          </w:p>
        </w:tc>
      </w:tr>
    </w:tbl>
    <w:p>
      <w:pPr>
        <w:widowControl/>
        <w:spacing w:line="360" w:lineRule="auto"/>
        <w:ind w:firstLine="480" w:firstLineChars="200"/>
        <w:rPr>
          <w:sz w:val="24"/>
        </w:rPr>
      </w:pPr>
      <w:r>
        <w:rPr>
          <w:rFonts w:hint="eastAsia" w:ascii="宋体" w:hAnsi="宋体" w:cs="宋体"/>
          <w:sz w:val="24"/>
        </w:rPr>
        <w:t>②</w:t>
      </w:r>
      <w:r>
        <w:rPr>
          <w:rFonts w:hint="eastAsia"/>
          <w:sz w:val="24"/>
        </w:rPr>
        <w:t>与《山西省矿产资源总体规划（</w:t>
      </w:r>
      <w:r>
        <w:rPr>
          <w:sz w:val="24"/>
        </w:rPr>
        <w:t>2016-2020</w:t>
      </w:r>
      <w:r>
        <w:rPr>
          <w:rFonts w:hint="eastAsia"/>
          <w:sz w:val="24"/>
        </w:rPr>
        <w:t>年）环境影响报告书》的符合性分析</w:t>
      </w:r>
    </w:p>
    <w:p>
      <w:pPr>
        <w:spacing w:line="360" w:lineRule="auto"/>
        <w:ind w:firstLine="480" w:firstLineChars="200"/>
        <w:rPr>
          <w:sz w:val="24"/>
        </w:rPr>
      </w:pPr>
      <w:r>
        <w:rPr>
          <w:rFonts w:hint="eastAsia"/>
          <w:sz w:val="24"/>
        </w:rPr>
        <w:t>本项目与《山西省矿产资源总体规划（</w:t>
      </w:r>
      <w:r>
        <w:rPr>
          <w:sz w:val="24"/>
        </w:rPr>
        <w:t>2016-2020</w:t>
      </w:r>
      <w:r>
        <w:rPr>
          <w:rFonts w:hint="eastAsia"/>
          <w:sz w:val="24"/>
        </w:rPr>
        <w:t>年）环境影响报告书》的分析如下：</w:t>
      </w:r>
    </w:p>
    <w:p>
      <w:pPr>
        <w:pStyle w:val="13"/>
        <w:spacing w:line="500" w:lineRule="exact"/>
        <w:jc w:val="center"/>
        <w:rPr>
          <w:rFonts w:ascii="Times New Roman" w:hAnsi="Times New Roman"/>
        </w:rPr>
      </w:pPr>
      <w:r>
        <w:rPr>
          <w:rFonts w:hint="eastAsia" w:ascii="Times New Roman" w:hAnsi="Times New Roman"/>
          <w:b/>
          <w:bCs/>
          <w:szCs w:val="21"/>
        </w:rPr>
        <w:t>表</w:t>
      </w:r>
      <w:r>
        <w:rPr>
          <w:rFonts w:ascii="Times New Roman" w:hAnsi="Times New Roman"/>
          <w:b/>
          <w:bCs/>
          <w:szCs w:val="21"/>
        </w:rPr>
        <w:t>1.</w:t>
      </w:r>
      <w:r>
        <w:rPr>
          <w:rFonts w:hint="eastAsia" w:ascii="Times New Roman" w:hAnsi="Times New Roman"/>
          <w:b/>
          <w:bCs/>
          <w:szCs w:val="21"/>
        </w:rPr>
        <w:t>3</w:t>
      </w:r>
      <w:r>
        <w:rPr>
          <w:rFonts w:ascii="Times New Roman" w:hAnsi="Times New Roman"/>
          <w:b/>
          <w:bCs/>
          <w:szCs w:val="21"/>
        </w:rPr>
        <w:t xml:space="preserve">-2  </w:t>
      </w:r>
      <w:r>
        <w:rPr>
          <w:rFonts w:hint="eastAsia" w:ascii="Times New Roman" w:hAnsi="Times New Roman"/>
          <w:b/>
          <w:bCs/>
          <w:szCs w:val="21"/>
        </w:rPr>
        <w:t>与《山西省矿产资源总体规划（</w:t>
      </w:r>
      <w:r>
        <w:rPr>
          <w:rFonts w:ascii="Times New Roman" w:hAnsi="Times New Roman"/>
          <w:b/>
          <w:bCs/>
          <w:szCs w:val="21"/>
        </w:rPr>
        <w:t>2016-2020</w:t>
      </w:r>
      <w:r>
        <w:rPr>
          <w:rFonts w:hint="eastAsia" w:ascii="Times New Roman" w:hAnsi="Times New Roman"/>
          <w:b/>
          <w:bCs/>
          <w:szCs w:val="21"/>
        </w:rPr>
        <w:t>年）环境影响报告书》的符合性分析</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904"/>
        <w:gridCol w:w="4316"/>
        <w:gridCol w:w="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12"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rFonts w:hint="eastAsia"/>
                <w:kern w:val="0"/>
                <w:szCs w:val="21"/>
              </w:rPr>
              <w:t>序号</w:t>
            </w:r>
          </w:p>
        </w:tc>
        <w:tc>
          <w:tcPr>
            <w:tcW w:w="2102" w:type="pct"/>
            <w:tcBorders>
              <w:top w:val="single" w:color="auto" w:sz="12" w:space="0"/>
              <w:left w:val="single" w:color="auto" w:sz="4" w:space="0"/>
              <w:bottom w:val="single" w:color="auto" w:sz="4" w:space="0"/>
              <w:right w:val="single" w:color="auto" w:sz="4" w:space="0"/>
            </w:tcBorders>
            <w:noWrap/>
            <w:vAlign w:val="center"/>
          </w:tcPr>
          <w:p>
            <w:pPr>
              <w:spacing w:line="276" w:lineRule="auto"/>
              <w:jc w:val="center"/>
              <w:rPr>
                <w:kern w:val="0"/>
                <w:szCs w:val="21"/>
              </w:rPr>
            </w:pPr>
            <w:r>
              <w:rPr>
                <w:rFonts w:hint="eastAsia"/>
                <w:kern w:val="0"/>
                <w:szCs w:val="21"/>
              </w:rPr>
              <w:t>规划环评提出的要求</w:t>
            </w:r>
          </w:p>
        </w:tc>
        <w:tc>
          <w:tcPr>
            <w:tcW w:w="2324" w:type="pct"/>
            <w:tcBorders>
              <w:top w:val="single" w:color="auto" w:sz="12" w:space="0"/>
              <w:left w:val="single" w:color="auto" w:sz="4" w:space="0"/>
              <w:bottom w:val="single" w:color="auto" w:sz="4" w:space="0"/>
              <w:right w:val="single" w:color="auto" w:sz="4" w:space="0"/>
            </w:tcBorders>
            <w:noWrap/>
            <w:vAlign w:val="center"/>
          </w:tcPr>
          <w:p>
            <w:pPr>
              <w:spacing w:line="276" w:lineRule="auto"/>
              <w:jc w:val="center"/>
              <w:rPr>
                <w:kern w:val="0"/>
                <w:szCs w:val="21"/>
              </w:rPr>
            </w:pPr>
            <w:r>
              <w:rPr>
                <w:rFonts w:hint="eastAsia"/>
                <w:kern w:val="0"/>
                <w:szCs w:val="21"/>
              </w:rPr>
              <w:t>本项目环评落实情况</w:t>
            </w:r>
          </w:p>
        </w:tc>
        <w:tc>
          <w:tcPr>
            <w:tcW w:w="286" w:type="pct"/>
            <w:tcBorders>
              <w:top w:val="single" w:color="auto" w:sz="12"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p>
        </w:tc>
        <w:tc>
          <w:tcPr>
            <w:tcW w:w="4712" w:type="pct"/>
            <w:gridSpan w:val="3"/>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一、宏观管理建议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1</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确定资源税税率时计入矿山开采的生态环境损失，建立企业生态修复后的财政奖励机制。</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将矿山开采的生态环境损失计入了资源税税率，建立了企业生态修复后的财政奖励机制。</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2</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所有矿山企业编制矿山生态环境保护与恢复治理方案，环境保护主管部门对方案实施情况定期评估验收。</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本矿已编制了《矿山生态环境保护与恢复治理方案》，并进行了备案。</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3</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积极探索矸石用于井下充填和土地复垦，促进矸石综合利用。</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eastAsiaTheme="minorEastAsia"/>
                <w:szCs w:val="21"/>
              </w:rPr>
              <w:t>矸石优先送往山西华光发电有限责任公司综合利用，利用不畅时送至原环评批复的临时矸石场填埋。</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p>
        </w:tc>
        <w:tc>
          <w:tcPr>
            <w:tcW w:w="4712" w:type="pct"/>
            <w:gridSpan w:val="3"/>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二、分区管控要求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1</w:t>
            </w:r>
          </w:p>
        </w:tc>
        <w:tc>
          <w:tcPr>
            <w:tcW w:w="2102" w:type="pct"/>
            <w:tcBorders>
              <w:top w:val="single" w:color="auto" w:sz="4" w:space="0"/>
              <w:left w:val="single" w:color="auto" w:sz="4" w:space="0"/>
              <w:bottom w:val="single" w:color="auto" w:sz="4" w:space="0"/>
              <w:right w:val="single" w:color="auto" w:sz="4" w:space="0"/>
            </w:tcBorders>
            <w:noWrap/>
            <w:vAlign w:val="center"/>
          </w:tcPr>
          <w:p>
            <w:pPr>
              <w:pStyle w:val="99"/>
              <w:rPr>
                <w:rFonts w:ascii="Times New Roman" w:hAnsi="Times New Roman" w:cs="Times New Roman"/>
                <w:color w:val="auto"/>
                <w:kern w:val="2"/>
                <w:sz w:val="21"/>
                <w:szCs w:val="21"/>
              </w:rPr>
            </w:pPr>
            <w:r>
              <w:rPr>
                <w:rFonts w:hint="eastAsia" w:ascii="Times New Roman" w:hAnsi="Times New Roman" w:eastAsia="宋体" w:cs="Times New Roman"/>
                <w:color w:val="auto"/>
                <w:kern w:val="2"/>
                <w:sz w:val="21"/>
                <w:szCs w:val="21"/>
              </w:rPr>
              <w:t>限制开采区：重点生态功能区和饮用水源地准保护区。</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szCs w:val="21"/>
              </w:rPr>
            </w:pPr>
            <w:r>
              <w:rPr>
                <w:rFonts w:hint="eastAsia"/>
                <w:szCs w:val="21"/>
              </w:rPr>
              <w:t>本矿井位于省级重点开发区域三大城镇群中的晋东南城镇群，不在重点生态功能区和饮用水源地准保护区。</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2</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禁止开发区：</w:t>
            </w:r>
          </w:p>
          <w:p>
            <w:pPr>
              <w:spacing w:line="276" w:lineRule="auto"/>
              <w:rPr>
                <w:kern w:val="0"/>
                <w:szCs w:val="21"/>
              </w:rPr>
            </w:pPr>
            <w:r>
              <w:rPr>
                <w:rFonts w:hint="eastAsia" w:ascii="宋体" w:hAnsi="宋体" w:cs="宋体"/>
                <w:kern w:val="0"/>
                <w:szCs w:val="21"/>
              </w:rPr>
              <w:t>①</w:t>
            </w:r>
            <w:r>
              <w:rPr>
                <w:rFonts w:hint="eastAsia"/>
                <w:kern w:val="0"/>
                <w:szCs w:val="21"/>
              </w:rPr>
              <w:t>自然保护区、风景名胜区、省级及以上森林公园、饮用水水源地一级和二级保护区、省级及以上文物保护单位的保护范围和建设控制地带、地质公园、泉域重点保护区、水产种质资源保护区核心区、省级及以上湿地公园等重要生态保护地一级其他法律法规规定的禁止区域。</w:t>
            </w:r>
          </w:p>
          <w:p>
            <w:pPr>
              <w:spacing w:line="276" w:lineRule="auto"/>
              <w:rPr>
                <w:kern w:val="0"/>
                <w:szCs w:val="21"/>
              </w:rPr>
            </w:pPr>
            <w:r>
              <w:rPr>
                <w:rFonts w:hint="eastAsia" w:ascii="宋体" w:hAnsi="宋体" w:cs="宋体"/>
                <w:kern w:val="0"/>
                <w:szCs w:val="21"/>
              </w:rPr>
              <w:t>②</w:t>
            </w:r>
            <w:r>
              <w:rPr>
                <w:rFonts w:hint="eastAsia"/>
                <w:kern w:val="0"/>
                <w:szCs w:val="21"/>
              </w:rPr>
              <w:t>禁止在铁路、重要公路两侧、重要河流、堤坝两侧、大型水利工程设施、城市市政工程设施附近一定距离以内采矿。</w:t>
            </w:r>
          </w:p>
          <w:p>
            <w:pPr>
              <w:pStyle w:val="13"/>
              <w:rPr>
                <w:rFonts w:ascii="Times New Roman" w:hAnsi="Times New Roman"/>
                <w:szCs w:val="21"/>
              </w:rPr>
            </w:pPr>
            <w:r>
              <w:rPr>
                <w:rFonts w:hint="eastAsia" w:hAnsi="宋体" w:cs="宋体"/>
                <w:kern w:val="0"/>
                <w:szCs w:val="21"/>
              </w:rPr>
              <w:t>③</w:t>
            </w:r>
            <w:r>
              <w:rPr>
                <w:rFonts w:hint="eastAsia" w:ascii="Times New Roman" w:hAnsi="Times New Roman"/>
                <w:kern w:val="0"/>
                <w:szCs w:val="21"/>
              </w:rPr>
              <w:t>开采范围与禁止开采区重叠的矿山，要尽快依法关闭退出。</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szCs w:val="21"/>
              </w:rPr>
            </w:pPr>
            <w:r>
              <w:rPr>
                <w:rFonts w:hint="eastAsia" w:ascii="宋体" w:hAnsi="宋体" w:cs="宋体"/>
                <w:szCs w:val="21"/>
              </w:rPr>
              <w:t>①</w:t>
            </w:r>
            <w:r>
              <w:rPr>
                <w:rFonts w:hint="eastAsia"/>
                <w:szCs w:val="21"/>
              </w:rPr>
              <w:t>本矿井井田范围内不涉及自然保护区、风景名胜区、省级及以上森林公园、饮用水水源地一级和二级保护区、地质公园、泉域重点保护区、水产种质资源保护区核心区、省级及以上湿地公园等重要生态保护地。</w:t>
            </w:r>
          </w:p>
          <w:p>
            <w:pPr>
              <w:spacing w:line="276" w:lineRule="auto"/>
              <w:rPr>
                <w:szCs w:val="21"/>
              </w:rPr>
            </w:pPr>
            <w:r>
              <w:rPr>
                <w:rFonts w:hint="eastAsia"/>
                <w:szCs w:val="21"/>
              </w:rPr>
              <w:t>山西煤炭运销集团新工煤业有限公司井田南边界距临县省级地质公园的岳山坪园外保护区边界</w:t>
            </w:r>
            <w:r>
              <w:rPr>
                <w:szCs w:val="21"/>
              </w:rPr>
              <w:t>1.1km</w:t>
            </w:r>
            <w:r>
              <w:rPr>
                <w:rFonts w:hint="eastAsia"/>
                <w:szCs w:val="21"/>
              </w:rPr>
              <w:t>，本项目开采沉陷边界不会涉及岳山坪园外保护区；本项目距离主景区较远，矿界距离岳山坪景区边界约</w:t>
            </w:r>
            <w:r>
              <w:rPr>
                <w:szCs w:val="21"/>
              </w:rPr>
              <w:t>0.88km</w:t>
            </w:r>
            <w:r>
              <w:rPr>
                <w:rFonts w:hint="eastAsia"/>
                <w:szCs w:val="21"/>
              </w:rPr>
              <w:t>；距岳山坪景区外围保护区边界约</w:t>
            </w:r>
            <w:r>
              <w:rPr>
                <w:szCs w:val="21"/>
              </w:rPr>
              <w:t>0.25km</w:t>
            </w:r>
            <w:r>
              <w:rPr>
                <w:rFonts w:hint="eastAsia"/>
                <w:szCs w:val="21"/>
              </w:rPr>
              <w:t>；距小塔则景点约</w:t>
            </w:r>
            <w:r>
              <w:rPr>
                <w:szCs w:val="21"/>
              </w:rPr>
              <w:t>0.35km</w:t>
            </w:r>
            <w:r>
              <w:rPr>
                <w:rFonts w:hint="eastAsia"/>
                <w:szCs w:val="21"/>
              </w:rPr>
              <w:t>；均不在矿界范围内。</w:t>
            </w:r>
          </w:p>
          <w:p>
            <w:pPr>
              <w:spacing w:line="276" w:lineRule="auto"/>
              <w:rPr>
                <w:szCs w:val="21"/>
              </w:rPr>
            </w:pPr>
            <w:r>
              <w:rPr>
                <w:rFonts w:hint="eastAsia" w:ascii="宋体" w:hAnsi="宋体" w:cs="宋体"/>
                <w:szCs w:val="21"/>
              </w:rPr>
              <w:t>②</w:t>
            </w:r>
            <w:r>
              <w:rPr>
                <w:rFonts w:hint="eastAsia"/>
                <w:szCs w:val="21"/>
              </w:rPr>
              <w:t>本矿井井田范围内不涉及</w:t>
            </w:r>
            <w:r>
              <w:rPr>
                <w:rFonts w:hint="eastAsia"/>
                <w:kern w:val="0"/>
                <w:szCs w:val="21"/>
              </w:rPr>
              <w:t>铁路、重要公路、重要河流、堤坝两侧、大型水利工程设施等地</w:t>
            </w:r>
            <w:r>
              <w:rPr>
                <w:rFonts w:hint="eastAsia"/>
                <w:szCs w:val="21"/>
              </w:rPr>
              <w:t>。</w:t>
            </w:r>
          </w:p>
          <w:p>
            <w:pPr>
              <w:spacing w:line="276" w:lineRule="auto"/>
              <w:rPr>
                <w:szCs w:val="21"/>
              </w:rPr>
            </w:pPr>
            <w:r>
              <w:rPr>
                <w:rFonts w:hint="eastAsia" w:ascii="宋体" w:hAnsi="宋体" w:cs="宋体"/>
                <w:szCs w:val="21"/>
              </w:rPr>
              <w:t>③</w:t>
            </w:r>
            <w:r>
              <w:rPr>
                <w:rFonts w:hint="eastAsia"/>
                <w:szCs w:val="21"/>
              </w:rPr>
              <w:t>开采范围没有涉及禁止开采区重叠的矿山。</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highlight w:val="yellow"/>
              </w:rPr>
            </w:pPr>
          </w:p>
        </w:tc>
        <w:tc>
          <w:tcPr>
            <w:tcW w:w="4712" w:type="pct"/>
            <w:gridSpan w:val="3"/>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三、环境准入负面清单（煤炭采选行业准入要求）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highlight w:val="yellow"/>
              </w:rPr>
            </w:pPr>
            <w:r>
              <w:rPr>
                <w:kern w:val="0"/>
                <w:szCs w:val="21"/>
              </w:rPr>
              <w:t>1</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最低规模：单井井型不低于</w:t>
            </w:r>
            <w:r>
              <w:rPr>
                <w:kern w:val="0"/>
                <w:szCs w:val="21"/>
              </w:rPr>
              <w:t>120</w:t>
            </w:r>
            <w:r>
              <w:rPr>
                <w:rFonts w:hint="eastAsia"/>
                <w:kern w:val="0"/>
                <w:szCs w:val="21"/>
              </w:rPr>
              <w:t>万吨</w:t>
            </w:r>
            <w:r>
              <w:rPr>
                <w:kern w:val="0"/>
                <w:szCs w:val="21"/>
              </w:rPr>
              <w:t>/</w:t>
            </w:r>
            <w:r>
              <w:rPr>
                <w:rFonts w:hint="eastAsia"/>
                <w:kern w:val="0"/>
                <w:szCs w:val="21"/>
              </w:rPr>
              <w:t>年。</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bCs/>
                <w:spacing w:val="4"/>
                <w:szCs w:val="21"/>
              </w:rPr>
              <w:t>本矿井生产能力为12</w:t>
            </w:r>
            <w:r>
              <w:rPr>
                <w:bCs/>
                <w:spacing w:val="4"/>
                <w:szCs w:val="21"/>
              </w:rPr>
              <w:t>0</w:t>
            </w:r>
            <w:r>
              <w:rPr>
                <w:rFonts w:hint="eastAsia"/>
                <w:bCs/>
                <w:spacing w:val="4"/>
                <w:szCs w:val="21"/>
              </w:rPr>
              <w:t>万吨</w:t>
            </w:r>
            <w:r>
              <w:rPr>
                <w:bCs/>
                <w:spacing w:val="4"/>
                <w:szCs w:val="21"/>
              </w:rPr>
              <w:t>/</w:t>
            </w:r>
            <w:r>
              <w:rPr>
                <w:rFonts w:hint="eastAsia"/>
                <w:bCs/>
                <w:spacing w:val="4"/>
                <w:szCs w:val="21"/>
              </w:rPr>
              <w:t>年</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2</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开采工艺：采用机械化开采工艺。</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采用机械化开采走向长壁采煤法。</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rPr>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3</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回采工作面：井下回采工作面不超过</w:t>
            </w:r>
            <w:r>
              <w:rPr>
                <w:kern w:val="0"/>
                <w:szCs w:val="21"/>
              </w:rPr>
              <w:t>2</w:t>
            </w:r>
            <w:r>
              <w:rPr>
                <w:rFonts w:hint="eastAsia"/>
                <w:kern w:val="0"/>
                <w:szCs w:val="21"/>
              </w:rPr>
              <w:t>个。</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本矿设回采工作面一个。</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4</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开采回采率：中厚煤层（</w:t>
            </w:r>
            <w:r>
              <w:rPr>
                <w:kern w:val="0"/>
                <w:szCs w:val="21"/>
              </w:rPr>
              <w:t>1.3~3.5m</w:t>
            </w:r>
            <w:r>
              <w:rPr>
                <w:rFonts w:hint="eastAsia"/>
                <w:kern w:val="0"/>
                <w:szCs w:val="21"/>
              </w:rPr>
              <w:t>）</w:t>
            </w:r>
            <w:r>
              <w:rPr>
                <w:kern w:val="0"/>
                <w:szCs w:val="21"/>
              </w:rPr>
              <w:t>≥80%</w:t>
            </w:r>
            <w:r>
              <w:rPr>
                <w:rFonts w:hint="eastAsia"/>
                <w:kern w:val="0"/>
                <w:szCs w:val="21"/>
              </w:rPr>
              <w:t>，厚煤层（＞</w:t>
            </w:r>
            <w:r>
              <w:rPr>
                <w:kern w:val="0"/>
                <w:szCs w:val="21"/>
              </w:rPr>
              <w:t>3.5m</w:t>
            </w:r>
            <w:r>
              <w:rPr>
                <w:rFonts w:hint="eastAsia"/>
                <w:kern w:val="0"/>
                <w:szCs w:val="21"/>
              </w:rPr>
              <w:t>）</w:t>
            </w:r>
            <w:r>
              <w:rPr>
                <w:kern w:val="0"/>
                <w:szCs w:val="21"/>
              </w:rPr>
              <w:t>≥75%</w:t>
            </w:r>
            <w:r>
              <w:rPr>
                <w:rFonts w:hint="eastAsia"/>
                <w:kern w:val="0"/>
                <w:szCs w:val="21"/>
              </w:rPr>
              <w:t>。</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本矿井采取回采率为</w:t>
            </w:r>
            <w:r>
              <w:rPr>
                <w:kern w:val="0"/>
                <w:szCs w:val="21"/>
              </w:rPr>
              <w:t>80%</w:t>
            </w:r>
            <w:r>
              <w:rPr>
                <w:rFonts w:hint="eastAsia"/>
                <w:kern w:val="0"/>
                <w:szCs w:val="21"/>
              </w:rPr>
              <w:t>。</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5</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原煤入洗率：原则上达到</w:t>
            </w:r>
            <w:r>
              <w:rPr>
                <w:kern w:val="0"/>
                <w:szCs w:val="21"/>
              </w:rPr>
              <w:t>80%</w:t>
            </w:r>
            <w:r>
              <w:rPr>
                <w:rFonts w:hint="eastAsia"/>
                <w:kern w:val="0"/>
                <w:szCs w:val="21"/>
              </w:rPr>
              <w:t>以上。</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本矿井原煤全部送本矿井收购的龙宇洗煤厂洗选，入洗率达到</w:t>
            </w:r>
            <w:r>
              <w:rPr>
                <w:kern w:val="0"/>
                <w:szCs w:val="21"/>
              </w:rPr>
              <w:t>100%</w:t>
            </w:r>
            <w:r>
              <w:rPr>
                <w:rFonts w:hint="eastAsia"/>
                <w:kern w:val="0"/>
                <w:szCs w:val="21"/>
              </w:rPr>
              <w:t>。</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6</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煤矸石综合利用率</w:t>
            </w:r>
            <w:r>
              <w:rPr>
                <w:kern w:val="0"/>
                <w:szCs w:val="21"/>
              </w:rPr>
              <w:t>≥75%</w:t>
            </w:r>
            <w:r>
              <w:rPr>
                <w:rFonts w:hint="eastAsia"/>
                <w:kern w:val="0"/>
                <w:szCs w:val="21"/>
              </w:rPr>
              <w:t>。</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highlight w:val="yellow"/>
              </w:rPr>
            </w:pPr>
            <w:r>
              <w:rPr>
                <w:rFonts w:hint="eastAsia" w:eastAsiaTheme="minorEastAsia"/>
                <w:szCs w:val="21"/>
              </w:rPr>
              <w:t>矸石优先送往山西华光发电有限责任公司综合利用，利用不畅时送至原环评批复的临时矸石场填埋。</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highlight w:val="yellow"/>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7</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矿井水综合利用率</w:t>
            </w:r>
            <w:r>
              <w:rPr>
                <w:kern w:val="0"/>
                <w:szCs w:val="21"/>
              </w:rPr>
              <w:t>≥80%</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highlight w:val="yellow"/>
              </w:rPr>
            </w:pPr>
            <w:r>
              <w:rPr>
                <w:rFonts w:hint="eastAsia" w:eastAsiaTheme="minorEastAsia"/>
                <w:szCs w:val="21"/>
              </w:rPr>
              <w:t>矿井水经处理后</w:t>
            </w:r>
            <w:r>
              <w:rPr>
                <w:rFonts w:hint="eastAsia"/>
                <w:bCs/>
                <w:szCs w:val="21"/>
              </w:rPr>
              <w:t>全部回用于井下生产用水、洗车平台用水和锅炉补充水等，不外排。</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highlight w:val="yellow"/>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4" w:space="0"/>
              <w:right w:val="single" w:color="auto" w:sz="4" w:space="0"/>
            </w:tcBorders>
            <w:noWrap/>
            <w:vAlign w:val="center"/>
          </w:tcPr>
          <w:p>
            <w:pPr>
              <w:spacing w:line="276" w:lineRule="auto"/>
              <w:jc w:val="center"/>
              <w:rPr>
                <w:kern w:val="0"/>
                <w:szCs w:val="21"/>
              </w:rPr>
            </w:pPr>
            <w:r>
              <w:rPr>
                <w:kern w:val="0"/>
                <w:szCs w:val="21"/>
              </w:rPr>
              <w:t>8</w:t>
            </w:r>
          </w:p>
        </w:tc>
        <w:tc>
          <w:tcPr>
            <w:tcW w:w="2102"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煤炭贮运：新、改、扩建矿井原则上均应建设原煤筒仓或其他封闭式储煤场，输煤采用封闭式输煤廊道。</w:t>
            </w:r>
          </w:p>
        </w:tc>
        <w:tc>
          <w:tcPr>
            <w:tcW w:w="2324" w:type="pct"/>
            <w:tcBorders>
              <w:top w:val="single" w:color="auto" w:sz="4" w:space="0"/>
              <w:left w:val="single" w:color="auto" w:sz="4" w:space="0"/>
              <w:bottom w:val="single" w:color="auto" w:sz="4" w:space="0"/>
              <w:right w:val="single" w:color="auto" w:sz="4" w:space="0"/>
            </w:tcBorders>
            <w:noWrap/>
            <w:vAlign w:val="center"/>
          </w:tcPr>
          <w:p>
            <w:pPr>
              <w:spacing w:line="276" w:lineRule="auto"/>
              <w:rPr>
                <w:kern w:val="0"/>
                <w:szCs w:val="21"/>
              </w:rPr>
            </w:pPr>
            <w:r>
              <w:rPr>
                <w:rFonts w:hint="eastAsia"/>
                <w:kern w:val="0"/>
                <w:szCs w:val="21"/>
              </w:rPr>
              <w:t>本矿井煤炭全部储存在全封闭储煤场，输煤采用封闭式输煤廊道。</w:t>
            </w:r>
          </w:p>
        </w:tc>
        <w:tc>
          <w:tcPr>
            <w:tcW w:w="286" w:type="pct"/>
            <w:tcBorders>
              <w:top w:val="single" w:color="auto" w:sz="4" w:space="0"/>
              <w:left w:val="single" w:color="auto" w:sz="4" w:space="0"/>
              <w:bottom w:val="single" w:color="auto" w:sz="4" w:space="0"/>
              <w:right w:val="single" w:color="auto" w:sz="12" w:space="0"/>
            </w:tcBorders>
            <w:noWrap/>
            <w:vAlign w:val="center"/>
          </w:tcPr>
          <w:p>
            <w:pPr>
              <w:spacing w:line="276" w:lineRule="auto"/>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8" w:type="pct"/>
            <w:tcBorders>
              <w:top w:val="single" w:color="auto" w:sz="4" w:space="0"/>
              <w:left w:val="single" w:color="auto" w:sz="12" w:space="0"/>
              <w:bottom w:val="single" w:color="auto" w:sz="12" w:space="0"/>
              <w:right w:val="single" w:color="auto" w:sz="4" w:space="0"/>
            </w:tcBorders>
            <w:noWrap/>
            <w:vAlign w:val="center"/>
          </w:tcPr>
          <w:p>
            <w:pPr>
              <w:pStyle w:val="99"/>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9</w:t>
            </w:r>
          </w:p>
        </w:tc>
        <w:tc>
          <w:tcPr>
            <w:tcW w:w="2102" w:type="pct"/>
            <w:tcBorders>
              <w:top w:val="single" w:color="auto" w:sz="4" w:space="0"/>
              <w:left w:val="single" w:color="auto" w:sz="4" w:space="0"/>
              <w:bottom w:val="single" w:color="auto" w:sz="12" w:space="0"/>
              <w:right w:val="single" w:color="auto" w:sz="4" w:space="0"/>
            </w:tcBorders>
            <w:noWrap/>
            <w:vAlign w:val="center"/>
          </w:tcPr>
          <w:p>
            <w:pPr>
              <w:spacing w:line="276" w:lineRule="auto"/>
              <w:rPr>
                <w:kern w:val="0"/>
                <w:szCs w:val="21"/>
              </w:rPr>
            </w:pPr>
            <w:r>
              <w:rPr>
                <w:rFonts w:hint="eastAsia"/>
                <w:kern w:val="0"/>
                <w:szCs w:val="21"/>
              </w:rPr>
              <w:t>矸石处置：新建（改扩建）煤矿禁止建设永久性矸石堆放场，确需建设临时性堆放场的，其占地规模应当与煤炭生产能力相匹配，原则上占地规模按不超过</w:t>
            </w:r>
            <w:r>
              <w:rPr>
                <w:kern w:val="0"/>
                <w:szCs w:val="21"/>
              </w:rPr>
              <w:t>3</w:t>
            </w:r>
            <w:r>
              <w:rPr>
                <w:rFonts w:hint="eastAsia"/>
                <w:kern w:val="0"/>
                <w:szCs w:val="21"/>
              </w:rPr>
              <w:t>年储矸量设计，且必须有后续综合利用方案。</w:t>
            </w:r>
          </w:p>
        </w:tc>
        <w:tc>
          <w:tcPr>
            <w:tcW w:w="2324" w:type="pct"/>
            <w:tcBorders>
              <w:top w:val="single" w:color="auto" w:sz="4" w:space="0"/>
              <w:left w:val="single" w:color="auto" w:sz="4" w:space="0"/>
              <w:bottom w:val="single" w:color="auto" w:sz="12" w:space="0"/>
              <w:right w:val="single" w:color="auto" w:sz="4" w:space="0"/>
            </w:tcBorders>
            <w:noWrap/>
            <w:vAlign w:val="center"/>
          </w:tcPr>
          <w:p>
            <w:pPr>
              <w:spacing w:line="276" w:lineRule="auto"/>
              <w:rPr>
                <w:kern w:val="0"/>
                <w:szCs w:val="21"/>
                <w:highlight w:val="yellow"/>
              </w:rPr>
            </w:pPr>
            <w:r>
              <w:rPr>
                <w:rFonts w:hint="eastAsia" w:eastAsiaTheme="minorEastAsia"/>
                <w:szCs w:val="21"/>
              </w:rPr>
              <w:t>矸石优先送往山西华光发电有限责任公司综合利用，利用不畅时送至原环评批复的临时矸石场填埋。原山西省环境保护厅以晋环函[2014]745号对</w:t>
            </w:r>
            <w:r>
              <w:rPr>
                <w:rFonts w:hint="eastAsia"/>
                <w:kern w:val="0"/>
                <w:szCs w:val="21"/>
              </w:rPr>
              <w:t>本矿临时性矸石堆放场已批复。</w:t>
            </w:r>
            <w:r>
              <w:rPr>
                <w:rFonts w:hint="eastAsia"/>
                <w:szCs w:val="21"/>
              </w:rPr>
              <w:t>目前矸石场已堆矸23</w:t>
            </w:r>
            <w:r>
              <w:rPr>
                <w:szCs w:val="21"/>
              </w:rPr>
              <w:t>万m</w:t>
            </w:r>
            <w:r>
              <w:rPr>
                <w:szCs w:val="21"/>
                <w:vertAlign w:val="superscript"/>
              </w:rPr>
              <w:t>3</w:t>
            </w:r>
            <w:r>
              <w:rPr>
                <w:rFonts w:hint="eastAsia"/>
                <w:szCs w:val="21"/>
              </w:rPr>
              <w:t>，剩余库容约37万m</w:t>
            </w:r>
            <w:r>
              <w:rPr>
                <w:rFonts w:hint="eastAsia"/>
                <w:szCs w:val="21"/>
                <w:vertAlign w:val="superscript"/>
              </w:rPr>
              <w:t>3</w:t>
            </w:r>
            <w:r>
              <w:rPr>
                <w:rFonts w:hint="eastAsia"/>
                <w:szCs w:val="21"/>
              </w:rPr>
              <w:t>，服务年限约3年，目前所堆矸石主要为煤矿掘进矸石。</w:t>
            </w:r>
          </w:p>
        </w:tc>
        <w:tc>
          <w:tcPr>
            <w:tcW w:w="286" w:type="pct"/>
            <w:tcBorders>
              <w:top w:val="single" w:color="auto" w:sz="4" w:space="0"/>
              <w:left w:val="single" w:color="auto" w:sz="4" w:space="0"/>
              <w:bottom w:val="single" w:color="auto" w:sz="12" w:space="0"/>
              <w:right w:val="single" w:color="auto" w:sz="12" w:space="0"/>
            </w:tcBorders>
            <w:noWrap/>
            <w:vAlign w:val="center"/>
          </w:tcPr>
          <w:p>
            <w:pPr>
              <w:spacing w:line="276" w:lineRule="auto"/>
              <w:jc w:val="center"/>
              <w:rPr>
                <w:szCs w:val="21"/>
              </w:rPr>
            </w:pPr>
            <w:r>
              <w:rPr>
                <w:szCs w:val="21"/>
              </w:rPr>
              <w:t>--</w:t>
            </w:r>
          </w:p>
        </w:tc>
      </w:tr>
    </w:tbl>
    <w:p>
      <w:pPr>
        <w:widowControl/>
        <w:spacing w:line="360" w:lineRule="auto"/>
        <w:ind w:firstLine="480" w:firstLineChars="200"/>
        <w:rPr>
          <w:rFonts w:hAnsi="宋体"/>
          <w:sz w:val="24"/>
        </w:rPr>
      </w:pPr>
      <w:r>
        <w:rPr>
          <w:rFonts w:hint="eastAsia" w:hAnsi="宋体"/>
          <w:sz w:val="24"/>
        </w:rPr>
        <w:t>（5）与《</w:t>
      </w:r>
      <w:r>
        <w:rPr>
          <w:rFonts w:hint="eastAsia"/>
          <w:sz w:val="24"/>
        </w:rPr>
        <w:t>山西晋中煤炭基地离柳矿区总体规划</w:t>
      </w:r>
      <w:r>
        <w:rPr>
          <w:rFonts w:hint="eastAsia" w:hAnsi="宋体"/>
          <w:sz w:val="24"/>
        </w:rPr>
        <w:t>》的符合性分析</w:t>
      </w:r>
    </w:p>
    <w:p>
      <w:pPr>
        <w:spacing w:line="360" w:lineRule="auto"/>
        <w:ind w:firstLine="480" w:firstLineChars="200"/>
        <w:rPr>
          <w:rFonts w:hAnsi="宋体"/>
          <w:kern w:val="0"/>
          <w:sz w:val="24"/>
          <w:highlight w:val="yellow"/>
        </w:rPr>
      </w:pPr>
      <w:r>
        <w:rPr>
          <w:rFonts w:hint="eastAsia" w:hAnsi="宋体"/>
          <w:kern w:val="0"/>
          <w:sz w:val="24"/>
        </w:rPr>
        <w:t>离柳矿区位于山西省吕梁市境内，矿区规划总面积约3316.6</w:t>
      </w:r>
      <w:r>
        <w:rPr>
          <w:rFonts w:hAnsi="宋体"/>
          <w:kern w:val="0"/>
          <w:sz w:val="24"/>
        </w:rPr>
        <w:t>km</w:t>
      </w:r>
      <w:r>
        <w:rPr>
          <w:rFonts w:hAnsi="宋体"/>
          <w:kern w:val="0"/>
          <w:sz w:val="24"/>
          <w:vertAlign w:val="superscript"/>
        </w:rPr>
        <w:t>2</w:t>
      </w:r>
      <w:r>
        <w:rPr>
          <w:rFonts w:hint="eastAsia" w:hAnsi="宋体"/>
          <w:kern w:val="0"/>
          <w:sz w:val="24"/>
        </w:rPr>
        <w:t>（不包括兴县区），含煤面积2593.5km</w:t>
      </w:r>
      <w:r>
        <w:rPr>
          <w:rFonts w:hint="eastAsia" w:hAnsi="宋体"/>
          <w:kern w:val="0"/>
          <w:sz w:val="24"/>
          <w:vertAlign w:val="superscript"/>
        </w:rPr>
        <w:t>2</w:t>
      </w:r>
      <w:r>
        <w:rPr>
          <w:rFonts w:hint="eastAsia" w:hAnsi="宋体"/>
          <w:kern w:val="0"/>
          <w:sz w:val="24"/>
        </w:rPr>
        <w:t>。规划矿区划分为临县区、三交区、柳林区和离石区4个片区，由34个井田、3个资源整合区、3个勘查区及2个后备区组成，规划矿区煤炭生产规模8040万吨/年。矿区还规划建设煤炭洗选、供水、供电、运输及资源综合利用等相关项目。国家发展和改革委员会以发改能源</w:t>
      </w:r>
      <w:r>
        <w:rPr>
          <w:rFonts w:hAnsi="宋体"/>
          <w:kern w:val="0"/>
          <w:sz w:val="24"/>
        </w:rPr>
        <w:t xml:space="preserve"> [20</w:t>
      </w:r>
      <w:r>
        <w:rPr>
          <w:rFonts w:hint="eastAsia" w:hAnsi="宋体"/>
          <w:kern w:val="0"/>
          <w:sz w:val="24"/>
        </w:rPr>
        <w:t>10</w:t>
      </w:r>
      <w:r>
        <w:rPr>
          <w:rFonts w:hAnsi="宋体"/>
          <w:kern w:val="0"/>
          <w:sz w:val="24"/>
        </w:rPr>
        <w:t>]</w:t>
      </w:r>
      <w:r>
        <w:rPr>
          <w:rFonts w:hint="eastAsia" w:hAnsi="宋体"/>
          <w:kern w:val="0"/>
          <w:sz w:val="24"/>
        </w:rPr>
        <w:t>223号文出具了《山西省离柳矿区总体规划的批复》。</w:t>
      </w:r>
    </w:p>
    <w:p>
      <w:pPr>
        <w:widowControl/>
        <w:spacing w:line="360" w:lineRule="auto"/>
        <w:ind w:firstLine="480" w:firstLineChars="200"/>
        <w:rPr>
          <w:rFonts w:hAnsi="宋体"/>
          <w:sz w:val="24"/>
          <w:highlight w:val="yellow"/>
        </w:rPr>
      </w:pPr>
      <w:r>
        <w:rPr>
          <w:rFonts w:hint="eastAsia" w:hAnsi="宋体"/>
          <w:kern w:val="0"/>
          <w:sz w:val="24"/>
        </w:rPr>
        <w:t>根据山西省煤矿企业兼并重组整合工作领导组办公室文件晋煤重组办发</w:t>
      </w:r>
      <w:r>
        <w:rPr>
          <w:rFonts w:hAnsi="宋体"/>
          <w:kern w:val="0"/>
          <w:sz w:val="24"/>
        </w:rPr>
        <w:t>[2009]</w:t>
      </w:r>
      <w:r>
        <w:rPr>
          <w:rFonts w:hint="eastAsia" w:hAnsi="宋体"/>
          <w:kern w:val="0"/>
          <w:sz w:val="24"/>
        </w:rPr>
        <w:t>23号文《关于吕梁市临县煤矿企业兼并重组整合方案</w:t>
      </w:r>
      <w:r>
        <w:rPr>
          <w:rFonts w:hAnsi="宋体"/>
          <w:kern w:val="0"/>
          <w:sz w:val="24"/>
        </w:rPr>
        <w:t>(</w:t>
      </w:r>
      <w:r>
        <w:rPr>
          <w:rFonts w:hint="eastAsia" w:hAnsi="宋体"/>
          <w:kern w:val="0"/>
          <w:sz w:val="24"/>
        </w:rPr>
        <w:t>部分</w:t>
      </w:r>
      <w:r>
        <w:rPr>
          <w:rFonts w:hAnsi="宋体"/>
          <w:kern w:val="0"/>
          <w:sz w:val="24"/>
        </w:rPr>
        <w:t>)</w:t>
      </w:r>
      <w:r>
        <w:rPr>
          <w:rFonts w:hint="eastAsia" w:hAnsi="宋体"/>
          <w:kern w:val="0"/>
          <w:sz w:val="24"/>
        </w:rPr>
        <w:t>的批复》，</w:t>
      </w:r>
      <w:r>
        <w:rPr>
          <w:rFonts w:hint="eastAsia" w:eastAsiaTheme="minorEastAsia"/>
          <w:bCs/>
          <w:spacing w:val="4"/>
          <w:sz w:val="24"/>
        </w:rPr>
        <w:t>山西煤炭运销集团新工煤业有限公司</w:t>
      </w:r>
      <w:r>
        <w:rPr>
          <w:rFonts w:hint="eastAsia" w:hAnsi="宋体"/>
          <w:kern w:val="0"/>
          <w:sz w:val="24"/>
        </w:rPr>
        <w:t>矿井为整合矿井，符合国家产业政策，资源开发利用符合相关要求，符合矿区规划目标。因此，本项目符合</w:t>
      </w:r>
      <w:r>
        <w:rPr>
          <w:rFonts w:hint="eastAsia" w:hAnsi="宋体"/>
          <w:sz w:val="24"/>
        </w:rPr>
        <w:t>《</w:t>
      </w:r>
      <w:r>
        <w:rPr>
          <w:rFonts w:hint="eastAsia"/>
          <w:sz w:val="24"/>
        </w:rPr>
        <w:t>山西晋中煤炭基地离柳矿区总体规划</w:t>
      </w:r>
      <w:r>
        <w:rPr>
          <w:rFonts w:hint="eastAsia" w:hAnsi="宋体"/>
          <w:sz w:val="24"/>
        </w:rPr>
        <w:t>》。</w:t>
      </w:r>
    </w:p>
    <w:p>
      <w:pPr>
        <w:spacing w:line="360" w:lineRule="auto"/>
        <w:ind w:firstLine="480" w:firstLineChars="200"/>
        <w:rPr>
          <w:kern w:val="0"/>
          <w:sz w:val="24"/>
        </w:rPr>
      </w:pPr>
      <w:r>
        <w:rPr>
          <w:rFonts w:hint="eastAsia"/>
          <w:kern w:val="0"/>
          <w:sz w:val="24"/>
        </w:rPr>
        <w:t>（6）项目与《煤炭采选建设项目环境影响评价审批原则（试行））》（环办环评</w:t>
      </w:r>
      <w:r>
        <w:rPr>
          <w:kern w:val="0"/>
          <w:sz w:val="24"/>
        </w:rPr>
        <w:t>[2016]114</w:t>
      </w:r>
      <w:r>
        <w:rPr>
          <w:rFonts w:hint="eastAsia"/>
          <w:kern w:val="0"/>
          <w:sz w:val="24"/>
        </w:rPr>
        <w:t>号）的符合性分析</w:t>
      </w:r>
    </w:p>
    <w:p>
      <w:pPr>
        <w:spacing w:line="360" w:lineRule="auto"/>
        <w:ind w:firstLine="480" w:firstLineChars="200"/>
        <w:rPr>
          <w:kern w:val="0"/>
          <w:sz w:val="24"/>
        </w:rPr>
      </w:pPr>
      <w:r>
        <w:rPr>
          <w:rFonts w:hint="eastAsia"/>
          <w:sz w:val="24"/>
        </w:rPr>
        <w:t>本项目与</w:t>
      </w:r>
      <w:r>
        <w:rPr>
          <w:rFonts w:hint="eastAsia"/>
          <w:kern w:val="0"/>
          <w:sz w:val="24"/>
        </w:rPr>
        <w:t>《煤炭采选建设项目环境影响评价审批原则（试行））》（环办环评</w:t>
      </w:r>
      <w:r>
        <w:rPr>
          <w:kern w:val="0"/>
          <w:sz w:val="24"/>
        </w:rPr>
        <w:t>[2016]114</w:t>
      </w:r>
      <w:r>
        <w:rPr>
          <w:rFonts w:hint="eastAsia"/>
          <w:kern w:val="0"/>
          <w:sz w:val="24"/>
        </w:rPr>
        <w:t>号）的符合性分析见下表：</w:t>
      </w:r>
    </w:p>
    <w:p>
      <w:pPr>
        <w:jc w:val="center"/>
        <w:rPr>
          <w:kern w:val="0"/>
          <w:sz w:val="24"/>
        </w:rPr>
      </w:pPr>
      <w:r>
        <w:rPr>
          <w:rFonts w:hint="eastAsia"/>
          <w:b/>
          <w:bCs/>
          <w:kern w:val="0"/>
          <w:szCs w:val="21"/>
        </w:rPr>
        <w:t>表</w:t>
      </w:r>
      <w:r>
        <w:rPr>
          <w:b/>
          <w:bCs/>
          <w:kern w:val="0"/>
          <w:szCs w:val="21"/>
        </w:rPr>
        <w:t>1.</w:t>
      </w:r>
      <w:r>
        <w:rPr>
          <w:rFonts w:hint="eastAsia"/>
          <w:b/>
          <w:bCs/>
          <w:kern w:val="0"/>
          <w:szCs w:val="21"/>
        </w:rPr>
        <w:t>3</w:t>
      </w:r>
      <w:r>
        <w:rPr>
          <w:b/>
          <w:bCs/>
          <w:kern w:val="0"/>
          <w:szCs w:val="21"/>
        </w:rPr>
        <w:t>-</w:t>
      </w:r>
      <w:r>
        <w:rPr>
          <w:rFonts w:hint="eastAsia"/>
          <w:b/>
          <w:bCs/>
          <w:kern w:val="0"/>
          <w:szCs w:val="21"/>
        </w:rPr>
        <w:t>3</w:t>
      </w:r>
      <w:r>
        <w:rPr>
          <w:b/>
          <w:bCs/>
          <w:kern w:val="0"/>
          <w:szCs w:val="21"/>
        </w:rPr>
        <w:t xml:space="preserve"> </w:t>
      </w:r>
      <w:r>
        <w:rPr>
          <w:rFonts w:hint="eastAsia"/>
          <w:b/>
          <w:bCs/>
          <w:kern w:val="0"/>
          <w:szCs w:val="21"/>
        </w:rPr>
        <w:t>本项目与环办环评</w:t>
      </w:r>
      <w:r>
        <w:rPr>
          <w:b/>
          <w:bCs/>
          <w:kern w:val="0"/>
          <w:szCs w:val="21"/>
        </w:rPr>
        <w:t>[2016]114</w:t>
      </w:r>
      <w:r>
        <w:rPr>
          <w:rFonts w:hint="eastAsia"/>
          <w:b/>
          <w:bCs/>
          <w:kern w:val="0"/>
          <w:szCs w:val="21"/>
        </w:rPr>
        <w:t>号的相符性分析</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4329"/>
        <w:gridCol w:w="3891"/>
        <w:gridCol w:w="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12" w:space="0"/>
              <w:left w:val="single" w:color="auto" w:sz="12" w:space="0"/>
              <w:bottom w:val="single" w:color="auto" w:sz="4" w:space="0"/>
              <w:right w:val="single" w:color="auto" w:sz="4" w:space="0"/>
            </w:tcBorders>
            <w:noWrap/>
            <w:vAlign w:val="center"/>
          </w:tcPr>
          <w:p>
            <w:pPr>
              <w:jc w:val="center"/>
              <w:rPr>
                <w:kern w:val="0"/>
                <w:szCs w:val="21"/>
              </w:rPr>
            </w:pPr>
            <w:r>
              <w:rPr>
                <w:rFonts w:hint="eastAsia"/>
                <w:kern w:val="0"/>
                <w:szCs w:val="21"/>
              </w:rPr>
              <w:t>序号</w:t>
            </w:r>
          </w:p>
        </w:tc>
        <w:tc>
          <w:tcPr>
            <w:tcW w:w="2331" w:type="pct"/>
            <w:tcBorders>
              <w:top w:val="single" w:color="auto" w:sz="12" w:space="0"/>
              <w:left w:val="single" w:color="auto" w:sz="4" w:space="0"/>
              <w:bottom w:val="single" w:color="auto" w:sz="4" w:space="0"/>
              <w:right w:val="single" w:color="auto" w:sz="4" w:space="0"/>
            </w:tcBorders>
            <w:noWrap/>
            <w:vAlign w:val="center"/>
          </w:tcPr>
          <w:p>
            <w:pPr>
              <w:jc w:val="center"/>
              <w:rPr>
                <w:kern w:val="0"/>
                <w:szCs w:val="21"/>
              </w:rPr>
            </w:pPr>
            <w:r>
              <w:rPr>
                <w:rFonts w:hint="eastAsia"/>
                <w:kern w:val="0"/>
                <w:szCs w:val="21"/>
              </w:rPr>
              <w:t>审查意见提出的合理要求和建议</w:t>
            </w:r>
          </w:p>
        </w:tc>
        <w:tc>
          <w:tcPr>
            <w:tcW w:w="2095" w:type="pct"/>
            <w:tcBorders>
              <w:top w:val="single" w:color="auto" w:sz="12" w:space="0"/>
              <w:left w:val="single" w:color="auto" w:sz="4" w:space="0"/>
              <w:bottom w:val="single" w:color="auto" w:sz="4" w:space="0"/>
              <w:right w:val="single" w:color="auto" w:sz="4" w:space="0"/>
            </w:tcBorders>
            <w:noWrap/>
            <w:vAlign w:val="center"/>
          </w:tcPr>
          <w:p>
            <w:pPr>
              <w:jc w:val="center"/>
              <w:rPr>
                <w:kern w:val="0"/>
                <w:szCs w:val="21"/>
              </w:rPr>
            </w:pPr>
            <w:r>
              <w:rPr>
                <w:rFonts w:hint="eastAsia"/>
                <w:kern w:val="0"/>
                <w:szCs w:val="21"/>
              </w:rPr>
              <w:t>本项目环评落实情况</w:t>
            </w:r>
          </w:p>
        </w:tc>
        <w:tc>
          <w:tcPr>
            <w:tcW w:w="286" w:type="pct"/>
            <w:tcBorders>
              <w:top w:val="single" w:color="auto" w:sz="12"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1</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项目符合环境保护相关法律法规和政策要求，符合煤炭行业化解过剩产能相关要求，新建煤矿应同步建设配套的煤炭洗选设施。特殊和稀缺煤开发利用应符合《特殊和稀缺煤类开发利用管理暂行规定》要求。</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本项目的建设符合环境保护相关法律法规和政策要求，符合煤炭行业化解过剩产能相关要求。</w:t>
            </w:r>
          </w:p>
          <w:p>
            <w:pPr>
              <w:rPr>
                <w:kern w:val="0"/>
                <w:szCs w:val="21"/>
              </w:rPr>
            </w:pPr>
            <w:r>
              <w:rPr>
                <w:rFonts w:hint="eastAsia"/>
                <w:kern w:val="0"/>
                <w:szCs w:val="21"/>
              </w:rPr>
              <w:t>本公司已与吕梁龙宇洗煤厂签订了股权转让协议，项目原煤全部送往该洗煤厂进行洗选。该洗煤厂年洗煤能力180万吨</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2</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项目符合项目所在区域生态保护红线要求。</w:t>
            </w:r>
          </w:p>
          <w:p>
            <w:pPr>
              <w:rPr>
                <w:kern w:val="0"/>
                <w:szCs w:val="21"/>
              </w:rPr>
            </w:pPr>
            <w:r>
              <w:rPr>
                <w:rFonts w:hint="eastAsia"/>
                <w:kern w:val="0"/>
                <w:szCs w:val="21"/>
              </w:rPr>
              <w:t>井</w:t>
            </w:r>
            <w:r>
              <w:rPr>
                <w:kern w:val="0"/>
                <w:szCs w:val="21"/>
              </w:rPr>
              <w:t>(</w:t>
            </w:r>
            <w:r>
              <w:rPr>
                <w:rFonts w:hint="eastAsia"/>
                <w:kern w:val="0"/>
                <w:szCs w:val="21"/>
              </w:rPr>
              <w:t>矿</w:t>
            </w:r>
            <w:r>
              <w:rPr>
                <w:kern w:val="0"/>
                <w:szCs w:val="21"/>
              </w:rPr>
              <w:t>)</w:t>
            </w:r>
            <w:r>
              <w:rPr>
                <w:rFonts w:hint="eastAsia"/>
                <w:kern w:val="0"/>
                <w:szCs w:val="21"/>
              </w:rPr>
              <w:t>田开采范围、各类占地范围不得涉及自然保护区、风景名胜区、饮用水水源保护区等法律法规明令禁止采矿和占用的区域。</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highlight w:val="yellow"/>
              </w:rPr>
            </w:pPr>
            <w:r>
              <w:rPr>
                <w:rFonts w:hint="eastAsia"/>
                <w:kern w:val="0"/>
                <w:szCs w:val="21"/>
              </w:rPr>
              <w:t>本矿井井田范围内不涉及自然保护区、风景名胜区、饮用水水源保护区等法律法规明令禁止采矿和占用的区域。项目符合与所在区域生态保护红线要求。</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3</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主要污染物排放总量满足国家和地方相关要求。</w:t>
            </w:r>
          </w:p>
        </w:tc>
        <w:tc>
          <w:tcPr>
            <w:tcW w:w="2095" w:type="pct"/>
            <w:tcBorders>
              <w:top w:val="single" w:color="auto" w:sz="4" w:space="0"/>
              <w:left w:val="single" w:color="auto" w:sz="4" w:space="0"/>
              <w:bottom w:val="single" w:color="auto" w:sz="4" w:space="0"/>
              <w:right w:val="single" w:color="auto" w:sz="4" w:space="0"/>
            </w:tcBorders>
            <w:noWrap/>
            <w:vAlign w:val="center"/>
          </w:tcPr>
          <w:p>
            <w:pPr>
              <w:pStyle w:val="149"/>
              <w:spacing w:line="240" w:lineRule="auto"/>
              <w:ind w:firstLine="0" w:firstLineChars="0"/>
              <w:rPr>
                <w:szCs w:val="21"/>
              </w:rPr>
            </w:pPr>
            <w:r>
              <w:rPr>
                <w:rFonts w:hint="eastAsia"/>
                <w:szCs w:val="21"/>
              </w:rPr>
              <w:t>本次变更报告主要考虑燃气锅炉产生的二氧化硫、氮氧化物、烟尘，其中需要申请的总量为烟尘</w:t>
            </w:r>
            <w:r>
              <w:rPr>
                <w:szCs w:val="21"/>
              </w:rPr>
              <w:t>0.</w:t>
            </w:r>
            <w:r>
              <w:rPr>
                <w:rFonts w:hint="eastAsia"/>
                <w:szCs w:val="21"/>
              </w:rPr>
              <w:t>205</w:t>
            </w:r>
            <w:r>
              <w:rPr>
                <w:szCs w:val="21"/>
              </w:rPr>
              <w:t>t/a</w:t>
            </w:r>
            <w:r>
              <w:rPr>
                <w:rFonts w:hint="eastAsia"/>
                <w:szCs w:val="21"/>
              </w:rPr>
              <w:t>、SO</w:t>
            </w:r>
            <w:r>
              <w:rPr>
                <w:rFonts w:hint="eastAsia"/>
                <w:szCs w:val="21"/>
                <w:vertAlign w:val="subscript"/>
              </w:rPr>
              <w:t xml:space="preserve">2 </w:t>
            </w:r>
            <w:r>
              <w:rPr>
                <w:rFonts w:hint="eastAsia"/>
                <w:szCs w:val="21"/>
              </w:rPr>
              <w:t>1.43</w:t>
            </w:r>
            <w:r>
              <w:rPr>
                <w:szCs w:val="21"/>
              </w:rPr>
              <w:t>t/a</w:t>
            </w:r>
            <w:r>
              <w:rPr>
                <w:rFonts w:hint="eastAsia"/>
                <w:szCs w:val="21"/>
              </w:rPr>
              <w:t>、</w:t>
            </w:r>
            <w:r>
              <w:rPr>
                <w:szCs w:val="21"/>
              </w:rPr>
              <w:t>NOx</w:t>
            </w:r>
            <w:r>
              <w:rPr>
                <w:rFonts w:hint="eastAsia"/>
                <w:szCs w:val="21"/>
              </w:rPr>
              <w:t>2.05</w:t>
            </w:r>
            <w:r>
              <w:rPr>
                <w:szCs w:val="21"/>
              </w:rPr>
              <w:t>t/a</w:t>
            </w:r>
            <w:r>
              <w:rPr>
                <w:rFonts w:hint="eastAsia"/>
                <w:szCs w:val="21"/>
              </w:rPr>
              <w:t>。</w:t>
            </w:r>
          </w:p>
          <w:p>
            <w:pPr>
              <w:pStyle w:val="149"/>
              <w:spacing w:line="240" w:lineRule="auto"/>
              <w:ind w:firstLine="0" w:firstLineChars="0"/>
              <w:rPr>
                <w:spacing w:val="4"/>
                <w:szCs w:val="21"/>
                <w:highlight w:val="yellow"/>
              </w:rPr>
            </w:pPr>
            <w:r>
              <w:rPr>
                <w:rFonts w:hint="eastAsia"/>
                <w:spacing w:val="4"/>
                <w:szCs w:val="21"/>
              </w:rPr>
              <w:t>根据原吕梁市环境保护局吕环函【</w:t>
            </w:r>
            <w:r>
              <w:rPr>
                <w:spacing w:val="4"/>
                <w:szCs w:val="21"/>
              </w:rPr>
              <w:t>201</w:t>
            </w:r>
            <w:r>
              <w:rPr>
                <w:rFonts w:hint="eastAsia"/>
                <w:spacing w:val="4"/>
                <w:szCs w:val="21"/>
              </w:rPr>
              <w:t>2】121号文</w:t>
            </w:r>
            <w:r>
              <w:rPr>
                <w:spacing w:val="4"/>
                <w:szCs w:val="21"/>
              </w:rPr>
              <w:t>“</w:t>
            </w:r>
            <w:r>
              <w:rPr>
                <w:rFonts w:hint="eastAsia"/>
                <w:spacing w:val="4"/>
                <w:szCs w:val="21"/>
              </w:rPr>
              <w:t>关于</w:t>
            </w:r>
            <w:r>
              <w:rPr>
                <w:rFonts w:hint="eastAsia"/>
                <w:bCs/>
                <w:spacing w:val="4"/>
                <w:szCs w:val="21"/>
              </w:rPr>
              <w:t>山西煤炭运销集团新工煤业有限公司12</w:t>
            </w:r>
            <w:r>
              <w:rPr>
                <w:bCs/>
                <w:spacing w:val="4"/>
                <w:szCs w:val="21"/>
              </w:rPr>
              <w:t>0</w:t>
            </w:r>
            <w:r>
              <w:rPr>
                <w:rFonts w:hint="eastAsia"/>
                <w:bCs/>
                <w:spacing w:val="4"/>
                <w:szCs w:val="21"/>
              </w:rPr>
              <w:t>万</w:t>
            </w:r>
            <w:r>
              <w:rPr>
                <w:bCs/>
                <w:spacing w:val="4"/>
                <w:szCs w:val="21"/>
              </w:rPr>
              <w:t>t/a</w:t>
            </w:r>
            <w:r>
              <w:rPr>
                <w:rFonts w:hint="eastAsia"/>
                <w:bCs/>
                <w:spacing w:val="4"/>
                <w:szCs w:val="21"/>
              </w:rPr>
              <w:t>矿井兼并重组整合项目主要污染物排放总量指标的批复</w:t>
            </w:r>
            <w:r>
              <w:rPr>
                <w:spacing w:val="4"/>
                <w:szCs w:val="21"/>
              </w:rPr>
              <w:t>”</w:t>
            </w:r>
            <w:r>
              <w:rPr>
                <w:rFonts w:hint="eastAsia"/>
                <w:spacing w:val="4"/>
                <w:szCs w:val="21"/>
              </w:rPr>
              <w:t>，核定总量为SO</w:t>
            </w:r>
            <w:r>
              <w:rPr>
                <w:rFonts w:hint="eastAsia"/>
                <w:spacing w:val="4"/>
                <w:szCs w:val="21"/>
                <w:vertAlign w:val="subscript"/>
              </w:rPr>
              <w:t>2</w:t>
            </w:r>
            <w:r>
              <w:rPr>
                <w:rFonts w:hint="eastAsia"/>
                <w:spacing w:val="4"/>
                <w:szCs w:val="21"/>
              </w:rPr>
              <w:t>19.61</w:t>
            </w:r>
            <w:r>
              <w:rPr>
                <w:spacing w:val="4"/>
                <w:szCs w:val="21"/>
              </w:rPr>
              <w:t>t/a</w:t>
            </w:r>
            <w:r>
              <w:rPr>
                <w:rFonts w:hint="eastAsia"/>
                <w:spacing w:val="4"/>
                <w:szCs w:val="21"/>
              </w:rPr>
              <w:t>、</w:t>
            </w:r>
            <w:r>
              <w:rPr>
                <w:spacing w:val="4"/>
                <w:szCs w:val="21"/>
              </w:rPr>
              <w:t>NOx</w:t>
            </w:r>
            <w:r>
              <w:rPr>
                <w:rFonts w:hint="eastAsia"/>
                <w:spacing w:val="4"/>
                <w:szCs w:val="21"/>
              </w:rPr>
              <w:t xml:space="preserve"> 25.04</w:t>
            </w:r>
            <w:r>
              <w:rPr>
                <w:spacing w:val="4"/>
                <w:szCs w:val="21"/>
              </w:rPr>
              <w:t>t/a</w:t>
            </w:r>
            <w:r>
              <w:rPr>
                <w:rFonts w:hint="eastAsia"/>
                <w:spacing w:val="4"/>
                <w:szCs w:val="21"/>
              </w:rPr>
              <w:t>，烟尘9.39</w:t>
            </w:r>
            <w:r>
              <w:rPr>
                <w:spacing w:val="4"/>
                <w:szCs w:val="21"/>
              </w:rPr>
              <w:t>t/a</w:t>
            </w:r>
            <w:r>
              <w:rPr>
                <w:rFonts w:hint="eastAsia"/>
                <w:spacing w:val="4"/>
                <w:szCs w:val="21"/>
              </w:rPr>
              <w:t>、粉尘3.38</w:t>
            </w:r>
            <w:r>
              <w:rPr>
                <w:spacing w:val="4"/>
                <w:szCs w:val="21"/>
              </w:rPr>
              <w:t>t/a</w:t>
            </w:r>
            <w:r>
              <w:rPr>
                <w:rFonts w:hint="eastAsia"/>
                <w:spacing w:val="4"/>
                <w:szCs w:val="21"/>
              </w:rPr>
              <w:t>，烟尘、二氧化硫、氮氧化物均可满足本次环评总量控制指标要求。</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4</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对井工开采项目的沉陷区及临时排矸场，应明确生态恢复目标，提出施工期、运行期、闭矿期合理可行的生态保护与恢复措施。对受煤炭开采影响的居民住宅、地面重要基础设施等环境保护目标，应提出相应的保护措施。</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highlight w:val="yellow"/>
              </w:rPr>
            </w:pPr>
            <w:r>
              <w:rPr>
                <w:rFonts w:hint="eastAsia"/>
                <w:kern w:val="0"/>
                <w:szCs w:val="21"/>
              </w:rPr>
              <w:t>评价制定了沉陷区、临时排矸场土地复垦和生态恢复方案，从施工期、运行期和闭矿期提出了生态保护和恢复措施，区内部分村庄均按照相关要求留设了保护煤柱。</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5</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煤炭开采可能对自然保护区、风景名胜区、饮用水水源保护区的重要环境敏感目标造成不利影响的，应提出禁止开采、限制开采、充填开采等保护措施</w:t>
            </w:r>
            <w:r>
              <w:rPr>
                <w:kern w:val="0"/>
                <w:szCs w:val="21"/>
              </w:rPr>
              <w:t>;</w:t>
            </w:r>
            <w:r>
              <w:rPr>
                <w:rFonts w:hint="eastAsia"/>
                <w:kern w:val="0"/>
                <w:szCs w:val="21"/>
              </w:rPr>
              <w:t>涉及其他敏感区域保护目标的，应明确提出设置禁采区、限采区、限高开采、充填开采、条带开采等措施。</w:t>
            </w:r>
          </w:p>
          <w:p>
            <w:pPr>
              <w:rPr>
                <w:kern w:val="0"/>
                <w:szCs w:val="21"/>
              </w:rPr>
            </w:pPr>
            <w:r>
              <w:rPr>
                <w:rFonts w:hint="eastAsia"/>
                <w:kern w:val="0"/>
                <w:szCs w:val="21"/>
              </w:rPr>
              <w:t>煤炭开采对具有供水意义的含水层、集中式与分散式供水水源的地下水资源可能造成影响的，应提出保水采煤等措施并制定长期供水替代方案</w:t>
            </w:r>
            <w:r>
              <w:rPr>
                <w:kern w:val="0"/>
                <w:szCs w:val="21"/>
              </w:rPr>
              <w:t>;</w:t>
            </w:r>
            <w:r>
              <w:rPr>
                <w:rFonts w:hint="eastAsia"/>
                <w:kern w:val="0"/>
                <w:szCs w:val="21"/>
              </w:rPr>
              <w:t>对地下水水质可能造成污染影响的应提出防渗等污染防治措施。</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本矿井井田范围内不涉及自然保护区、风景名胜区、饮用水水源保护区等法律法规明令禁止采矿和占用的区域。</w:t>
            </w:r>
          </w:p>
          <w:p>
            <w:pPr>
              <w:rPr>
                <w:kern w:val="0"/>
                <w:szCs w:val="21"/>
                <w:highlight w:val="yellow"/>
              </w:rPr>
            </w:pPr>
            <w:r>
              <w:rPr>
                <w:rFonts w:hint="eastAsia"/>
                <w:kern w:val="0"/>
                <w:szCs w:val="21"/>
              </w:rPr>
              <w:t>项目提出了工业场地分区防渗措施。</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6</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项目应配套建设矿井</w:t>
            </w:r>
            <w:r>
              <w:rPr>
                <w:kern w:val="0"/>
                <w:szCs w:val="21"/>
              </w:rPr>
              <w:t>(</w:t>
            </w:r>
            <w:r>
              <w:rPr>
                <w:rFonts w:hint="eastAsia"/>
                <w:kern w:val="0"/>
                <w:szCs w:val="21"/>
              </w:rPr>
              <w:t>坑</w:t>
            </w:r>
            <w:r>
              <w:rPr>
                <w:kern w:val="0"/>
                <w:szCs w:val="21"/>
              </w:rPr>
              <w:t>)</w:t>
            </w:r>
            <w:r>
              <w:rPr>
                <w:rFonts w:hint="eastAsia"/>
                <w:kern w:val="0"/>
                <w:szCs w:val="21"/>
              </w:rPr>
              <w:t>水、生活污水、生产废水处理设施，处理后的废水应立足综合利用，生活污水、生产废水等原则上不得外排。选煤厂煤泥水应实现闭路循环，工业场地初期雨水应收集处理。无法全部综合利用的废水，应满足相关排放标准要求后排放。</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项目配套建设了生活污水和矿井水处理站。生活污水经处理后全部回用，矿井水经处理后全部回用不外排。工业场地设了初期雨水收集池。</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7</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煤矸石等固体废物应优先综合利用，明确煤矸石综合利用途径和处置方式，满足《煤矸石综合利用管理办法》相关要求。暂不具备综合利用条件的，排至临时矸石堆放场</w:t>
            </w:r>
            <w:r>
              <w:rPr>
                <w:kern w:val="0"/>
                <w:szCs w:val="21"/>
              </w:rPr>
              <w:t>(</w:t>
            </w:r>
            <w:r>
              <w:rPr>
                <w:rFonts w:hint="eastAsia"/>
                <w:kern w:val="0"/>
                <w:szCs w:val="21"/>
              </w:rPr>
              <w:t>库</w:t>
            </w:r>
            <w:r>
              <w:rPr>
                <w:kern w:val="0"/>
                <w:szCs w:val="21"/>
              </w:rPr>
              <w:t>)</w:t>
            </w:r>
            <w:r>
              <w:rPr>
                <w:rFonts w:hint="eastAsia"/>
                <w:kern w:val="0"/>
                <w:szCs w:val="21"/>
              </w:rPr>
              <w:t>储存，储存规模不超过</w:t>
            </w:r>
            <w:r>
              <w:rPr>
                <w:kern w:val="0"/>
                <w:szCs w:val="21"/>
              </w:rPr>
              <w:t>3</w:t>
            </w:r>
            <w:r>
              <w:rPr>
                <w:rFonts w:hint="eastAsia"/>
                <w:kern w:val="0"/>
                <w:szCs w:val="21"/>
              </w:rPr>
              <w:t>年储矸量，且必须有后续综合利用方案。临时矸石堆放场</w:t>
            </w:r>
            <w:r>
              <w:rPr>
                <w:kern w:val="0"/>
                <w:szCs w:val="21"/>
              </w:rPr>
              <w:t>(</w:t>
            </w:r>
            <w:r>
              <w:rPr>
                <w:rFonts w:hint="eastAsia"/>
                <w:kern w:val="0"/>
                <w:szCs w:val="21"/>
              </w:rPr>
              <w:t>库</w:t>
            </w:r>
            <w:r>
              <w:rPr>
                <w:kern w:val="0"/>
                <w:szCs w:val="21"/>
              </w:rPr>
              <w:t>)</w:t>
            </w:r>
            <w:r>
              <w:rPr>
                <w:rFonts w:hint="eastAsia"/>
                <w:kern w:val="0"/>
                <w:szCs w:val="21"/>
              </w:rPr>
              <w:t>选址、建设和运行应满足《一般工业固体废物贮存、处置场污染控制标准》</w:t>
            </w:r>
            <w:r>
              <w:rPr>
                <w:kern w:val="0"/>
                <w:szCs w:val="21"/>
              </w:rPr>
              <w:t>( GB18599)</w:t>
            </w:r>
            <w:r>
              <w:rPr>
                <w:rFonts w:hint="eastAsia"/>
                <w:kern w:val="0"/>
                <w:szCs w:val="21"/>
              </w:rPr>
              <w:t>要求。</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highlight w:val="yellow"/>
              </w:rPr>
            </w:pPr>
            <w:r>
              <w:rPr>
                <w:rFonts w:hint="eastAsia" w:eastAsiaTheme="minorEastAsia"/>
                <w:szCs w:val="21"/>
              </w:rPr>
              <w:t>矸石优先送往山西华光发电有限责任公司综合利用，利用不畅时送至原环评批复的临时矸石场填埋。原山西省环境保护厅以晋环函[2014]745号对</w:t>
            </w:r>
            <w:r>
              <w:rPr>
                <w:rFonts w:hint="eastAsia"/>
                <w:kern w:val="0"/>
                <w:szCs w:val="21"/>
              </w:rPr>
              <w:t>本矿临时性矸石堆放场已批复。</w:t>
            </w:r>
            <w:r>
              <w:rPr>
                <w:rFonts w:hint="eastAsia"/>
                <w:szCs w:val="21"/>
              </w:rPr>
              <w:t>目前矸石场已堆矸23</w:t>
            </w:r>
            <w:r>
              <w:rPr>
                <w:szCs w:val="21"/>
              </w:rPr>
              <w:t>万m</w:t>
            </w:r>
            <w:r>
              <w:rPr>
                <w:szCs w:val="21"/>
                <w:vertAlign w:val="superscript"/>
              </w:rPr>
              <w:t>3</w:t>
            </w:r>
            <w:r>
              <w:rPr>
                <w:rFonts w:hint="eastAsia"/>
                <w:szCs w:val="21"/>
              </w:rPr>
              <w:t>，剩余库容约37万m</w:t>
            </w:r>
            <w:r>
              <w:rPr>
                <w:rFonts w:hint="eastAsia"/>
                <w:szCs w:val="21"/>
                <w:vertAlign w:val="superscript"/>
              </w:rPr>
              <w:t>3</w:t>
            </w:r>
            <w:r>
              <w:rPr>
                <w:rFonts w:hint="eastAsia"/>
                <w:szCs w:val="21"/>
              </w:rPr>
              <w:t>，服务年限约3年，目前所堆矸石主要为煤矿掘进矸石。</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8</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煤矿地面储、装、运及生产系统各产尘环节应采取有效抑尘措施。涉及环境敏感区或区域颗粒物超标地区的项目，应封闭储煤，厂界无组织排放满足相关标准要求。优先采用依托热源、水源热泵、气源热泵、清洁能源等供热形式，确需建设燃煤锅炉的，应符合《大气污染防治行动计划》等相关要求，采取高效烟气脱硫、脱硝和除尘措施，并安装烟气在线监测系统，污染物排放应满足相关排放标准要求。</w:t>
            </w:r>
          </w:p>
          <w:p>
            <w:pPr>
              <w:rPr>
                <w:kern w:val="0"/>
                <w:szCs w:val="21"/>
              </w:rPr>
            </w:pPr>
            <w:r>
              <w:rPr>
                <w:rFonts w:hint="eastAsia"/>
                <w:kern w:val="0"/>
                <w:szCs w:val="21"/>
              </w:rPr>
              <w:t>高浓度瓦斯禁止排放，应配套建设瓦斯利用设施或提出瓦斯综合利用方案</w:t>
            </w:r>
            <w:r>
              <w:rPr>
                <w:kern w:val="0"/>
                <w:szCs w:val="21"/>
              </w:rPr>
              <w:t>;</w:t>
            </w:r>
            <w:r>
              <w:rPr>
                <w:rFonts w:hint="eastAsia"/>
                <w:kern w:val="0"/>
                <w:szCs w:val="21"/>
              </w:rPr>
              <w:t>积极开展低浓度瓦斯综合利用工作，鼓励风排瓦斯综合利用。瓦斯排放应满足《煤层气</w:t>
            </w:r>
            <w:r>
              <w:rPr>
                <w:kern w:val="0"/>
                <w:szCs w:val="21"/>
              </w:rPr>
              <w:t>(</w:t>
            </w:r>
            <w:r>
              <w:rPr>
                <w:rFonts w:hint="eastAsia"/>
                <w:kern w:val="0"/>
                <w:szCs w:val="21"/>
              </w:rPr>
              <w:t>煤矿瓦斯</w:t>
            </w:r>
            <w:r>
              <w:rPr>
                <w:kern w:val="0"/>
                <w:szCs w:val="21"/>
              </w:rPr>
              <w:t>)</w:t>
            </w:r>
            <w:r>
              <w:rPr>
                <w:rFonts w:hint="eastAsia"/>
                <w:kern w:val="0"/>
                <w:szCs w:val="21"/>
              </w:rPr>
              <w:t>排放标准</w:t>
            </w:r>
            <w:r>
              <w:rPr>
                <w:kern w:val="0"/>
                <w:szCs w:val="21"/>
              </w:rPr>
              <w:t>(</w:t>
            </w:r>
            <w:r>
              <w:rPr>
                <w:rFonts w:hint="eastAsia"/>
                <w:kern w:val="0"/>
                <w:szCs w:val="21"/>
              </w:rPr>
              <w:t>暂行</w:t>
            </w:r>
            <w:r>
              <w:rPr>
                <w:kern w:val="0"/>
                <w:szCs w:val="21"/>
              </w:rPr>
              <w:t>)</w:t>
            </w:r>
            <w:r>
              <w:rPr>
                <w:rFonts w:hint="eastAsia"/>
                <w:kern w:val="0"/>
                <w:szCs w:val="21"/>
              </w:rPr>
              <w:t>》要求。</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煤矿储煤棚全封闭并设覆盖全场的喷雾装置，输煤走廊为全封闭，同时设洗车平台。</w:t>
            </w:r>
          </w:p>
          <w:p>
            <w:pPr>
              <w:rPr>
                <w:kern w:val="0"/>
                <w:szCs w:val="21"/>
              </w:rPr>
            </w:pPr>
            <w:r>
              <w:rPr>
                <w:rFonts w:hint="eastAsia"/>
                <w:szCs w:val="21"/>
              </w:rPr>
              <w:t>本项目采暖使用</w:t>
            </w:r>
            <w:r>
              <w:rPr>
                <w:rFonts w:hint="eastAsia"/>
                <w:kern w:val="0"/>
                <w:szCs w:val="21"/>
              </w:rPr>
              <w:t>天然气燃气锅炉及空气能热泵空调。</w:t>
            </w:r>
          </w:p>
          <w:p>
            <w:pPr>
              <w:rPr>
                <w:kern w:val="0"/>
                <w:szCs w:val="21"/>
                <w:highlight w:val="yellow"/>
              </w:rPr>
            </w:pPr>
            <w:r>
              <w:rPr>
                <w:rFonts w:hint="eastAsia"/>
                <w:kern w:val="0"/>
                <w:szCs w:val="21"/>
              </w:rPr>
              <w:t>本矿井属低瓦斯矿井，不具备综合利用价值，无法对瓦斯进行综合利用。</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9</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选择低噪声设备、优化场地布局并采取隔声、消声、减振等措施有效控制噪声影响，厂界噪声应满足《工业企业厂界环境噪声排放标准》</w:t>
            </w:r>
            <w:r>
              <w:rPr>
                <w:kern w:val="0"/>
                <w:szCs w:val="21"/>
              </w:rPr>
              <w:t>(GB12348)</w:t>
            </w:r>
            <w:r>
              <w:rPr>
                <w:rFonts w:hint="eastAsia"/>
                <w:kern w:val="0"/>
                <w:szCs w:val="21"/>
              </w:rPr>
              <w:t>要求。</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highlight w:val="yellow"/>
              </w:rPr>
            </w:pPr>
            <w:r>
              <w:rPr>
                <w:rFonts w:hint="eastAsia"/>
                <w:kern w:val="0"/>
                <w:szCs w:val="21"/>
              </w:rPr>
              <w:t>根据预测，项目工业场地厂界噪声均满足《工业企业厂界环境噪声排放标准》</w:t>
            </w:r>
            <w:r>
              <w:rPr>
                <w:kern w:val="0"/>
                <w:szCs w:val="21"/>
              </w:rPr>
              <w:t>(GB12348)2</w:t>
            </w:r>
            <w:r>
              <w:rPr>
                <w:rFonts w:hint="eastAsia"/>
                <w:kern w:val="0"/>
                <w:szCs w:val="21"/>
              </w:rPr>
              <w:t>类标准限值要求</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10</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改、扩建</w:t>
            </w:r>
            <w:r>
              <w:rPr>
                <w:kern w:val="0"/>
                <w:szCs w:val="21"/>
              </w:rPr>
              <w:t>(</w:t>
            </w:r>
            <w:r>
              <w:rPr>
                <w:rFonts w:hint="eastAsia"/>
                <w:kern w:val="0"/>
                <w:szCs w:val="21"/>
              </w:rPr>
              <w:t>兼并重组</w:t>
            </w:r>
            <w:r>
              <w:rPr>
                <w:kern w:val="0"/>
                <w:szCs w:val="21"/>
              </w:rPr>
              <w:t>)</w:t>
            </w:r>
            <w:r>
              <w:rPr>
                <w:rFonts w:hint="eastAsia"/>
                <w:kern w:val="0"/>
                <w:szCs w:val="21"/>
              </w:rPr>
              <w:t>项目应全面梳理现有工程存在的环保问题，提出</w:t>
            </w:r>
            <w:r>
              <w:rPr>
                <w:kern w:val="0"/>
                <w:szCs w:val="21"/>
              </w:rPr>
              <w:t>“</w:t>
            </w:r>
            <w:r>
              <w:rPr>
                <w:rFonts w:hint="eastAsia"/>
                <w:kern w:val="0"/>
                <w:szCs w:val="21"/>
              </w:rPr>
              <w:t>以新带老</w:t>
            </w:r>
            <w:r>
              <w:rPr>
                <w:kern w:val="0"/>
                <w:szCs w:val="21"/>
              </w:rPr>
              <w:t>”</w:t>
            </w:r>
            <w:r>
              <w:rPr>
                <w:rFonts w:hint="eastAsia"/>
                <w:kern w:val="0"/>
                <w:szCs w:val="21"/>
              </w:rPr>
              <w:t>整改方案</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highlight w:val="yellow"/>
              </w:rPr>
            </w:pPr>
            <w:r>
              <w:rPr>
                <w:rFonts w:hint="eastAsia"/>
                <w:kern w:val="0"/>
                <w:szCs w:val="21"/>
              </w:rPr>
              <w:t>本报告全面梳理了现有工程存在的环保问题，提出了</w:t>
            </w:r>
            <w:r>
              <w:rPr>
                <w:kern w:val="0"/>
                <w:szCs w:val="21"/>
              </w:rPr>
              <w:t>“</w:t>
            </w:r>
            <w:r>
              <w:rPr>
                <w:rFonts w:hint="eastAsia"/>
                <w:kern w:val="0"/>
                <w:szCs w:val="21"/>
              </w:rPr>
              <w:t>以新带老</w:t>
            </w:r>
            <w:r>
              <w:rPr>
                <w:kern w:val="0"/>
                <w:szCs w:val="21"/>
              </w:rPr>
              <w:t>”</w:t>
            </w:r>
            <w:r>
              <w:rPr>
                <w:rFonts w:hint="eastAsia"/>
                <w:kern w:val="0"/>
                <w:szCs w:val="21"/>
              </w:rPr>
              <w:t>整改方案</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11</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制定了生态、地下水、地表水等环境要素的跟踪监测计划，明确监测网点的布设、监测因子、监测频次和信息公开等要求，提出了采煤沉陷区长期地表岩移观测要求，提出了有效的环境风险防范措施及突发环境事件应急预案编制要求，纳入区域突发环境事件应急联动机制</w:t>
            </w:r>
          </w:p>
        </w:tc>
        <w:tc>
          <w:tcPr>
            <w:tcW w:w="2095" w:type="pct"/>
            <w:tcBorders>
              <w:top w:val="single" w:color="auto" w:sz="4" w:space="0"/>
              <w:left w:val="single" w:color="auto" w:sz="4" w:space="0"/>
              <w:bottom w:val="single" w:color="auto" w:sz="4" w:space="0"/>
              <w:right w:val="single" w:color="auto" w:sz="4" w:space="0"/>
            </w:tcBorders>
            <w:noWrap/>
            <w:vAlign w:val="center"/>
          </w:tcPr>
          <w:p>
            <w:pPr>
              <w:rPr>
                <w:kern w:val="0"/>
                <w:szCs w:val="21"/>
                <w:highlight w:val="yellow"/>
              </w:rPr>
            </w:pPr>
            <w:r>
              <w:rPr>
                <w:rFonts w:hint="eastAsia"/>
                <w:kern w:val="0"/>
                <w:szCs w:val="21"/>
              </w:rPr>
              <w:t>项目制定了生态、地下水、土壤等环境要素的跟踪监测计划，明确监测网点的布设、监测因子、监测频次和信息公开等要求，提出了采煤沉陷区长期地表岩移观测要求，提出了有效的环境风险防范措施及突发环境事件应急预案编制要求，纳入区域突发环境事件应急联动机制</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12</w:t>
            </w:r>
          </w:p>
        </w:tc>
        <w:tc>
          <w:tcPr>
            <w:tcW w:w="233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涉及放射性污染影响的煤炭采选项目，参照《矿产资源开发利用辐射环境监督管理名录》</w:t>
            </w:r>
            <w:r>
              <w:rPr>
                <w:kern w:val="0"/>
                <w:szCs w:val="21"/>
              </w:rPr>
              <w:t>(</w:t>
            </w:r>
            <w:r>
              <w:rPr>
                <w:rFonts w:hint="eastAsia"/>
                <w:kern w:val="0"/>
                <w:szCs w:val="21"/>
              </w:rPr>
              <w:t>第一批</w:t>
            </w:r>
            <w:r>
              <w:rPr>
                <w:kern w:val="0"/>
                <w:szCs w:val="21"/>
              </w:rPr>
              <w:t>)</w:t>
            </w:r>
            <w:r>
              <w:rPr>
                <w:rFonts w:hint="eastAsia"/>
                <w:kern w:val="0"/>
                <w:szCs w:val="21"/>
              </w:rPr>
              <w:t>中石煤行业相关要求，原煤、产品煤、矸石或其他残留物铀</w:t>
            </w:r>
            <w:r>
              <w:rPr>
                <w:kern w:val="0"/>
                <w:szCs w:val="21"/>
              </w:rPr>
              <w:t>(</w:t>
            </w:r>
            <w:r>
              <w:rPr>
                <w:rFonts w:hint="eastAsia"/>
                <w:kern w:val="0"/>
                <w:szCs w:val="21"/>
              </w:rPr>
              <w:t>钍</w:t>
            </w:r>
            <w:r>
              <w:rPr>
                <w:kern w:val="0"/>
                <w:szCs w:val="21"/>
              </w:rPr>
              <w:t>)</w:t>
            </w:r>
            <w:r>
              <w:rPr>
                <w:rFonts w:hint="eastAsia"/>
                <w:kern w:val="0"/>
                <w:szCs w:val="21"/>
              </w:rPr>
              <w:t>系单个核素含量超过</w:t>
            </w:r>
            <w:r>
              <w:rPr>
                <w:kern w:val="0"/>
                <w:szCs w:val="21"/>
              </w:rPr>
              <w:t>1</w:t>
            </w:r>
            <w:r>
              <w:rPr>
                <w:rFonts w:hint="eastAsia"/>
                <w:kern w:val="0"/>
                <w:szCs w:val="21"/>
              </w:rPr>
              <w:t>贝可</w:t>
            </w:r>
            <w:r>
              <w:rPr>
                <w:kern w:val="0"/>
                <w:szCs w:val="21"/>
              </w:rPr>
              <w:t>/</w:t>
            </w:r>
            <w:r>
              <w:rPr>
                <w:rFonts w:hint="eastAsia"/>
                <w:kern w:val="0"/>
                <w:szCs w:val="21"/>
              </w:rPr>
              <w:t>克</w:t>
            </w:r>
            <w:r>
              <w:rPr>
                <w:kern w:val="0"/>
                <w:szCs w:val="21"/>
              </w:rPr>
              <w:t>(1Bq/g)</w:t>
            </w:r>
            <w:r>
              <w:rPr>
                <w:rFonts w:hint="eastAsia"/>
                <w:kern w:val="0"/>
                <w:szCs w:val="21"/>
              </w:rPr>
              <w:t>的项目，应开展辐射环境污染评价。开采高砷、高铝煤矿等项目，提出了产品煤去向及环境管理要求。</w:t>
            </w:r>
          </w:p>
        </w:tc>
        <w:tc>
          <w:tcPr>
            <w:tcW w:w="2095" w:type="pct"/>
            <w:tcBorders>
              <w:top w:val="single" w:color="auto" w:sz="4" w:space="0"/>
              <w:left w:val="single" w:color="auto" w:sz="4" w:space="0"/>
              <w:bottom w:val="single" w:color="auto" w:sz="4" w:space="0"/>
              <w:right w:val="single" w:color="auto" w:sz="4" w:space="0"/>
            </w:tcBorders>
            <w:noWrap/>
            <w:vAlign w:val="center"/>
          </w:tcPr>
          <w:p>
            <w:pPr>
              <w:rPr>
                <w:rFonts w:eastAsia="Courier New"/>
                <w:kern w:val="0"/>
                <w:szCs w:val="21"/>
                <w:highlight w:val="yellow"/>
              </w:rPr>
            </w:pPr>
            <w:r>
              <w:rPr>
                <w:rFonts w:hint="eastAsia"/>
                <w:kern w:val="0"/>
                <w:szCs w:val="21"/>
              </w:rPr>
              <w:t>本矿井不涉及放射性污染影响。</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12" w:space="0"/>
              <w:right w:val="single" w:color="auto" w:sz="4" w:space="0"/>
            </w:tcBorders>
            <w:noWrap/>
            <w:vAlign w:val="center"/>
          </w:tcPr>
          <w:p>
            <w:pPr>
              <w:jc w:val="center"/>
              <w:rPr>
                <w:kern w:val="0"/>
                <w:szCs w:val="21"/>
              </w:rPr>
            </w:pPr>
            <w:r>
              <w:rPr>
                <w:kern w:val="0"/>
                <w:szCs w:val="21"/>
              </w:rPr>
              <w:t>13</w:t>
            </w:r>
          </w:p>
        </w:tc>
        <w:tc>
          <w:tcPr>
            <w:tcW w:w="2331" w:type="pct"/>
            <w:tcBorders>
              <w:top w:val="single" w:color="auto" w:sz="4" w:space="0"/>
              <w:left w:val="single" w:color="auto" w:sz="4" w:space="0"/>
              <w:bottom w:val="single" w:color="auto" w:sz="12" w:space="0"/>
              <w:right w:val="single" w:color="auto" w:sz="4" w:space="0"/>
            </w:tcBorders>
            <w:noWrap/>
            <w:vAlign w:val="center"/>
          </w:tcPr>
          <w:p>
            <w:pPr>
              <w:rPr>
                <w:kern w:val="0"/>
                <w:szCs w:val="21"/>
              </w:rPr>
            </w:pPr>
            <w:r>
              <w:rPr>
                <w:rFonts w:hint="eastAsia"/>
                <w:kern w:val="0"/>
                <w:szCs w:val="21"/>
              </w:rPr>
              <w:t>按相关规定开展了信息公开和公众参与。</w:t>
            </w:r>
          </w:p>
        </w:tc>
        <w:tc>
          <w:tcPr>
            <w:tcW w:w="2095" w:type="pct"/>
            <w:tcBorders>
              <w:top w:val="single" w:color="auto" w:sz="4" w:space="0"/>
              <w:left w:val="single" w:color="auto" w:sz="4" w:space="0"/>
              <w:bottom w:val="single" w:color="auto" w:sz="12" w:space="0"/>
              <w:right w:val="single" w:color="auto" w:sz="4" w:space="0"/>
            </w:tcBorders>
            <w:noWrap/>
            <w:vAlign w:val="center"/>
          </w:tcPr>
          <w:p>
            <w:pPr>
              <w:rPr>
                <w:kern w:val="0"/>
                <w:szCs w:val="21"/>
                <w:highlight w:val="yellow"/>
              </w:rPr>
            </w:pPr>
            <w:r>
              <w:rPr>
                <w:rFonts w:hint="eastAsia"/>
                <w:kern w:val="0"/>
                <w:szCs w:val="21"/>
              </w:rPr>
              <w:t>项目按</w:t>
            </w:r>
            <w:r>
              <w:rPr>
                <w:kern w:val="0"/>
                <w:szCs w:val="21"/>
              </w:rPr>
              <w:t>2018</w:t>
            </w:r>
            <w:r>
              <w:rPr>
                <w:rFonts w:hint="eastAsia"/>
                <w:kern w:val="0"/>
                <w:szCs w:val="21"/>
              </w:rPr>
              <w:t>年正式发布的《环境影响评价公众参与办法》进行了信息公开和公众参与</w:t>
            </w:r>
          </w:p>
        </w:tc>
        <w:tc>
          <w:tcPr>
            <w:tcW w:w="286" w:type="pct"/>
            <w:tcBorders>
              <w:top w:val="single" w:color="auto" w:sz="4" w:space="0"/>
              <w:left w:val="single" w:color="auto" w:sz="4" w:space="0"/>
              <w:bottom w:val="single" w:color="auto" w:sz="12" w:space="0"/>
              <w:right w:val="single" w:color="auto" w:sz="12" w:space="0"/>
            </w:tcBorders>
            <w:noWrap/>
            <w:vAlign w:val="center"/>
          </w:tcPr>
          <w:p>
            <w:pPr>
              <w:jc w:val="center"/>
              <w:rPr>
                <w:szCs w:val="21"/>
              </w:rPr>
            </w:pPr>
            <w:r>
              <w:rPr>
                <w:rFonts w:hint="eastAsia"/>
                <w:szCs w:val="21"/>
              </w:rPr>
              <w:t>符合</w:t>
            </w:r>
          </w:p>
        </w:tc>
      </w:tr>
    </w:tbl>
    <w:p>
      <w:pPr>
        <w:spacing w:line="360" w:lineRule="auto"/>
        <w:ind w:firstLine="480" w:firstLineChars="200"/>
        <w:rPr>
          <w:kern w:val="0"/>
          <w:sz w:val="24"/>
        </w:rPr>
      </w:pPr>
      <w:r>
        <w:rPr>
          <w:rFonts w:hint="eastAsia"/>
          <w:sz w:val="24"/>
        </w:rPr>
        <w:t>综上所述，项目建设与</w:t>
      </w:r>
      <w:r>
        <w:rPr>
          <w:rFonts w:hint="eastAsia"/>
          <w:kern w:val="0"/>
          <w:sz w:val="24"/>
        </w:rPr>
        <w:t>《煤炭采选建设项目环境影响评价审批原则（试行））》（环办环评</w:t>
      </w:r>
      <w:r>
        <w:rPr>
          <w:kern w:val="0"/>
          <w:sz w:val="24"/>
        </w:rPr>
        <w:t>[2016]114</w:t>
      </w:r>
      <w:r>
        <w:rPr>
          <w:rFonts w:hint="eastAsia"/>
          <w:kern w:val="0"/>
          <w:sz w:val="24"/>
        </w:rPr>
        <w:t>号）相符。</w:t>
      </w:r>
    </w:p>
    <w:p>
      <w:pPr>
        <w:spacing w:line="360" w:lineRule="auto"/>
        <w:ind w:firstLine="480" w:firstLineChars="200"/>
        <w:rPr>
          <w:sz w:val="24"/>
        </w:rPr>
      </w:pPr>
      <w:r>
        <w:rPr>
          <w:rFonts w:hint="eastAsia"/>
          <w:sz w:val="24"/>
        </w:rPr>
        <w:t>（7）项目与《</w:t>
      </w:r>
      <w:r>
        <w:rPr>
          <w:rFonts w:hint="eastAsia"/>
          <w:sz w:val="24"/>
          <w:lang w:val="zh-TW"/>
        </w:rPr>
        <w:t>关于进一步加强煤炭资源开发环境影响评价管理的通知</w:t>
      </w:r>
      <w:r>
        <w:rPr>
          <w:rFonts w:hint="eastAsia"/>
          <w:sz w:val="24"/>
        </w:rPr>
        <w:t>》（环环评</w:t>
      </w:r>
      <w:r>
        <w:rPr>
          <w:sz w:val="24"/>
        </w:rPr>
        <w:t>[2020]63</w:t>
      </w:r>
      <w:r>
        <w:rPr>
          <w:rFonts w:hint="eastAsia"/>
          <w:sz w:val="24"/>
        </w:rPr>
        <w:t>号）的符合性分析</w:t>
      </w:r>
    </w:p>
    <w:p>
      <w:pPr>
        <w:spacing w:line="360" w:lineRule="auto"/>
        <w:ind w:firstLine="480" w:firstLineChars="200"/>
        <w:rPr>
          <w:sz w:val="24"/>
        </w:rPr>
      </w:pPr>
      <w:r>
        <w:rPr>
          <w:rFonts w:hint="eastAsia"/>
          <w:sz w:val="24"/>
        </w:rPr>
        <w:t>本项目与《</w:t>
      </w:r>
      <w:r>
        <w:rPr>
          <w:rFonts w:hint="eastAsia"/>
          <w:sz w:val="24"/>
          <w:lang w:val="zh-TW"/>
        </w:rPr>
        <w:t>关于进一步加强煤炭资源开发环境影响评价管理的通知</w:t>
      </w:r>
      <w:r>
        <w:rPr>
          <w:rFonts w:hint="eastAsia"/>
          <w:sz w:val="24"/>
        </w:rPr>
        <w:t>》（环环评</w:t>
      </w:r>
      <w:r>
        <w:rPr>
          <w:sz w:val="24"/>
        </w:rPr>
        <w:t>[2020]63</w:t>
      </w:r>
      <w:r>
        <w:rPr>
          <w:rFonts w:hint="eastAsia"/>
          <w:sz w:val="24"/>
        </w:rPr>
        <w:t>号）见下表：</w:t>
      </w:r>
    </w:p>
    <w:p>
      <w:pPr>
        <w:jc w:val="center"/>
        <w:rPr>
          <w:kern w:val="0"/>
          <w:sz w:val="24"/>
        </w:rPr>
      </w:pPr>
      <w:r>
        <w:rPr>
          <w:rFonts w:hint="eastAsia"/>
          <w:b/>
          <w:bCs/>
          <w:kern w:val="0"/>
          <w:szCs w:val="21"/>
        </w:rPr>
        <w:t>表</w:t>
      </w:r>
      <w:r>
        <w:rPr>
          <w:b/>
          <w:bCs/>
          <w:kern w:val="0"/>
          <w:szCs w:val="21"/>
        </w:rPr>
        <w:t>1.</w:t>
      </w:r>
      <w:r>
        <w:rPr>
          <w:rFonts w:hint="eastAsia"/>
          <w:b/>
          <w:bCs/>
          <w:kern w:val="0"/>
          <w:szCs w:val="21"/>
        </w:rPr>
        <w:t>3</w:t>
      </w:r>
      <w:r>
        <w:rPr>
          <w:b/>
          <w:bCs/>
          <w:kern w:val="0"/>
          <w:szCs w:val="21"/>
        </w:rPr>
        <w:t>-</w:t>
      </w:r>
      <w:r>
        <w:rPr>
          <w:rFonts w:hint="eastAsia"/>
          <w:b/>
          <w:bCs/>
          <w:kern w:val="0"/>
          <w:szCs w:val="21"/>
        </w:rPr>
        <w:t>4 本项目与环环评</w:t>
      </w:r>
      <w:r>
        <w:rPr>
          <w:b/>
          <w:bCs/>
          <w:kern w:val="0"/>
          <w:szCs w:val="21"/>
        </w:rPr>
        <w:t>[2020]63</w:t>
      </w:r>
      <w:r>
        <w:rPr>
          <w:rFonts w:hint="eastAsia"/>
          <w:b/>
          <w:bCs/>
          <w:kern w:val="0"/>
          <w:szCs w:val="21"/>
        </w:rPr>
        <w:t>号的相符性分析</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4095"/>
        <w:gridCol w:w="4125"/>
        <w:gridCol w:w="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12" w:space="0"/>
              <w:left w:val="single" w:color="auto" w:sz="12" w:space="0"/>
              <w:bottom w:val="single" w:color="auto" w:sz="4" w:space="0"/>
              <w:right w:val="single" w:color="auto" w:sz="4" w:space="0"/>
            </w:tcBorders>
            <w:noWrap/>
            <w:vAlign w:val="center"/>
          </w:tcPr>
          <w:p>
            <w:pPr>
              <w:jc w:val="center"/>
              <w:rPr>
                <w:kern w:val="0"/>
                <w:szCs w:val="21"/>
              </w:rPr>
            </w:pPr>
            <w:r>
              <w:rPr>
                <w:rFonts w:hint="eastAsia"/>
                <w:kern w:val="0"/>
                <w:szCs w:val="21"/>
              </w:rPr>
              <w:t>序号</w:t>
            </w:r>
          </w:p>
        </w:tc>
        <w:tc>
          <w:tcPr>
            <w:tcW w:w="2205" w:type="pct"/>
            <w:tcBorders>
              <w:top w:val="single" w:color="auto" w:sz="12" w:space="0"/>
              <w:left w:val="single" w:color="auto" w:sz="4" w:space="0"/>
              <w:bottom w:val="single" w:color="auto" w:sz="4" w:space="0"/>
              <w:right w:val="single" w:color="auto" w:sz="4" w:space="0"/>
            </w:tcBorders>
            <w:noWrap/>
            <w:vAlign w:val="center"/>
          </w:tcPr>
          <w:p>
            <w:pPr>
              <w:jc w:val="center"/>
              <w:rPr>
                <w:kern w:val="0"/>
                <w:szCs w:val="21"/>
              </w:rPr>
            </w:pPr>
            <w:r>
              <w:rPr>
                <w:rFonts w:hint="eastAsia"/>
                <w:kern w:val="0"/>
                <w:szCs w:val="21"/>
              </w:rPr>
              <w:t>通知提出的要求和建议</w:t>
            </w:r>
          </w:p>
        </w:tc>
        <w:tc>
          <w:tcPr>
            <w:tcW w:w="2221" w:type="pct"/>
            <w:tcBorders>
              <w:top w:val="single" w:color="auto" w:sz="12" w:space="0"/>
              <w:left w:val="single" w:color="auto" w:sz="4" w:space="0"/>
              <w:bottom w:val="single" w:color="auto" w:sz="4" w:space="0"/>
              <w:right w:val="single" w:color="auto" w:sz="4" w:space="0"/>
            </w:tcBorders>
            <w:noWrap/>
            <w:vAlign w:val="center"/>
          </w:tcPr>
          <w:p>
            <w:pPr>
              <w:jc w:val="center"/>
              <w:rPr>
                <w:kern w:val="0"/>
                <w:szCs w:val="21"/>
              </w:rPr>
            </w:pPr>
            <w:r>
              <w:rPr>
                <w:rFonts w:hint="eastAsia"/>
                <w:kern w:val="0"/>
                <w:szCs w:val="21"/>
              </w:rPr>
              <w:t>本项目环评落实情况</w:t>
            </w:r>
          </w:p>
        </w:tc>
        <w:tc>
          <w:tcPr>
            <w:tcW w:w="286" w:type="pct"/>
            <w:tcBorders>
              <w:top w:val="single" w:color="auto" w:sz="12"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1</w:t>
            </w:r>
          </w:p>
        </w:tc>
        <w:tc>
          <w:tcPr>
            <w:tcW w:w="2205"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井工开釆地表沉陷的生态环境影响预测，应充分考虑自然生态条件、沉陷影响形式和程度等制定生态重建与恢复方案，确保与周边生态环境相协调。</w:t>
            </w:r>
          </w:p>
          <w:p>
            <w:pPr>
              <w:rPr>
                <w:kern w:val="0"/>
                <w:szCs w:val="21"/>
              </w:rPr>
            </w:pPr>
            <w:r>
              <w:rPr>
                <w:rFonts w:hint="eastAsia"/>
                <w:kern w:val="0"/>
                <w:szCs w:val="21"/>
              </w:rPr>
              <w:t>制定矸石周转场地、地面建（构）筑物搬迁迹地等的生态重建与恢复方案。建设单位应严格控制釆煤活动扰动范围，按照</w:t>
            </w:r>
            <w:r>
              <w:rPr>
                <w:kern w:val="0"/>
                <w:szCs w:val="21"/>
              </w:rPr>
              <w:t>“</w:t>
            </w:r>
            <w:r>
              <w:rPr>
                <w:rFonts w:hint="eastAsia"/>
                <w:kern w:val="0"/>
                <w:szCs w:val="21"/>
              </w:rPr>
              <w:t>边开釆、边恢复</w:t>
            </w:r>
            <w:r>
              <w:rPr>
                <w:kern w:val="0"/>
                <w:szCs w:val="21"/>
              </w:rPr>
              <w:t>”</w:t>
            </w:r>
            <w:r>
              <w:rPr>
                <w:rFonts w:hint="eastAsia"/>
                <w:kern w:val="0"/>
                <w:szCs w:val="21"/>
              </w:rPr>
              <w:t>原则，及时落实各项生态重建与恢复措施，并定期进行效果评估，存在问题的，建设单位应</w:t>
            </w:r>
            <w:r>
              <w:rPr>
                <w:kern w:val="0"/>
                <w:szCs w:val="21"/>
              </w:rPr>
              <w:t xml:space="preserve"> </w:t>
            </w:r>
            <w:r>
              <w:rPr>
                <w:rFonts w:hint="eastAsia"/>
                <w:kern w:val="0"/>
                <w:szCs w:val="21"/>
              </w:rPr>
              <w:t>制定科学、可行的整改计划并严格实施。</w:t>
            </w:r>
          </w:p>
        </w:tc>
        <w:tc>
          <w:tcPr>
            <w:tcW w:w="222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本项目对沉陷造成的环境影响按照原始地貌进行恢复，确保了与周边生态环境相协调。</w:t>
            </w:r>
          </w:p>
          <w:p>
            <w:pPr>
              <w:rPr>
                <w:kern w:val="0"/>
                <w:szCs w:val="21"/>
              </w:rPr>
            </w:pPr>
            <w:r>
              <w:rPr>
                <w:rFonts w:hint="eastAsia"/>
                <w:kern w:val="0"/>
                <w:szCs w:val="21"/>
              </w:rPr>
              <w:t>本矿井已编制了矿山生态环境保护与恢复治理方案，该方案制定了整合前原有废弃建筑物的生态恢复措施。本换票制定了矸石临时堆场的生态恢复措施。建设单位需严格控制釆煤活动扰动范围，按照</w:t>
            </w:r>
            <w:r>
              <w:rPr>
                <w:kern w:val="0"/>
                <w:szCs w:val="21"/>
              </w:rPr>
              <w:t>“</w:t>
            </w:r>
            <w:r>
              <w:rPr>
                <w:rFonts w:hint="eastAsia"/>
                <w:kern w:val="0"/>
                <w:szCs w:val="21"/>
              </w:rPr>
              <w:t>边开釆、边恢复</w:t>
            </w:r>
            <w:r>
              <w:rPr>
                <w:kern w:val="0"/>
                <w:szCs w:val="21"/>
              </w:rPr>
              <w:t>”</w:t>
            </w:r>
            <w:r>
              <w:rPr>
                <w:rFonts w:hint="eastAsia"/>
                <w:kern w:val="0"/>
                <w:szCs w:val="21"/>
              </w:rPr>
              <w:t>原则，及时落实各项生态重建与恢复措施，并定期进行效果评估，存在问题的，建设单位应制定科学、可行的整改计划并严格实施。</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rFonts w:hint="eastAsia"/>
                <w:kern w:val="0"/>
                <w:szCs w:val="21"/>
              </w:rPr>
              <w:t>2</w:t>
            </w:r>
          </w:p>
        </w:tc>
        <w:tc>
          <w:tcPr>
            <w:tcW w:w="2205"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鼓励对煤矸石进行井下充填、发电、生产建筑材料、回收矿产品、制取化工产品、筑路、土地复垦等多途径综合利用，因地制宜选择合理的综合利用方式，提高煤矸石综合利用率。技术可行、经济合理的条件下优先采用井下充填技术处置煤矸石，有效控制地面沉陷、损毁耕地，减少煤矸石排放量。煤矸石的处置与综合利用应符合国家及行业相关标准规范要求。禁止建设永久性煤矸石堆放场（库），确需建设临时性堆放场（库）的，其占地规模应当与煤炭生产和洗选加工能力相匹配，原则上占地规模按不超过</w:t>
            </w:r>
            <w:r>
              <w:rPr>
                <w:kern w:val="0"/>
                <w:szCs w:val="21"/>
              </w:rPr>
              <w:t>3</w:t>
            </w:r>
            <w:r>
              <w:rPr>
                <w:rFonts w:hint="eastAsia"/>
                <w:kern w:val="0"/>
                <w:szCs w:val="21"/>
              </w:rPr>
              <w:t>年储矸量设计，且必须有后续综合利用方案。</w:t>
            </w:r>
          </w:p>
          <w:p>
            <w:pPr>
              <w:rPr>
                <w:kern w:val="0"/>
                <w:szCs w:val="21"/>
              </w:rPr>
            </w:pPr>
            <w:r>
              <w:rPr>
                <w:rFonts w:hint="eastAsia"/>
                <w:kern w:val="0"/>
                <w:szCs w:val="21"/>
              </w:rPr>
              <w:t>提高煤矿瓦斯利用率，控制温室气体排放。高瓦斯、煤与瓦斯突出矿井应配套建设瓦斯抽釆与综合利用设施，甲烷体积浓度大于等于</w:t>
            </w:r>
            <w:r>
              <w:rPr>
                <w:kern w:val="0"/>
                <w:szCs w:val="21"/>
              </w:rPr>
              <w:t>8%</w:t>
            </w:r>
            <w:r>
              <w:rPr>
                <w:rFonts w:hint="eastAsia"/>
                <w:kern w:val="0"/>
                <w:szCs w:val="21"/>
              </w:rPr>
              <w:t>的抽采瓦斯，在确保安全的前提下，应进行综合利</w:t>
            </w:r>
            <w:r>
              <w:rPr>
                <w:kern w:val="0"/>
                <w:szCs w:val="21"/>
              </w:rPr>
              <w:t xml:space="preserve"> </w:t>
            </w:r>
            <w:r>
              <w:rPr>
                <w:rFonts w:hint="eastAsia"/>
                <w:kern w:val="0"/>
                <w:szCs w:val="21"/>
              </w:rPr>
              <w:t>用。鼓励对甲烷体积浓度在</w:t>
            </w:r>
            <w:r>
              <w:rPr>
                <w:kern w:val="0"/>
                <w:szCs w:val="21"/>
              </w:rPr>
              <w:t>2%(</w:t>
            </w:r>
            <w:r>
              <w:rPr>
                <w:rFonts w:hint="eastAsia"/>
                <w:kern w:val="0"/>
                <w:szCs w:val="21"/>
              </w:rPr>
              <w:t>含）至</w:t>
            </w:r>
            <w:r>
              <w:rPr>
                <w:kern w:val="0"/>
                <w:szCs w:val="21"/>
              </w:rPr>
              <w:t>8%</w:t>
            </w:r>
            <w:r>
              <w:rPr>
                <w:rFonts w:hint="eastAsia"/>
                <w:kern w:val="0"/>
                <w:szCs w:val="21"/>
              </w:rPr>
              <w:t>的抽釆瓦斯以及乏</w:t>
            </w:r>
            <w:r>
              <w:rPr>
                <w:kern w:val="0"/>
                <w:szCs w:val="21"/>
              </w:rPr>
              <w:t xml:space="preserve"> </w:t>
            </w:r>
            <w:r>
              <w:rPr>
                <w:rFonts w:hint="eastAsia"/>
                <w:kern w:val="0"/>
                <w:szCs w:val="21"/>
              </w:rPr>
              <w:t>风瓦斯，探索开展综合利用。确需排放的，应满足《煤层气（煤</w:t>
            </w:r>
            <w:r>
              <w:rPr>
                <w:kern w:val="0"/>
                <w:szCs w:val="21"/>
              </w:rPr>
              <w:t xml:space="preserve"> </w:t>
            </w:r>
            <w:r>
              <w:rPr>
                <w:rFonts w:hint="eastAsia"/>
                <w:kern w:val="0"/>
                <w:szCs w:val="21"/>
              </w:rPr>
              <w:t>矿瓦斯）排放标准（暂行）》要求。</w:t>
            </w:r>
          </w:p>
        </w:tc>
        <w:tc>
          <w:tcPr>
            <w:tcW w:w="2221" w:type="pct"/>
            <w:tcBorders>
              <w:top w:val="single" w:color="auto" w:sz="4" w:space="0"/>
              <w:left w:val="single" w:color="auto" w:sz="4" w:space="0"/>
              <w:bottom w:val="single" w:color="auto" w:sz="4" w:space="0"/>
              <w:right w:val="single" w:color="auto" w:sz="4" w:space="0"/>
            </w:tcBorders>
            <w:noWrap/>
            <w:vAlign w:val="center"/>
          </w:tcPr>
          <w:p>
            <w:pPr>
              <w:rPr>
                <w:kern w:val="0"/>
                <w:szCs w:val="21"/>
                <w:highlight w:val="yellow"/>
              </w:rPr>
            </w:pPr>
            <w:r>
              <w:rPr>
                <w:rFonts w:hint="eastAsia" w:eastAsiaTheme="minorEastAsia"/>
                <w:szCs w:val="21"/>
              </w:rPr>
              <w:t>矸石优先送往山西华光发电有限责任公司综合利用，利用不畅时送至原环评批复的临时矸石场填埋。原山西省环境保护厅以晋环函[2014]745号对</w:t>
            </w:r>
            <w:r>
              <w:rPr>
                <w:rFonts w:hint="eastAsia"/>
                <w:kern w:val="0"/>
                <w:szCs w:val="21"/>
              </w:rPr>
              <w:t>本矿临时性矸石堆放场已批复。</w:t>
            </w:r>
            <w:r>
              <w:rPr>
                <w:rFonts w:hint="eastAsia"/>
                <w:szCs w:val="21"/>
              </w:rPr>
              <w:t>目前矸石场已堆矸23</w:t>
            </w:r>
            <w:r>
              <w:rPr>
                <w:szCs w:val="21"/>
              </w:rPr>
              <w:t>万m</w:t>
            </w:r>
            <w:r>
              <w:rPr>
                <w:szCs w:val="21"/>
                <w:vertAlign w:val="superscript"/>
              </w:rPr>
              <w:t>3</w:t>
            </w:r>
            <w:r>
              <w:rPr>
                <w:rFonts w:hint="eastAsia"/>
                <w:szCs w:val="21"/>
              </w:rPr>
              <w:t>，剩余库容约37万m</w:t>
            </w:r>
            <w:r>
              <w:rPr>
                <w:rFonts w:hint="eastAsia"/>
                <w:szCs w:val="21"/>
                <w:vertAlign w:val="superscript"/>
              </w:rPr>
              <w:t>3</w:t>
            </w:r>
            <w:r>
              <w:rPr>
                <w:rFonts w:hint="eastAsia"/>
                <w:szCs w:val="21"/>
              </w:rPr>
              <w:t>，服务年限约3年，目前所堆矸石主要为煤矿掘进矸石。</w:t>
            </w:r>
          </w:p>
          <w:p>
            <w:pPr>
              <w:rPr>
                <w:szCs w:val="21"/>
                <w:highlight w:val="yellow"/>
              </w:rPr>
            </w:pPr>
            <w:r>
              <w:rPr>
                <w:rFonts w:hint="eastAsia"/>
                <w:kern w:val="0"/>
                <w:szCs w:val="21"/>
              </w:rPr>
              <w:t>本矿井属低瓦斯矿井，不具备综合利用价值，无法对瓦斯进行综合利用。</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highlight w:val="yellow"/>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rFonts w:hint="eastAsia"/>
                <w:kern w:val="0"/>
                <w:szCs w:val="21"/>
              </w:rPr>
              <w:t>3</w:t>
            </w:r>
          </w:p>
        </w:tc>
        <w:tc>
          <w:tcPr>
            <w:tcW w:w="2205"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针对矿井水应当考虑主要污染因子及污染影响特点等，通过优化开采范围和开采方式、采取针对性处理措施等，从源头减少和有效防治高盐、酸性、高氟化物、放射性等矿井水。矿井水应优先用于项目建设及生产，并鼓励多途径利用多余矿井水。可以利用的矿井水未得到合理、充分利用的，不得开采及使用其他地表水和地下水水源作为生产水源，并不得擅自外排。矿井水在充分利用后仍有剩余且确需外排的，经处理后拟外排的，除应符合相关法律法规政策外，其相关水质因子值还应满足或优于受纳水体环境功能区划规定的地表水环境质量对应值，含盐量不得超过</w:t>
            </w:r>
            <w:r>
              <w:rPr>
                <w:kern w:val="0"/>
                <w:szCs w:val="21"/>
              </w:rPr>
              <w:t>1000</w:t>
            </w:r>
            <w:r>
              <w:rPr>
                <w:rFonts w:hint="eastAsia"/>
                <w:kern w:val="0"/>
                <w:szCs w:val="21"/>
              </w:rPr>
              <w:t>毫克</w:t>
            </w:r>
            <w:r>
              <w:rPr>
                <w:kern w:val="0"/>
                <w:szCs w:val="21"/>
              </w:rPr>
              <w:t>/</w:t>
            </w:r>
            <w:r>
              <w:rPr>
                <w:rFonts w:hint="eastAsia"/>
                <w:kern w:val="0"/>
                <w:szCs w:val="21"/>
              </w:rPr>
              <w:t>升，且不得影响上下游相关河段水功能需求。安装在线自动监测系统，相关环境数据向社会公开，与相关部门联网，接受监督。</w:t>
            </w:r>
          </w:p>
        </w:tc>
        <w:tc>
          <w:tcPr>
            <w:tcW w:w="2221" w:type="pct"/>
            <w:tcBorders>
              <w:top w:val="single" w:color="auto" w:sz="4" w:space="0"/>
              <w:left w:val="single" w:color="auto" w:sz="4" w:space="0"/>
              <w:bottom w:val="single" w:color="auto" w:sz="4" w:space="0"/>
              <w:right w:val="single" w:color="auto" w:sz="4" w:space="0"/>
            </w:tcBorders>
            <w:noWrap/>
            <w:vAlign w:val="center"/>
          </w:tcPr>
          <w:p>
            <w:pPr>
              <w:rPr>
                <w:szCs w:val="21"/>
              </w:rPr>
            </w:pPr>
            <w:r>
              <w:rPr>
                <w:rFonts w:hint="eastAsia"/>
                <w:szCs w:val="21"/>
              </w:rPr>
              <w:t>本矿矿井水不属于高盐、酸性、高氟化物、放射性等矿井水。</w:t>
            </w:r>
          </w:p>
          <w:p>
            <w:pPr>
              <w:rPr>
                <w:szCs w:val="21"/>
                <w:highlight w:val="yellow"/>
              </w:rPr>
            </w:pPr>
            <w:r>
              <w:rPr>
                <w:rFonts w:hint="eastAsia"/>
                <w:szCs w:val="21"/>
              </w:rPr>
              <w:t>矿井工业场地设矿井水处理站，</w:t>
            </w:r>
            <w:r>
              <w:rPr>
                <w:rFonts w:hint="eastAsia"/>
                <w:bCs/>
                <w:szCs w:val="21"/>
              </w:rPr>
              <w:t>处理能力6120m</w:t>
            </w:r>
            <w:r>
              <w:rPr>
                <w:rFonts w:hint="eastAsia"/>
                <w:bCs/>
                <w:szCs w:val="21"/>
                <w:vertAlign w:val="superscript"/>
              </w:rPr>
              <w:t>3</w:t>
            </w:r>
            <w:r>
              <w:rPr>
                <w:rFonts w:hint="eastAsia"/>
                <w:bCs/>
                <w:szCs w:val="21"/>
              </w:rPr>
              <w:t>/d，采用“高效旋流过滤、压力式超滤”处理工艺，矿井水经处</w:t>
            </w:r>
            <w:r>
              <w:rPr>
                <w:rFonts w:hint="eastAsia"/>
                <w:szCs w:val="21"/>
              </w:rPr>
              <w:t>理后回用于井下生产用水、洗车平台及锅炉补充水，不外排。</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highlight w:val="yellow"/>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rFonts w:hint="eastAsia"/>
                <w:kern w:val="0"/>
                <w:szCs w:val="21"/>
              </w:rPr>
              <w:t>4</w:t>
            </w:r>
          </w:p>
        </w:tc>
        <w:tc>
          <w:tcPr>
            <w:tcW w:w="2205"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煤炭开采应符合大气污染防治政策。煤炭、矸石的储存、装卸、输送以及破碎、筛选等产尘环节，应釆取有效措施控制扬尘污染，优先釆取封闭措施，厂界无组织排放应符合国家和地方相关标准要求；涉及环境敏感区或区域颗粒物超标的，依法采取封闭措施。煤炭企业应针对煤炭运输的扬尘污染提出封闭运输、车辆清洗等防治要求，减少对道路沿线的影响；相关企业应规划建设铁路专用线、码头等，优先采用铁路、水路等方式运输煤炭。</w:t>
            </w:r>
          </w:p>
          <w:p>
            <w:pPr>
              <w:rPr>
                <w:kern w:val="0"/>
                <w:szCs w:val="21"/>
              </w:rPr>
            </w:pPr>
            <w:r>
              <w:rPr>
                <w:rFonts w:hint="eastAsia"/>
                <w:kern w:val="0"/>
                <w:szCs w:val="21"/>
              </w:rPr>
              <w:t>新建、改扩建煤矿应配套煤炭洗选设施，有效提高煤炭产品质量，强化洗选过程污染治理。煤炭开采使用的非道路移动机械排放废气应符合国家和地方污染物排放标准要求，鼓励使用新能源非道路移动机械。优先采用余热、依托热源、清洁能源等供热措施，减少大气污染物排放；确需建设燃煤锅炉的，应符合国家和地方大气污染防治要求。加强矸石山管理和综合治理，采取有效措施控制扬尘、自燃等。</w:t>
            </w:r>
          </w:p>
        </w:tc>
        <w:tc>
          <w:tcPr>
            <w:tcW w:w="2221"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kern w:val="0"/>
                <w:szCs w:val="21"/>
              </w:rPr>
              <w:t>本矿储煤棚、破碎、筛分均依托龙宇洗煤厂，</w:t>
            </w:r>
            <w:r>
              <w:rPr>
                <w:rFonts w:hint="eastAsia" w:hAnsiTheme="minorEastAsia" w:eastAsiaTheme="minorEastAsia"/>
                <w:szCs w:val="21"/>
              </w:rPr>
              <w:t>2009年9月28日该</w:t>
            </w:r>
            <w:r>
              <w:rPr>
                <w:rFonts w:hAnsiTheme="minorEastAsia" w:eastAsiaTheme="minorEastAsia"/>
                <w:szCs w:val="21"/>
              </w:rPr>
              <w:t>洗煤厂经吕梁市环境保护局吕环行审</w:t>
            </w:r>
            <w:r>
              <w:rPr>
                <w:rFonts w:eastAsiaTheme="minorEastAsia"/>
                <w:szCs w:val="21"/>
              </w:rPr>
              <w:t>[2009]123</w:t>
            </w:r>
            <w:r>
              <w:rPr>
                <w:rFonts w:hAnsiTheme="minorEastAsia" w:eastAsiaTheme="minorEastAsia"/>
                <w:szCs w:val="21"/>
              </w:rPr>
              <w:t>号文批复</w:t>
            </w:r>
            <w:r>
              <w:rPr>
                <w:rFonts w:hint="eastAsia" w:hAnsiTheme="minorEastAsia" w:eastAsiaTheme="minorEastAsia"/>
                <w:szCs w:val="21"/>
              </w:rPr>
              <w:t>；2019年6月13日，临县环境保护局以临环行备</w:t>
            </w:r>
            <w:r>
              <w:rPr>
                <w:rFonts w:eastAsiaTheme="minorEastAsia"/>
                <w:szCs w:val="21"/>
              </w:rPr>
              <w:t>[20</w:t>
            </w:r>
            <w:r>
              <w:rPr>
                <w:rFonts w:hint="eastAsia" w:eastAsiaTheme="minorEastAsia"/>
                <w:szCs w:val="21"/>
              </w:rPr>
              <w:t>1</w:t>
            </w:r>
            <w:r>
              <w:rPr>
                <w:rFonts w:eastAsiaTheme="minorEastAsia"/>
                <w:szCs w:val="21"/>
              </w:rPr>
              <w:t>9]1</w:t>
            </w:r>
            <w:r>
              <w:rPr>
                <w:rFonts w:hint="eastAsia" w:eastAsiaTheme="minorEastAsia"/>
                <w:szCs w:val="21"/>
              </w:rPr>
              <w:t>5</w:t>
            </w:r>
            <w:r>
              <w:rPr>
                <w:rFonts w:hAnsiTheme="minorEastAsia" w:eastAsiaTheme="minorEastAsia"/>
                <w:szCs w:val="21"/>
              </w:rPr>
              <w:t>号</w:t>
            </w:r>
            <w:r>
              <w:rPr>
                <w:rFonts w:hint="eastAsia" w:hAnsiTheme="minorEastAsia" w:eastAsiaTheme="minorEastAsia"/>
                <w:szCs w:val="21"/>
              </w:rPr>
              <w:t>文对该洗煤厂进行了环境保护竣工验收。</w:t>
            </w:r>
            <w:r>
              <w:rPr>
                <w:rFonts w:hint="eastAsia"/>
                <w:kern w:val="0"/>
                <w:szCs w:val="21"/>
              </w:rPr>
              <w:t>储煤棚为全封闭式，棚内设覆盖全场的喷雾降尘装置；破碎、筛分车间采用高效除尘器，原煤转运采用封闭式皮带输送机，煤炭运输车辆进行了苫盖，工业场地地出口设置了自动洗车平台对进出车辆进行车身及轮胎的清洗。因企业规模小于</w:t>
            </w:r>
            <w:r>
              <w:rPr>
                <w:kern w:val="0"/>
                <w:szCs w:val="21"/>
              </w:rPr>
              <w:t>150</w:t>
            </w:r>
            <w:r>
              <w:rPr>
                <w:rFonts w:hint="eastAsia"/>
                <w:kern w:val="0"/>
                <w:szCs w:val="21"/>
              </w:rPr>
              <w:t>万吨</w:t>
            </w:r>
            <w:r>
              <w:rPr>
                <w:kern w:val="0"/>
                <w:szCs w:val="21"/>
              </w:rPr>
              <w:t>/</w:t>
            </w:r>
            <w:r>
              <w:rPr>
                <w:rFonts w:hint="eastAsia"/>
                <w:kern w:val="0"/>
                <w:szCs w:val="21"/>
              </w:rPr>
              <w:t>年，周边尚无可连接的铁路运输系统，修建铁路专运线条件尚不成熟，本次尚不要求建设单位建设铁路专运线。</w:t>
            </w:r>
          </w:p>
          <w:p>
            <w:pPr>
              <w:rPr>
                <w:kern w:val="0"/>
                <w:szCs w:val="21"/>
              </w:rPr>
            </w:pPr>
            <w:r>
              <w:rPr>
                <w:rFonts w:hint="eastAsia"/>
                <w:szCs w:val="21"/>
              </w:rPr>
              <w:t>本项目采暖使用</w:t>
            </w:r>
            <w:r>
              <w:rPr>
                <w:rFonts w:hint="eastAsia"/>
                <w:kern w:val="0"/>
                <w:szCs w:val="21"/>
              </w:rPr>
              <w:t>天然气燃气锅炉及空气源热泵，使用清洁能源，可以减少大气污染物的排放。</w:t>
            </w:r>
          </w:p>
          <w:p>
            <w:pPr>
              <w:rPr>
                <w:szCs w:val="21"/>
              </w:rPr>
            </w:pPr>
            <w:r>
              <w:rPr>
                <w:rFonts w:hint="eastAsia" w:eastAsiaTheme="minorEastAsia"/>
                <w:szCs w:val="21"/>
              </w:rPr>
              <w:t>矸石优先送往山西华光发电有限责任公司综合利用，利用不畅时送至原环评批复的临时矸石场填埋。</w:t>
            </w:r>
            <w:r>
              <w:rPr>
                <w:rFonts w:hint="eastAsia"/>
                <w:kern w:val="0"/>
                <w:szCs w:val="21"/>
              </w:rPr>
              <w:t>该项目在填埋过程中采取黄土压实和喷石灰乳的防自燃措施。</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highlight w:val="yellow"/>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12" w:space="0"/>
              <w:right w:val="single" w:color="auto" w:sz="4" w:space="0"/>
            </w:tcBorders>
            <w:noWrap/>
            <w:vAlign w:val="center"/>
          </w:tcPr>
          <w:p>
            <w:pPr>
              <w:jc w:val="center"/>
              <w:rPr>
                <w:kern w:val="0"/>
                <w:szCs w:val="21"/>
              </w:rPr>
            </w:pPr>
            <w:r>
              <w:rPr>
                <w:rFonts w:hint="eastAsia"/>
                <w:kern w:val="0"/>
                <w:szCs w:val="21"/>
              </w:rPr>
              <w:t>5</w:t>
            </w:r>
          </w:p>
        </w:tc>
        <w:tc>
          <w:tcPr>
            <w:tcW w:w="2205" w:type="pct"/>
            <w:tcBorders>
              <w:top w:val="single" w:color="auto" w:sz="4" w:space="0"/>
              <w:left w:val="single" w:color="auto" w:sz="4" w:space="0"/>
              <w:bottom w:val="single" w:color="auto" w:sz="12" w:space="0"/>
              <w:right w:val="single" w:color="auto" w:sz="4" w:space="0"/>
            </w:tcBorders>
            <w:noWrap/>
            <w:vAlign w:val="center"/>
          </w:tcPr>
          <w:p>
            <w:pPr>
              <w:rPr>
                <w:kern w:val="0"/>
                <w:szCs w:val="21"/>
              </w:rPr>
            </w:pPr>
            <w:r>
              <w:rPr>
                <w:rFonts w:hint="eastAsia"/>
                <w:kern w:val="0"/>
                <w:szCs w:val="21"/>
              </w:rPr>
              <w:t>煤炭采选企业应当依法申请取得排污许可证或进行排污登记。未取得排污许可证也未进行排污登记的，不得排放污染物。</w:t>
            </w:r>
          </w:p>
          <w:p>
            <w:pPr>
              <w:rPr>
                <w:kern w:val="0"/>
                <w:szCs w:val="21"/>
              </w:rPr>
            </w:pPr>
            <w:r>
              <w:rPr>
                <w:rFonts w:hint="eastAsia"/>
                <w:kern w:val="0"/>
                <w:szCs w:val="21"/>
              </w:rPr>
              <w:t>改建、扩建和技术改造煤炭釆选项目还必须釆取措施，治理与该项目有关的原有环境污染和生态破坏。</w:t>
            </w:r>
          </w:p>
        </w:tc>
        <w:tc>
          <w:tcPr>
            <w:tcW w:w="2221" w:type="pct"/>
            <w:tcBorders>
              <w:top w:val="single" w:color="auto" w:sz="4" w:space="0"/>
              <w:left w:val="single" w:color="auto" w:sz="4" w:space="0"/>
              <w:bottom w:val="single" w:color="auto" w:sz="12" w:space="0"/>
              <w:right w:val="single" w:color="auto" w:sz="4" w:space="0"/>
            </w:tcBorders>
            <w:noWrap/>
            <w:vAlign w:val="center"/>
          </w:tcPr>
          <w:p>
            <w:pPr>
              <w:jc w:val="left"/>
              <w:rPr>
                <w:kern w:val="0"/>
                <w:szCs w:val="21"/>
              </w:rPr>
            </w:pPr>
            <w:r>
              <w:rPr>
                <w:rFonts w:hint="eastAsia"/>
                <w:kern w:val="0"/>
                <w:szCs w:val="21"/>
              </w:rPr>
              <w:t>本矿井尚未取得排污许可证，在没有取得排污许可证的情况下，不排污。</w:t>
            </w:r>
          </w:p>
          <w:p>
            <w:pPr>
              <w:rPr>
                <w:kern w:val="0"/>
                <w:szCs w:val="21"/>
              </w:rPr>
            </w:pPr>
            <w:r>
              <w:rPr>
                <w:rFonts w:hint="eastAsia"/>
                <w:kern w:val="0"/>
                <w:szCs w:val="21"/>
              </w:rPr>
              <w:t>采煤沉陷区地裂缝及时进行填充，工业场地进行硬化和绿化。</w:t>
            </w:r>
          </w:p>
        </w:tc>
        <w:tc>
          <w:tcPr>
            <w:tcW w:w="286" w:type="pct"/>
            <w:tcBorders>
              <w:top w:val="single" w:color="auto" w:sz="4" w:space="0"/>
              <w:left w:val="single" w:color="auto" w:sz="4" w:space="0"/>
              <w:bottom w:val="single" w:color="auto" w:sz="12" w:space="0"/>
              <w:right w:val="single" w:color="auto" w:sz="12" w:space="0"/>
            </w:tcBorders>
            <w:noWrap/>
            <w:vAlign w:val="center"/>
          </w:tcPr>
          <w:p>
            <w:pPr>
              <w:jc w:val="center"/>
              <w:rPr>
                <w:szCs w:val="21"/>
              </w:rPr>
            </w:pPr>
            <w:r>
              <w:rPr>
                <w:rFonts w:hint="eastAsia"/>
                <w:szCs w:val="21"/>
              </w:rPr>
              <w:t>符合</w:t>
            </w:r>
          </w:p>
        </w:tc>
      </w:tr>
    </w:tbl>
    <w:p>
      <w:pPr>
        <w:spacing w:line="360" w:lineRule="auto"/>
        <w:ind w:firstLine="480" w:firstLineChars="200"/>
        <w:rPr>
          <w:sz w:val="24"/>
        </w:rPr>
      </w:pPr>
      <w:r>
        <w:rPr>
          <w:rFonts w:hint="eastAsia"/>
          <w:sz w:val="24"/>
        </w:rPr>
        <w:t>（8）项目与“</w:t>
      </w:r>
      <w:r>
        <w:rPr>
          <w:rFonts w:hint="eastAsia"/>
          <w:sz w:val="24"/>
          <w:lang w:val="zh-TW"/>
        </w:rPr>
        <w:t>关于加强煤炭行业环评管理促进煤炭供给侧改革的实施方案</w:t>
      </w:r>
      <w:r>
        <w:rPr>
          <w:rFonts w:hint="eastAsia"/>
          <w:sz w:val="24"/>
          <w:lang w:val="zh-TW" w:eastAsia="zh-TW"/>
        </w:rPr>
        <w:t>”</w:t>
      </w:r>
      <w:r>
        <w:rPr>
          <w:rFonts w:hint="eastAsia"/>
          <w:sz w:val="24"/>
          <w:lang w:val="zh-TW"/>
        </w:rPr>
        <w:t>（晋环环评函【</w:t>
      </w:r>
      <w:r>
        <w:rPr>
          <w:rFonts w:hint="eastAsia"/>
          <w:sz w:val="24"/>
          <w:lang w:val="zh-TW" w:eastAsia="zh-TW"/>
        </w:rPr>
        <w:t>2016</w:t>
      </w:r>
      <w:r>
        <w:rPr>
          <w:rFonts w:hint="eastAsia"/>
          <w:sz w:val="24"/>
          <w:lang w:val="zh-TW"/>
        </w:rPr>
        <w:t>】</w:t>
      </w:r>
      <w:r>
        <w:rPr>
          <w:rFonts w:hint="eastAsia"/>
          <w:sz w:val="24"/>
          <w:lang w:val="zh-TW" w:eastAsia="zh-TW"/>
        </w:rPr>
        <w:t>77</w:t>
      </w:r>
      <w:r>
        <w:rPr>
          <w:rFonts w:hint="eastAsia"/>
          <w:sz w:val="24"/>
          <w:lang w:val="zh-TW"/>
        </w:rPr>
        <w:t>号）</w:t>
      </w:r>
      <w:r>
        <w:rPr>
          <w:rFonts w:hint="eastAsia"/>
          <w:sz w:val="24"/>
        </w:rPr>
        <w:t>的符合性分析</w:t>
      </w:r>
    </w:p>
    <w:p>
      <w:pPr>
        <w:spacing w:line="360" w:lineRule="auto"/>
        <w:ind w:firstLine="480" w:firstLineChars="200"/>
        <w:rPr>
          <w:sz w:val="24"/>
        </w:rPr>
      </w:pPr>
      <w:r>
        <w:rPr>
          <w:rFonts w:hint="eastAsia"/>
          <w:sz w:val="24"/>
        </w:rPr>
        <w:t>本项目与“</w:t>
      </w:r>
      <w:r>
        <w:rPr>
          <w:rFonts w:hint="eastAsia"/>
          <w:sz w:val="24"/>
          <w:lang w:val="zh-TW"/>
        </w:rPr>
        <w:t>关于加强煤炭行业环评管理促进煤炭供给侧改革的实施方案</w:t>
      </w:r>
      <w:r>
        <w:rPr>
          <w:rFonts w:hint="eastAsia"/>
          <w:sz w:val="24"/>
          <w:lang w:val="zh-TW" w:eastAsia="zh-TW"/>
        </w:rPr>
        <w:t>”</w:t>
      </w:r>
      <w:r>
        <w:rPr>
          <w:rFonts w:hint="eastAsia"/>
          <w:sz w:val="24"/>
          <w:lang w:val="zh-TW"/>
        </w:rPr>
        <w:t>（晋环环评函【</w:t>
      </w:r>
      <w:r>
        <w:rPr>
          <w:rFonts w:hint="eastAsia"/>
          <w:sz w:val="24"/>
          <w:lang w:val="zh-TW" w:eastAsia="zh-TW"/>
        </w:rPr>
        <w:t>2016</w:t>
      </w:r>
      <w:r>
        <w:rPr>
          <w:rFonts w:hint="eastAsia"/>
          <w:sz w:val="24"/>
          <w:lang w:val="zh-TW"/>
        </w:rPr>
        <w:t>】</w:t>
      </w:r>
      <w:r>
        <w:rPr>
          <w:rFonts w:hint="eastAsia"/>
          <w:sz w:val="24"/>
          <w:lang w:val="zh-TW" w:eastAsia="zh-TW"/>
        </w:rPr>
        <w:t>77</w:t>
      </w:r>
      <w:r>
        <w:rPr>
          <w:rFonts w:hint="eastAsia"/>
          <w:sz w:val="24"/>
          <w:lang w:val="zh-TW"/>
        </w:rPr>
        <w:t>号）的符合性分析</w:t>
      </w:r>
      <w:r>
        <w:rPr>
          <w:rFonts w:hint="eastAsia"/>
          <w:sz w:val="24"/>
        </w:rPr>
        <w:t>见下表：</w:t>
      </w:r>
    </w:p>
    <w:p>
      <w:pPr>
        <w:jc w:val="center"/>
        <w:rPr>
          <w:kern w:val="0"/>
          <w:sz w:val="24"/>
        </w:rPr>
      </w:pPr>
      <w:r>
        <w:rPr>
          <w:rFonts w:hint="eastAsia"/>
          <w:b/>
          <w:bCs/>
          <w:kern w:val="0"/>
          <w:szCs w:val="21"/>
        </w:rPr>
        <w:t>表</w:t>
      </w:r>
      <w:r>
        <w:rPr>
          <w:b/>
          <w:bCs/>
          <w:kern w:val="0"/>
          <w:szCs w:val="21"/>
        </w:rPr>
        <w:t>1.</w:t>
      </w:r>
      <w:r>
        <w:rPr>
          <w:rFonts w:hint="eastAsia"/>
          <w:b/>
          <w:bCs/>
          <w:kern w:val="0"/>
          <w:szCs w:val="21"/>
        </w:rPr>
        <w:t>3</w:t>
      </w:r>
      <w:r>
        <w:rPr>
          <w:b/>
          <w:bCs/>
          <w:kern w:val="0"/>
          <w:szCs w:val="21"/>
        </w:rPr>
        <w:t>-</w:t>
      </w:r>
      <w:r>
        <w:rPr>
          <w:rFonts w:hint="eastAsia"/>
          <w:b/>
          <w:bCs/>
          <w:kern w:val="0"/>
          <w:szCs w:val="21"/>
        </w:rPr>
        <w:t>5 本项目与晋环环评函</w:t>
      </w:r>
      <w:r>
        <w:rPr>
          <w:b/>
          <w:bCs/>
          <w:kern w:val="0"/>
          <w:szCs w:val="21"/>
        </w:rPr>
        <w:t>[2016]77</w:t>
      </w:r>
      <w:r>
        <w:rPr>
          <w:rFonts w:hint="eastAsia"/>
          <w:b/>
          <w:bCs/>
          <w:kern w:val="0"/>
          <w:szCs w:val="21"/>
        </w:rPr>
        <w:t>号的相符性分析</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4095"/>
        <w:gridCol w:w="4125"/>
        <w:gridCol w:w="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12" w:space="0"/>
              <w:left w:val="single" w:color="auto" w:sz="12" w:space="0"/>
              <w:bottom w:val="single" w:color="auto" w:sz="4" w:space="0"/>
              <w:right w:val="single" w:color="auto" w:sz="4" w:space="0"/>
            </w:tcBorders>
            <w:noWrap/>
            <w:vAlign w:val="center"/>
          </w:tcPr>
          <w:p>
            <w:pPr>
              <w:jc w:val="center"/>
              <w:rPr>
                <w:kern w:val="0"/>
                <w:szCs w:val="21"/>
              </w:rPr>
            </w:pPr>
            <w:r>
              <w:rPr>
                <w:rFonts w:hint="eastAsia"/>
                <w:kern w:val="0"/>
                <w:szCs w:val="21"/>
              </w:rPr>
              <w:t>序号</w:t>
            </w:r>
          </w:p>
        </w:tc>
        <w:tc>
          <w:tcPr>
            <w:tcW w:w="2205" w:type="pct"/>
            <w:tcBorders>
              <w:top w:val="single" w:color="auto" w:sz="12" w:space="0"/>
              <w:left w:val="single" w:color="auto" w:sz="4" w:space="0"/>
              <w:bottom w:val="single" w:color="auto" w:sz="4" w:space="0"/>
              <w:right w:val="single" w:color="auto" w:sz="4" w:space="0"/>
            </w:tcBorders>
            <w:noWrap/>
            <w:vAlign w:val="center"/>
          </w:tcPr>
          <w:p>
            <w:pPr>
              <w:jc w:val="center"/>
              <w:rPr>
                <w:kern w:val="0"/>
                <w:szCs w:val="21"/>
              </w:rPr>
            </w:pPr>
            <w:r>
              <w:rPr>
                <w:rFonts w:hint="eastAsia"/>
                <w:kern w:val="0"/>
                <w:szCs w:val="21"/>
              </w:rPr>
              <w:t>文件提出的要求和建议</w:t>
            </w:r>
          </w:p>
        </w:tc>
        <w:tc>
          <w:tcPr>
            <w:tcW w:w="2221" w:type="pct"/>
            <w:tcBorders>
              <w:top w:val="single" w:color="auto" w:sz="12" w:space="0"/>
              <w:left w:val="single" w:color="auto" w:sz="4" w:space="0"/>
              <w:bottom w:val="single" w:color="auto" w:sz="4" w:space="0"/>
              <w:right w:val="single" w:color="auto" w:sz="4" w:space="0"/>
            </w:tcBorders>
            <w:noWrap/>
            <w:vAlign w:val="center"/>
          </w:tcPr>
          <w:p>
            <w:pPr>
              <w:jc w:val="center"/>
              <w:rPr>
                <w:kern w:val="0"/>
                <w:szCs w:val="21"/>
              </w:rPr>
            </w:pPr>
            <w:r>
              <w:rPr>
                <w:rFonts w:hint="eastAsia"/>
                <w:kern w:val="0"/>
                <w:szCs w:val="21"/>
              </w:rPr>
              <w:t>本项目环评落实情况</w:t>
            </w:r>
          </w:p>
        </w:tc>
        <w:tc>
          <w:tcPr>
            <w:tcW w:w="286" w:type="pct"/>
            <w:tcBorders>
              <w:top w:val="single" w:color="auto" w:sz="12"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1</w:t>
            </w:r>
          </w:p>
        </w:tc>
        <w:tc>
          <w:tcPr>
            <w:tcW w:w="2205" w:type="pct"/>
            <w:tcBorders>
              <w:top w:val="single" w:color="auto" w:sz="4" w:space="0"/>
              <w:left w:val="single" w:color="auto" w:sz="4" w:space="0"/>
              <w:bottom w:val="single" w:color="auto" w:sz="4" w:space="0"/>
              <w:right w:val="single" w:color="auto" w:sz="4" w:space="0"/>
            </w:tcBorders>
            <w:noWrap/>
            <w:vAlign w:val="center"/>
          </w:tcPr>
          <w:p>
            <w:pPr>
              <w:rPr>
                <w:szCs w:val="21"/>
              </w:rPr>
            </w:pPr>
            <w:r>
              <w:rPr>
                <w:rFonts w:hint="eastAsia"/>
                <w:szCs w:val="21"/>
              </w:rPr>
              <w:t>落实生态保护和大气、水、固废、噪声等污染防治措施</w:t>
            </w:r>
            <w:r>
              <w:rPr>
                <w:szCs w:val="21"/>
              </w:rPr>
              <w:t>,</w:t>
            </w:r>
            <w:r>
              <w:rPr>
                <w:rFonts w:hint="eastAsia"/>
                <w:szCs w:val="21"/>
              </w:rPr>
              <w:t>实现煤矿企业的清洁绿色健康发展。</w:t>
            </w:r>
          </w:p>
          <w:p>
            <w:pPr>
              <w:rPr>
                <w:rFonts w:eastAsiaTheme="minorEastAsia"/>
                <w:szCs w:val="21"/>
              </w:rPr>
            </w:pPr>
            <w:r>
              <w:rPr>
                <w:rFonts w:hint="eastAsia"/>
                <w:szCs w:val="21"/>
              </w:rPr>
              <w:t>要落实生态保护措施</w:t>
            </w:r>
            <w:r>
              <w:rPr>
                <w:szCs w:val="21"/>
              </w:rPr>
              <w:t>,</w:t>
            </w:r>
            <w:r>
              <w:rPr>
                <w:rFonts w:hint="eastAsia"/>
                <w:szCs w:val="21"/>
              </w:rPr>
              <w:t>对开采区及排矸场</w:t>
            </w:r>
            <w:r>
              <w:rPr>
                <w:szCs w:val="21"/>
              </w:rPr>
              <w:t>,</w:t>
            </w:r>
            <w:r>
              <w:rPr>
                <w:rFonts w:hint="eastAsia"/>
                <w:szCs w:val="21"/>
              </w:rPr>
              <w:t>应采取合理可行的生态保护恢复与重建措施。</w:t>
            </w:r>
          </w:p>
          <w:p>
            <w:pPr>
              <w:rPr>
                <w:szCs w:val="21"/>
              </w:rPr>
            </w:pPr>
            <w:r>
              <w:rPr>
                <w:rFonts w:hint="eastAsia"/>
                <w:szCs w:val="21"/>
              </w:rPr>
              <w:t>要落实大气污染防治措施</w:t>
            </w:r>
            <w:r>
              <w:rPr>
                <w:szCs w:val="21"/>
              </w:rPr>
              <w:t>,</w:t>
            </w:r>
            <w:r>
              <w:rPr>
                <w:rFonts w:hint="eastAsia"/>
                <w:szCs w:val="21"/>
              </w:rPr>
              <w:t>锅炉设置应符合《大气污染防治行动计划》等相关要求</w:t>
            </w:r>
            <w:r>
              <w:rPr>
                <w:szCs w:val="21"/>
              </w:rPr>
              <w:t>,</w:t>
            </w:r>
            <w:r>
              <w:rPr>
                <w:rFonts w:hint="eastAsia"/>
                <w:szCs w:val="21"/>
              </w:rPr>
              <w:t>锅炉烟气应建设高效脱硫、脱硝和除尘设施</w:t>
            </w:r>
            <w:r>
              <w:rPr>
                <w:szCs w:val="21"/>
              </w:rPr>
              <w:t>,</w:t>
            </w:r>
            <w:r>
              <w:rPr>
                <w:rFonts w:hint="eastAsia"/>
                <w:szCs w:val="21"/>
              </w:rPr>
              <w:t>污染物排放应满足相关标准要求</w:t>
            </w:r>
            <w:r>
              <w:rPr>
                <w:szCs w:val="21"/>
              </w:rPr>
              <w:t>;</w:t>
            </w:r>
            <w:r>
              <w:rPr>
                <w:rFonts w:hint="eastAsia"/>
                <w:szCs w:val="21"/>
              </w:rPr>
              <w:t>煤矿地面储、装、运系统应采取有效抑尘措施。</w:t>
            </w:r>
          </w:p>
          <w:p>
            <w:pPr>
              <w:rPr>
                <w:szCs w:val="21"/>
              </w:rPr>
            </w:pPr>
            <w:r>
              <w:rPr>
                <w:rFonts w:hint="eastAsia"/>
                <w:szCs w:val="21"/>
              </w:rPr>
              <w:t>要落实水污染治理措施</w:t>
            </w:r>
            <w:r>
              <w:rPr>
                <w:szCs w:val="21"/>
              </w:rPr>
              <w:t>,</w:t>
            </w:r>
            <w:r>
              <w:rPr>
                <w:rFonts w:hint="eastAsia"/>
                <w:szCs w:val="21"/>
              </w:rPr>
              <w:t>配套建设矿井水</w:t>
            </w:r>
            <w:r>
              <w:rPr>
                <w:szCs w:val="21"/>
              </w:rPr>
              <w:t>,</w:t>
            </w:r>
            <w:r>
              <w:rPr>
                <w:rFonts w:hint="eastAsia"/>
                <w:szCs w:val="21"/>
              </w:rPr>
              <w:t>生活污水、生产废水等污</w:t>
            </w:r>
            <w:r>
              <w:rPr>
                <w:szCs w:val="21"/>
              </w:rPr>
              <w:t>(</w:t>
            </w:r>
            <w:r>
              <w:rPr>
                <w:rFonts w:hint="eastAsia"/>
                <w:szCs w:val="21"/>
              </w:rPr>
              <w:t>废</w:t>
            </w:r>
            <w:r>
              <w:rPr>
                <w:szCs w:val="21"/>
              </w:rPr>
              <w:t>)</w:t>
            </w:r>
            <w:r>
              <w:rPr>
                <w:rFonts w:hint="eastAsia"/>
                <w:szCs w:val="21"/>
              </w:rPr>
              <w:t>水处理设施</w:t>
            </w:r>
            <w:r>
              <w:rPr>
                <w:szCs w:val="21"/>
              </w:rPr>
              <w:t>,</w:t>
            </w:r>
            <w:r>
              <w:rPr>
                <w:rFonts w:hint="eastAsia"/>
                <w:szCs w:val="21"/>
              </w:rPr>
              <w:t>处理后的污</w:t>
            </w:r>
            <w:r>
              <w:rPr>
                <w:szCs w:val="21"/>
              </w:rPr>
              <w:t>(</w:t>
            </w:r>
            <w:r>
              <w:rPr>
                <w:rFonts w:hint="eastAsia"/>
                <w:szCs w:val="21"/>
              </w:rPr>
              <w:t>废</w:t>
            </w:r>
            <w:r>
              <w:rPr>
                <w:szCs w:val="21"/>
              </w:rPr>
              <w:t>)</w:t>
            </w:r>
            <w:r>
              <w:rPr>
                <w:rFonts w:hint="eastAsia"/>
                <w:szCs w:val="21"/>
              </w:rPr>
              <w:t>水应优先综合利用</w:t>
            </w:r>
            <w:r>
              <w:rPr>
                <w:szCs w:val="21"/>
              </w:rPr>
              <w:t>;</w:t>
            </w:r>
            <w:r>
              <w:rPr>
                <w:rFonts w:hint="eastAsia"/>
                <w:szCs w:val="21"/>
              </w:rPr>
              <w:t>选煤厂煤泥水应实现闭路循环</w:t>
            </w:r>
            <w:r>
              <w:rPr>
                <w:szCs w:val="21"/>
              </w:rPr>
              <w:t>,</w:t>
            </w:r>
            <w:r>
              <w:rPr>
                <w:rFonts w:hint="eastAsia"/>
                <w:szCs w:val="21"/>
              </w:rPr>
              <w:t>不外排。</w:t>
            </w:r>
          </w:p>
          <w:p>
            <w:pPr>
              <w:rPr>
                <w:kern w:val="0"/>
                <w:szCs w:val="21"/>
              </w:rPr>
            </w:pPr>
            <w:r>
              <w:rPr>
                <w:rFonts w:hint="eastAsia"/>
                <w:szCs w:val="21"/>
              </w:rPr>
              <w:t>要落实固废综合利用措施</w:t>
            </w:r>
            <w:r>
              <w:rPr>
                <w:szCs w:val="21"/>
              </w:rPr>
              <w:t>,</w:t>
            </w:r>
            <w:r>
              <w:rPr>
                <w:rFonts w:hint="eastAsia"/>
                <w:szCs w:val="21"/>
              </w:rPr>
              <w:t>庶通过井下充填、发电、生产建筑材料、回收矿产品、制取化工产品、筑路、土地复垦等途径</w:t>
            </w:r>
            <w:r>
              <w:rPr>
                <w:szCs w:val="21"/>
              </w:rPr>
              <w:t>,</w:t>
            </w:r>
            <w:r>
              <w:rPr>
                <w:rFonts w:hint="eastAsia"/>
                <w:szCs w:val="21"/>
              </w:rPr>
              <w:t>积极做好综合利用。</w:t>
            </w:r>
          </w:p>
        </w:tc>
        <w:tc>
          <w:tcPr>
            <w:tcW w:w="2221" w:type="pct"/>
            <w:tcBorders>
              <w:top w:val="single" w:color="auto" w:sz="4" w:space="0"/>
              <w:left w:val="single" w:color="auto" w:sz="4" w:space="0"/>
              <w:bottom w:val="single" w:color="auto" w:sz="4" w:space="0"/>
              <w:right w:val="single" w:color="auto" w:sz="4" w:space="0"/>
            </w:tcBorders>
            <w:noWrap/>
            <w:vAlign w:val="center"/>
          </w:tcPr>
          <w:p>
            <w:pPr>
              <w:pStyle w:val="99"/>
              <w:ind w:firstLine="420" w:firstLineChars="200"/>
              <w:jc w:val="both"/>
              <w:rPr>
                <w:rFonts w:ascii="Times New Roman" w:hAnsi="Times New Roman" w:cs="Times New Roman" w:eastAsiaTheme="minorEastAsia"/>
                <w:color w:val="auto"/>
                <w:kern w:val="2"/>
                <w:sz w:val="21"/>
                <w:szCs w:val="21"/>
              </w:rPr>
            </w:pPr>
            <w:r>
              <w:rPr>
                <w:rFonts w:ascii="Times New Roman" w:cs="Times New Roman" w:hAnsiTheme="minorEastAsia" w:eastAsiaTheme="minorEastAsia"/>
                <w:sz w:val="21"/>
                <w:szCs w:val="21"/>
              </w:rPr>
              <w:t>本项目对沉陷造成的环境影响按照原始地貌进行恢复，确保了与周边生态环境相协调。本矿井制定了矸石临时堆场的生态恢复措施。</w:t>
            </w:r>
            <w:r>
              <w:rPr>
                <w:rFonts w:ascii="Times New Roman" w:cs="Times New Roman" w:hAnsiTheme="minorEastAsia" w:eastAsiaTheme="minorEastAsia"/>
                <w:color w:val="auto"/>
                <w:kern w:val="2"/>
                <w:sz w:val="21"/>
                <w:szCs w:val="21"/>
              </w:rPr>
              <w:t>本矿井已编制了矿山生态环境保护与恢复治理方案，该方案制定了整合前原有废弃建筑物的生态恢复措施。</w:t>
            </w:r>
          </w:p>
          <w:p>
            <w:pPr>
              <w:pStyle w:val="99"/>
              <w:ind w:firstLine="420" w:firstLineChars="200"/>
              <w:rPr>
                <w:rFonts w:ascii="Times New Roman" w:hAnsi="Times New Roman" w:cs="Times New Roman" w:eastAsiaTheme="minorEastAsia"/>
                <w:sz w:val="21"/>
                <w:szCs w:val="21"/>
              </w:rPr>
            </w:pPr>
            <w:r>
              <w:rPr>
                <w:rFonts w:ascii="Times New Roman" w:cs="Times New Roman" w:hAnsiTheme="minorEastAsia" w:eastAsiaTheme="minorEastAsia"/>
                <w:color w:val="auto"/>
                <w:kern w:val="2"/>
                <w:sz w:val="21"/>
                <w:szCs w:val="21"/>
              </w:rPr>
              <w:t>本矿储煤棚、破碎、筛分均依托龙宇洗煤厂，</w:t>
            </w:r>
            <w:r>
              <w:rPr>
                <w:rFonts w:ascii="Times New Roman" w:hAnsi="Times New Roman" w:cs="Times New Roman" w:eastAsiaTheme="minorEastAsia"/>
                <w:color w:val="auto"/>
                <w:kern w:val="2"/>
                <w:sz w:val="21"/>
                <w:szCs w:val="21"/>
              </w:rPr>
              <w:t>2009</w:t>
            </w:r>
            <w:r>
              <w:rPr>
                <w:rFonts w:ascii="Times New Roman" w:cs="Times New Roman" w:hAnsiTheme="minorEastAsia" w:eastAsiaTheme="minorEastAsia"/>
                <w:color w:val="auto"/>
                <w:kern w:val="2"/>
                <w:sz w:val="21"/>
                <w:szCs w:val="21"/>
              </w:rPr>
              <w:t>年</w:t>
            </w:r>
            <w:r>
              <w:rPr>
                <w:rFonts w:ascii="Times New Roman" w:hAnsi="Times New Roman" w:cs="Times New Roman" w:eastAsiaTheme="minorEastAsia"/>
                <w:color w:val="auto"/>
                <w:kern w:val="2"/>
                <w:sz w:val="21"/>
                <w:szCs w:val="21"/>
              </w:rPr>
              <w:t>9</w:t>
            </w:r>
            <w:r>
              <w:rPr>
                <w:rFonts w:ascii="Times New Roman" w:cs="Times New Roman" w:hAnsiTheme="minorEastAsia" w:eastAsiaTheme="minorEastAsia"/>
                <w:color w:val="auto"/>
                <w:kern w:val="2"/>
                <w:sz w:val="21"/>
                <w:szCs w:val="21"/>
              </w:rPr>
              <w:t>月</w:t>
            </w:r>
            <w:r>
              <w:rPr>
                <w:rFonts w:ascii="Times New Roman" w:hAnsi="Times New Roman" w:cs="Times New Roman" w:eastAsiaTheme="minorEastAsia"/>
                <w:color w:val="auto"/>
                <w:kern w:val="2"/>
                <w:sz w:val="21"/>
                <w:szCs w:val="21"/>
              </w:rPr>
              <w:t>28</w:t>
            </w:r>
            <w:r>
              <w:rPr>
                <w:rFonts w:ascii="Times New Roman" w:cs="Times New Roman" w:hAnsiTheme="minorEastAsia" w:eastAsiaTheme="minorEastAsia"/>
                <w:color w:val="auto"/>
                <w:kern w:val="2"/>
                <w:sz w:val="21"/>
                <w:szCs w:val="21"/>
              </w:rPr>
              <w:t>日该洗煤厂经吕梁市环境保护局吕环行审</w:t>
            </w:r>
            <w:r>
              <w:rPr>
                <w:rFonts w:ascii="Times New Roman" w:hAnsi="Times New Roman" w:cs="Times New Roman" w:eastAsiaTheme="minorEastAsia"/>
                <w:color w:val="auto"/>
                <w:kern w:val="2"/>
                <w:sz w:val="21"/>
                <w:szCs w:val="21"/>
              </w:rPr>
              <w:t>[2009]123</w:t>
            </w:r>
            <w:r>
              <w:rPr>
                <w:rFonts w:ascii="Times New Roman" w:cs="Times New Roman" w:hAnsiTheme="minorEastAsia" w:eastAsiaTheme="minorEastAsia"/>
                <w:color w:val="auto"/>
                <w:kern w:val="2"/>
                <w:sz w:val="21"/>
                <w:szCs w:val="21"/>
              </w:rPr>
              <w:t>号文批复；</w:t>
            </w:r>
            <w:r>
              <w:rPr>
                <w:rFonts w:ascii="Times New Roman" w:hAnsi="Times New Roman" w:cs="Times New Roman" w:eastAsiaTheme="minorEastAsia"/>
                <w:color w:val="auto"/>
                <w:kern w:val="2"/>
                <w:sz w:val="21"/>
                <w:szCs w:val="21"/>
              </w:rPr>
              <w:t>2019</w:t>
            </w:r>
            <w:r>
              <w:rPr>
                <w:rFonts w:ascii="Times New Roman" w:cs="Times New Roman" w:hAnsiTheme="minorEastAsia" w:eastAsiaTheme="minorEastAsia"/>
                <w:color w:val="auto"/>
                <w:kern w:val="2"/>
                <w:sz w:val="21"/>
                <w:szCs w:val="21"/>
              </w:rPr>
              <w:t>年</w:t>
            </w:r>
            <w:r>
              <w:rPr>
                <w:rFonts w:ascii="Times New Roman" w:hAnsi="Times New Roman" w:cs="Times New Roman" w:eastAsiaTheme="minorEastAsia"/>
                <w:color w:val="auto"/>
                <w:kern w:val="2"/>
                <w:sz w:val="21"/>
                <w:szCs w:val="21"/>
              </w:rPr>
              <w:t>6</w:t>
            </w:r>
            <w:r>
              <w:rPr>
                <w:rFonts w:ascii="Times New Roman" w:cs="Times New Roman" w:hAnsiTheme="minorEastAsia" w:eastAsiaTheme="minorEastAsia"/>
                <w:color w:val="auto"/>
                <w:kern w:val="2"/>
                <w:sz w:val="21"/>
                <w:szCs w:val="21"/>
              </w:rPr>
              <w:t>月</w:t>
            </w:r>
            <w:r>
              <w:rPr>
                <w:rFonts w:ascii="Times New Roman" w:hAnsi="Times New Roman" w:cs="Times New Roman" w:eastAsiaTheme="minorEastAsia"/>
                <w:color w:val="auto"/>
                <w:kern w:val="2"/>
                <w:sz w:val="21"/>
                <w:szCs w:val="21"/>
              </w:rPr>
              <w:t>13</w:t>
            </w:r>
            <w:r>
              <w:rPr>
                <w:rFonts w:ascii="Times New Roman" w:cs="Times New Roman" w:hAnsiTheme="minorEastAsia" w:eastAsiaTheme="minorEastAsia"/>
                <w:color w:val="auto"/>
                <w:kern w:val="2"/>
                <w:sz w:val="21"/>
                <w:szCs w:val="21"/>
              </w:rPr>
              <w:t>日，临县环境保护局以临环行备</w:t>
            </w:r>
            <w:r>
              <w:rPr>
                <w:rFonts w:ascii="Times New Roman" w:hAnsi="Times New Roman" w:cs="Times New Roman" w:eastAsiaTheme="minorEastAsia"/>
                <w:color w:val="auto"/>
                <w:kern w:val="2"/>
                <w:sz w:val="21"/>
                <w:szCs w:val="21"/>
              </w:rPr>
              <w:t>[2019]15</w:t>
            </w:r>
            <w:r>
              <w:rPr>
                <w:rFonts w:ascii="Times New Roman" w:cs="Times New Roman" w:hAnsiTheme="minorEastAsia" w:eastAsiaTheme="minorEastAsia"/>
                <w:color w:val="auto"/>
                <w:kern w:val="2"/>
                <w:sz w:val="21"/>
                <w:szCs w:val="21"/>
              </w:rPr>
              <w:t>号文对该洗煤厂进行了环境保护竣工验收。储煤棚为全封闭式，棚内设覆盖全场的喷雾降尘装置；破碎</w:t>
            </w:r>
            <w:r>
              <w:rPr>
                <w:rFonts w:hint="eastAsia" w:ascii="Times New Roman" w:cs="Times New Roman" w:hAnsiTheme="minorEastAsia" w:eastAsiaTheme="minorEastAsia"/>
                <w:color w:val="auto"/>
                <w:kern w:val="2"/>
                <w:sz w:val="21"/>
                <w:szCs w:val="21"/>
              </w:rPr>
              <w:t>、筛分</w:t>
            </w:r>
            <w:r>
              <w:rPr>
                <w:rFonts w:ascii="Times New Roman" w:cs="Times New Roman" w:hAnsiTheme="minorEastAsia" w:eastAsiaTheme="minorEastAsia"/>
                <w:color w:val="auto"/>
                <w:kern w:val="2"/>
                <w:sz w:val="21"/>
                <w:szCs w:val="21"/>
              </w:rPr>
              <w:t>车间采用高效除尘器，原煤转运采用封闭式皮带输送机，煤炭运输车辆进行了苫盖，工业场地地出口设置了自动洗车平台对进出车辆进行车身及轮胎的清洗。</w:t>
            </w:r>
            <w:r>
              <w:rPr>
                <w:rFonts w:ascii="Times New Roman" w:cs="Times New Roman" w:hAnsiTheme="minorEastAsia" w:eastAsiaTheme="minorEastAsia"/>
                <w:sz w:val="21"/>
                <w:szCs w:val="21"/>
              </w:rPr>
              <w:t>本项目采暖使用天然气燃气锅炉及空气源热泵，使用清洁能源，可以减少大气污染物的排放。</w:t>
            </w:r>
          </w:p>
          <w:p>
            <w:pPr>
              <w:tabs>
                <w:tab w:val="left" w:pos="6327"/>
              </w:tabs>
              <w:spacing w:beforeLines="10"/>
              <w:ind w:firstLine="420" w:firstLineChars="200"/>
              <w:rPr>
                <w:highlight w:val="yellow"/>
              </w:rPr>
            </w:pPr>
            <w:r>
              <w:rPr>
                <w:rFonts w:hint="eastAsia"/>
                <w:bCs/>
                <w:szCs w:val="21"/>
              </w:rPr>
              <w:t>矿井生产生活污水主要包括办公生活用水、宿舍用水、食堂用水、浴室用水及洗衣房用水等产生的生活污水，采用“厌氧、缺氧、好氧同步脱碳除磷生物处理法</w:t>
            </w:r>
            <w:r>
              <w:rPr>
                <w:bCs/>
                <w:szCs w:val="21"/>
              </w:rPr>
              <w:t>+</w:t>
            </w:r>
            <w:r>
              <w:rPr>
                <w:rFonts w:hint="eastAsia"/>
                <w:bCs/>
                <w:szCs w:val="21"/>
              </w:rPr>
              <w:t>臭氧氧化、活性炭过滤”工艺，</w:t>
            </w:r>
            <w:r>
              <w:rPr>
                <w:rFonts w:hint="eastAsia"/>
                <w:szCs w:val="21"/>
              </w:rPr>
              <w:t>处理能力45</w:t>
            </w:r>
            <w:r>
              <w:rPr>
                <w:szCs w:val="21"/>
              </w:rPr>
              <w:t>0m</w:t>
            </w:r>
            <w:r>
              <w:rPr>
                <w:szCs w:val="21"/>
                <w:vertAlign w:val="superscript"/>
              </w:rPr>
              <w:t>3</w:t>
            </w:r>
            <w:r>
              <w:rPr>
                <w:szCs w:val="21"/>
              </w:rPr>
              <w:t>/</w:t>
            </w:r>
            <w:r>
              <w:rPr>
                <w:rFonts w:hint="eastAsia"/>
                <w:szCs w:val="21"/>
              </w:rPr>
              <w:t>d。</w:t>
            </w:r>
            <w:r>
              <w:rPr>
                <w:rFonts w:hint="eastAsia"/>
                <w:bCs/>
                <w:szCs w:val="21"/>
              </w:rPr>
              <w:t>经处理后的生活污水回用于储煤场洒水、厂区道路洒水、绿化洒水、洗车平台用水，其余送至龙宇洗煤厂作为洗煤厂补充水，生活污水全部回用，不外排。本项目配套建设一座污水处理站，处理能力612</w:t>
            </w:r>
            <w:r>
              <w:rPr>
                <w:bCs/>
                <w:szCs w:val="21"/>
              </w:rPr>
              <w:t>0m</w:t>
            </w:r>
            <w:r>
              <w:rPr>
                <w:bCs/>
                <w:szCs w:val="21"/>
                <w:vertAlign w:val="superscript"/>
              </w:rPr>
              <w:t>3</w:t>
            </w:r>
            <w:r>
              <w:rPr>
                <w:bCs/>
                <w:szCs w:val="21"/>
              </w:rPr>
              <w:t>/</w:t>
            </w:r>
            <w:r>
              <w:rPr>
                <w:rFonts w:hint="eastAsia"/>
                <w:bCs/>
                <w:szCs w:val="21"/>
              </w:rPr>
              <w:t>d，矿井水处理采用“高效旋流过滤、压力式超滤”处理工艺。矿井水经处理后回用于井下生产用水、洗车平台及锅炉补充用水，不外排。</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highlight w:val="yellow"/>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highlight w:val="yellow"/>
              </w:rPr>
            </w:pPr>
            <w:r>
              <w:rPr>
                <w:kern w:val="0"/>
                <w:szCs w:val="21"/>
              </w:rPr>
              <w:t>2</w:t>
            </w:r>
          </w:p>
        </w:tc>
        <w:tc>
          <w:tcPr>
            <w:tcW w:w="2205" w:type="pct"/>
            <w:tcBorders>
              <w:top w:val="single" w:color="auto" w:sz="4" w:space="0"/>
              <w:left w:val="single" w:color="auto" w:sz="4" w:space="0"/>
              <w:bottom w:val="single" w:color="auto" w:sz="4" w:space="0"/>
              <w:right w:val="single" w:color="auto" w:sz="4" w:space="0"/>
            </w:tcBorders>
            <w:noWrap/>
            <w:vAlign w:val="center"/>
          </w:tcPr>
          <w:p>
            <w:pPr>
              <w:rPr>
                <w:rFonts w:eastAsiaTheme="minorEastAsia"/>
                <w:szCs w:val="21"/>
              </w:rPr>
            </w:pPr>
            <w:r>
              <w:rPr>
                <w:rFonts w:hint="eastAsia"/>
                <w:szCs w:val="21"/>
              </w:rPr>
              <w:t>环评应建立“三挂钩”机制</w:t>
            </w:r>
            <w:r>
              <w:rPr>
                <w:szCs w:val="21"/>
              </w:rPr>
              <w:t>,</w:t>
            </w:r>
            <w:r>
              <w:rPr>
                <w:rFonts w:hint="eastAsia"/>
                <w:szCs w:val="21"/>
              </w:rPr>
              <w:t>也就是建设项目环评与规划环评联动、项目环评与现有项目环境管理联动、项目环评与区域环境质量联动关于煤矿项目环评与规划环评联动</w:t>
            </w:r>
            <w:r>
              <w:rPr>
                <w:szCs w:val="21"/>
              </w:rPr>
              <w:t>,</w:t>
            </w:r>
            <w:r>
              <w:rPr>
                <w:rFonts w:hint="eastAsia"/>
                <w:szCs w:val="21"/>
              </w:rPr>
              <w:t>即煤矿项目所在煤炭矿区、所在区域煤炭行业发展等规划要作为规划所包含项目环评的重要依据</w:t>
            </w:r>
            <w:r>
              <w:rPr>
                <w:szCs w:val="21"/>
              </w:rPr>
              <w:t>,</w:t>
            </w:r>
            <w:r>
              <w:rPr>
                <w:rFonts w:hint="eastAsia"/>
                <w:szCs w:val="21"/>
              </w:rPr>
              <w:t>对于不符合规划环评结论及审查意见的煤矿项目环评</w:t>
            </w:r>
            <w:r>
              <w:rPr>
                <w:szCs w:val="21"/>
              </w:rPr>
              <w:t>,</w:t>
            </w:r>
            <w:r>
              <w:rPr>
                <w:rFonts w:hint="eastAsia"/>
                <w:szCs w:val="21"/>
              </w:rPr>
              <w:t>依法不予审批。规划所包含项目的环评内容</w:t>
            </w:r>
            <w:r>
              <w:rPr>
                <w:szCs w:val="21"/>
              </w:rPr>
              <w:t>,</w:t>
            </w:r>
            <w:r>
              <w:rPr>
                <w:rFonts w:hint="eastAsia"/>
                <w:szCs w:val="21"/>
              </w:rPr>
              <w:t>应当根据规划环评结论和审查意见予以筒化。</w:t>
            </w:r>
          </w:p>
          <w:p>
            <w:pPr>
              <w:rPr>
                <w:kern w:val="0"/>
                <w:szCs w:val="21"/>
              </w:rPr>
            </w:pPr>
            <w:r>
              <w:rPr>
                <w:rFonts w:hint="eastAsia"/>
                <w:szCs w:val="21"/>
              </w:rPr>
              <w:t>煤矿项目环评与现有项目环境管理联动。即对于现有煤矿行业环境污染或生态破坏严重</w:t>
            </w:r>
            <w:r>
              <w:rPr>
                <w:szCs w:val="21"/>
              </w:rPr>
              <w:t>,</w:t>
            </w:r>
            <w:r>
              <w:rPr>
                <w:rFonts w:hint="eastAsia"/>
                <w:szCs w:val="21"/>
              </w:rPr>
              <w:t>环境违法违规现象多发</w:t>
            </w:r>
            <w:r>
              <w:rPr>
                <w:szCs w:val="21"/>
              </w:rPr>
              <w:t>,</w:t>
            </w:r>
            <w:r>
              <w:rPr>
                <w:rFonts w:hint="eastAsia"/>
                <w:szCs w:val="21"/>
              </w:rPr>
              <w:t>致使环境容量接近或超过承载能力的地区</w:t>
            </w:r>
            <w:r>
              <w:rPr>
                <w:szCs w:val="21"/>
              </w:rPr>
              <w:t>,</w:t>
            </w:r>
            <w:r>
              <w:rPr>
                <w:rFonts w:hint="eastAsia"/>
                <w:szCs w:val="21"/>
              </w:rPr>
              <w:t>在现有问题整改到位前依法暂停审批该地区煤矿行业的项目环评文件。改建、扩建和技术改造煤矿项目</w:t>
            </w:r>
            <w:r>
              <w:rPr>
                <w:szCs w:val="21"/>
              </w:rPr>
              <w:t>,</w:t>
            </w:r>
            <w:r>
              <w:rPr>
                <w:rFonts w:hint="eastAsia"/>
                <w:szCs w:val="21"/>
              </w:rPr>
              <w:t>应对现有工程的环境保护措施及效果进行全面梳理</w:t>
            </w:r>
            <w:r>
              <w:rPr>
                <w:szCs w:val="21"/>
              </w:rPr>
              <w:t>;</w:t>
            </w:r>
            <w:r>
              <w:rPr>
                <w:rFonts w:hint="eastAsia"/>
                <w:szCs w:val="21"/>
              </w:rPr>
              <w:t>如现有工程已经造成明显环境问题</w:t>
            </w:r>
            <w:r>
              <w:rPr>
                <w:szCs w:val="21"/>
              </w:rPr>
              <w:t>,</w:t>
            </w:r>
            <w:r>
              <w:rPr>
                <w:rFonts w:hint="eastAsia"/>
                <w:szCs w:val="21"/>
              </w:rPr>
              <w:t>应提出有效的整改方案和“以新带老”措施煤矿项目环评与区域环境质量联动</w:t>
            </w:r>
            <w:r>
              <w:rPr>
                <w:szCs w:val="21"/>
              </w:rPr>
              <w:t>,</w:t>
            </w:r>
            <w:r>
              <w:rPr>
                <w:rFonts w:hint="eastAsia"/>
                <w:szCs w:val="21"/>
              </w:rPr>
              <w:t>即对环境质量现状超标的地区</w:t>
            </w:r>
            <w:r>
              <w:rPr>
                <w:szCs w:val="21"/>
              </w:rPr>
              <w:t>,</w:t>
            </w:r>
            <w:r>
              <w:rPr>
                <w:rFonts w:hint="eastAsia"/>
                <w:szCs w:val="21"/>
              </w:rPr>
              <w:t>煤矿项目拟采取的措施不能满足区域环境质量改善目标管理要求的</w:t>
            </w:r>
            <w:r>
              <w:rPr>
                <w:szCs w:val="21"/>
              </w:rPr>
              <w:t>,</w:t>
            </w:r>
            <w:r>
              <w:rPr>
                <w:rFonts w:hint="eastAsia"/>
                <w:szCs w:val="21"/>
              </w:rPr>
              <w:t>依法不子审批其环评文件</w:t>
            </w:r>
            <w:r>
              <w:rPr>
                <w:szCs w:val="21"/>
              </w:rPr>
              <w:t>,</w:t>
            </w:r>
            <w:r>
              <w:rPr>
                <w:rFonts w:hint="eastAsia"/>
                <w:szCs w:val="21"/>
              </w:rPr>
              <w:t>对达到环境质量目标考核要求的地区</w:t>
            </w:r>
            <w:r>
              <w:rPr>
                <w:szCs w:val="21"/>
              </w:rPr>
              <w:t>,</w:t>
            </w:r>
            <w:r>
              <w:rPr>
                <w:rFonts w:hint="eastAsia"/>
                <w:szCs w:val="21"/>
              </w:rPr>
              <w:t>依法不子审批煤矿项目环评文件。</w:t>
            </w:r>
          </w:p>
        </w:tc>
        <w:tc>
          <w:tcPr>
            <w:tcW w:w="2221" w:type="pct"/>
            <w:tcBorders>
              <w:top w:val="single" w:color="auto" w:sz="4" w:space="0"/>
              <w:left w:val="single" w:color="auto" w:sz="4" w:space="0"/>
              <w:bottom w:val="single" w:color="auto" w:sz="4" w:space="0"/>
              <w:right w:val="single" w:color="auto" w:sz="4" w:space="0"/>
            </w:tcBorders>
            <w:noWrap/>
            <w:vAlign w:val="center"/>
          </w:tcPr>
          <w:p>
            <w:pPr>
              <w:rPr>
                <w:szCs w:val="21"/>
              </w:rPr>
            </w:pPr>
            <w:r>
              <w:rPr>
                <w:rFonts w:hint="eastAsia"/>
                <w:bCs/>
                <w:spacing w:val="4"/>
                <w:szCs w:val="21"/>
              </w:rPr>
              <w:t>本项目与《</w:t>
            </w:r>
            <w:r>
              <w:rPr>
                <w:rFonts w:hint="eastAsia"/>
                <w:szCs w:val="21"/>
              </w:rPr>
              <w:t>山西省矿产资源总体规划（</w:t>
            </w:r>
            <w:r>
              <w:rPr>
                <w:szCs w:val="21"/>
              </w:rPr>
              <w:t>2016-2020</w:t>
            </w:r>
            <w:r>
              <w:rPr>
                <w:rFonts w:hint="eastAsia"/>
                <w:szCs w:val="21"/>
              </w:rPr>
              <w:t>年）</w:t>
            </w:r>
            <w:r>
              <w:rPr>
                <w:rFonts w:hint="eastAsia"/>
                <w:bCs/>
                <w:spacing w:val="4"/>
                <w:szCs w:val="21"/>
              </w:rPr>
              <w:t>》及</w:t>
            </w:r>
            <w:r>
              <w:rPr>
                <w:rFonts w:hint="eastAsia" w:hAnsi="宋体"/>
                <w:szCs w:val="21"/>
              </w:rPr>
              <w:t>《</w:t>
            </w:r>
            <w:r>
              <w:rPr>
                <w:rFonts w:hint="eastAsia"/>
                <w:szCs w:val="21"/>
              </w:rPr>
              <w:t>山西晋中煤炭基地离柳矿区总体规划</w:t>
            </w:r>
            <w:r>
              <w:rPr>
                <w:rFonts w:hint="eastAsia" w:hAnsi="宋体"/>
                <w:szCs w:val="21"/>
              </w:rPr>
              <w:t>》进行了联动，对现有工程的环境保护措施及效果进行了全面的梳理，提出了</w:t>
            </w:r>
            <w:r>
              <w:rPr>
                <w:rFonts w:hint="eastAsia"/>
                <w:szCs w:val="21"/>
              </w:rPr>
              <w:t>有效的整改方案和“以新带老”措施。</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4" w:space="0"/>
              <w:right w:val="single" w:color="auto" w:sz="4" w:space="0"/>
            </w:tcBorders>
            <w:noWrap/>
            <w:vAlign w:val="center"/>
          </w:tcPr>
          <w:p>
            <w:pPr>
              <w:jc w:val="center"/>
              <w:rPr>
                <w:kern w:val="0"/>
                <w:szCs w:val="21"/>
              </w:rPr>
            </w:pPr>
            <w:r>
              <w:rPr>
                <w:kern w:val="0"/>
                <w:szCs w:val="21"/>
              </w:rPr>
              <w:t>3</w:t>
            </w:r>
          </w:p>
        </w:tc>
        <w:tc>
          <w:tcPr>
            <w:tcW w:w="2205" w:type="pct"/>
            <w:tcBorders>
              <w:top w:val="single" w:color="auto" w:sz="4" w:space="0"/>
              <w:left w:val="single" w:color="auto" w:sz="4" w:space="0"/>
              <w:bottom w:val="single" w:color="auto" w:sz="4" w:space="0"/>
              <w:right w:val="single" w:color="auto" w:sz="4" w:space="0"/>
            </w:tcBorders>
            <w:noWrap/>
            <w:vAlign w:val="center"/>
          </w:tcPr>
          <w:p>
            <w:pPr>
              <w:rPr>
                <w:kern w:val="0"/>
                <w:szCs w:val="21"/>
              </w:rPr>
            </w:pPr>
            <w:r>
              <w:rPr>
                <w:rFonts w:hint="eastAsia"/>
                <w:szCs w:val="21"/>
              </w:rPr>
              <w:t>“未批先建”项目</w:t>
            </w:r>
            <w:r>
              <w:rPr>
                <w:szCs w:val="21"/>
              </w:rPr>
              <w:t>,</w:t>
            </w:r>
            <w:r>
              <w:rPr>
                <w:rFonts w:hint="eastAsia"/>
                <w:szCs w:val="21"/>
              </w:rPr>
              <w:t>要严格依法予以处罚</w:t>
            </w:r>
            <w:r>
              <w:rPr>
                <w:szCs w:val="21"/>
              </w:rPr>
              <w:t>,</w:t>
            </w:r>
            <w:r>
              <w:rPr>
                <w:rFonts w:hint="eastAsia"/>
                <w:szCs w:val="21"/>
                <w:lang w:eastAsia="zh-CN"/>
              </w:rPr>
              <w:t>责</w:t>
            </w:r>
            <w:r>
              <w:rPr>
                <w:rFonts w:hint="eastAsia"/>
                <w:szCs w:val="21"/>
              </w:rPr>
              <w:t>令停工停建</w:t>
            </w:r>
            <w:r>
              <w:rPr>
                <w:szCs w:val="21"/>
              </w:rPr>
              <w:t>,</w:t>
            </w:r>
            <w:r>
              <w:rPr>
                <w:rFonts w:hint="eastAsia"/>
                <w:szCs w:val="21"/>
              </w:rPr>
              <w:t>处建设项目总投资额百分之一以上百分之五以下的罚款</w:t>
            </w:r>
            <w:r>
              <w:rPr>
                <w:szCs w:val="21"/>
              </w:rPr>
              <w:t>,</w:t>
            </w:r>
            <w:r>
              <w:rPr>
                <w:rFonts w:hint="eastAsia"/>
                <w:szCs w:val="21"/>
              </w:rPr>
              <w:t>并可以责令恢复原状</w:t>
            </w:r>
            <w:r>
              <w:rPr>
                <w:szCs w:val="21"/>
              </w:rPr>
              <w:t>;</w:t>
            </w:r>
            <w:r>
              <w:rPr>
                <w:rFonts w:hint="eastAsia"/>
                <w:szCs w:val="21"/>
              </w:rPr>
              <w:t>对“久拖不验”的项目</w:t>
            </w:r>
            <w:r>
              <w:rPr>
                <w:szCs w:val="21"/>
              </w:rPr>
              <w:t>,</w:t>
            </w:r>
            <w:r>
              <w:rPr>
                <w:rFonts w:hint="eastAsia"/>
                <w:szCs w:val="21"/>
              </w:rPr>
              <w:t>要研究制定措施予以解决</w:t>
            </w:r>
            <w:r>
              <w:rPr>
                <w:szCs w:val="21"/>
              </w:rPr>
              <w:t>,</w:t>
            </w:r>
            <w:r>
              <w:rPr>
                <w:rFonts w:hint="eastAsia"/>
                <w:szCs w:val="21"/>
              </w:rPr>
              <w:t>对造成严重环境污染或生态破坏的项目</w:t>
            </w:r>
            <w:r>
              <w:rPr>
                <w:szCs w:val="21"/>
              </w:rPr>
              <w:t>,</w:t>
            </w:r>
            <w:r>
              <w:rPr>
                <w:rFonts w:hint="eastAsia"/>
                <w:szCs w:val="21"/>
              </w:rPr>
              <w:t>要依法予以查处</w:t>
            </w:r>
            <w:r>
              <w:rPr>
                <w:szCs w:val="21"/>
              </w:rPr>
              <w:t>;</w:t>
            </w:r>
            <w:r>
              <w:rPr>
                <w:rFonts w:hint="eastAsia"/>
                <w:szCs w:val="21"/>
              </w:rPr>
              <w:t>对拒不执行的要依法实施“按日计罚”</w:t>
            </w:r>
          </w:p>
        </w:tc>
        <w:tc>
          <w:tcPr>
            <w:tcW w:w="2221" w:type="pct"/>
            <w:tcBorders>
              <w:top w:val="single" w:color="auto" w:sz="4" w:space="0"/>
              <w:left w:val="single" w:color="auto" w:sz="4" w:space="0"/>
              <w:bottom w:val="single" w:color="auto" w:sz="4" w:space="0"/>
              <w:right w:val="single" w:color="auto" w:sz="4" w:space="0"/>
            </w:tcBorders>
            <w:noWrap/>
            <w:vAlign w:val="center"/>
          </w:tcPr>
          <w:p>
            <w:pPr>
              <w:rPr>
                <w:szCs w:val="21"/>
              </w:rPr>
            </w:pPr>
            <w:r>
              <w:rPr>
                <w:rFonts w:hint="eastAsia"/>
                <w:szCs w:val="21"/>
              </w:rPr>
              <w:t>本项目不属于“未批先建”项目。</w:t>
            </w:r>
          </w:p>
        </w:tc>
        <w:tc>
          <w:tcPr>
            <w:tcW w:w="286" w:type="pc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8" w:type="pct"/>
            <w:tcBorders>
              <w:top w:val="single" w:color="auto" w:sz="4" w:space="0"/>
              <w:left w:val="single" w:color="auto" w:sz="12" w:space="0"/>
              <w:bottom w:val="single" w:color="auto" w:sz="12" w:space="0"/>
              <w:right w:val="single" w:color="auto" w:sz="4" w:space="0"/>
            </w:tcBorders>
            <w:noWrap/>
            <w:vAlign w:val="center"/>
          </w:tcPr>
          <w:p>
            <w:pPr>
              <w:jc w:val="center"/>
              <w:rPr>
                <w:kern w:val="0"/>
                <w:szCs w:val="21"/>
              </w:rPr>
            </w:pPr>
            <w:r>
              <w:rPr>
                <w:kern w:val="0"/>
                <w:szCs w:val="21"/>
              </w:rPr>
              <w:t>4</w:t>
            </w:r>
          </w:p>
        </w:tc>
        <w:tc>
          <w:tcPr>
            <w:tcW w:w="2205" w:type="pct"/>
            <w:tcBorders>
              <w:top w:val="single" w:color="auto" w:sz="4" w:space="0"/>
              <w:left w:val="single" w:color="auto" w:sz="4" w:space="0"/>
              <w:bottom w:val="single" w:color="auto" w:sz="12" w:space="0"/>
              <w:right w:val="single" w:color="auto" w:sz="4" w:space="0"/>
            </w:tcBorders>
            <w:noWrap/>
            <w:vAlign w:val="center"/>
          </w:tcPr>
          <w:p>
            <w:pPr>
              <w:rPr>
                <w:rFonts w:eastAsiaTheme="minorEastAsia"/>
                <w:szCs w:val="21"/>
              </w:rPr>
            </w:pPr>
            <w:r>
              <w:rPr>
                <w:rFonts w:hint="eastAsia"/>
                <w:szCs w:val="21"/>
              </w:rPr>
              <w:t>督促建设单位认真履行信息公开主体责任</w:t>
            </w:r>
            <w:r>
              <w:rPr>
                <w:szCs w:val="21"/>
              </w:rPr>
              <w:t>,</w:t>
            </w:r>
            <w:r>
              <w:rPr>
                <w:rFonts w:hint="eastAsia"/>
                <w:szCs w:val="21"/>
              </w:rPr>
              <w:t>完整客观地公开建设项目环评和验收信息</w:t>
            </w:r>
            <w:r>
              <w:rPr>
                <w:szCs w:val="21"/>
              </w:rPr>
              <w:t>,</w:t>
            </w:r>
            <w:r>
              <w:rPr>
                <w:rFonts w:hint="eastAsia"/>
                <w:szCs w:val="21"/>
              </w:rPr>
              <w:t>依法开展公众参与</w:t>
            </w:r>
            <w:r>
              <w:rPr>
                <w:szCs w:val="21"/>
              </w:rPr>
              <w:t>,</w:t>
            </w:r>
            <w:r>
              <w:rPr>
                <w:rFonts w:hint="eastAsia"/>
                <w:szCs w:val="21"/>
              </w:rPr>
              <w:t>建立公众意见收集、采纳和反馈机制。对建设单位在项目环评中未依法公开征求公众意见</w:t>
            </w:r>
            <w:r>
              <w:rPr>
                <w:szCs w:val="21"/>
              </w:rPr>
              <w:t>,</w:t>
            </w:r>
            <w:r>
              <w:rPr>
                <w:rFonts w:hint="eastAsia"/>
                <w:szCs w:val="21"/>
              </w:rPr>
              <w:t>或者对意见采纳情况未依法子以说明的</w:t>
            </w:r>
            <w:r>
              <w:rPr>
                <w:szCs w:val="21"/>
              </w:rPr>
              <w:t>,</w:t>
            </w:r>
            <w:r>
              <w:rPr>
                <w:rFonts w:hint="eastAsia"/>
                <w:szCs w:val="21"/>
              </w:rPr>
              <w:t>应当责成建设单位改正。</w:t>
            </w:r>
          </w:p>
        </w:tc>
        <w:tc>
          <w:tcPr>
            <w:tcW w:w="2221" w:type="pct"/>
            <w:tcBorders>
              <w:top w:val="single" w:color="auto" w:sz="4" w:space="0"/>
              <w:left w:val="single" w:color="auto" w:sz="4" w:space="0"/>
              <w:bottom w:val="single" w:color="auto" w:sz="12" w:space="0"/>
              <w:right w:val="single" w:color="auto" w:sz="4" w:space="0"/>
            </w:tcBorders>
            <w:noWrap/>
            <w:vAlign w:val="center"/>
          </w:tcPr>
          <w:p>
            <w:pPr>
              <w:rPr>
                <w:szCs w:val="21"/>
              </w:rPr>
            </w:pPr>
            <w:r>
              <w:rPr>
                <w:rFonts w:hint="eastAsia"/>
                <w:szCs w:val="21"/>
              </w:rPr>
              <w:t>本项目客观的公开了建设项目环境影响评价信息</w:t>
            </w:r>
          </w:p>
        </w:tc>
        <w:tc>
          <w:tcPr>
            <w:tcW w:w="286" w:type="pct"/>
            <w:tcBorders>
              <w:top w:val="single" w:color="auto" w:sz="4" w:space="0"/>
              <w:left w:val="single" w:color="auto" w:sz="4" w:space="0"/>
              <w:bottom w:val="single" w:color="auto" w:sz="12" w:space="0"/>
              <w:right w:val="single" w:color="auto" w:sz="12" w:space="0"/>
            </w:tcBorders>
            <w:noWrap/>
            <w:vAlign w:val="center"/>
          </w:tcPr>
          <w:p>
            <w:pPr>
              <w:jc w:val="center"/>
              <w:rPr>
                <w:szCs w:val="21"/>
              </w:rPr>
            </w:pPr>
            <w:r>
              <w:rPr>
                <w:rFonts w:hint="eastAsia"/>
                <w:szCs w:val="21"/>
              </w:rPr>
              <w:t>符合</w:t>
            </w:r>
          </w:p>
        </w:tc>
      </w:tr>
    </w:tbl>
    <w:p>
      <w:pPr>
        <w:spacing w:line="360" w:lineRule="auto"/>
        <w:outlineLvl w:val="2"/>
        <w:rPr>
          <w:rFonts w:eastAsiaTheme="minorEastAsia"/>
          <w:b/>
          <w:sz w:val="24"/>
        </w:rPr>
      </w:pPr>
      <w:r>
        <w:rPr>
          <w:rFonts w:eastAsiaTheme="minorEastAsia"/>
          <w:b/>
          <w:sz w:val="24"/>
        </w:rPr>
        <w:t>1.</w:t>
      </w:r>
      <w:r>
        <w:rPr>
          <w:rFonts w:hint="eastAsia" w:eastAsiaTheme="minorEastAsia"/>
          <w:b/>
          <w:sz w:val="24"/>
        </w:rPr>
        <w:t>3</w:t>
      </w:r>
      <w:r>
        <w:rPr>
          <w:rFonts w:eastAsiaTheme="minorEastAsia"/>
          <w:b/>
          <w:sz w:val="24"/>
        </w:rPr>
        <w:t>.2“</w:t>
      </w:r>
      <w:r>
        <w:rPr>
          <w:rFonts w:hAnsiTheme="minorEastAsia" w:eastAsiaTheme="minorEastAsia"/>
          <w:b/>
          <w:sz w:val="24"/>
        </w:rPr>
        <w:t>三线一单</w:t>
      </w:r>
      <w:r>
        <w:rPr>
          <w:rFonts w:eastAsiaTheme="minorEastAsia"/>
          <w:b/>
          <w:sz w:val="24"/>
        </w:rPr>
        <w:t>”</w:t>
      </w:r>
      <w:r>
        <w:rPr>
          <w:rFonts w:hAnsiTheme="minorEastAsia" w:eastAsiaTheme="minorEastAsia"/>
          <w:b/>
          <w:sz w:val="24"/>
        </w:rPr>
        <w:t>符合性分析</w:t>
      </w:r>
    </w:p>
    <w:p>
      <w:pPr>
        <w:spacing w:line="360" w:lineRule="auto"/>
        <w:ind w:firstLine="480" w:firstLineChars="200"/>
        <w:rPr>
          <w:rFonts w:hAnsiTheme="minorEastAsia" w:eastAsiaTheme="minorEastAsia"/>
          <w:bCs/>
          <w:kern w:val="0"/>
          <w:sz w:val="24"/>
        </w:rPr>
      </w:pPr>
      <w:r>
        <w:rPr>
          <w:rFonts w:hint="eastAsia" w:hAnsiTheme="minorEastAsia" w:eastAsiaTheme="minorEastAsia"/>
          <w:bCs/>
          <w:kern w:val="0"/>
          <w:sz w:val="24"/>
        </w:rPr>
        <w:t>（1）建设项目与“三线一单”的符合性分析</w:t>
      </w:r>
    </w:p>
    <w:p>
      <w:pPr>
        <w:spacing w:line="360" w:lineRule="auto"/>
        <w:ind w:firstLine="480" w:firstLineChars="200"/>
        <w:rPr>
          <w:rFonts w:hAnsiTheme="minorEastAsia" w:eastAsiaTheme="minorEastAsia"/>
          <w:bCs/>
          <w:kern w:val="0"/>
          <w:sz w:val="24"/>
        </w:rPr>
      </w:pPr>
      <w:r>
        <w:rPr>
          <w:rFonts w:hint="eastAsia" w:hAnsiTheme="minorEastAsia" w:eastAsiaTheme="minorEastAsia"/>
          <w:bCs/>
          <w:kern w:val="0"/>
          <w:sz w:val="24"/>
        </w:rPr>
        <w:t>根据《关于以改善环境质量为核心加强环境影响评价管理的</w:t>
      </w:r>
      <w:r>
        <w:fldChar w:fldCharType="begin"/>
      </w:r>
      <w:r>
        <w:instrText xml:space="preserve"> HYPERLINK "http://baike.sogou.com/lemma/ShowInnerLink.htm?lemmaId=125652&amp;ss_c=ssc.citiao.link" \t "_blank" </w:instrText>
      </w:r>
      <w:r>
        <w:fldChar w:fldCharType="separate"/>
      </w:r>
      <w:r>
        <w:rPr>
          <w:rFonts w:hint="eastAsia" w:hAnsiTheme="minorEastAsia" w:eastAsiaTheme="minorEastAsia"/>
          <w:bCs/>
          <w:kern w:val="0"/>
          <w:sz w:val="24"/>
        </w:rPr>
        <w:t>通知</w:t>
      </w:r>
      <w:r>
        <w:rPr>
          <w:rFonts w:hint="eastAsia" w:hAnsiTheme="minorEastAsia" w:eastAsiaTheme="minorEastAsia"/>
          <w:bCs/>
          <w:kern w:val="0"/>
          <w:sz w:val="24"/>
        </w:rPr>
        <w:fldChar w:fldCharType="end"/>
      </w:r>
      <w:r>
        <w:rPr>
          <w:rFonts w:hint="eastAsia" w:hAnsiTheme="minorEastAsia" w:eastAsiaTheme="minorEastAsia"/>
          <w:bCs/>
          <w:kern w:val="0"/>
          <w:sz w:val="24"/>
        </w:rPr>
        <w:t>》（以下简称《通知》），要求强化“三线一单”约束作用，建立“三挂钩”机制，“三管齐下”切实维护群众的环境权益。“三线一单”，即落实“</w:t>
      </w:r>
      <w:r>
        <w:fldChar w:fldCharType="begin"/>
      </w:r>
      <w:r>
        <w:instrText xml:space="preserve"> HYPERLINK "http://baike.sogou.com/lemma/ShowInnerLink.htm?lemmaId=76156793&amp;ss_c=ssc.citiao.link" \t "_blank" </w:instrText>
      </w:r>
      <w:r>
        <w:fldChar w:fldCharType="separate"/>
      </w:r>
      <w:r>
        <w:rPr>
          <w:rFonts w:hint="eastAsia" w:hAnsiTheme="minorEastAsia" w:eastAsiaTheme="minorEastAsia"/>
          <w:bCs/>
          <w:kern w:val="0"/>
          <w:sz w:val="24"/>
        </w:rPr>
        <w:t>生态保护红线</w:t>
      </w:r>
      <w:r>
        <w:rPr>
          <w:rFonts w:hint="eastAsia" w:hAnsiTheme="minorEastAsia" w:eastAsiaTheme="minorEastAsia"/>
          <w:bCs/>
          <w:kern w:val="0"/>
          <w:sz w:val="24"/>
        </w:rPr>
        <w:fldChar w:fldCharType="end"/>
      </w:r>
      <w:r>
        <w:rPr>
          <w:rFonts w:hint="eastAsia" w:hAnsiTheme="minorEastAsia" w:eastAsiaTheme="minorEastAsia"/>
          <w:bCs/>
          <w:kern w:val="0"/>
          <w:sz w:val="24"/>
        </w:rPr>
        <w:t>、环境质量底线、资源利用上线和环境准入</w:t>
      </w:r>
      <w:r>
        <w:fldChar w:fldCharType="begin"/>
      </w:r>
      <w:r>
        <w:instrText xml:space="preserve"> HYPERLINK "http://baike.sogou.com/lemma/ShowInnerLink.htm?lemmaId=61901133&amp;ss_c=ssc.citiao.link" \t "_blank" </w:instrText>
      </w:r>
      <w:r>
        <w:fldChar w:fldCharType="separate"/>
      </w:r>
      <w:r>
        <w:rPr>
          <w:rFonts w:hint="eastAsia" w:hAnsiTheme="minorEastAsia" w:eastAsiaTheme="minorEastAsia"/>
          <w:bCs/>
          <w:kern w:val="0"/>
          <w:sz w:val="24"/>
        </w:rPr>
        <w:t>负面清单</w:t>
      </w:r>
      <w:r>
        <w:rPr>
          <w:rFonts w:hint="eastAsia" w:hAnsiTheme="minorEastAsia" w:eastAsiaTheme="minorEastAsia"/>
          <w:bCs/>
          <w:kern w:val="0"/>
          <w:sz w:val="24"/>
        </w:rPr>
        <w:fldChar w:fldCharType="end"/>
      </w:r>
      <w:r>
        <w:rPr>
          <w:rFonts w:hint="eastAsia" w:hAnsiTheme="minorEastAsia" w:eastAsiaTheme="minorEastAsia"/>
          <w:bCs/>
          <w:kern w:val="0"/>
          <w:sz w:val="24"/>
        </w:rPr>
        <w:t>”约束。</w:t>
      </w:r>
    </w:p>
    <w:p>
      <w:pPr>
        <w:widowControl/>
        <w:spacing w:line="360" w:lineRule="auto"/>
        <w:ind w:firstLine="480" w:firstLineChars="200"/>
        <w:jc w:val="left"/>
        <w:rPr>
          <w:rFonts w:eastAsiaTheme="minorEastAsia"/>
          <w:bCs/>
          <w:kern w:val="0"/>
          <w:sz w:val="24"/>
        </w:rPr>
      </w:pPr>
      <w:r>
        <w:rPr>
          <w:rFonts w:hint="eastAsia" w:hAnsiTheme="minorEastAsia" w:eastAsiaTheme="minorEastAsia"/>
          <w:bCs/>
          <w:kern w:val="0"/>
          <w:sz w:val="24"/>
        </w:rPr>
        <w:t>①</w:t>
      </w:r>
      <w:r>
        <w:rPr>
          <w:rFonts w:hAnsiTheme="minorEastAsia" w:eastAsiaTheme="minorEastAsia"/>
          <w:bCs/>
          <w:kern w:val="0"/>
          <w:sz w:val="24"/>
        </w:rPr>
        <w:t>生态保护红线</w:t>
      </w:r>
    </w:p>
    <w:p>
      <w:pPr>
        <w:pStyle w:val="58"/>
        <w:spacing w:line="360" w:lineRule="auto"/>
        <w:ind w:firstLine="480" w:firstLineChars="200"/>
        <w:rPr>
          <w:rFonts w:hAnsiTheme="minorEastAsia" w:eastAsiaTheme="minorEastAsia"/>
          <w:sz w:val="24"/>
        </w:rPr>
      </w:pPr>
      <w:r>
        <w:rPr>
          <w:rFonts w:hAnsiTheme="minorEastAsia" w:eastAsiaTheme="minorEastAsia"/>
          <w:bCs/>
          <w:sz w:val="24"/>
          <w:szCs w:val="24"/>
        </w:rPr>
        <w:t>山西煤炭运销集团新工煤业有限公司井田位于山西省临县西南约36km处招贤镇的高家庄村、大长村、工农庄村和林家坪镇的后庄村一带，</w:t>
      </w:r>
      <w:r>
        <w:rPr>
          <w:rFonts w:hAnsiTheme="minorEastAsia" w:eastAsiaTheme="minorEastAsia"/>
          <w:sz w:val="24"/>
          <w:szCs w:val="24"/>
        </w:rPr>
        <w:t>本次评价区范围内无自然保护区、风景旅游区及珍稀动物保护区等敏感因素。</w:t>
      </w:r>
      <w:r>
        <w:rPr>
          <w:rFonts w:hint="eastAsia" w:hAnsiTheme="minorEastAsia" w:eastAsiaTheme="minorEastAsia"/>
          <w:sz w:val="24"/>
        </w:rPr>
        <w:t>同时</w:t>
      </w:r>
      <w:r>
        <w:rPr>
          <w:rFonts w:hAnsiTheme="minorEastAsia" w:eastAsiaTheme="minorEastAsia"/>
          <w:sz w:val="24"/>
        </w:rPr>
        <w:t>根据</w:t>
      </w:r>
      <w:r>
        <w:rPr>
          <w:rFonts w:hint="eastAsia" w:hAnsiTheme="minorEastAsia" w:eastAsiaTheme="minorEastAsia"/>
          <w:sz w:val="24"/>
        </w:rPr>
        <w:t>井田全采后的</w:t>
      </w:r>
      <w:r>
        <w:rPr>
          <w:rFonts w:hAnsiTheme="minorEastAsia" w:eastAsiaTheme="minorEastAsia"/>
          <w:sz w:val="24"/>
        </w:rPr>
        <w:t>沉陷预测结果</w:t>
      </w:r>
      <w:r>
        <w:rPr>
          <w:rFonts w:hint="eastAsia" w:hAnsiTheme="minorEastAsia" w:eastAsiaTheme="minorEastAsia"/>
          <w:sz w:val="24"/>
        </w:rPr>
        <w:t>可知</w:t>
      </w:r>
      <w:r>
        <w:rPr>
          <w:rFonts w:hAnsiTheme="minorEastAsia" w:eastAsiaTheme="minorEastAsia"/>
          <w:sz w:val="24"/>
        </w:rPr>
        <w:t>，</w:t>
      </w:r>
      <w:r>
        <w:rPr>
          <w:rFonts w:hint="eastAsia" w:hAnsiTheme="minorEastAsia" w:eastAsiaTheme="minorEastAsia"/>
          <w:sz w:val="24"/>
        </w:rPr>
        <w:t>本井田全采后的</w:t>
      </w:r>
      <w:r>
        <w:rPr>
          <w:rFonts w:hAnsiTheme="minorEastAsia" w:eastAsiaTheme="minorEastAsia"/>
          <w:sz w:val="24"/>
        </w:rPr>
        <w:t>沉陷范围未波及到</w:t>
      </w:r>
      <w:r>
        <w:rPr>
          <w:rFonts w:hint="eastAsia" w:hAnsiTheme="minorEastAsia" w:eastAsiaTheme="minorEastAsia"/>
          <w:sz w:val="24"/>
        </w:rPr>
        <w:t>临县省级地质公园的岳山坪园外保护区边界、岳山坪景区外围保护区边界、小塔则景点和招贤镇</w:t>
      </w:r>
      <w:r>
        <w:rPr>
          <w:rFonts w:hAnsiTheme="minorEastAsia" w:eastAsiaTheme="minorEastAsia"/>
          <w:sz w:val="24"/>
        </w:rPr>
        <w:t>水源保护区内。</w:t>
      </w:r>
    </w:p>
    <w:p>
      <w:pPr>
        <w:pStyle w:val="58"/>
        <w:spacing w:line="360" w:lineRule="auto"/>
        <w:ind w:firstLine="480" w:firstLineChars="200"/>
        <w:rPr>
          <w:rFonts w:eastAsiaTheme="minorEastAsia"/>
          <w:sz w:val="24"/>
          <w:szCs w:val="24"/>
        </w:rPr>
      </w:pPr>
      <w:r>
        <w:rPr>
          <w:rFonts w:hAnsiTheme="minorEastAsia" w:eastAsiaTheme="minorEastAsia"/>
          <w:sz w:val="24"/>
          <w:szCs w:val="24"/>
        </w:rPr>
        <w:t>因此，本项目的建设符合</w:t>
      </w:r>
      <w:r>
        <w:rPr>
          <w:rFonts w:hint="eastAsia" w:hAnsiTheme="minorEastAsia" w:eastAsiaTheme="minorEastAsia"/>
          <w:sz w:val="24"/>
          <w:szCs w:val="24"/>
        </w:rPr>
        <w:t>吕梁</w:t>
      </w:r>
      <w:r>
        <w:rPr>
          <w:rFonts w:hAnsiTheme="minorEastAsia" w:eastAsiaTheme="minorEastAsia"/>
          <w:sz w:val="24"/>
          <w:szCs w:val="24"/>
        </w:rPr>
        <w:t>市生态保护红线。</w:t>
      </w:r>
    </w:p>
    <w:p>
      <w:pPr>
        <w:widowControl/>
        <w:spacing w:line="360" w:lineRule="auto"/>
        <w:ind w:firstLine="480" w:firstLineChars="200"/>
        <w:jc w:val="left"/>
        <w:rPr>
          <w:rFonts w:eastAsiaTheme="minorEastAsia"/>
          <w:bCs/>
          <w:kern w:val="0"/>
          <w:sz w:val="24"/>
        </w:rPr>
      </w:pPr>
      <w:r>
        <w:rPr>
          <w:rFonts w:hint="eastAsia" w:hAnsiTheme="minorEastAsia" w:eastAsiaTheme="minorEastAsia"/>
          <w:bCs/>
          <w:kern w:val="0"/>
          <w:sz w:val="24"/>
        </w:rPr>
        <w:t>②</w:t>
      </w:r>
      <w:r>
        <w:rPr>
          <w:rFonts w:hAnsiTheme="minorEastAsia" w:eastAsiaTheme="minorEastAsia"/>
          <w:bCs/>
          <w:kern w:val="0"/>
          <w:sz w:val="24"/>
        </w:rPr>
        <w:t>环境质量底线</w:t>
      </w:r>
    </w:p>
    <w:p>
      <w:pPr>
        <w:spacing w:line="360" w:lineRule="auto"/>
        <w:ind w:firstLine="480" w:firstLineChars="200"/>
        <w:jc w:val="left"/>
        <w:rPr>
          <w:rFonts w:hAnsiTheme="minorEastAsia" w:eastAsiaTheme="minorEastAsia"/>
          <w:sz w:val="24"/>
        </w:rPr>
      </w:pPr>
      <w:r>
        <w:rPr>
          <w:rFonts w:hAnsiTheme="minorEastAsia" w:eastAsiaTheme="minorEastAsia"/>
          <w:sz w:val="24"/>
        </w:rPr>
        <w:t>本次评价引用</w:t>
      </w:r>
      <w:r>
        <w:rPr>
          <w:rFonts w:eastAsiaTheme="minorEastAsia"/>
          <w:sz w:val="24"/>
        </w:rPr>
        <w:t>2019</w:t>
      </w:r>
      <w:r>
        <w:rPr>
          <w:rFonts w:hint="eastAsia" w:hAnsiTheme="minorEastAsia" w:eastAsiaTheme="minorEastAsia"/>
          <w:sz w:val="24"/>
        </w:rPr>
        <w:t>年吕梁市临县环境空气常规因子</w:t>
      </w:r>
      <w:r>
        <w:rPr>
          <w:rFonts w:eastAsiaTheme="minorEastAsia"/>
          <w:sz w:val="24"/>
        </w:rPr>
        <w:t>PM</w:t>
      </w:r>
      <w:r>
        <w:rPr>
          <w:rFonts w:eastAsiaTheme="minorEastAsia"/>
          <w:sz w:val="24"/>
          <w:vertAlign w:val="subscript"/>
        </w:rPr>
        <w:t>10</w:t>
      </w:r>
      <w:r>
        <w:rPr>
          <w:rFonts w:hint="eastAsia" w:hAnsiTheme="minorEastAsia" w:eastAsiaTheme="minorEastAsia"/>
          <w:sz w:val="24"/>
        </w:rPr>
        <w:t>、</w:t>
      </w:r>
      <w:r>
        <w:rPr>
          <w:rFonts w:eastAsiaTheme="minorEastAsia"/>
          <w:sz w:val="24"/>
        </w:rPr>
        <w:t>PM</w:t>
      </w:r>
      <w:r>
        <w:rPr>
          <w:rFonts w:eastAsiaTheme="minorEastAsia"/>
          <w:sz w:val="24"/>
          <w:vertAlign w:val="subscript"/>
        </w:rPr>
        <w:t>2.5</w:t>
      </w:r>
      <w:r>
        <w:rPr>
          <w:rFonts w:hint="eastAsia" w:hAnsiTheme="minorEastAsia" w:eastAsiaTheme="minorEastAsia"/>
          <w:sz w:val="24"/>
        </w:rPr>
        <w:t>、</w:t>
      </w:r>
      <w:r>
        <w:rPr>
          <w:rFonts w:eastAsiaTheme="minorEastAsia"/>
          <w:sz w:val="24"/>
        </w:rPr>
        <w:t>SO</w:t>
      </w:r>
      <w:r>
        <w:rPr>
          <w:rFonts w:eastAsiaTheme="minorEastAsia"/>
          <w:sz w:val="24"/>
          <w:vertAlign w:val="subscript"/>
        </w:rPr>
        <w:t>2</w:t>
      </w:r>
      <w:r>
        <w:rPr>
          <w:rFonts w:hint="eastAsia" w:hAnsiTheme="minorEastAsia" w:eastAsiaTheme="minorEastAsia"/>
          <w:sz w:val="24"/>
        </w:rPr>
        <w:t>、</w:t>
      </w:r>
      <w:r>
        <w:rPr>
          <w:rFonts w:eastAsiaTheme="minorEastAsia"/>
          <w:sz w:val="24"/>
        </w:rPr>
        <w:t>NO</w:t>
      </w:r>
      <w:r>
        <w:rPr>
          <w:rFonts w:eastAsiaTheme="minorEastAsia"/>
          <w:sz w:val="24"/>
          <w:vertAlign w:val="subscript"/>
        </w:rPr>
        <w:t>2</w:t>
      </w:r>
      <w:r>
        <w:rPr>
          <w:rFonts w:hint="eastAsia" w:hAnsiTheme="minorEastAsia" w:eastAsiaTheme="minorEastAsia"/>
          <w:sz w:val="24"/>
        </w:rPr>
        <w:t>、</w:t>
      </w:r>
      <w:r>
        <w:rPr>
          <w:rFonts w:eastAsiaTheme="minorEastAsia"/>
          <w:sz w:val="24"/>
        </w:rPr>
        <w:t>CO</w:t>
      </w:r>
      <w:r>
        <w:rPr>
          <w:rFonts w:hint="eastAsia" w:hAnsiTheme="minorEastAsia" w:eastAsiaTheme="minorEastAsia"/>
          <w:sz w:val="24"/>
        </w:rPr>
        <w:t>、</w:t>
      </w:r>
      <w:r>
        <w:rPr>
          <w:rFonts w:eastAsiaTheme="minorEastAsia"/>
          <w:sz w:val="24"/>
        </w:rPr>
        <w:t>O</w:t>
      </w:r>
      <w:r>
        <w:rPr>
          <w:rFonts w:eastAsiaTheme="minorEastAsia"/>
          <w:sz w:val="24"/>
          <w:vertAlign w:val="subscript"/>
        </w:rPr>
        <w:t>3</w:t>
      </w:r>
      <w:r>
        <w:rPr>
          <w:rFonts w:hint="eastAsia" w:hAnsiTheme="minorEastAsia" w:eastAsiaTheme="minorEastAsia"/>
          <w:sz w:val="24"/>
        </w:rPr>
        <w:t>的年平均质量浓度。</w:t>
      </w:r>
      <w:r>
        <w:rPr>
          <w:rFonts w:hAnsiTheme="minorEastAsia" w:eastAsiaTheme="minorEastAsia"/>
          <w:sz w:val="24"/>
        </w:rPr>
        <w:t>根据</w:t>
      </w:r>
      <w:r>
        <w:rPr>
          <w:rFonts w:hint="eastAsia" w:hAnsiTheme="minorEastAsia" w:eastAsiaTheme="minorEastAsia"/>
          <w:sz w:val="24"/>
        </w:rPr>
        <w:t>临县</w:t>
      </w:r>
      <w:r>
        <w:rPr>
          <w:rFonts w:eastAsiaTheme="minorEastAsia"/>
          <w:sz w:val="24"/>
        </w:rPr>
        <w:t>201</w:t>
      </w:r>
      <w:r>
        <w:rPr>
          <w:rFonts w:hint="eastAsia" w:eastAsiaTheme="minorEastAsia"/>
          <w:sz w:val="24"/>
        </w:rPr>
        <w:t>9</w:t>
      </w:r>
      <w:r>
        <w:rPr>
          <w:rFonts w:hAnsiTheme="minorEastAsia" w:eastAsiaTheme="minorEastAsia"/>
          <w:sz w:val="24"/>
        </w:rPr>
        <w:t>年例行监测数据可知，评价区PM</w:t>
      </w:r>
      <w:r>
        <w:rPr>
          <w:rFonts w:hAnsiTheme="minorEastAsia" w:eastAsiaTheme="minorEastAsia"/>
          <w:sz w:val="24"/>
          <w:vertAlign w:val="subscript"/>
        </w:rPr>
        <w:t>10</w:t>
      </w:r>
      <w:r>
        <w:rPr>
          <w:rFonts w:hAnsiTheme="minorEastAsia" w:eastAsiaTheme="minorEastAsia"/>
          <w:sz w:val="24"/>
        </w:rPr>
        <w:t>、PM</w:t>
      </w:r>
      <w:r>
        <w:rPr>
          <w:rFonts w:hAnsiTheme="minorEastAsia" w:eastAsiaTheme="minorEastAsia"/>
          <w:sz w:val="24"/>
          <w:vertAlign w:val="subscript"/>
        </w:rPr>
        <w:t>2.5</w:t>
      </w:r>
      <w:r>
        <w:rPr>
          <w:rFonts w:hAnsiTheme="minorEastAsia" w:eastAsiaTheme="minorEastAsia"/>
          <w:sz w:val="24"/>
        </w:rPr>
        <w:t>年均值均超过环境空气质量二级标准，SO</w:t>
      </w:r>
      <w:r>
        <w:rPr>
          <w:rFonts w:hAnsiTheme="minorEastAsia" w:eastAsiaTheme="minorEastAsia"/>
          <w:sz w:val="24"/>
          <w:vertAlign w:val="subscript"/>
        </w:rPr>
        <w:t>2</w:t>
      </w:r>
      <w:r>
        <w:rPr>
          <w:rFonts w:hAnsiTheme="minorEastAsia" w:eastAsiaTheme="minorEastAsia"/>
          <w:sz w:val="24"/>
        </w:rPr>
        <w:t>占标率为</w:t>
      </w:r>
      <w:r>
        <w:rPr>
          <w:rFonts w:hint="eastAsia" w:hAnsiTheme="minorEastAsia" w:eastAsiaTheme="minorEastAsia"/>
          <w:sz w:val="24"/>
        </w:rPr>
        <w:t>61.67</w:t>
      </w:r>
      <w:r>
        <w:rPr>
          <w:rFonts w:hAnsiTheme="minorEastAsia" w:eastAsiaTheme="minorEastAsia"/>
          <w:sz w:val="24"/>
        </w:rPr>
        <w:t>%，NO</w:t>
      </w:r>
      <w:r>
        <w:rPr>
          <w:rFonts w:hAnsiTheme="minorEastAsia" w:eastAsiaTheme="minorEastAsia"/>
          <w:sz w:val="24"/>
          <w:vertAlign w:val="subscript"/>
        </w:rPr>
        <w:t>2</w:t>
      </w:r>
      <w:r>
        <w:rPr>
          <w:rFonts w:hAnsiTheme="minorEastAsia" w:eastAsiaTheme="minorEastAsia"/>
          <w:sz w:val="24"/>
        </w:rPr>
        <w:t>占标率为</w:t>
      </w:r>
      <w:r>
        <w:rPr>
          <w:rFonts w:hint="eastAsia" w:hAnsiTheme="minorEastAsia" w:eastAsiaTheme="minorEastAsia"/>
          <w:sz w:val="24"/>
        </w:rPr>
        <w:t>75.00</w:t>
      </w:r>
      <w:r>
        <w:rPr>
          <w:rFonts w:hAnsiTheme="minorEastAsia" w:eastAsiaTheme="minorEastAsia"/>
          <w:sz w:val="24"/>
        </w:rPr>
        <w:t>%，CO占标率为</w:t>
      </w:r>
      <w:r>
        <w:rPr>
          <w:rFonts w:hint="eastAsia" w:hAnsiTheme="minorEastAsia" w:eastAsiaTheme="minorEastAsia"/>
          <w:sz w:val="24"/>
        </w:rPr>
        <w:t>42.50</w:t>
      </w:r>
      <w:r>
        <w:rPr>
          <w:rFonts w:hAnsiTheme="minorEastAsia" w:eastAsiaTheme="minorEastAsia"/>
          <w:sz w:val="24"/>
        </w:rPr>
        <w:t>%，，O</w:t>
      </w:r>
      <w:r>
        <w:rPr>
          <w:rFonts w:hAnsiTheme="minorEastAsia" w:eastAsiaTheme="minorEastAsia"/>
          <w:sz w:val="24"/>
          <w:vertAlign w:val="subscript"/>
        </w:rPr>
        <w:t>3</w:t>
      </w:r>
      <w:r>
        <w:rPr>
          <w:rFonts w:hAnsiTheme="minorEastAsia" w:eastAsiaTheme="minorEastAsia"/>
          <w:sz w:val="24"/>
        </w:rPr>
        <w:t>占标率为</w:t>
      </w:r>
      <w:r>
        <w:rPr>
          <w:rFonts w:hint="eastAsia" w:hAnsiTheme="minorEastAsia" w:eastAsiaTheme="minorEastAsia"/>
          <w:sz w:val="24"/>
        </w:rPr>
        <w:t>85.63</w:t>
      </w:r>
      <w:r>
        <w:rPr>
          <w:rFonts w:hAnsiTheme="minorEastAsia" w:eastAsiaTheme="minorEastAsia"/>
          <w:sz w:val="24"/>
        </w:rPr>
        <w:t>%</w:t>
      </w:r>
      <w:r>
        <w:rPr>
          <w:rFonts w:hint="eastAsia" w:hAnsiTheme="minorEastAsia" w:eastAsiaTheme="minorEastAsia"/>
          <w:sz w:val="24"/>
        </w:rPr>
        <w:t>。</w:t>
      </w:r>
      <w:r>
        <w:rPr>
          <w:rFonts w:hAnsiTheme="minorEastAsia" w:eastAsiaTheme="minorEastAsia"/>
          <w:sz w:val="24"/>
        </w:rPr>
        <w:t>由此可见，本区环境空气质量不达标。</w:t>
      </w:r>
      <w:r>
        <w:rPr>
          <w:rFonts w:hint="eastAsia" w:hAnsiTheme="minorEastAsia" w:eastAsiaTheme="minorEastAsia"/>
          <w:bCs/>
          <w:sz w:val="24"/>
        </w:rPr>
        <w:t>吕梁</w:t>
      </w:r>
      <w:r>
        <w:rPr>
          <w:rFonts w:hAnsiTheme="minorEastAsia" w:eastAsiaTheme="minorEastAsia"/>
          <w:bCs/>
          <w:sz w:val="24"/>
        </w:rPr>
        <w:t>市已采取倍量消减和整治散乱污小企业等措施，环境质量将逐步好转。</w:t>
      </w:r>
    </w:p>
    <w:p>
      <w:pPr>
        <w:spacing w:line="360" w:lineRule="auto"/>
        <w:ind w:firstLine="480" w:firstLineChars="200"/>
        <w:jc w:val="left"/>
        <w:rPr>
          <w:rFonts w:eastAsiaTheme="minorEastAsia"/>
          <w:sz w:val="24"/>
        </w:rPr>
      </w:pPr>
      <w:r>
        <w:rPr>
          <w:rFonts w:hint="eastAsia" w:hAnsiTheme="minorEastAsia" w:eastAsiaTheme="minorEastAsia"/>
          <w:sz w:val="24"/>
        </w:rPr>
        <w:t>本项目供暖由原来的燃煤锅炉更换为燃气锅炉和空气源热泵，</w:t>
      </w:r>
      <w:r>
        <w:rPr>
          <w:rFonts w:hint="eastAsia"/>
          <w:spacing w:val="4"/>
          <w:sz w:val="24"/>
        </w:rPr>
        <w:t>SO</w:t>
      </w:r>
      <w:r>
        <w:rPr>
          <w:rFonts w:hint="eastAsia"/>
          <w:spacing w:val="4"/>
          <w:sz w:val="24"/>
          <w:vertAlign w:val="subscript"/>
        </w:rPr>
        <w:t>2</w:t>
      </w:r>
      <w:r>
        <w:rPr>
          <w:rFonts w:hint="eastAsia"/>
          <w:spacing w:val="4"/>
          <w:sz w:val="24"/>
        </w:rPr>
        <w:t>排放量较原环评减少了18.18</w:t>
      </w:r>
      <w:r>
        <w:rPr>
          <w:spacing w:val="4"/>
          <w:sz w:val="24"/>
        </w:rPr>
        <w:t>t/a</w:t>
      </w:r>
      <w:r>
        <w:rPr>
          <w:rFonts w:hint="eastAsia"/>
          <w:spacing w:val="4"/>
          <w:sz w:val="24"/>
        </w:rPr>
        <w:t>、</w:t>
      </w:r>
      <w:r>
        <w:rPr>
          <w:spacing w:val="4"/>
          <w:sz w:val="24"/>
        </w:rPr>
        <w:t>NOx</w:t>
      </w:r>
      <w:r>
        <w:rPr>
          <w:rFonts w:hint="eastAsia"/>
          <w:spacing w:val="4"/>
          <w:sz w:val="24"/>
        </w:rPr>
        <w:t>排放量较原环评减少了22.99</w:t>
      </w:r>
      <w:r>
        <w:rPr>
          <w:spacing w:val="4"/>
          <w:sz w:val="24"/>
        </w:rPr>
        <w:t>t/a</w:t>
      </w:r>
      <w:r>
        <w:rPr>
          <w:rFonts w:hint="eastAsia"/>
          <w:spacing w:val="4"/>
          <w:sz w:val="24"/>
        </w:rPr>
        <w:t>，烟尘排放量较原环评减少了3.175</w:t>
      </w:r>
      <w:r>
        <w:rPr>
          <w:spacing w:val="4"/>
          <w:sz w:val="24"/>
        </w:rPr>
        <w:t>t/a</w:t>
      </w:r>
      <w:r>
        <w:rPr>
          <w:rFonts w:hint="eastAsia"/>
          <w:spacing w:val="4"/>
          <w:sz w:val="24"/>
        </w:rPr>
        <w:t>，</w:t>
      </w:r>
      <w:r>
        <w:rPr>
          <w:rFonts w:hAnsiTheme="minorEastAsia" w:eastAsiaTheme="minorEastAsia"/>
          <w:sz w:val="24"/>
        </w:rPr>
        <w:t>矿井水和生活污水处理后</w:t>
      </w:r>
      <w:r>
        <w:rPr>
          <w:rFonts w:hint="eastAsia" w:hAnsiTheme="minorEastAsia" w:eastAsiaTheme="minorEastAsia"/>
          <w:sz w:val="24"/>
        </w:rPr>
        <w:t>全部回用，不外排；</w:t>
      </w:r>
      <w:r>
        <w:rPr>
          <w:rFonts w:hAnsiTheme="minorEastAsia" w:eastAsiaTheme="minorEastAsia"/>
          <w:sz w:val="24"/>
        </w:rPr>
        <w:t>矸石、生活垃圾、废机油等固体废物均得到合理处置，厂界噪声能够达标排放，故本项目的建设不会对区域环境质量产生较大影响。</w:t>
      </w:r>
    </w:p>
    <w:p>
      <w:pPr>
        <w:widowControl/>
        <w:spacing w:line="360" w:lineRule="auto"/>
        <w:ind w:firstLine="480" w:firstLineChars="200"/>
        <w:jc w:val="left"/>
        <w:rPr>
          <w:rFonts w:eastAsiaTheme="minorEastAsia"/>
          <w:bCs/>
          <w:kern w:val="0"/>
          <w:sz w:val="24"/>
        </w:rPr>
      </w:pPr>
      <w:r>
        <w:rPr>
          <w:rFonts w:hint="eastAsia" w:hAnsiTheme="minorEastAsia" w:eastAsiaTheme="minorEastAsia"/>
          <w:bCs/>
          <w:kern w:val="0"/>
          <w:sz w:val="24"/>
        </w:rPr>
        <w:t>③</w:t>
      </w:r>
      <w:r>
        <w:rPr>
          <w:rFonts w:hAnsiTheme="minorEastAsia" w:eastAsiaTheme="minorEastAsia"/>
          <w:bCs/>
          <w:kern w:val="0"/>
          <w:sz w:val="24"/>
        </w:rPr>
        <w:t>资源利用上线</w:t>
      </w:r>
    </w:p>
    <w:p>
      <w:pPr>
        <w:widowControl/>
        <w:spacing w:line="360" w:lineRule="auto"/>
        <w:ind w:firstLine="480"/>
        <w:rPr>
          <w:rFonts w:eastAsiaTheme="minorEastAsia"/>
          <w:kern w:val="0"/>
          <w:sz w:val="24"/>
        </w:rPr>
      </w:pPr>
      <w:r>
        <w:rPr>
          <w:rFonts w:hAnsiTheme="minorEastAsia" w:eastAsiaTheme="minorEastAsia"/>
          <w:kern w:val="0"/>
          <w:sz w:val="24"/>
        </w:rPr>
        <w:t>本次生活污水和矿井水经处理后尽可能的进行回用，大大减少了新水的消耗量；固体废物方面，</w:t>
      </w:r>
      <w:r>
        <w:rPr>
          <w:rFonts w:hint="eastAsia" w:hAnsiTheme="minorEastAsia" w:eastAsiaTheme="minorEastAsia"/>
          <w:kern w:val="0"/>
          <w:sz w:val="24"/>
        </w:rPr>
        <w:t>矸石优先送往山西华光发电有限责任公司综合利用，利用不畅时送至原环评批复的临时矸石场填埋，服务期满后进行生态恢复，增加了绿化面积</w:t>
      </w:r>
      <w:r>
        <w:rPr>
          <w:rFonts w:hAnsiTheme="minorEastAsia" w:eastAsiaTheme="minorEastAsia"/>
          <w:kern w:val="0"/>
          <w:sz w:val="24"/>
        </w:rPr>
        <w:t>；矿井水处理站污泥外售，有效的利用了项目产生的固废，不违背资源利用上线的要求。</w:t>
      </w:r>
    </w:p>
    <w:p>
      <w:pPr>
        <w:spacing w:line="360" w:lineRule="auto"/>
        <w:ind w:firstLine="480" w:firstLineChars="200"/>
        <w:jc w:val="left"/>
        <w:rPr>
          <w:rFonts w:eastAsiaTheme="minorEastAsia"/>
          <w:bCs/>
          <w:kern w:val="0"/>
          <w:sz w:val="24"/>
        </w:rPr>
      </w:pPr>
      <w:r>
        <w:rPr>
          <w:rFonts w:hint="eastAsia" w:hAnsiTheme="minorEastAsia" w:eastAsiaTheme="minorEastAsia"/>
          <w:bCs/>
          <w:kern w:val="0"/>
          <w:sz w:val="24"/>
        </w:rPr>
        <w:t>④</w:t>
      </w:r>
      <w:r>
        <w:rPr>
          <w:rFonts w:hAnsiTheme="minorEastAsia" w:eastAsiaTheme="minorEastAsia"/>
          <w:bCs/>
          <w:kern w:val="0"/>
          <w:sz w:val="24"/>
        </w:rPr>
        <w:t>环境准入负面清单</w:t>
      </w:r>
    </w:p>
    <w:p>
      <w:pPr>
        <w:spacing w:line="360" w:lineRule="auto"/>
        <w:ind w:firstLine="480" w:firstLineChars="200"/>
        <w:jc w:val="left"/>
        <w:rPr>
          <w:rFonts w:eastAsiaTheme="minorEastAsia"/>
          <w:sz w:val="24"/>
        </w:rPr>
      </w:pPr>
      <w:r>
        <w:rPr>
          <w:rFonts w:hint="eastAsia" w:hAnsiTheme="minorEastAsia" w:eastAsiaTheme="minorEastAsia"/>
          <w:sz w:val="24"/>
        </w:rPr>
        <w:t>根据《产业结构调整指导目录》（</w:t>
      </w:r>
      <w:r>
        <w:rPr>
          <w:rFonts w:eastAsiaTheme="minorEastAsia"/>
          <w:sz w:val="24"/>
        </w:rPr>
        <w:t>2019</w:t>
      </w:r>
      <w:r>
        <w:rPr>
          <w:rFonts w:hint="eastAsia" w:hAnsiTheme="minorEastAsia" w:eastAsiaTheme="minorEastAsia"/>
          <w:sz w:val="24"/>
        </w:rPr>
        <w:t>年本），本项目不属于淘汰、限制类项目，属于允许类项目。根据国务院关于煤炭行业化解过剩产能实现脱困发展的意见国发【</w:t>
      </w:r>
      <w:r>
        <w:rPr>
          <w:rFonts w:eastAsiaTheme="minorEastAsia"/>
          <w:sz w:val="24"/>
        </w:rPr>
        <w:t>2016</w:t>
      </w:r>
      <w:r>
        <w:rPr>
          <w:rFonts w:hint="eastAsia" w:hAnsiTheme="minorEastAsia" w:eastAsiaTheme="minorEastAsia"/>
          <w:sz w:val="24"/>
        </w:rPr>
        <w:t>】</w:t>
      </w:r>
      <w:r>
        <w:rPr>
          <w:rFonts w:eastAsiaTheme="minorEastAsia"/>
          <w:sz w:val="24"/>
        </w:rPr>
        <w:t>7</w:t>
      </w:r>
      <w:r>
        <w:rPr>
          <w:rFonts w:hint="eastAsia" w:hAnsiTheme="minorEastAsia" w:eastAsiaTheme="minorEastAsia"/>
          <w:sz w:val="24"/>
        </w:rPr>
        <w:t>号文件，山西煤炭厅官网发布《关于对山西省</w:t>
      </w:r>
      <w:r>
        <w:rPr>
          <w:rFonts w:eastAsiaTheme="minorEastAsia"/>
          <w:sz w:val="24"/>
        </w:rPr>
        <w:t>2016</w:t>
      </w:r>
      <w:r>
        <w:rPr>
          <w:rFonts w:hint="eastAsia" w:hAnsiTheme="minorEastAsia" w:eastAsiaTheme="minorEastAsia"/>
          <w:sz w:val="24"/>
        </w:rPr>
        <w:t>年化解煤炭过剩产能目标分解及时间进度安排的公告（第一批、第二批）》，该矿不属于我省</w:t>
      </w:r>
      <w:r>
        <w:rPr>
          <w:rFonts w:eastAsiaTheme="minorEastAsia"/>
          <w:sz w:val="24"/>
        </w:rPr>
        <w:t>2016</w:t>
      </w:r>
      <w:r>
        <w:rPr>
          <w:rFonts w:hint="eastAsia" w:hAnsiTheme="minorEastAsia" w:eastAsiaTheme="minorEastAsia"/>
          <w:sz w:val="24"/>
        </w:rPr>
        <w:t>年化解煤炭过剩产能目标分解及关闭退出时间进度安排（第一批、第二批）煤矿名单；本项目主要是变更环评，生产规模没有发生变化，不属于新增产能项目。</w:t>
      </w:r>
    </w:p>
    <w:p>
      <w:pPr>
        <w:spacing w:line="360" w:lineRule="auto"/>
        <w:ind w:firstLine="480" w:firstLineChars="200"/>
        <w:jc w:val="left"/>
        <w:rPr>
          <w:rFonts w:eastAsiaTheme="minorEastAsia"/>
          <w:spacing w:val="4"/>
          <w:sz w:val="24"/>
        </w:rPr>
      </w:pPr>
      <w:r>
        <w:rPr>
          <w:rFonts w:hint="eastAsia" w:hAnsiTheme="minorEastAsia" w:eastAsiaTheme="minorEastAsia"/>
          <w:sz w:val="24"/>
        </w:rPr>
        <w:t>本项目井田范围不在临县城市规划范围内，</w:t>
      </w:r>
      <w:r>
        <w:rPr>
          <w:rFonts w:hint="eastAsia" w:hAnsiTheme="minorEastAsia" w:eastAsiaTheme="minorEastAsia"/>
          <w:kern w:val="0"/>
          <w:sz w:val="24"/>
        </w:rPr>
        <w:t>根据《临县生态功能区划》和《临县生态功能区划》，项目</w:t>
      </w:r>
      <w:r>
        <w:rPr>
          <w:rFonts w:hint="eastAsia" w:hAnsiTheme="minorEastAsia" w:eastAsiaTheme="minorEastAsia"/>
          <w:spacing w:val="4"/>
          <w:kern w:val="0"/>
          <w:sz w:val="24"/>
        </w:rPr>
        <w:t>符合当地城市规划要求和生态规划要求。</w:t>
      </w:r>
    </w:p>
    <w:p>
      <w:pPr>
        <w:spacing w:line="360" w:lineRule="auto"/>
        <w:ind w:firstLine="496" w:firstLineChars="200"/>
        <w:rPr>
          <w:rFonts w:eastAsiaTheme="minorEastAsia"/>
          <w:bCs/>
          <w:kern w:val="0"/>
          <w:sz w:val="24"/>
          <w:highlight w:val="yellow"/>
        </w:rPr>
      </w:pPr>
      <w:r>
        <w:rPr>
          <w:rFonts w:hint="eastAsia" w:hAnsiTheme="minorEastAsia" w:eastAsiaTheme="minorEastAsia"/>
          <w:spacing w:val="4"/>
          <w:sz w:val="24"/>
        </w:rPr>
        <w:t>采取环评规定的生态保护措施后，风井场地变化不会对周围生态环境产生较大影响，项目不违背环境准入负面清单要求。</w:t>
      </w:r>
    </w:p>
    <w:p>
      <w:pPr>
        <w:spacing w:line="360" w:lineRule="auto"/>
        <w:ind w:firstLine="504" w:firstLineChars="200"/>
        <w:rPr>
          <w:sz w:val="24"/>
          <w:highlight w:val="yellow"/>
        </w:rPr>
      </w:pPr>
      <w:r>
        <w:rPr>
          <w:rFonts w:hint="eastAsia" w:hAnsi="宋体"/>
          <w:bCs/>
          <w:spacing w:val="6"/>
          <w:kern w:val="0"/>
          <w:sz w:val="24"/>
        </w:rPr>
        <w:t>（2）与《山西省人民政府关于实施“三线一单”生态环境分区管控的意见》的符合性</w:t>
      </w:r>
    </w:p>
    <w:p>
      <w:pPr>
        <w:autoSpaceDE w:val="0"/>
        <w:autoSpaceDN w:val="0"/>
        <w:spacing w:line="360" w:lineRule="auto"/>
        <w:ind w:firstLine="480" w:firstLineChars="200"/>
        <w:rPr>
          <w:rFonts w:hAnsi="宋体"/>
          <w:sz w:val="24"/>
        </w:rPr>
      </w:pPr>
      <w:r>
        <w:rPr>
          <w:rFonts w:hint="eastAsia" w:hAnsi="宋体"/>
          <w:sz w:val="24"/>
        </w:rPr>
        <w:t>根据山西省人民政府文件“关于实施“三线一单”生态环境分区管控单元的意见”（晋政发</w:t>
      </w:r>
      <w:r>
        <w:rPr>
          <w:rFonts w:hAnsi="宋体"/>
          <w:sz w:val="24"/>
        </w:rPr>
        <w:t>[2020]26</w:t>
      </w:r>
      <w:r>
        <w:rPr>
          <w:rFonts w:hint="eastAsia" w:hAnsi="宋体"/>
          <w:sz w:val="24"/>
        </w:rPr>
        <w:t>号），将山西省划分生态环境管控单元：优先保护单元、重点管控单元、一般管控单元、优先保护单元、重点管控单元和一般管控单元。本矿井位于《关于实施“三线一单”生态环境分区管控的意见》（晋政发〔</w:t>
      </w:r>
      <w:r>
        <w:rPr>
          <w:rFonts w:hAnsi="宋体"/>
          <w:sz w:val="24"/>
        </w:rPr>
        <w:t>2020</w:t>
      </w:r>
      <w:r>
        <w:rPr>
          <w:rFonts w:hint="eastAsia" w:hAnsi="宋体"/>
          <w:sz w:val="24"/>
        </w:rPr>
        <w:t>〕</w:t>
      </w:r>
      <w:r>
        <w:rPr>
          <w:rFonts w:hAnsi="宋体"/>
          <w:sz w:val="24"/>
        </w:rPr>
        <w:t>26</w:t>
      </w:r>
      <w:r>
        <w:rPr>
          <w:rFonts w:hint="eastAsia" w:hAnsi="宋体"/>
          <w:sz w:val="24"/>
        </w:rPr>
        <w:t>号）生态管控单元的优先保护单元和一般管控单元（见图1.3-1）。</w:t>
      </w:r>
    </w:p>
    <w:p>
      <w:pPr>
        <w:autoSpaceDE w:val="0"/>
        <w:autoSpaceDN w:val="0"/>
        <w:spacing w:line="360" w:lineRule="auto"/>
        <w:jc w:val="center"/>
        <w:rPr>
          <w:rFonts w:hAnsi="宋体"/>
          <w:b/>
          <w:kern w:val="0"/>
          <w:szCs w:val="21"/>
        </w:rPr>
      </w:pPr>
      <w:r>
        <w:rPr>
          <w:rFonts w:hint="eastAsia" w:hAnsi="宋体"/>
          <w:b/>
          <w:kern w:val="0"/>
          <w:szCs w:val="21"/>
        </w:rPr>
        <w:t>表1.3-6</w:t>
      </w:r>
      <w:r>
        <w:rPr>
          <w:rFonts w:hAnsi="宋体"/>
          <w:b/>
          <w:kern w:val="0"/>
          <w:szCs w:val="21"/>
        </w:rPr>
        <w:t xml:space="preserve"> </w:t>
      </w:r>
      <w:r>
        <w:rPr>
          <w:rFonts w:hint="eastAsia" w:hAnsi="宋体"/>
          <w:b/>
          <w:kern w:val="0"/>
          <w:szCs w:val="21"/>
        </w:rPr>
        <w:t>生态环境分区管控单元符合性分析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4210"/>
        <w:gridCol w:w="3460"/>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bCs/>
                <w:sz w:val="18"/>
                <w:szCs w:val="18"/>
              </w:rPr>
              <w:t>序号</w:t>
            </w:r>
          </w:p>
        </w:tc>
        <w:tc>
          <w:tcPr>
            <w:tcW w:w="226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hAnsi="宋体"/>
                <w:bCs/>
                <w:sz w:val="18"/>
                <w:szCs w:val="18"/>
              </w:rPr>
              <w:t>优先保护单元要求</w:t>
            </w:r>
          </w:p>
        </w:tc>
        <w:tc>
          <w:tcPr>
            <w:tcW w:w="1863"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hAnsi="宋体"/>
                <w:bCs/>
                <w:sz w:val="18"/>
                <w:szCs w:val="18"/>
              </w:rPr>
              <w:t>符合性分析</w:t>
            </w:r>
          </w:p>
        </w:tc>
        <w:tc>
          <w:tcPr>
            <w:tcW w:w="59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hAnsi="宋体"/>
                <w:bCs/>
                <w:sz w:val="18"/>
                <w:szCs w:val="18"/>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bCs/>
                <w:sz w:val="18"/>
                <w:szCs w:val="18"/>
              </w:rPr>
              <w:t>1</w:t>
            </w:r>
          </w:p>
        </w:tc>
        <w:tc>
          <w:tcPr>
            <w:tcW w:w="226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hAnsi="宋体"/>
                <w:bCs/>
                <w:sz w:val="18"/>
                <w:szCs w:val="18"/>
              </w:rPr>
              <w:t>依法禁止或限制大规模、高强度的工业和城镇开发建设, 在功能受损的优先保护单元优先开展生态保护修复活动, 恢复生态系统服务功能。 </w:t>
            </w:r>
          </w:p>
        </w:tc>
        <w:tc>
          <w:tcPr>
            <w:tcW w:w="1863"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hAnsi="宋体"/>
                <w:bCs/>
                <w:sz w:val="18"/>
                <w:szCs w:val="18"/>
              </w:rPr>
              <w:t>本项目为煤矿开采项目，采用井下开拓方式，非高强度的工业和城镇开发建设。本项目井工开采可能造成地表沉陷，本项目对沉陷造成的环境影响按照原始地貌进行恢复，确保了与周边生态环境相协调。本矿井制定了矸石临时堆场的生态恢复措施。本矿井已编制了矿山生态环境保护与恢复治理方案，该方案制定了整合前原有废弃建筑物的生态恢复措施。</w:t>
            </w:r>
          </w:p>
        </w:tc>
        <w:tc>
          <w:tcPr>
            <w:tcW w:w="59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hAnsi="宋体"/>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bCs/>
                <w:sz w:val="18"/>
                <w:szCs w:val="18"/>
              </w:rPr>
              <w:t>2</w:t>
            </w:r>
          </w:p>
        </w:tc>
        <w:tc>
          <w:tcPr>
            <w:tcW w:w="226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hAnsi="宋体"/>
                <w:bCs/>
                <w:sz w:val="18"/>
                <w:szCs w:val="18"/>
              </w:rPr>
              <w:t>加强太行山、吕梁山和沿黄水土流失生态脆弱区域生态保护红线和重要生态空间的保护, 依法禁止或限制大规模开发, 严格矿山开采等产业准入, 加强矿区的生态治理与修复, 提高水源涵养能力, 保护森林生态系统, 有效减少泥沙入河。</w:t>
            </w:r>
          </w:p>
        </w:tc>
        <w:tc>
          <w:tcPr>
            <w:tcW w:w="1863"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hAnsi="宋体"/>
                <w:bCs/>
                <w:sz w:val="18"/>
                <w:szCs w:val="18"/>
              </w:rPr>
              <w:t>本</w:t>
            </w:r>
            <w:r>
              <w:rPr>
                <w:rFonts w:hAnsi="宋体"/>
                <w:bCs/>
                <w:sz w:val="18"/>
                <w:szCs w:val="18"/>
              </w:rPr>
              <w:t>次评价区范围内无自然保护区、风景旅游区及珍稀动物保护区等敏感因素。</w:t>
            </w:r>
            <w:r>
              <w:rPr>
                <w:rFonts w:hint="eastAsia" w:hAnsi="宋体"/>
                <w:bCs/>
                <w:sz w:val="18"/>
                <w:szCs w:val="18"/>
              </w:rPr>
              <w:t>根据《产业结构调整指导目录》（</w:t>
            </w:r>
            <w:r>
              <w:rPr>
                <w:rFonts w:hAnsi="宋体"/>
                <w:bCs/>
                <w:sz w:val="18"/>
                <w:szCs w:val="18"/>
              </w:rPr>
              <w:t>2019</w:t>
            </w:r>
            <w:r>
              <w:rPr>
                <w:rFonts w:hint="eastAsia" w:hAnsi="宋体"/>
                <w:bCs/>
                <w:sz w:val="18"/>
                <w:szCs w:val="18"/>
              </w:rPr>
              <w:t>年本），本项目不属于淘汰、限制类项目，属于允许类项目。</w:t>
            </w:r>
          </w:p>
          <w:p>
            <w:pPr>
              <w:spacing w:line="288" w:lineRule="auto"/>
              <w:jc w:val="center"/>
              <w:rPr>
                <w:rFonts w:hAnsi="宋体"/>
                <w:bCs/>
                <w:sz w:val="18"/>
                <w:szCs w:val="18"/>
              </w:rPr>
            </w:pPr>
            <w:r>
              <w:rPr>
                <w:rFonts w:hint="eastAsia" w:hAnsi="宋体"/>
                <w:bCs/>
                <w:sz w:val="18"/>
                <w:szCs w:val="18"/>
              </w:rPr>
              <w:t>本项目井工开采可能造成地表沉陷，本项目对沉陷造成的环境影响按照原始地貌进行恢复，确保了与周边生态环境相协调。</w:t>
            </w:r>
          </w:p>
        </w:tc>
        <w:tc>
          <w:tcPr>
            <w:tcW w:w="59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bCs/>
                <w:sz w:val="18"/>
                <w:szCs w:val="18"/>
              </w:rPr>
              <w:t>3</w:t>
            </w:r>
          </w:p>
        </w:tc>
        <w:tc>
          <w:tcPr>
            <w:tcW w:w="226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hAnsi="宋体"/>
                <w:bCs/>
                <w:sz w:val="18"/>
                <w:szCs w:val="18"/>
              </w:rPr>
              <w:t>在汾河、桑干河、 大清河、 滹沱河、 漳河、 沁河和涑水河等河流谷地, 晋阳湖、漳泽湖、 云竹湖、 盐湖、 伍姓湖等“五湖”生态保护与修复区域, “黄河、 长城、 太行”旅游产业布局区以及人居环境敏感区, 严控重污染行业产能规模, 推进产业布局与生态空间协调发展。</w:t>
            </w:r>
          </w:p>
        </w:tc>
        <w:tc>
          <w:tcPr>
            <w:tcW w:w="1863"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hAnsi="宋体"/>
                <w:bCs/>
                <w:sz w:val="18"/>
                <w:szCs w:val="18"/>
              </w:rPr>
              <w:t>矿井工业场地设矿井水处理站，处理能力6120m</w:t>
            </w:r>
            <w:r>
              <w:rPr>
                <w:rFonts w:hint="eastAsia" w:hAnsi="宋体"/>
                <w:bCs/>
                <w:sz w:val="18"/>
                <w:szCs w:val="18"/>
                <w:vertAlign w:val="superscript"/>
              </w:rPr>
              <w:t>3</w:t>
            </w:r>
            <w:r>
              <w:rPr>
                <w:rFonts w:hint="eastAsia" w:hAnsi="宋体"/>
                <w:bCs/>
                <w:sz w:val="18"/>
                <w:szCs w:val="18"/>
              </w:rPr>
              <w:t>/d，采用“高效旋流过滤、压力式超滤”处理工艺，矿井水经处理后回用于井下生产用水、洗车平台及锅炉补充水，不外排。</w:t>
            </w:r>
          </w:p>
        </w:tc>
        <w:tc>
          <w:tcPr>
            <w:tcW w:w="59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bCs/>
                <w:sz w:val="18"/>
                <w:szCs w:val="18"/>
              </w:rPr>
              <w:t>序号</w:t>
            </w:r>
          </w:p>
        </w:tc>
        <w:tc>
          <w:tcPr>
            <w:tcW w:w="226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hAnsi="宋体"/>
                <w:bCs/>
                <w:sz w:val="18"/>
                <w:szCs w:val="18"/>
              </w:rPr>
              <w:t>一般管控单元要求</w:t>
            </w:r>
          </w:p>
        </w:tc>
        <w:tc>
          <w:tcPr>
            <w:tcW w:w="1863"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hAnsi="宋体"/>
                <w:bCs/>
                <w:sz w:val="18"/>
                <w:szCs w:val="18"/>
              </w:rPr>
              <w:t>符合性分析</w:t>
            </w:r>
          </w:p>
        </w:tc>
        <w:tc>
          <w:tcPr>
            <w:tcW w:w="59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hAnsi="宋体"/>
                <w:bCs/>
                <w:sz w:val="18"/>
                <w:szCs w:val="18"/>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bCs/>
                <w:sz w:val="18"/>
                <w:szCs w:val="18"/>
              </w:rPr>
              <w:t>1</w:t>
            </w:r>
          </w:p>
        </w:tc>
        <w:tc>
          <w:tcPr>
            <w:tcW w:w="226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hAnsi="宋体"/>
                <w:bCs/>
                <w:sz w:val="18"/>
                <w:szCs w:val="18"/>
              </w:rPr>
              <w:t>主要落实生态环境保护基本要求, 执行国家及我省相关产业准入、 总量控制、 排放标准等管理规定, 推动区域生态环境质量持续改善。</w:t>
            </w:r>
          </w:p>
        </w:tc>
        <w:tc>
          <w:tcPr>
            <w:tcW w:w="1863"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Ansi="宋体"/>
                <w:bCs/>
                <w:sz w:val="18"/>
                <w:szCs w:val="18"/>
              </w:rPr>
            </w:pPr>
            <w:r>
              <w:rPr>
                <w:rFonts w:hint="eastAsia" w:hAnsi="宋体"/>
                <w:bCs/>
                <w:sz w:val="18"/>
                <w:szCs w:val="18"/>
              </w:rPr>
              <w:t>根据《产业结构调整指导目录》（</w:t>
            </w:r>
            <w:r>
              <w:rPr>
                <w:rFonts w:hAnsi="宋体"/>
                <w:bCs/>
                <w:sz w:val="18"/>
                <w:szCs w:val="18"/>
              </w:rPr>
              <w:t>2019</w:t>
            </w:r>
            <w:r>
              <w:rPr>
                <w:rFonts w:hint="eastAsia" w:hAnsi="宋体"/>
                <w:bCs/>
                <w:sz w:val="18"/>
                <w:szCs w:val="18"/>
              </w:rPr>
              <w:t>年本），本项目不属于淘汰、限制类项目，属于允许类项目。</w:t>
            </w:r>
          </w:p>
          <w:p>
            <w:pPr>
              <w:spacing w:line="288" w:lineRule="auto"/>
              <w:jc w:val="center"/>
              <w:rPr>
                <w:bCs/>
                <w:sz w:val="18"/>
                <w:szCs w:val="18"/>
              </w:rPr>
            </w:pPr>
            <w:r>
              <w:rPr>
                <w:rFonts w:hint="eastAsia"/>
                <w:bCs/>
                <w:sz w:val="18"/>
                <w:szCs w:val="18"/>
              </w:rPr>
              <w:t>本项目采暖使用天然气燃气锅炉及空气源热泵，使用清洁能源，可以减少大气污染物的排放。</w:t>
            </w:r>
          </w:p>
          <w:p>
            <w:pPr>
              <w:spacing w:line="288" w:lineRule="auto"/>
              <w:jc w:val="center"/>
              <w:rPr>
                <w:bCs/>
                <w:sz w:val="18"/>
                <w:szCs w:val="18"/>
              </w:rPr>
            </w:pPr>
          </w:p>
        </w:tc>
        <w:tc>
          <w:tcPr>
            <w:tcW w:w="59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sz w:val="18"/>
                <w:szCs w:val="18"/>
              </w:rPr>
            </w:pPr>
            <w:r>
              <w:rPr>
                <w:rFonts w:hint="eastAsia"/>
                <w:bCs/>
                <w:sz w:val="18"/>
                <w:szCs w:val="18"/>
              </w:rPr>
              <w:t>符合</w:t>
            </w:r>
          </w:p>
        </w:tc>
      </w:tr>
    </w:tbl>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8" w:name="_Toc71551916"/>
      <w:r>
        <w:rPr>
          <w:rFonts w:ascii="Times New Roman" w:hAnsi="Times New Roman" w:eastAsiaTheme="minorEastAsia"/>
          <w:kern w:val="44"/>
          <w:sz w:val="30"/>
          <w:szCs w:val="30"/>
        </w:rPr>
        <w:t>1.</w:t>
      </w:r>
      <w:bookmarkEnd w:id="26"/>
      <w:bookmarkEnd w:id="27"/>
      <w:bookmarkStart w:id="29" w:name="_Toc351651122"/>
      <w:bookmarkStart w:id="30" w:name="_Toc480708205"/>
      <w:r>
        <w:rPr>
          <w:rFonts w:hint="eastAsia" w:ascii="Times New Roman" w:hAnsi="Times New Roman" w:eastAsiaTheme="minorEastAsia"/>
          <w:kern w:val="44"/>
          <w:sz w:val="30"/>
          <w:szCs w:val="30"/>
        </w:rPr>
        <w:t>4</w:t>
      </w:r>
      <w:r>
        <w:rPr>
          <w:rFonts w:ascii="Times New Roman" w:hAnsiTheme="minorEastAsia" w:eastAsiaTheme="minorEastAsia"/>
          <w:kern w:val="44"/>
          <w:sz w:val="30"/>
          <w:szCs w:val="30"/>
        </w:rPr>
        <w:t>环境影响评价</w:t>
      </w:r>
      <w:bookmarkEnd w:id="29"/>
      <w:r>
        <w:rPr>
          <w:rFonts w:ascii="Times New Roman" w:hAnsiTheme="minorEastAsia" w:eastAsiaTheme="minorEastAsia"/>
          <w:kern w:val="44"/>
          <w:sz w:val="30"/>
          <w:szCs w:val="30"/>
        </w:rPr>
        <w:t>工作过程</w:t>
      </w:r>
      <w:bookmarkEnd w:id="28"/>
      <w:bookmarkEnd w:id="30"/>
    </w:p>
    <w:p>
      <w:pPr>
        <w:spacing w:line="360" w:lineRule="auto"/>
        <w:ind w:firstLine="480" w:firstLineChars="200"/>
        <w:rPr>
          <w:rFonts w:hAnsiTheme="minorEastAsia" w:eastAsiaTheme="minorEastAsia"/>
          <w:sz w:val="24"/>
        </w:rPr>
      </w:pPr>
      <w:r>
        <w:rPr>
          <w:rFonts w:hAnsiTheme="minorEastAsia" w:eastAsiaTheme="minorEastAsia"/>
          <w:sz w:val="24"/>
        </w:rPr>
        <w:drawing>
          <wp:anchor distT="0" distB="0" distL="114300" distR="114300" simplePos="0" relativeHeight="251686912" behindDoc="0" locked="0" layoutInCell="1" allowOverlap="1">
            <wp:simplePos x="0" y="0"/>
            <wp:positionH relativeFrom="column">
              <wp:posOffset>506730</wp:posOffset>
            </wp:positionH>
            <wp:positionV relativeFrom="paragraph">
              <wp:posOffset>576580</wp:posOffset>
            </wp:positionV>
            <wp:extent cx="4561205" cy="4351655"/>
            <wp:effectExtent l="19050" t="0" r="0" b="0"/>
            <wp:wrapNone/>
            <wp:docPr id="9" name="图片 1" descr="E[UYI8`YLN~FJ54@%8_8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E[UYI8`YLN~FJ54@%8_8C(V"/>
                    <pic:cNvPicPr>
                      <a:picLocks noChangeAspect="1" noChangeArrowheads="1"/>
                    </pic:cNvPicPr>
                  </pic:nvPicPr>
                  <pic:blipFill>
                    <a:blip r:embed="rId49" cstate="print"/>
                    <a:srcRect t="1908"/>
                    <a:stretch>
                      <a:fillRect/>
                    </a:stretch>
                  </pic:blipFill>
                  <pic:spPr>
                    <a:xfrm>
                      <a:off x="0" y="0"/>
                      <a:ext cx="4561417" cy="4351867"/>
                    </a:xfrm>
                    <a:prstGeom prst="rect">
                      <a:avLst/>
                    </a:prstGeom>
                    <a:noFill/>
                    <a:ln w="9525">
                      <a:noFill/>
                      <a:miter lim="800000"/>
                      <a:headEnd/>
                      <a:tailEnd/>
                    </a:ln>
                  </pic:spPr>
                </pic:pic>
              </a:graphicData>
            </a:graphic>
          </wp:anchor>
        </w:drawing>
      </w:r>
      <w:r>
        <w:rPr>
          <w:rFonts w:hAnsiTheme="minorEastAsia" w:eastAsiaTheme="minorEastAsia"/>
          <w:sz w:val="24"/>
        </w:rPr>
        <w:t>环境影响评价工作一般分三个阶段，即调查分析和工作方案制定阶段，分析论证和预测评价阶段，环境影响文件编制阶段。具体工作过程见图</w:t>
      </w:r>
      <w:r>
        <w:rPr>
          <w:rFonts w:eastAsiaTheme="minorEastAsia"/>
          <w:sz w:val="24"/>
        </w:rPr>
        <w:t>1.</w:t>
      </w:r>
      <w:r>
        <w:rPr>
          <w:rFonts w:hint="eastAsia" w:eastAsiaTheme="minorEastAsia"/>
          <w:sz w:val="24"/>
        </w:rPr>
        <w:t>4</w:t>
      </w:r>
      <w:r>
        <w:rPr>
          <w:rFonts w:eastAsiaTheme="minorEastAsia"/>
          <w:sz w:val="24"/>
        </w:rPr>
        <w:t>-1</w:t>
      </w:r>
      <w:r>
        <w:rPr>
          <w:rFonts w:hAnsiTheme="minorEastAsia" w:eastAsiaTheme="minorEastAsia"/>
          <w:sz w:val="24"/>
        </w:rPr>
        <w:t>。</w:t>
      </w:r>
    </w:p>
    <w:p>
      <w:pPr>
        <w:spacing w:line="360" w:lineRule="auto"/>
        <w:ind w:firstLine="480" w:firstLineChars="200"/>
        <w:rPr>
          <w:rFonts w:eastAsiaTheme="minorEastAsia"/>
          <w:sz w:val="24"/>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ind w:firstLine="425"/>
        <w:jc w:val="center"/>
        <w:rPr>
          <w:rFonts w:eastAsiaTheme="minorEastAsia"/>
          <w:b/>
          <w:szCs w:val="21"/>
        </w:rPr>
      </w:pPr>
    </w:p>
    <w:p>
      <w:pPr>
        <w:jc w:val="center"/>
        <w:rPr>
          <w:rFonts w:hAnsiTheme="minorEastAsia" w:eastAsiaTheme="minorEastAsia"/>
          <w:b/>
          <w:szCs w:val="21"/>
        </w:rPr>
      </w:pPr>
      <w:r>
        <w:rPr>
          <w:rFonts w:hAnsiTheme="minorEastAsia" w:eastAsiaTheme="minorEastAsia"/>
          <w:b/>
          <w:szCs w:val="21"/>
        </w:rPr>
        <w:t>图</w:t>
      </w:r>
      <w:r>
        <w:rPr>
          <w:rFonts w:eastAsiaTheme="minorEastAsia"/>
          <w:b/>
          <w:szCs w:val="21"/>
        </w:rPr>
        <w:t>1.</w:t>
      </w:r>
      <w:r>
        <w:rPr>
          <w:rFonts w:hint="eastAsia" w:eastAsiaTheme="minorEastAsia"/>
          <w:b/>
          <w:szCs w:val="21"/>
        </w:rPr>
        <w:t>4</w:t>
      </w:r>
      <w:r>
        <w:rPr>
          <w:rFonts w:eastAsiaTheme="minorEastAsia"/>
          <w:b/>
          <w:szCs w:val="21"/>
        </w:rPr>
        <w:t xml:space="preserve">-1   </w:t>
      </w:r>
      <w:r>
        <w:rPr>
          <w:rFonts w:hAnsiTheme="minorEastAsia" w:eastAsiaTheme="minorEastAsia"/>
          <w:b/>
          <w:szCs w:val="21"/>
        </w:rPr>
        <w:t>建设项目环境影响评价工作程序图</w:t>
      </w:r>
    </w:p>
    <w:p>
      <w:pPr>
        <w:ind w:firstLine="425"/>
        <w:jc w:val="center"/>
        <w:rPr>
          <w:rFonts w:eastAsiaTheme="minorEastAsia"/>
          <w:b/>
          <w:szCs w:val="21"/>
        </w:rPr>
      </w:pP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1" w:name="_Toc351651123"/>
      <w:bookmarkStart w:id="32" w:name="_Toc480708206"/>
      <w:bookmarkStart w:id="33" w:name="_Toc71551917"/>
      <w:r>
        <w:rPr>
          <w:rFonts w:ascii="Times New Roman" w:hAnsi="Times New Roman" w:eastAsiaTheme="minorEastAsia"/>
          <w:kern w:val="44"/>
          <w:sz w:val="30"/>
          <w:szCs w:val="30"/>
        </w:rPr>
        <w:t>1.</w:t>
      </w:r>
      <w:bookmarkEnd w:id="31"/>
      <w:bookmarkEnd w:id="32"/>
      <w:r>
        <w:rPr>
          <w:rFonts w:hint="eastAsia" w:ascii="Times New Roman" w:hAnsi="Times New Roman" w:eastAsiaTheme="minorEastAsia"/>
          <w:kern w:val="44"/>
          <w:sz w:val="30"/>
          <w:szCs w:val="30"/>
        </w:rPr>
        <w:t>5</w:t>
      </w:r>
      <w:r>
        <w:rPr>
          <w:rFonts w:ascii="Times New Roman" w:hAnsiTheme="minorEastAsia" w:eastAsiaTheme="minorEastAsia"/>
          <w:kern w:val="44"/>
          <w:sz w:val="30"/>
          <w:szCs w:val="30"/>
        </w:rPr>
        <w:t>关注的主要环境问题及环境影响</w:t>
      </w:r>
      <w:bookmarkEnd w:id="33"/>
    </w:p>
    <w:p>
      <w:pPr>
        <w:spacing w:line="360" w:lineRule="auto"/>
        <w:ind w:firstLine="480" w:firstLineChars="200"/>
        <w:rPr>
          <w:rFonts w:hAnsiTheme="minorEastAsia" w:eastAsiaTheme="minorEastAsia"/>
          <w:sz w:val="24"/>
        </w:rPr>
      </w:pPr>
      <w:bookmarkStart w:id="34" w:name="_Toc351651124"/>
      <w:bookmarkStart w:id="35" w:name="_Toc480708207"/>
      <w:r>
        <w:rPr>
          <w:rFonts w:hint="eastAsia" w:hAnsiTheme="minorEastAsia" w:eastAsiaTheme="minorEastAsia"/>
          <w:sz w:val="24"/>
        </w:rPr>
        <w:t>本项目变更内容主要有：风井场地、项目可采储量、服务年限发生变化以及锅炉（选型及工作制度）发生变化。本次变更环评主要针对上述变更内容所造成的环境影响进行分析，具体为：</w:t>
      </w:r>
    </w:p>
    <w:p>
      <w:pPr>
        <w:spacing w:line="360" w:lineRule="auto"/>
        <w:ind w:firstLine="480" w:firstLineChars="200"/>
        <w:rPr>
          <w:rFonts w:hAnsiTheme="minorEastAsia" w:eastAsiaTheme="minorEastAsia"/>
          <w:sz w:val="24"/>
        </w:rPr>
      </w:pPr>
      <w:r>
        <w:rPr>
          <w:rFonts w:hint="eastAsia" w:hAnsiTheme="minorEastAsia" w:eastAsiaTheme="minorEastAsia"/>
          <w:sz w:val="24"/>
        </w:rPr>
        <w:t>1、风井场地发生变化后造成的大气、噪声、生态环境影响。</w:t>
      </w:r>
    </w:p>
    <w:p>
      <w:pPr>
        <w:spacing w:line="360" w:lineRule="auto"/>
        <w:ind w:firstLine="480" w:firstLineChars="200"/>
        <w:rPr>
          <w:rFonts w:hAnsiTheme="minorEastAsia" w:eastAsiaTheme="minorEastAsia"/>
          <w:sz w:val="24"/>
        </w:rPr>
      </w:pPr>
      <w:r>
        <w:rPr>
          <w:rFonts w:hint="eastAsia" w:hAnsiTheme="minorEastAsia" w:eastAsiaTheme="minorEastAsia"/>
          <w:sz w:val="24"/>
        </w:rPr>
        <w:t>2、锅炉由燃煤改为燃气锅炉后对大气环境的影响。</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6" w:name="_Toc71551918"/>
      <w:r>
        <w:rPr>
          <w:rFonts w:ascii="Times New Roman" w:hAnsi="Times New Roman" w:eastAsiaTheme="minorEastAsia"/>
          <w:kern w:val="44"/>
          <w:sz w:val="30"/>
          <w:szCs w:val="30"/>
        </w:rPr>
        <w:t>1.</w:t>
      </w:r>
      <w:bookmarkEnd w:id="34"/>
      <w:r>
        <w:rPr>
          <w:rFonts w:hint="eastAsia" w:ascii="Times New Roman" w:hAnsi="Times New Roman" w:eastAsiaTheme="minorEastAsia"/>
          <w:kern w:val="44"/>
          <w:sz w:val="30"/>
          <w:szCs w:val="30"/>
        </w:rPr>
        <w:t>6</w:t>
      </w:r>
      <w:r>
        <w:rPr>
          <w:rFonts w:ascii="Times New Roman" w:hAnsiTheme="minorEastAsia" w:eastAsiaTheme="minorEastAsia"/>
          <w:kern w:val="44"/>
          <w:sz w:val="30"/>
          <w:szCs w:val="30"/>
        </w:rPr>
        <w:t>环境影响评价的主要结论</w:t>
      </w:r>
      <w:bookmarkEnd w:id="35"/>
      <w:bookmarkEnd w:id="36"/>
    </w:p>
    <w:p>
      <w:pPr>
        <w:spacing w:line="360" w:lineRule="auto"/>
        <w:ind w:firstLine="480" w:firstLineChars="200"/>
        <w:rPr>
          <w:rFonts w:hAnsiTheme="minorEastAsia" w:eastAsiaTheme="minorEastAsia"/>
          <w:sz w:val="24"/>
        </w:rPr>
      </w:pPr>
      <w:r>
        <w:rPr>
          <w:rFonts w:hint="eastAsia" w:hAnsiTheme="minorEastAsia" w:eastAsiaTheme="minorEastAsia"/>
          <w:sz w:val="24"/>
        </w:rPr>
        <w:t>本项目变更后，锅炉由燃煤改为燃气，使大气污染物排放较变更前减小，对大气环境影响减少；风井场地及污水处理站的变化不会对地下水、生态、声环境等影响环境造成大的不良影响。总之，评价认为只要认真贯彻执行国家的环保法律、法规，认真落实所有的污染防治措施和本评价提出的污染防治对策，评价认为本项目的变更从环保角度分析可行。</w:t>
      </w:r>
    </w:p>
    <w:p>
      <w:pPr>
        <w:ind w:firstLine="425"/>
        <w:jc w:val="center"/>
        <w:rPr>
          <w:rFonts w:eastAsiaTheme="minorEastAsia"/>
          <w:b/>
          <w:szCs w:val="21"/>
        </w:rPr>
      </w:pPr>
    </w:p>
    <w:p>
      <w:pPr>
        <w:spacing w:line="360" w:lineRule="auto"/>
        <w:ind w:firstLine="420" w:firstLineChars="200"/>
        <w:rPr>
          <w:rFonts w:eastAsiaTheme="minorEastAsia"/>
        </w:rPr>
        <w:sectPr>
          <w:footerReference r:id="rId9" w:type="default"/>
          <w:pgSz w:w="11906" w:h="16838"/>
          <w:pgMar w:top="1701" w:right="1418" w:bottom="1701" w:left="1418" w:header="992" w:footer="992" w:gutter="0"/>
          <w:pgNumType w:start="1" w:chapStyle="1"/>
          <w:cols w:space="425" w:num="1"/>
          <w:docGrid w:linePitch="312" w:charSpace="0"/>
        </w:sectPr>
      </w:pPr>
    </w:p>
    <w:p>
      <w:pPr>
        <w:pStyle w:val="2"/>
        <w:spacing w:before="0" w:after="0" w:line="360" w:lineRule="auto"/>
        <w:jc w:val="center"/>
        <w:rPr>
          <w:rFonts w:eastAsiaTheme="minorEastAsia"/>
        </w:rPr>
      </w:pPr>
      <w:bookmarkStart w:id="37" w:name="_Toc71551919"/>
      <w:r>
        <w:rPr>
          <w:rFonts w:eastAsiaTheme="minorEastAsia"/>
        </w:rPr>
        <w:t>2</w:t>
      </w:r>
      <w:r>
        <w:rPr>
          <w:rFonts w:hAnsiTheme="minorEastAsia" w:eastAsiaTheme="minorEastAsia"/>
        </w:rPr>
        <w:t>、</w:t>
      </w:r>
      <w:bookmarkEnd w:id="3"/>
      <w:bookmarkEnd w:id="4"/>
      <w:bookmarkEnd w:id="5"/>
      <w:bookmarkEnd w:id="6"/>
      <w:bookmarkEnd w:id="7"/>
      <w:r>
        <w:rPr>
          <w:rFonts w:hAnsiTheme="minorEastAsia" w:eastAsiaTheme="minorEastAsia"/>
        </w:rPr>
        <w:t>总则</w:t>
      </w:r>
      <w:bookmarkEnd w:id="37"/>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8" w:name="_Toc124051374"/>
      <w:bookmarkStart w:id="39" w:name="_Toc168481411"/>
      <w:bookmarkStart w:id="40" w:name="_Toc225155062"/>
      <w:bookmarkStart w:id="41" w:name="_Toc247622616"/>
      <w:bookmarkStart w:id="42" w:name="_Toc71551920"/>
      <w:bookmarkStart w:id="43" w:name="_Toc147820526"/>
      <w:bookmarkStart w:id="44" w:name="_Toc255195776"/>
      <w:bookmarkStart w:id="45" w:name="_Toc104373033"/>
      <w:bookmarkStart w:id="46" w:name="_Toc99439542"/>
      <w:bookmarkStart w:id="47" w:name="_Toc87096968"/>
      <w:r>
        <w:rPr>
          <w:rFonts w:ascii="Times New Roman" w:hAnsi="Times New Roman" w:eastAsiaTheme="minorEastAsia"/>
          <w:kern w:val="44"/>
          <w:sz w:val="30"/>
          <w:szCs w:val="30"/>
        </w:rPr>
        <w:t>2.1</w:t>
      </w:r>
      <w:r>
        <w:rPr>
          <w:rFonts w:ascii="Times New Roman" w:hAnsiTheme="minorEastAsia" w:eastAsiaTheme="minorEastAsia"/>
          <w:kern w:val="44"/>
          <w:sz w:val="30"/>
          <w:szCs w:val="30"/>
        </w:rPr>
        <w:t>编制依据</w:t>
      </w:r>
      <w:bookmarkEnd w:id="38"/>
      <w:bookmarkEnd w:id="39"/>
      <w:bookmarkEnd w:id="40"/>
      <w:bookmarkEnd w:id="41"/>
      <w:bookmarkEnd w:id="42"/>
      <w:bookmarkEnd w:id="43"/>
      <w:bookmarkEnd w:id="44"/>
      <w:bookmarkEnd w:id="45"/>
      <w:bookmarkEnd w:id="46"/>
      <w:bookmarkEnd w:id="47"/>
    </w:p>
    <w:p>
      <w:pPr>
        <w:spacing w:line="360" w:lineRule="auto"/>
        <w:outlineLvl w:val="2"/>
        <w:rPr>
          <w:rFonts w:eastAsiaTheme="minorEastAsia"/>
          <w:b/>
          <w:sz w:val="24"/>
        </w:rPr>
      </w:pPr>
      <w:bookmarkStart w:id="48" w:name="_Toc168481412"/>
      <w:bookmarkStart w:id="49" w:name="_Toc225155063"/>
      <w:r>
        <w:rPr>
          <w:rFonts w:eastAsiaTheme="minorEastAsia"/>
          <w:b/>
          <w:sz w:val="24"/>
        </w:rPr>
        <w:t>2.1.1</w:t>
      </w:r>
      <w:r>
        <w:rPr>
          <w:rFonts w:hAnsiTheme="minorEastAsia" w:eastAsiaTheme="minorEastAsia"/>
          <w:b/>
          <w:sz w:val="24"/>
        </w:rPr>
        <w:t>任务依据</w:t>
      </w:r>
      <w:bookmarkEnd w:id="48"/>
      <w:bookmarkEnd w:id="49"/>
    </w:p>
    <w:p>
      <w:pPr>
        <w:spacing w:line="360" w:lineRule="auto"/>
        <w:ind w:firstLine="496" w:firstLineChars="200"/>
        <w:rPr>
          <w:rFonts w:hAnsiTheme="minorEastAsia" w:eastAsiaTheme="minorEastAsia"/>
          <w:bCs/>
          <w:spacing w:val="4"/>
          <w:sz w:val="24"/>
        </w:rPr>
      </w:pPr>
      <w:r>
        <w:rPr>
          <w:rFonts w:hAnsiTheme="minorEastAsia" w:eastAsiaTheme="minorEastAsia"/>
          <w:bCs/>
          <w:spacing w:val="4"/>
          <w:sz w:val="24"/>
        </w:rPr>
        <w:t>（</w:t>
      </w:r>
      <w:r>
        <w:rPr>
          <w:rFonts w:eastAsiaTheme="minorEastAsia"/>
          <w:bCs/>
          <w:spacing w:val="4"/>
          <w:sz w:val="24"/>
        </w:rPr>
        <w:t>1</w:t>
      </w:r>
      <w:r>
        <w:rPr>
          <w:rFonts w:hAnsiTheme="minorEastAsia" w:eastAsiaTheme="minorEastAsia"/>
          <w:bCs/>
          <w:spacing w:val="4"/>
          <w:sz w:val="24"/>
        </w:rPr>
        <w:t>）“</w:t>
      </w:r>
      <w:r>
        <w:rPr>
          <w:rFonts w:hint="eastAsia" w:hAnsiTheme="minorEastAsia" w:eastAsiaTheme="minorEastAsia"/>
          <w:bCs/>
          <w:spacing w:val="4"/>
          <w:sz w:val="24"/>
        </w:rPr>
        <w:t>山西煤炭运销集团新工煤业有限公司120万t/a矿井兼并重组整合项目变更环境影响报告书</w:t>
      </w:r>
      <w:r>
        <w:rPr>
          <w:rFonts w:hAnsiTheme="minorEastAsia" w:eastAsiaTheme="minorEastAsia"/>
          <w:bCs/>
          <w:spacing w:val="4"/>
          <w:sz w:val="24"/>
        </w:rPr>
        <w:t>”</w:t>
      </w:r>
      <w:r>
        <w:rPr>
          <w:rFonts w:hint="eastAsia" w:hAnsiTheme="minorEastAsia" w:eastAsiaTheme="minorEastAsia"/>
          <w:bCs/>
          <w:spacing w:val="4"/>
          <w:sz w:val="24"/>
        </w:rPr>
        <w:t>评价的委托书，</w:t>
      </w:r>
      <w:r>
        <w:rPr>
          <w:rFonts w:hAnsiTheme="minorEastAsia" w:eastAsiaTheme="minorEastAsia"/>
          <w:bCs/>
          <w:spacing w:val="4"/>
          <w:sz w:val="24"/>
        </w:rPr>
        <w:t>202</w:t>
      </w:r>
      <w:r>
        <w:rPr>
          <w:rFonts w:hint="eastAsia" w:hAnsiTheme="minorEastAsia" w:eastAsiaTheme="minorEastAsia"/>
          <w:bCs/>
          <w:spacing w:val="4"/>
          <w:sz w:val="24"/>
        </w:rPr>
        <w:t>1</w:t>
      </w:r>
      <w:r>
        <w:rPr>
          <w:rFonts w:hAnsiTheme="minorEastAsia" w:eastAsiaTheme="minorEastAsia"/>
          <w:bCs/>
          <w:spacing w:val="4"/>
          <w:sz w:val="24"/>
        </w:rPr>
        <w:t>.</w:t>
      </w:r>
      <w:r>
        <w:rPr>
          <w:rFonts w:hint="eastAsia" w:hAnsiTheme="minorEastAsia" w:eastAsiaTheme="minorEastAsia"/>
          <w:bCs/>
          <w:spacing w:val="4"/>
          <w:sz w:val="24"/>
        </w:rPr>
        <w:t>3。</w:t>
      </w:r>
    </w:p>
    <w:p>
      <w:pPr>
        <w:spacing w:line="360" w:lineRule="auto"/>
        <w:outlineLvl w:val="2"/>
        <w:rPr>
          <w:rFonts w:eastAsiaTheme="minorEastAsia"/>
          <w:b/>
          <w:sz w:val="24"/>
        </w:rPr>
      </w:pPr>
      <w:bookmarkStart w:id="50" w:name="_Toc168481413"/>
      <w:bookmarkStart w:id="51" w:name="_Toc99439543"/>
      <w:bookmarkStart w:id="52" w:name="_Toc87096969"/>
      <w:r>
        <w:rPr>
          <w:rFonts w:eastAsiaTheme="minorEastAsia"/>
          <w:b/>
          <w:sz w:val="24"/>
        </w:rPr>
        <w:t>2.1.2</w:t>
      </w:r>
      <w:bookmarkEnd w:id="50"/>
      <w:bookmarkEnd w:id="51"/>
      <w:bookmarkEnd w:id="52"/>
      <w:r>
        <w:rPr>
          <w:rFonts w:hint="eastAsia" w:eastAsiaTheme="minorEastAsia"/>
          <w:b/>
          <w:sz w:val="24"/>
        </w:rPr>
        <w:t>法律法规及部门规章</w:t>
      </w:r>
    </w:p>
    <w:p>
      <w:pPr>
        <w:spacing w:line="360" w:lineRule="auto"/>
        <w:outlineLvl w:val="3"/>
        <w:rPr>
          <w:rFonts w:eastAsiaTheme="minorEastAsia"/>
          <w:b/>
          <w:sz w:val="24"/>
        </w:rPr>
      </w:pPr>
      <w:r>
        <w:rPr>
          <w:rFonts w:eastAsiaTheme="minorEastAsia"/>
          <w:b/>
          <w:sz w:val="24"/>
        </w:rPr>
        <w:t>2.1.2.1</w:t>
      </w:r>
      <w:r>
        <w:rPr>
          <w:rFonts w:hint="eastAsia" w:eastAsiaTheme="minorEastAsia"/>
          <w:b/>
          <w:sz w:val="24"/>
        </w:rPr>
        <w:t>国家法律法规</w:t>
      </w:r>
    </w:p>
    <w:p>
      <w:pPr>
        <w:pStyle w:val="39"/>
        <w:ind w:firstLine="496"/>
        <w:rPr>
          <w:rFonts w:ascii="Times New Roman" w:hAnsi="Times New Roman" w:eastAsiaTheme="minorEastAsia"/>
          <w:spacing w:val="4"/>
        </w:rPr>
      </w:pPr>
      <w:bookmarkStart w:id="53" w:name="_Toc99439544"/>
      <w:bookmarkStart w:id="54" w:name="_Toc225155064"/>
      <w:bookmarkStart w:id="55" w:name="_Toc87096970"/>
      <w:bookmarkStart w:id="56" w:name="_Toc168481414"/>
      <w:r>
        <w:rPr>
          <w:rFonts w:ascii="Times New Roman" w:hAnsiTheme="minorEastAsia" w:eastAsiaTheme="minorEastAsia"/>
          <w:spacing w:val="4"/>
        </w:rPr>
        <w:t>（</w:t>
      </w:r>
      <w:r>
        <w:rPr>
          <w:rFonts w:ascii="Times New Roman" w:hAnsi="Times New Roman" w:eastAsiaTheme="minorEastAsia"/>
          <w:spacing w:val="4"/>
        </w:rPr>
        <w:t>1</w:t>
      </w:r>
      <w:r>
        <w:rPr>
          <w:rFonts w:ascii="Times New Roman" w:hAnsiTheme="minorEastAsia" w:eastAsiaTheme="minorEastAsia"/>
          <w:spacing w:val="4"/>
        </w:rPr>
        <w:t>）</w:t>
      </w:r>
      <w:r>
        <w:rPr>
          <w:rFonts w:ascii="Times New Roman" w:hAnsiTheme="minorEastAsia" w:eastAsiaTheme="minorEastAsia"/>
        </w:rPr>
        <w:t>《中华人民共和国环境保护法》</w:t>
      </w:r>
      <w:r>
        <w:rPr>
          <w:rFonts w:ascii="Times New Roman" w:hAnsiTheme="minorEastAsia" w:eastAsiaTheme="minorEastAsia"/>
          <w:spacing w:val="4"/>
        </w:rPr>
        <w:t>（</w:t>
      </w:r>
      <w:r>
        <w:rPr>
          <w:rFonts w:ascii="Times New Roman" w:hAnsi="Times New Roman" w:eastAsiaTheme="minorEastAsia"/>
          <w:spacing w:val="4"/>
        </w:rPr>
        <w:t>2015</w:t>
      </w:r>
      <w:r>
        <w:rPr>
          <w:rFonts w:ascii="Times New Roman" w:hAnsiTheme="minorEastAsia" w:eastAsiaTheme="minorEastAsia"/>
          <w:spacing w:val="4"/>
        </w:rPr>
        <w:t>年</w:t>
      </w:r>
      <w:r>
        <w:rPr>
          <w:rFonts w:ascii="Times New Roman" w:hAnsi="Times New Roman" w:eastAsiaTheme="minorEastAsia"/>
          <w:spacing w:val="4"/>
        </w:rPr>
        <w:t>1</w:t>
      </w:r>
      <w:r>
        <w:rPr>
          <w:rFonts w:ascii="Times New Roman" w:hAnsiTheme="minorEastAsia" w:eastAsiaTheme="minorEastAsia"/>
          <w:spacing w:val="4"/>
        </w:rPr>
        <w:t>月</w:t>
      </w:r>
      <w:r>
        <w:rPr>
          <w:rFonts w:ascii="Times New Roman" w:hAnsi="Times New Roman" w:eastAsiaTheme="minorEastAsia"/>
          <w:spacing w:val="4"/>
        </w:rPr>
        <w:t>1</w:t>
      </w:r>
      <w:r>
        <w:rPr>
          <w:rFonts w:ascii="Times New Roman" w:hAnsiTheme="minorEastAsia" w:eastAsiaTheme="minorEastAsia"/>
          <w:spacing w:val="4"/>
        </w:rPr>
        <w:t>日）；</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eastAsiaTheme="minorEastAsia"/>
          <w:spacing w:val="4"/>
          <w:sz w:val="24"/>
        </w:rPr>
        <w:t>2</w:t>
      </w:r>
      <w:r>
        <w:rPr>
          <w:rFonts w:hAnsiTheme="minorEastAsia" w:eastAsiaTheme="minorEastAsia"/>
          <w:spacing w:val="4"/>
          <w:sz w:val="24"/>
        </w:rPr>
        <w:t>）《中华人民共和国环境影响评价法》（</w:t>
      </w:r>
      <w:r>
        <w:rPr>
          <w:rFonts w:eastAsiaTheme="minorEastAsia"/>
          <w:spacing w:val="4"/>
          <w:sz w:val="24"/>
        </w:rPr>
        <w:t>2018</w:t>
      </w:r>
      <w:r>
        <w:rPr>
          <w:rFonts w:hAnsiTheme="minorEastAsia" w:eastAsiaTheme="minorEastAsia"/>
          <w:spacing w:val="4"/>
          <w:sz w:val="24"/>
        </w:rPr>
        <w:t>年</w:t>
      </w:r>
      <w:r>
        <w:rPr>
          <w:rFonts w:eastAsiaTheme="minorEastAsia"/>
          <w:spacing w:val="4"/>
          <w:sz w:val="24"/>
        </w:rPr>
        <w:t>12</w:t>
      </w:r>
      <w:r>
        <w:rPr>
          <w:rFonts w:hAnsiTheme="minorEastAsia" w:eastAsiaTheme="minorEastAsia"/>
          <w:spacing w:val="4"/>
          <w:sz w:val="24"/>
        </w:rPr>
        <w:t>月</w:t>
      </w:r>
      <w:r>
        <w:rPr>
          <w:rFonts w:eastAsiaTheme="minorEastAsia"/>
          <w:spacing w:val="4"/>
          <w:sz w:val="24"/>
        </w:rPr>
        <w:t>29</w:t>
      </w:r>
      <w:r>
        <w:rPr>
          <w:rFonts w:hAnsiTheme="minorEastAsia" w:eastAsiaTheme="minorEastAsia"/>
          <w:spacing w:val="4"/>
          <w:sz w:val="24"/>
        </w:rPr>
        <w:t>日修订）；</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eastAsiaTheme="minorEastAsia"/>
          <w:spacing w:val="4"/>
          <w:sz w:val="24"/>
        </w:rPr>
        <w:t>3</w:t>
      </w:r>
      <w:r>
        <w:rPr>
          <w:rFonts w:hAnsiTheme="minorEastAsia" w:eastAsiaTheme="minorEastAsia"/>
          <w:spacing w:val="4"/>
          <w:sz w:val="24"/>
        </w:rPr>
        <w:t>）《中华人民共和国大气污染防治法》（</w:t>
      </w:r>
      <w:r>
        <w:rPr>
          <w:rFonts w:eastAsiaTheme="minorEastAsia"/>
          <w:spacing w:val="4"/>
          <w:sz w:val="24"/>
        </w:rPr>
        <w:t>2018</w:t>
      </w:r>
      <w:r>
        <w:rPr>
          <w:rFonts w:hAnsiTheme="minorEastAsia" w:eastAsiaTheme="minorEastAsia"/>
          <w:spacing w:val="4"/>
          <w:sz w:val="24"/>
        </w:rPr>
        <w:t>年</w:t>
      </w:r>
      <w:r>
        <w:rPr>
          <w:rFonts w:eastAsiaTheme="minorEastAsia"/>
          <w:spacing w:val="4"/>
          <w:sz w:val="24"/>
        </w:rPr>
        <w:t>10</w:t>
      </w:r>
      <w:r>
        <w:rPr>
          <w:rFonts w:hAnsiTheme="minorEastAsia" w:eastAsiaTheme="minorEastAsia"/>
          <w:spacing w:val="4"/>
          <w:sz w:val="24"/>
        </w:rPr>
        <w:t>月</w:t>
      </w:r>
      <w:r>
        <w:rPr>
          <w:rFonts w:eastAsiaTheme="minorEastAsia"/>
          <w:spacing w:val="4"/>
          <w:sz w:val="24"/>
        </w:rPr>
        <w:t>26</w:t>
      </w:r>
      <w:r>
        <w:rPr>
          <w:rFonts w:hAnsiTheme="minorEastAsia" w:eastAsiaTheme="minorEastAsia"/>
          <w:spacing w:val="4"/>
          <w:sz w:val="24"/>
        </w:rPr>
        <w:t>日）；</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eastAsiaTheme="minorEastAsia"/>
          <w:spacing w:val="4"/>
          <w:sz w:val="24"/>
        </w:rPr>
        <w:t>4</w:t>
      </w:r>
      <w:r>
        <w:rPr>
          <w:rFonts w:hAnsiTheme="minorEastAsia" w:eastAsiaTheme="minorEastAsia"/>
          <w:spacing w:val="4"/>
          <w:sz w:val="24"/>
        </w:rPr>
        <w:t>）《中华人民共和国水污染防治法》（</w:t>
      </w:r>
      <w:r>
        <w:rPr>
          <w:rFonts w:eastAsiaTheme="minorEastAsia"/>
          <w:spacing w:val="4"/>
          <w:sz w:val="24"/>
        </w:rPr>
        <w:t>2018</w:t>
      </w:r>
      <w:r>
        <w:rPr>
          <w:rFonts w:hAnsiTheme="minorEastAsia" w:eastAsiaTheme="minorEastAsia"/>
          <w:spacing w:val="4"/>
          <w:sz w:val="24"/>
        </w:rPr>
        <w:t>年</w:t>
      </w:r>
      <w:r>
        <w:rPr>
          <w:rFonts w:eastAsiaTheme="minorEastAsia"/>
          <w:spacing w:val="4"/>
          <w:sz w:val="24"/>
        </w:rPr>
        <w:t>1</w:t>
      </w:r>
      <w:r>
        <w:rPr>
          <w:rFonts w:hAnsiTheme="minorEastAsia" w:eastAsiaTheme="minorEastAsia"/>
          <w:spacing w:val="4"/>
          <w:sz w:val="24"/>
        </w:rPr>
        <w:t>月</w:t>
      </w:r>
      <w:r>
        <w:rPr>
          <w:rFonts w:eastAsiaTheme="minorEastAsia"/>
          <w:spacing w:val="4"/>
          <w:sz w:val="24"/>
        </w:rPr>
        <w:t>1</w:t>
      </w:r>
      <w:r>
        <w:rPr>
          <w:rFonts w:hAnsiTheme="minorEastAsia" w:eastAsiaTheme="minorEastAsia"/>
          <w:spacing w:val="4"/>
          <w:sz w:val="24"/>
        </w:rPr>
        <w:t>日）；</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eastAsiaTheme="minorEastAsia"/>
          <w:spacing w:val="4"/>
          <w:sz w:val="24"/>
        </w:rPr>
        <w:t>5</w:t>
      </w:r>
      <w:r>
        <w:rPr>
          <w:rFonts w:hAnsiTheme="minorEastAsia" w:eastAsiaTheme="minorEastAsia"/>
          <w:spacing w:val="4"/>
          <w:sz w:val="24"/>
        </w:rPr>
        <w:t>）《中华人民共和国噪声污染防治法》（</w:t>
      </w:r>
      <w:r>
        <w:rPr>
          <w:rFonts w:eastAsiaTheme="minorEastAsia"/>
          <w:spacing w:val="4"/>
          <w:sz w:val="24"/>
        </w:rPr>
        <w:t>2018</w:t>
      </w:r>
      <w:r>
        <w:rPr>
          <w:rFonts w:hAnsiTheme="minorEastAsia" w:eastAsiaTheme="minorEastAsia"/>
          <w:spacing w:val="4"/>
          <w:sz w:val="24"/>
        </w:rPr>
        <w:t>年</w:t>
      </w:r>
      <w:r>
        <w:rPr>
          <w:rFonts w:eastAsiaTheme="minorEastAsia"/>
          <w:spacing w:val="4"/>
          <w:sz w:val="24"/>
        </w:rPr>
        <w:t>12</w:t>
      </w:r>
      <w:r>
        <w:rPr>
          <w:rFonts w:hAnsiTheme="minorEastAsia" w:eastAsiaTheme="minorEastAsia"/>
          <w:spacing w:val="4"/>
          <w:sz w:val="24"/>
        </w:rPr>
        <w:t>月</w:t>
      </w:r>
      <w:r>
        <w:rPr>
          <w:rFonts w:eastAsiaTheme="minorEastAsia"/>
          <w:spacing w:val="4"/>
          <w:sz w:val="24"/>
        </w:rPr>
        <w:t>29</w:t>
      </w:r>
      <w:r>
        <w:rPr>
          <w:rFonts w:hAnsiTheme="minorEastAsia" w:eastAsiaTheme="minorEastAsia"/>
          <w:spacing w:val="4"/>
          <w:sz w:val="24"/>
        </w:rPr>
        <w:t>日修订）；</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eastAsiaTheme="minorEastAsia"/>
          <w:spacing w:val="4"/>
          <w:sz w:val="24"/>
        </w:rPr>
        <w:t>6</w:t>
      </w:r>
      <w:r>
        <w:rPr>
          <w:rFonts w:hAnsiTheme="minorEastAsia" w:eastAsiaTheme="minorEastAsia"/>
          <w:spacing w:val="4"/>
          <w:sz w:val="24"/>
        </w:rPr>
        <w:t>）《中华人民共和国固体废物污染环境防治法》</w:t>
      </w:r>
      <w:r>
        <w:rPr>
          <w:rFonts w:hint="eastAsia"/>
          <w:sz w:val="24"/>
        </w:rPr>
        <w:t>（</w:t>
      </w:r>
      <w:r>
        <w:rPr>
          <w:sz w:val="24"/>
        </w:rPr>
        <w:t>2020</w:t>
      </w:r>
      <w:r>
        <w:rPr>
          <w:rFonts w:hint="eastAsia"/>
          <w:sz w:val="24"/>
        </w:rPr>
        <w:t>年</w:t>
      </w:r>
      <w:r>
        <w:rPr>
          <w:sz w:val="24"/>
        </w:rPr>
        <w:t>4</w:t>
      </w:r>
      <w:r>
        <w:rPr>
          <w:rFonts w:hint="eastAsia"/>
          <w:sz w:val="24"/>
        </w:rPr>
        <w:t>月</w:t>
      </w:r>
      <w:r>
        <w:rPr>
          <w:sz w:val="24"/>
        </w:rPr>
        <w:t>29</w:t>
      </w:r>
      <w:r>
        <w:rPr>
          <w:rFonts w:hint="eastAsia"/>
          <w:sz w:val="24"/>
        </w:rPr>
        <w:t>日修订）</w:t>
      </w:r>
      <w:r>
        <w:rPr>
          <w:rFonts w:hAnsiTheme="minorEastAsia" w:eastAsiaTheme="minorEastAsia"/>
          <w:spacing w:val="4"/>
          <w:sz w:val="24"/>
        </w:rPr>
        <w:t>；</w:t>
      </w:r>
    </w:p>
    <w:p>
      <w:pPr>
        <w:adjustRightInd w:val="0"/>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7</w:t>
      </w:r>
      <w:r>
        <w:rPr>
          <w:rFonts w:hint="eastAsia" w:eastAsiaTheme="minorEastAsia"/>
          <w:spacing w:val="4"/>
          <w:sz w:val="24"/>
        </w:rPr>
        <w:t>）《中华人民共和国土壤污染防治法》（</w:t>
      </w:r>
      <w:r>
        <w:rPr>
          <w:rFonts w:eastAsiaTheme="minorEastAsia"/>
          <w:spacing w:val="4"/>
          <w:sz w:val="24"/>
        </w:rPr>
        <w:t>2019</w:t>
      </w:r>
      <w:r>
        <w:rPr>
          <w:rFonts w:hint="eastAsia" w:eastAsiaTheme="minorEastAsia"/>
          <w:spacing w:val="4"/>
          <w:sz w:val="24"/>
        </w:rPr>
        <w:t>年</w:t>
      </w:r>
      <w:r>
        <w:rPr>
          <w:rFonts w:eastAsiaTheme="minorEastAsia"/>
          <w:spacing w:val="4"/>
          <w:sz w:val="24"/>
        </w:rPr>
        <w:t>1</w:t>
      </w:r>
      <w:r>
        <w:rPr>
          <w:rFonts w:hint="eastAsia" w:eastAsiaTheme="minorEastAsia"/>
          <w:spacing w:val="4"/>
          <w:sz w:val="24"/>
        </w:rPr>
        <w:t>月</w:t>
      </w:r>
      <w:r>
        <w:rPr>
          <w:rFonts w:eastAsiaTheme="minorEastAsia"/>
          <w:spacing w:val="4"/>
          <w:sz w:val="24"/>
        </w:rPr>
        <w:t>1</w:t>
      </w:r>
      <w:r>
        <w:rPr>
          <w:rFonts w:hint="eastAsia" w:eastAsiaTheme="minorEastAsia"/>
          <w:spacing w:val="4"/>
          <w:sz w:val="24"/>
        </w:rPr>
        <w:t>日）；</w:t>
      </w:r>
    </w:p>
    <w:p>
      <w:pPr>
        <w:adjustRightInd w:val="0"/>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8</w:t>
      </w:r>
      <w:r>
        <w:rPr>
          <w:rFonts w:hint="eastAsia" w:eastAsiaTheme="minorEastAsia"/>
          <w:spacing w:val="4"/>
          <w:sz w:val="24"/>
        </w:rPr>
        <w:t>）《中华人民共和国水土保持法》（</w:t>
      </w:r>
      <w:r>
        <w:rPr>
          <w:rFonts w:eastAsiaTheme="minorEastAsia"/>
          <w:spacing w:val="4"/>
          <w:sz w:val="24"/>
        </w:rPr>
        <w:t>2011</w:t>
      </w:r>
      <w:r>
        <w:rPr>
          <w:rFonts w:hint="eastAsia" w:eastAsiaTheme="minorEastAsia"/>
          <w:spacing w:val="4"/>
          <w:sz w:val="24"/>
        </w:rPr>
        <w:t>年</w:t>
      </w:r>
      <w:r>
        <w:rPr>
          <w:rFonts w:eastAsiaTheme="minorEastAsia"/>
          <w:spacing w:val="4"/>
          <w:sz w:val="24"/>
        </w:rPr>
        <w:t>3</w:t>
      </w:r>
      <w:r>
        <w:rPr>
          <w:rFonts w:hint="eastAsia" w:eastAsiaTheme="minorEastAsia"/>
          <w:spacing w:val="4"/>
          <w:sz w:val="24"/>
        </w:rPr>
        <w:t>月</w:t>
      </w:r>
      <w:r>
        <w:rPr>
          <w:rFonts w:eastAsiaTheme="minorEastAsia"/>
          <w:spacing w:val="4"/>
          <w:sz w:val="24"/>
        </w:rPr>
        <w:t>1</w:t>
      </w:r>
      <w:r>
        <w:rPr>
          <w:rFonts w:hint="eastAsia" w:eastAsiaTheme="minorEastAsia"/>
          <w:spacing w:val="4"/>
          <w:sz w:val="24"/>
        </w:rPr>
        <w:t>日）；</w:t>
      </w:r>
    </w:p>
    <w:p>
      <w:pPr>
        <w:adjustRightInd w:val="0"/>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9</w:t>
      </w:r>
      <w:r>
        <w:rPr>
          <w:rFonts w:hint="eastAsia" w:eastAsiaTheme="minorEastAsia"/>
          <w:spacing w:val="4"/>
          <w:sz w:val="24"/>
        </w:rPr>
        <w:t>）《中华人民共和国水法》（修订）（</w:t>
      </w:r>
      <w:r>
        <w:rPr>
          <w:rFonts w:eastAsiaTheme="minorEastAsia"/>
          <w:spacing w:val="4"/>
          <w:sz w:val="24"/>
        </w:rPr>
        <w:t>2016</w:t>
      </w:r>
      <w:r>
        <w:rPr>
          <w:rFonts w:hint="eastAsia" w:eastAsiaTheme="minorEastAsia"/>
          <w:spacing w:val="4"/>
          <w:sz w:val="24"/>
        </w:rPr>
        <w:t>年</w:t>
      </w:r>
      <w:r>
        <w:rPr>
          <w:rFonts w:eastAsiaTheme="minorEastAsia"/>
          <w:spacing w:val="4"/>
          <w:sz w:val="24"/>
        </w:rPr>
        <w:t>7</w:t>
      </w:r>
      <w:r>
        <w:rPr>
          <w:rFonts w:hint="eastAsia" w:eastAsiaTheme="minorEastAsia"/>
          <w:spacing w:val="4"/>
          <w:sz w:val="24"/>
        </w:rPr>
        <w:t>月</w:t>
      </w:r>
      <w:r>
        <w:rPr>
          <w:rFonts w:eastAsiaTheme="minorEastAsia"/>
          <w:spacing w:val="4"/>
          <w:sz w:val="24"/>
        </w:rPr>
        <w:t>1</w:t>
      </w:r>
      <w:r>
        <w:rPr>
          <w:rFonts w:hint="eastAsia" w:eastAsiaTheme="minorEastAsia"/>
          <w:spacing w:val="4"/>
          <w:sz w:val="24"/>
        </w:rPr>
        <w:t>日）；</w:t>
      </w:r>
    </w:p>
    <w:p>
      <w:pPr>
        <w:pStyle w:val="39"/>
        <w:ind w:firstLine="496"/>
        <w:rPr>
          <w:rFonts w:ascii="Times New Roman" w:hAnsi="Times New Roman" w:eastAsiaTheme="minorEastAsia"/>
          <w:spacing w:val="4"/>
        </w:rPr>
      </w:pPr>
      <w:r>
        <w:rPr>
          <w:rFonts w:ascii="Times New Roman" w:hAnsiTheme="minorEastAsia" w:eastAsiaTheme="minorEastAsia"/>
          <w:spacing w:val="4"/>
        </w:rPr>
        <w:t>（</w:t>
      </w:r>
      <w:r>
        <w:rPr>
          <w:rFonts w:hint="eastAsia" w:ascii="Times New Roman" w:hAnsi="Times New Roman" w:eastAsiaTheme="minorEastAsia"/>
          <w:spacing w:val="4"/>
        </w:rPr>
        <w:t>10</w:t>
      </w:r>
      <w:r>
        <w:rPr>
          <w:rFonts w:ascii="Times New Roman" w:hAnsiTheme="minorEastAsia" w:eastAsiaTheme="minorEastAsia"/>
          <w:spacing w:val="4"/>
        </w:rPr>
        <w:t>）</w:t>
      </w:r>
      <w:r>
        <w:rPr>
          <w:rFonts w:ascii="Times New Roman" w:hAnsiTheme="minorEastAsia" w:eastAsiaTheme="minorEastAsia"/>
        </w:rPr>
        <w:t>《中华人民共和国煤炭法（</w:t>
      </w:r>
      <w:r>
        <w:rPr>
          <w:rFonts w:ascii="Times New Roman" w:hAnsi="Times New Roman" w:eastAsiaTheme="minorEastAsia"/>
        </w:rPr>
        <w:t>2013</w:t>
      </w:r>
      <w:r>
        <w:rPr>
          <w:rFonts w:ascii="Times New Roman" w:hAnsiTheme="minorEastAsia" w:eastAsiaTheme="minorEastAsia"/>
        </w:rPr>
        <w:t>年修正版）》</w:t>
      </w:r>
      <w:r>
        <w:rPr>
          <w:rFonts w:ascii="Times New Roman" w:hAnsiTheme="minorEastAsia" w:eastAsiaTheme="minorEastAsia"/>
          <w:spacing w:val="4"/>
        </w:rPr>
        <w:t>（</w:t>
      </w:r>
      <w:r>
        <w:rPr>
          <w:rFonts w:ascii="Times New Roman" w:hAnsi="Times New Roman" w:eastAsiaTheme="minorEastAsia"/>
          <w:spacing w:val="4"/>
        </w:rPr>
        <w:t>2016</w:t>
      </w:r>
      <w:r>
        <w:rPr>
          <w:rFonts w:ascii="Times New Roman" w:hAnsiTheme="minorEastAsia" w:eastAsiaTheme="minorEastAsia"/>
          <w:spacing w:val="4"/>
        </w:rPr>
        <w:t>年</w:t>
      </w:r>
      <w:r>
        <w:rPr>
          <w:rFonts w:ascii="Times New Roman" w:hAnsi="Times New Roman" w:eastAsiaTheme="minorEastAsia"/>
          <w:spacing w:val="4"/>
        </w:rPr>
        <w:t>11</w:t>
      </w:r>
      <w:r>
        <w:rPr>
          <w:rFonts w:ascii="Times New Roman" w:hAnsiTheme="minorEastAsia" w:eastAsiaTheme="minorEastAsia"/>
          <w:spacing w:val="4"/>
        </w:rPr>
        <w:t>月</w:t>
      </w:r>
      <w:r>
        <w:rPr>
          <w:rFonts w:ascii="Times New Roman" w:hAnsi="Times New Roman" w:eastAsiaTheme="minorEastAsia"/>
          <w:spacing w:val="4"/>
        </w:rPr>
        <w:t>7</w:t>
      </w:r>
      <w:r>
        <w:rPr>
          <w:rFonts w:ascii="Times New Roman" w:hAnsiTheme="minorEastAsia" w:eastAsiaTheme="minorEastAsia"/>
          <w:spacing w:val="4"/>
        </w:rPr>
        <w:t>日）；</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hint="eastAsia" w:eastAsiaTheme="minorEastAsia"/>
          <w:spacing w:val="4"/>
          <w:sz w:val="24"/>
        </w:rPr>
        <w:t>11</w:t>
      </w:r>
      <w:r>
        <w:rPr>
          <w:rFonts w:hAnsiTheme="minorEastAsia" w:eastAsiaTheme="minorEastAsia"/>
          <w:spacing w:val="4"/>
          <w:sz w:val="24"/>
        </w:rPr>
        <w:t>）《中华人民共和国矿产资源法》（</w:t>
      </w:r>
      <w:r>
        <w:rPr>
          <w:rFonts w:eastAsiaTheme="minorEastAsia"/>
          <w:spacing w:val="4"/>
          <w:sz w:val="24"/>
        </w:rPr>
        <w:t>2009</w:t>
      </w:r>
      <w:r>
        <w:rPr>
          <w:rFonts w:hAnsiTheme="minorEastAsia" w:eastAsiaTheme="minorEastAsia"/>
          <w:spacing w:val="4"/>
          <w:sz w:val="24"/>
        </w:rPr>
        <w:t>年</w:t>
      </w:r>
      <w:r>
        <w:rPr>
          <w:rFonts w:eastAsiaTheme="minorEastAsia"/>
          <w:spacing w:val="4"/>
          <w:sz w:val="24"/>
        </w:rPr>
        <w:t>8</w:t>
      </w:r>
      <w:r>
        <w:rPr>
          <w:rFonts w:hAnsiTheme="minorEastAsia" w:eastAsiaTheme="minorEastAsia"/>
          <w:spacing w:val="4"/>
          <w:sz w:val="24"/>
        </w:rPr>
        <w:t>月）；</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hint="eastAsia" w:eastAsiaTheme="minorEastAsia"/>
          <w:spacing w:val="4"/>
          <w:sz w:val="24"/>
        </w:rPr>
        <w:t>12</w:t>
      </w:r>
      <w:r>
        <w:rPr>
          <w:rFonts w:hAnsiTheme="minorEastAsia" w:eastAsiaTheme="minorEastAsia"/>
          <w:spacing w:val="4"/>
          <w:sz w:val="24"/>
        </w:rPr>
        <w:t>）《中华人民共和国土地管理法》（修正版），</w:t>
      </w:r>
      <w:r>
        <w:rPr>
          <w:rFonts w:eastAsiaTheme="minorEastAsia"/>
          <w:spacing w:val="4"/>
          <w:sz w:val="24"/>
        </w:rPr>
        <w:t>2020</w:t>
      </w:r>
      <w:r>
        <w:rPr>
          <w:rFonts w:hint="eastAsia" w:eastAsiaTheme="minorEastAsia"/>
          <w:spacing w:val="4"/>
          <w:sz w:val="24"/>
        </w:rPr>
        <w:t>年</w:t>
      </w:r>
      <w:r>
        <w:rPr>
          <w:rFonts w:eastAsiaTheme="minorEastAsia"/>
          <w:spacing w:val="4"/>
          <w:sz w:val="24"/>
        </w:rPr>
        <w:t>1</w:t>
      </w:r>
      <w:r>
        <w:rPr>
          <w:rFonts w:hint="eastAsia" w:eastAsiaTheme="minorEastAsia"/>
          <w:spacing w:val="4"/>
          <w:sz w:val="24"/>
        </w:rPr>
        <w:t>月</w:t>
      </w:r>
      <w:r>
        <w:rPr>
          <w:rFonts w:eastAsiaTheme="minorEastAsia"/>
          <w:spacing w:val="4"/>
          <w:sz w:val="24"/>
        </w:rPr>
        <w:t>1</w:t>
      </w:r>
      <w:r>
        <w:rPr>
          <w:rFonts w:hint="eastAsia" w:eastAsiaTheme="minorEastAsia"/>
          <w:spacing w:val="4"/>
          <w:sz w:val="24"/>
        </w:rPr>
        <w:t>日</w:t>
      </w:r>
      <w:r>
        <w:rPr>
          <w:rFonts w:hAnsiTheme="minorEastAsia" w:eastAsiaTheme="minorEastAsia"/>
          <w:spacing w:val="4"/>
          <w:sz w:val="24"/>
        </w:rPr>
        <w:t>；</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eastAsiaTheme="minorEastAsia"/>
          <w:spacing w:val="4"/>
          <w:sz w:val="24"/>
        </w:rPr>
        <w:t>1</w:t>
      </w:r>
      <w:r>
        <w:rPr>
          <w:rFonts w:hint="eastAsia" w:eastAsiaTheme="minorEastAsia"/>
          <w:spacing w:val="4"/>
          <w:sz w:val="24"/>
        </w:rPr>
        <w:t>3</w:t>
      </w:r>
      <w:r>
        <w:rPr>
          <w:rFonts w:hAnsiTheme="minorEastAsia" w:eastAsiaTheme="minorEastAsia"/>
          <w:spacing w:val="4"/>
          <w:sz w:val="24"/>
        </w:rPr>
        <w:t>）《中华人民共和国节约能源法》（</w:t>
      </w:r>
      <w:r>
        <w:rPr>
          <w:rFonts w:eastAsiaTheme="minorEastAsia"/>
          <w:spacing w:val="4"/>
          <w:sz w:val="24"/>
        </w:rPr>
        <w:t>2018</w:t>
      </w:r>
      <w:r>
        <w:rPr>
          <w:rFonts w:hAnsiTheme="minorEastAsia" w:eastAsiaTheme="minorEastAsia"/>
          <w:spacing w:val="4"/>
          <w:sz w:val="24"/>
        </w:rPr>
        <w:t>年</w:t>
      </w:r>
      <w:r>
        <w:rPr>
          <w:rFonts w:eastAsiaTheme="minorEastAsia"/>
          <w:spacing w:val="4"/>
          <w:sz w:val="24"/>
        </w:rPr>
        <w:t>10</w:t>
      </w:r>
      <w:r>
        <w:rPr>
          <w:rFonts w:hAnsiTheme="minorEastAsia" w:eastAsiaTheme="minorEastAsia"/>
          <w:spacing w:val="4"/>
          <w:sz w:val="24"/>
        </w:rPr>
        <w:t>月</w:t>
      </w:r>
      <w:r>
        <w:rPr>
          <w:rFonts w:eastAsiaTheme="minorEastAsia"/>
          <w:spacing w:val="4"/>
          <w:sz w:val="24"/>
        </w:rPr>
        <w:t>26</w:t>
      </w:r>
      <w:r>
        <w:rPr>
          <w:rFonts w:hAnsiTheme="minorEastAsia" w:eastAsiaTheme="minorEastAsia"/>
          <w:spacing w:val="4"/>
          <w:sz w:val="24"/>
        </w:rPr>
        <w:t>日）；</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eastAsiaTheme="minorEastAsia"/>
          <w:spacing w:val="4"/>
          <w:sz w:val="24"/>
        </w:rPr>
        <w:t>1</w:t>
      </w:r>
      <w:r>
        <w:rPr>
          <w:rFonts w:hint="eastAsia" w:eastAsiaTheme="minorEastAsia"/>
          <w:spacing w:val="4"/>
          <w:sz w:val="24"/>
        </w:rPr>
        <w:t>4</w:t>
      </w:r>
      <w:r>
        <w:rPr>
          <w:rFonts w:hAnsiTheme="minorEastAsia" w:eastAsiaTheme="minorEastAsia"/>
          <w:spacing w:val="4"/>
          <w:sz w:val="24"/>
        </w:rPr>
        <w:t>）《建设项目环境保护管理条例》（国务院令第</w:t>
      </w:r>
      <w:r>
        <w:rPr>
          <w:rFonts w:eastAsiaTheme="minorEastAsia"/>
          <w:spacing w:val="4"/>
          <w:sz w:val="24"/>
        </w:rPr>
        <w:t>682</w:t>
      </w:r>
      <w:r>
        <w:rPr>
          <w:rFonts w:hAnsiTheme="minorEastAsia" w:eastAsiaTheme="minorEastAsia"/>
          <w:spacing w:val="4"/>
          <w:sz w:val="24"/>
        </w:rPr>
        <w:t>号，</w:t>
      </w:r>
      <w:r>
        <w:rPr>
          <w:rFonts w:eastAsiaTheme="minorEastAsia"/>
          <w:spacing w:val="4"/>
          <w:sz w:val="24"/>
        </w:rPr>
        <w:t>2017</w:t>
      </w:r>
      <w:r>
        <w:rPr>
          <w:rFonts w:hAnsiTheme="minorEastAsia" w:eastAsiaTheme="minorEastAsia"/>
          <w:spacing w:val="4"/>
          <w:sz w:val="24"/>
        </w:rPr>
        <w:t>年</w:t>
      </w:r>
      <w:r>
        <w:rPr>
          <w:rFonts w:eastAsiaTheme="minorEastAsia"/>
          <w:spacing w:val="4"/>
          <w:sz w:val="24"/>
        </w:rPr>
        <w:t>10</w:t>
      </w:r>
      <w:r>
        <w:rPr>
          <w:rFonts w:hAnsiTheme="minorEastAsia" w:eastAsiaTheme="minorEastAsia"/>
          <w:spacing w:val="4"/>
          <w:sz w:val="24"/>
        </w:rPr>
        <w:t>月</w:t>
      </w:r>
      <w:r>
        <w:rPr>
          <w:rFonts w:eastAsiaTheme="minorEastAsia"/>
          <w:spacing w:val="4"/>
          <w:sz w:val="24"/>
        </w:rPr>
        <w:t>1</w:t>
      </w:r>
      <w:r>
        <w:rPr>
          <w:rFonts w:hAnsiTheme="minorEastAsia" w:eastAsiaTheme="minorEastAsia"/>
          <w:spacing w:val="4"/>
          <w:sz w:val="24"/>
        </w:rPr>
        <w:t>日）</w:t>
      </w:r>
      <w:r>
        <w:rPr>
          <w:rFonts w:hint="eastAsia" w:hAnsiTheme="minorEastAsia" w:eastAsiaTheme="minorEastAsia"/>
          <w:spacing w:val="4"/>
          <w:sz w:val="24"/>
        </w:rPr>
        <w:t>；</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eastAsiaTheme="minorEastAsia"/>
          <w:spacing w:val="4"/>
          <w:sz w:val="24"/>
        </w:rPr>
        <w:t>1</w:t>
      </w:r>
      <w:r>
        <w:rPr>
          <w:rFonts w:hint="eastAsia" w:eastAsiaTheme="minorEastAsia"/>
          <w:spacing w:val="4"/>
          <w:sz w:val="24"/>
        </w:rPr>
        <w:t>5</w:t>
      </w:r>
      <w:r>
        <w:rPr>
          <w:rFonts w:hAnsiTheme="minorEastAsia" w:eastAsiaTheme="minorEastAsia"/>
          <w:spacing w:val="4"/>
          <w:sz w:val="24"/>
        </w:rPr>
        <w:t>）《基本农田保护条例》（国务院，国发</w:t>
      </w:r>
      <w:r>
        <w:rPr>
          <w:rFonts w:eastAsiaTheme="minorEastAsia"/>
          <w:spacing w:val="4"/>
          <w:sz w:val="24"/>
        </w:rPr>
        <w:t>[1998]257</w:t>
      </w:r>
      <w:r>
        <w:rPr>
          <w:rFonts w:hAnsiTheme="minorEastAsia" w:eastAsiaTheme="minorEastAsia"/>
          <w:spacing w:val="4"/>
          <w:sz w:val="24"/>
        </w:rPr>
        <w:t>号，</w:t>
      </w:r>
      <w:r>
        <w:rPr>
          <w:rFonts w:eastAsiaTheme="minorEastAsia"/>
          <w:spacing w:val="4"/>
          <w:sz w:val="24"/>
        </w:rPr>
        <w:t>1988</w:t>
      </w:r>
      <w:r>
        <w:rPr>
          <w:rFonts w:hAnsiTheme="minorEastAsia" w:eastAsiaTheme="minorEastAsia"/>
          <w:spacing w:val="4"/>
          <w:sz w:val="24"/>
        </w:rPr>
        <w:t>年</w:t>
      </w:r>
      <w:r>
        <w:rPr>
          <w:rFonts w:eastAsiaTheme="minorEastAsia"/>
          <w:spacing w:val="4"/>
          <w:sz w:val="24"/>
        </w:rPr>
        <w:t>12</w:t>
      </w:r>
      <w:r>
        <w:rPr>
          <w:rFonts w:hAnsiTheme="minorEastAsia" w:eastAsiaTheme="minorEastAsia"/>
          <w:spacing w:val="4"/>
          <w:sz w:val="24"/>
        </w:rPr>
        <w:t>月）</w:t>
      </w:r>
      <w:r>
        <w:rPr>
          <w:rFonts w:hint="eastAsia" w:hAnsiTheme="minorEastAsia" w:eastAsiaTheme="minorEastAsia"/>
          <w:spacing w:val="4"/>
          <w:sz w:val="24"/>
        </w:rPr>
        <w:t>；</w:t>
      </w:r>
    </w:p>
    <w:p>
      <w:pPr>
        <w:adjustRightInd w:val="0"/>
        <w:spacing w:line="360" w:lineRule="auto"/>
        <w:ind w:firstLine="496" w:firstLineChars="200"/>
        <w:rPr>
          <w:rFonts w:eastAsiaTheme="minorEastAsia"/>
          <w:spacing w:val="4"/>
          <w:sz w:val="24"/>
        </w:rPr>
      </w:pPr>
      <w:r>
        <w:rPr>
          <w:rFonts w:hAnsiTheme="minorEastAsia" w:eastAsiaTheme="minorEastAsia"/>
          <w:spacing w:val="4"/>
          <w:sz w:val="24"/>
        </w:rPr>
        <w:t>（</w:t>
      </w:r>
      <w:r>
        <w:rPr>
          <w:rFonts w:eastAsiaTheme="minorEastAsia"/>
          <w:spacing w:val="4"/>
          <w:sz w:val="24"/>
        </w:rPr>
        <w:t>1</w:t>
      </w:r>
      <w:r>
        <w:rPr>
          <w:rFonts w:hint="eastAsia" w:eastAsiaTheme="minorEastAsia"/>
          <w:spacing w:val="4"/>
          <w:sz w:val="24"/>
        </w:rPr>
        <w:t>6</w:t>
      </w:r>
      <w:r>
        <w:rPr>
          <w:rFonts w:hAnsiTheme="minorEastAsia" w:eastAsiaTheme="minorEastAsia"/>
          <w:spacing w:val="4"/>
          <w:sz w:val="24"/>
        </w:rPr>
        <w:t>）《全国生态环境保护纲要》（国务院，国发</w:t>
      </w:r>
      <w:r>
        <w:rPr>
          <w:rFonts w:eastAsiaTheme="minorEastAsia"/>
          <w:spacing w:val="4"/>
          <w:sz w:val="24"/>
        </w:rPr>
        <w:t>[2000]38</w:t>
      </w:r>
      <w:r>
        <w:rPr>
          <w:rFonts w:hAnsiTheme="minorEastAsia" w:eastAsiaTheme="minorEastAsia"/>
          <w:spacing w:val="4"/>
          <w:sz w:val="24"/>
        </w:rPr>
        <w:t>号，</w:t>
      </w:r>
      <w:r>
        <w:rPr>
          <w:rFonts w:eastAsiaTheme="minorEastAsia"/>
          <w:spacing w:val="4"/>
          <w:sz w:val="24"/>
        </w:rPr>
        <w:t>2000</w:t>
      </w:r>
      <w:r>
        <w:rPr>
          <w:rFonts w:hAnsiTheme="minorEastAsia" w:eastAsiaTheme="minorEastAsia"/>
          <w:spacing w:val="4"/>
          <w:sz w:val="24"/>
        </w:rPr>
        <w:t>年</w:t>
      </w:r>
      <w:r>
        <w:rPr>
          <w:rFonts w:eastAsiaTheme="minorEastAsia"/>
          <w:spacing w:val="4"/>
          <w:sz w:val="24"/>
        </w:rPr>
        <w:t>11</w:t>
      </w:r>
      <w:r>
        <w:rPr>
          <w:rFonts w:hAnsiTheme="minorEastAsia" w:eastAsiaTheme="minorEastAsia"/>
          <w:spacing w:val="4"/>
          <w:sz w:val="24"/>
        </w:rPr>
        <w:t>月）</w:t>
      </w:r>
      <w:r>
        <w:rPr>
          <w:rFonts w:hint="eastAsia" w:hAnsiTheme="minorEastAsia" w:eastAsiaTheme="minorEastAsia"/>
          <w:spacing w:val="4"/>
          <w:sz w:val="24"/>
        </w:rPr>
        <w:t>；</w:t>
      </w:r>
    </w:p>
    <w:p>
      <w:pPr>
        <w:adjustRightInd w:val="0"/>
        <w:spacing w:line="360" w:lineRule="auto"/>
        <w:ind w:firstLine="496" w:firstLineChars="200"/>
        <w:rPr>
          <w:rFonts w:hAnsiTheme="minorEastAsia" w:eastAsiaTheme="minorEastAsia"/>
          <w:spacing w:val="4"/>
          <w:sz w:val="24"/>
        </w:rPr>
      </w:pPr>
      <w:r>
        <w:rPr>
          <w:rFonts w:hAnsiTheme="minorEastAsia" w:eastAsiaTheme="minorEastAsia"/>
          <w:spacing w:val="4"/>
          <w:sz w:val="24"/>
        </w:rPr>
        <w:t>（</w:t>
      </w:r>
      <w:r>
        <w:rPr>
          <w:rFonts w:eastAsiaTheme="minorEastAsia"/>
          <w:spacing w:val="4"/>
          <w:sz w:val="24"/>
        </w:rPr>
        <w:t>1</w:t>
      </w:r>
      <w:r>
        <w:rPr>
          <w:rFonts w:hint="eastAsia" w:eastAsiaTheme="minorEastAsia"/>
          <w:spacing w:val="4"/>
          <w:sz w:val="24"/>
        </w:rPr>
        <w:t>7</w:t>
      </w:r>
      <w:r>
        <w:rPr>
          <w:rFonts w:hAnsiTheme="minorEastAsia" w:eastAsiaTheme="minorEastAsia"/>
          <w:spacing w:val="4"/>
          <w:sz w:val="24"/>
        </w:rPr>
        <w:t>）《土地复垦条例》（国务院令第</w:t>
      </w:r>
      <w:r>
        <w:rPr>
          <w:rFonts w:eastAsiaTheme="minorEastAsia"/>
          <w:spacing w:val="4"/>
          <w:sz w:val="24"/>
        </w:rPr>
        <w:t>592</w:t>
      </w:r>
      <w:r>
        <w:rPr>
          <w:rFonts w:hAnsiTheme="minorEastAsia" w:eastAsiaTheme="minorEastAsia"/>
          <w:spacing w:val="4"/>
          <w:sz w:val="24"/>
        </w:rPr>
        <w:t>号，</w:t>
      </w:r>
      <w:r>
        <w:rPr>
          <w:rFonts w:eastAsiaTheme="minorEastAsia"/>
          <w:spacing w:val="4"/>
          <w:sz w:val="24"/>
        </w:rPr>
        <w:t>2011</w:t>
      </w:r>
      <w:r>
        <w:rPr>
          <w:rFonts w:hAnsiTheme="minorEastAsia" w:eastAsiaTheme="minorEastAsia"/>
          <w:spacing w:val="4"/>
          <w:sz w:val="24"/>
        </w:rPr>
        <w:t>年</w:t>
      </w:r>
      <w:r>
        <w:rPr>
          <w:rFonts w:eastAsiaTheme="minorEastAsia"/>
          <w:spacing w:val="4"/>
          <w:sz w:val="24"/>
        </w:rPr>
        <w:t>11</w:t>
      </w:r>
      <w:r>
        <w:rPr>
          <w:rFonts w:hAnsiTheme="minorEastAsia" w:eastAsiaTheme="minorEastAsia"/>
          <w:spacing w:val="4"/>
          <w:sz w:val="24"/>
        </w:rPr>
        <w:t>月）</w:t>
      </w:r>
      <w:r>
        <w:rPr>
          <w:rFonts w:hint="eastAsia" w:hAnsiTheme="minorEastAsia" w:eastAsiaTheme="minorEastAsia"/>
          <w:spacing w:val="4"/>
          <w:sz w:val="24"/>
        </w:rPr>
        <w:t>；</w:t>
      </w:r>
    </w:p>
    <w:p>
      <w:pPr>
        <w:pStyle w:val="141"/>
        <w:snapToGrid/>
        <w:spacing w:line="360" w:lineRule="auto"/>
        <w:rPr>
          <w:rFonts w:ascii="Times New Roman" w:hAnsi="Times New Roman"/>
        </w:rPr>
      </w:pPr>
      <w:r>
        <w:rPr>
          <w:rFonts w:hint="eastAsia" w:ascii="Times New Roman" w:hAnsi="Times New Roman"/>
          <w:lang w:val="en-US"/>
        </w:rPr>
        <w:t>（</w:t>
      </w:r>
      <w:r>
        <w:rPr>
          <w:rFonts w:ascii="Times New Roman" w:hAnsi="Times New Roman"/>
          <w:lang w:val="en-US"/>
        </w:rPr>
        <w:t>1</w:t>
      </w:r>
      <w:r>
        <w:rPr>
          <w:rFonts w:hint="eastAsia" w:ascii="Times New Roman" w:hAnsi="Times New Roman"/>
          <w:lang w:val="en-US"/>
        </w:rPr>
        <w:t>8）</w:t>
      </w:r>
      <w:r>
        <w:rPr>
          <w:rFonts w:hint="eastAsia" w:ascii="Times New Roman" w:hAnsi="Times New Roman"/>
        </w:rPr>
        <w:t>《煤矸石综合利用管理办法》，</w:t>
      </w:r>
      <w:r>
        <w:rPr>
          <w:rFonts w:ascii="Times New Roman" w:hAnsi="Times New Roman"/>
        </w:rPr>
        <w:t>2015</w:t>
      </w:r>
      <w:r>
        <w:rPr>
          <w:rFonts w:hint="eastAsia" w:ascii="Times New Roman" w:hAnsi="Times New Roman"/>
        </w:rPr>
        <w:t>年</w:t>
      </w:r>
      <w:r>
        <w:rPr>
          <w:rFonts w:ascii="Times New Roman" w:hAnsi="Times New Roman"/>
        </w:rPr>
        <w:t>3</w:t>
      </w:r>
      <w:r>
        <w:rPr>
          <w:rFonts w:hint="eastAsia" w:ascii="Times New Roman" w:hAnsi="Times New Roman"/>
        </w:rPr>
        <w:t>月</w:t>
      </w:r>
      <w:r>
        <w:rPr>
          <w:rFonts w:ascii="Times New Roman" w:hAnsi="Times New Roman"/>
        </w:rPr>
        <w:t>1</w:t>
      </w:r>
      <w:r>
        <w:rPr>
          <w:rFonts w:hint="eastAsia" w:ascii="Times New Roman" w:hAnsi="Times New Roman"/>
        </w:rPr>
        <w:t>日；</w:t>
      </w:r>
    </w:p>
    <w:p>
      <w:pPr>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1</w:t>
      </w:r>
      <w:r>
        <w:rPr>
          <w:rFonts w:hint="eastAsia" w:eastAsiaTheme="minorEastAsia"/>
          <w:spacing w:val="4"/>
          <w:sz w:val="24"/>
        </w:rPr>
        <w:t>9）《土壤污染防治行动计划》（国务院，国发【</w:t>
      </w:r>
      <w:r>
        <w:rPr>
          <w:rFonts w:eastAsiaTheme="minorEastAsia"/>
          <w:spacing w:val="4"/>
          <w:sz w:val="24"/>
        </w:rPr>
        <w:t>2016</w:t>
      </w:r>
      <w:r>
        <w:rPr>
          <w:rFonts w:hint="eastAsia" w:eastAsiaTheme="minorEastAsia"/>
          <w:spacing w:val="4"/>
          <w:sz w:val="24"/>
        </w:rPr>
        <w:t>】</w:t>
      </w:r>
      <w:r>
        <w:rPr>
          <w:rFonts w:eastAsiaTheme="minorEastAsia"/>
          <w:spacing w:val="4"/>
          <w:sz w:val="24"/>
        </w:rPr>
        <w:t>31</w:t>
      </w:r>
      <w:r>
        <w:rPr>
          <w:rFonts w:hint="eastAsia" w:eastAsiaTheme="minorEastAsia"/>
          <w:spacing w:val="4"/>
          <w:sz w:val="24"/>
        </w:rPr>
        <w:t>号，</w:t>
      </w:r>
      <w:r>
        <w:rPr>
          <w:rFonts w:eastAsiaTheme="minorEastAsia"/>
          <w:spacing w:val="4"/>
          <w:sz w:val="24"/>
        </w:rPr>
        <w:t>2016</w:t>
      </w:r>
      <w:r>
        <w:rPr>
          <w:rFonts w:hint="eastAsia" w:eastAsiaTheme="minorEastAsia"/>
          <w:spacing w:val="4"/>
          <w:sz w:val="24"/>
        </w:rPr>
        <w:t>年</w:t>
      </w:r>
      <w:r>
        <w:rPr>
          <w:rFonts w:eastAsiaTheme="minorEastAsia"/>
          <w:spacing w:val="4"/>
          <w:sz w:val="24"/>
        </w:rPr>
        <w:t>5</w:t>
      </w:r>
      <w:r>
        <w:rPr>
          <w:rFonts w:hint="eastAsia" w:eastAsiaTheme="minorEastAsia"/>
          <w:spacing w:val="4"/>
          <w:sz w:val="24"/>
        </w:rPr>
        <w:t>月</w:t>
      </w:r>
      <w:r>
        <w:rPr>
          <w:rFonts w:eastAsiaTheme="minorEastAsia"/>
          <w:spacing w:val="4"/>
          <w:sz w:val="24"/>
        </w:rPr>
        <w:t>28</w:t>
      </w:r>
      <w:r>
        <w:rPr>
          <w:rFonts w:hint="eastAsia" w:eastAsiaTheme="minorEastAsia"/>
          <w:spacing w:val="4"/>
          <w:sz w:val="24"/>
        </w:rPr>
        <w:t>日）；</w:t>
      </w:r>
    </w:p>
    <w:p>
      <w:pPr>
        <w:spacing w:line="360" w:lineRule="auto"/>
        <w:ind w:firstLine="496" w:firstLineChars="200"/>
        <w:rPr>
          <w:rFonts w:eastAsiaTheme="minorEastAsia"/>
          <w:spacing w:val="4"/>
          <w:sz w:val="24"/>
        </w:rPr>
      </w:pPr>
      <w:r>
        <w:rPr>
          <w:rFonts w:hint="eastAsia" w:eastAsiaTheme="minorEastAsia"/>
          <w:spacing w:val="4"/>
          <w:sz w:val="24"/>
        </w:rPr>
        <w:t>（20）《大气污染防治行动计划》国发〔</w:t>
      </w:r>
      <w:r>
        <w:rPr>
          <w:rFonts w:eastAsiaTheme="minorEastAsia"/>
          <w:spacing w:val="4"/>
          <w:sz w:val="24"/>
        </w:rPr>
        <w:t>2013</w:t>
      </w:r>
      <w:r>
        <w:rPr>
          <w:rFonts w:hint="eastAsia" w:eastAsiaTheme="minorEastAsia"/>
          <w:spacing w:val="4"/>
          <w:sz w:val="24"/>
        </w:rPr>
        <w:t>〕</w:t>
      </w:r>
      <w:r>
        <w:rPr>
          <w:rFonts w:eastAsiaTheme="minorEastAsia"/>
          <w:spacing w:val="4"/>
          <w:sz w:val="24"/>
        </w:rPr>
        <w:t>37</w:t>
      </w:r>
      <w:r>
        <w:rPr>
          <w:rFonts w:hint="eastAsia" w:eastAsiaTheme="minorEastAsia"/>
          <w:spacing w:val="4"/>
          <w:sz w:val="24"/>
        </w:rPr>
        <w:t>号（</w:t>
      </w:r>
      <w:r>
        <w:rPr>
          <w:rFonts w:eastAsiaTheme="minorEastAsia"/>
          <w:spacing w:val="4"/>
          <w:sz w:val="24"/>
        </w:rPr>
        <w:t>2013</w:t>
      </w:r>
      <w:r>
        <w:rPr>
          <w:rFonts w:hint="eastAsia" w:eastAsiaTheme="minorEastAsia"/>
          <w:spacing w:val="4"/>
          <w:sz w:val="24"/>
        </w:rPr>
        <w:t>年</w:t>
      </w:r>
      <w:r>
        <w:rPr>
          <w:rFonts w:eastAsiaTheme="minorEastAsia"/>
          <w:spacing w:val="4"/>
          <w:sz w:val="24"/>
        </w:rPr>
        <w:t>9</w:t>
      </w:r>
      <w:r>
        <w:rPr>
          <w:rFonts w:hint="eastAsia" w:eastAsiaTheme="minorEastAsia"/>
          <w:spacing w:val="4"/>
          <w:sz w:val="24"/>
        </w:rPr>
        <w:t>月</w:t>
      </w:r>
      <w:r>
        <w:rPr>
          <w:rFonts w:eastAsiaTheme="minorEastAsia"/>
          <w:spacing w:val="4"/>
          <w:sz w:val="24"/>
        </w:rPr>
        <w:t>10</w:t>
      </w:r>
      <w:r>
        <w:rPr>
          <w:rFonts w:hint="eastAsia" w:eastAsiaTheme="minorEastAsia"/>
          <w:spacing w:val="4"/>
          <w:sz w:val="24"/>
        </w:rPr>
        <w:t>日）；</w:t>
      </w:r>
    </w:p>
    <w:p>
      <w:pPr>
        <w:spacing w:line="360" w:lineRule="auto"/>
        <w:ind w:firstLine="496" w:firstLineChars="200"/>
      </w:pPr>
      <w:r>
        <w:rPr>
          <w:rFonts w:hint="eastAsia" w:eastAsiaTheme="minorEastAsia"/>
          <w:spacing w:val="4"/>
          <w:sz w:val="24"/>
        </w:rPr>
        <w:t>（</w:t>
      </w:r>
      <w:r>
        <w:rPr>
          <w:rFonts w:eastAsiaTheme="minorEastAsia"/>
          <w:spacing w:val="4"/>
          <w:sz w:val="24"/>
        </w:rPr>
        <w:t>2</w:t>
      </w:r>
      <w:r>
        <w:rPr>
          <w:rFonts w:hint="eastAsia" w:eastAsiaTheme="minorEastAsia"/>
          <w:spacing w:val="4"/>
          <w:sz w:val="24"/>
        </w:rPr>
        <w:t>1）《水污染防治行动计划》（国发〔</w:t>
      </w:r>
      <w:r>
        <w:rPr>
          <w:rFonts w:eastAsiaTheme="minorEastAsia"/>
          <w:spacing w:val="4"/>
          <w:sz w:val="24"/>
        </w:rPr>
        <w:t>2015</w:t>
      </w:r>
      <w:r>
        <w:rPr>
          <w:rFonts w:hint="eastAsia" w:eastAsiaTheme="minorEastAsia"/>
          <w:spacing w:val="4"/>
          <w:sz w:val="24"/>
        </w:rPr>
        <w:t>〕</w:t>
      </w:r>
      <w:r>
        <w:rPr>
          <w:rFonts w:eastAsiaTheme="minorEastAsia"/>
          <w:spacing w:val="4"/>
          <w:sz w:val="24"/>
        </w:rPr>
        <w:t>17</w:t>
      </w:r>
      <w:r>
        <w:rPr>
          <w:rFonts w:hint="eastAsia" w:eastAsiaTheme="minorEastAsia"/>
          <w:spacing w:val="4"/>
          <w:sz w:val="24"/>
        </w:rPr>
        <w:t>号，</w:t>
      </w:r>
      <w:r>
        <w:rPr>
          <w:rFonts w:eastAsiaTheme="minorEastAsia"/>
          <w:spacing w:val="4"/>
          <w:sz w:val="24"/>
        </w:rPr>
        <w:t>2015</w:t>
      </w:r>
      <w:r>
        <w:rPr>
          <w:rFonts w:hint="eastAsia" w:eastAsiaTheme="minorEastAsia"/>
          <w:spacing w:val="4"/>
          <w:sz w:val="24"/>
        </w:rPr>
        <w:t>年</w:t>
      </w:r>
      <w:r>
        <w:rPr>
          <w:rFonts w:eastAsiaTheme="minorEastAsia"/>
          <w:spacing w:val="4"/>
          <w:sz w:val="24"/>
        </w:rPr>
        <w:t>4</w:t>
      </w:r>
      <w:r>
        <w:rPr>
          <w:rFonts w:hint="eastAsia" w:eastAsiaTheme="minorEastAsia"/>
          <w:spacing w:val="4"/>
          <w:sz w:val="24"/>
        </w:rPr>
        <w:t>月</w:t>
      </w:r>
      <w:r>
        <w:rPr>
          <w:rFonts w:eastAsiaTheme="minorEastAsia"/>
          <w:spacing w:val="4"/>
          <w:sz w:val="24"/>
        </w:rPr>
        <w:t>2</w:t>
      </w:r>
      <w:r>
        <w:rPr>
          <w:rFonts w:hint="eastAsia" w:eastAsiaTheme="minorEastAsia"/>
          <w:spacing w:val="4"/>
          <w:sz w:val="24"/>
        </w:rPr>
        <w:t>日）；</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lang w:val="en-US"/>
        </w:rPr>
        <w:t>2</w:t>
      </w:r>
      <w:r>
        <w:rPr>
          <w:rFonts w:hint="eastAsia" w:ascii="Times New Roman" w:hAnsi="Times New Roman"/>
          <w:lang w:val="en-US"/>
        </w:rPr>
        <w:t>2</w:t>
      </w:r>
      <w:r>
        <w:rPr>
          <w:rFonts w:hint="eastAsia" w:ascii="Times New Roman" w:hAnsi="Times New Roman"/>
        </w:rPr>
        <w:t>）国务院（国发</w:t>
      </w:r>
      <w:r>
        <w:rPr>
          <w:rFonts w:ascii="Times New Roman" w:hAnsi="Times New Roman"/>
        </w:rPr>
        <w:t>[2018]22</w:t>
      </w:r>
      <w:r>
        <w:rPr>
          <w:rFonts w:hint="eastAsia" w:ascii="Times New Roman" w:hAnsi="Times New Roman"/>
        </w:rPr>
        <w:t>号）《关于印发打赢蓝天保卫战三年行动计划的通知》，</w:t>
      </w:r>
      <w:r>
        <w:rPr>
          <w:rFonts w:ascii="Times New Roman" w:hAnsi="Times New Roman"/>
        </w:rPr>
        <w:t>2018</w:t>
      </w:r>
      <w:r>
        <w:rPr>
          <w:rFonts w:hint="eastAsia" w:ascii="Times New Roman" w:hAnsi="Times New Roman"/>
        </w:rPr>
        <w:t>年</w:t>
      </w:r>
      <w:r>
        <w:rPr>
          <w:rFonts w:ascii="Times New Roman" w:hAnsi="Times New Roman"/>
        </w:rPr>
        <w:t>6</w:t>
      </w:r>
      <w:r>
        <w:rPr>
          <w:rFonts w:hint="eastAsia" w:ascii="Times New Roman" w:hAnsi="Times New Roman"/>
        </w:rPr>
        <w:t>月</w:t>
      </w:r>
      <w:r>
        <w:rPr>
          <w:rFonts w:ascii="Times New Roman" w:hAnsi="Times New Roman"/>
        </w:rPr>
        <w:t>27</w:t>
      </w:r>
      <w:r>
        <w:rPr>
          <w:rFonts w:hint="eastAsia" w:ascii="Times New Roman" w:hAnsi="Times New Roman"/>
        </w:rPr>
        <w:t>日印发。</w:t>
      </w:r>
    </w:p>
    <w:p>
      <w:pPr>
        <w:pStyle w:val="141"/>
        <w:snapToGrid/>
        <w:spacing w:line="360" w:lineRule="auto"/>
        <w:rPr>
          <w:rFonts w:ascii="Times New Roman" w:hAnsi="Times New Roman"/>
          <w:lang w:val="en-US"/>
        </w:rPr>
      </w:pPr>
      <w:r>
        <w:rPr>
          <w:rFonts w:hint="eastAsia" w:ascii="Times New Roman" w:hAnsi="Times New Roman"/>
          <w:lang w:val="en-US"/>
        </w:rPr>
        <w:t>（</w:t>
      </w:r>
      <w:r>
        <w:rPr>
          <w:rFonts w:ascii="Times New Roman" w:hAnsi="Times New Roman"/>
          <w:lang w:val="en-US"/>
        </w:rPr>
        <w:t>2</w:t>
      </w:r>
      <w:r>
        <w:rPr>
          <w:rFonts w:hint="eastAsia" w:ascii="Times New Roman" w:hAnsi="Times New Roman"/>
          <w:lang w:val="en-US"/>
        </w:rPr>
        <w:t>3）国务院国发</w:t>
      </w:r>
      <w:r>
        <w:rPr>
          <w:rFonts w:ascii="Times New Roman" w:hAnsi="Times New Roman"/>
          <w:lang w:val="en-US"/>
        </w:rPr>
        <w:t>[2016]65</w:t>
      </w:r>
      <w:r>
        <w:rPr>
          <w:rFonts w:hint="eastAsia" w:ascii="Times New Roman" w:hAnsi="Times New Roman"/>
          <w:lang w:val="en-US"/>
        </w:rPr>
        <w:t>号</w:t>
      </w:r>
      <w:r>
        <w:rPr>
          <w:rFonts w:ascii="Times New Roman" w:hAnsi="Times New Roman"/>
          <w:lang w:val="en-US"/>
        </w:rPr>
        <w:t>“</w:t>
      </w:r>
      <w:r>
        <w:rPr>
          <w:rFonts w:hint="eastAsia" w:ascii="Times New Roman" w:hAnsi="Times New Roman"/>
          <w:lang w:val="en-US"/>
        </w:rPr>
        <w:t>关于印发</w:t>
      </w:r>
      <w:r>
        <w:rPr>
          <w:rFonts w:ascii="Times New Roman" w:hAnsi="Times New Roman"/>
          <w:lang w:val="en-US"/>
        </w:rPr>
        <w:t>“</w:t>
      </w:r>
      <w:r>
        <w:rPr>
          <w:rFonts w:hint="eastAsia" w:ascii="Times New Roman" w:hAnsi="Times New Roman"/>
          <w:lang w:val="en-US"/>
        </w:rPr>
        <w:t>十三五</w:t>
      </w:r>
      <w:r>
        <w:rPr>
          <w:rFonts w:ascii="Times New Roman" w:hAnsi="Times New Roman"/>
          <w:lang w:val="en-US"/>
        </w:rPr>
        <w:t>”</w:t>
      </w:r>
      <w:r>
        <w:rPr>
          <w:rFonts w:hint="eastAsia" w:ascii="Times New Roman" w:hAnsi="Times New Roman"/>
          <w:lang w:val="en-US"/>
        </w:rPr>
        <w:t>生态环境保护规划的通知</w:t>
      </w:r>
      <w:r>
        <w:rPr>
          <w:rFonts w:ascii="Times New Roman" w:hAnsi="Times New Roman"/>
          <w:lang w:val="en-US"/>
        </w:rPr>
        <w:t>”</w:t>
      </w:r>
      <w:r>
        <w:rPr>
          <w:rFonts w:hint="eastAsia" w:ascii="Times New Roman" w:hAnsi="Times New Roman"/>
          <w:lang w:val="en-US"/>
        </w:rPr>
        <w:t>；</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lang w:val="en-US"/>
        </w:rPr>
        <w:t>2</w:t>
      </w:r>
      <w:r>
        <w:rPr>
          <w:rFonts w:hint="eastAsia" w:ascii="Times New Roman" w:hAnsi="Times New Roman"/>
          <w:lang w:val="en-US"/>
        </w:rPr>
        <w:t>4</w:t>
      </w:r>
      <w:r>
        <w:rPr>
          <w:rFonts w:hint="eastAsia" w:ascii="Times New Roman" w:hAnsi="Times New Roman"/>
        </w:rPr>
        <w:t>）《国务院关于煤炭行业化解过剩产能实现脱困发展的意见》（国发</w:t>
      </w:r>
      <w:r>
        <w:rPr>
          <w:rFonts w:ascii="Times New Roman" w:hAnsi="Times New Roman"/>
        </w:rPr>
        <w:t>[2016]7</w:t>
      </w:r>
      <w:r>
        <w:rPr>
          <w:rFonts w:hint="eastAsia" w:ascii="Times New Roman" w:hAnsi="Times New Roman"/>
        </w:rPr>
        <w:t>号）。</w:t>
      </w:r>
    </w:p>
    <w:p>
      <w:pPr>
        <w:spacing w:line="360" w:lineRule="auto"/>
        <w:outlineLvl w:val="3"/>
        <w:rPr>
          <w:rFonts w:eastAsiaTheme="minorEastAsia"/>
          <w:b/>
          <w:sz w:val="24"/>
        </w:rPr>
      </w:pPr>
      <w:r>
        <w:rPr>
          <w:rFonts w:eastAsiaTheme="minorEastAsia"/>
          <w:b/>
          <w:sz w:val="24"/>
        </w:rPr>
        <w:t>2.1.2.2</w:t>
      </w:r>
      <w:r>
        <w:rPr>
          <w:rFonts w:hint="eastAsia" w:eastAsiaTheme="minorEastAsia"/>
          <w:b/>
          <w:sz w:val="24"/>
        </w:rPr>
        <w:t>部门规章</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1</w:t>
      </w:r>
      <w:r>
        <w:rPr>
          <w:rFonts w:hint="eastAsia" w:ascii="Times New Roman" w:hAnsi="Times New Roman"/>
        </w:rPr>
        <w:t>）</w:t>
      </w:r>
      <w:r>
        <w:rPr>
          <w:rFonts w:hint="eastAsia" w:ascii="Times New Roman" w:hAnsi="Times New Roman"/>
          <w:lang w:val="en-US"/>
        </w:rPr>
        <w:t>《建设项目环境影响评价分类管理名录》（2021年版）</w:t>
      </w:r>
      <w:r>
        <w:rPr>
          <w:rFonts w:hint="eastAsia" w:ascii="Times New Roman" w:hAnsi="Times New Roman"/>
        </w:rPr>
        <w:t>；</w:t>
      </w:r>
    </w:p>
    <w:p>
      <w:pPr>
        <w:pStyle w:val="141"/>
        <w:snapToGrid/>
        <w:spacing w:line="360" w:lineRule="auto"/>
        <w:rPr>
          <w:rFonts w:ascii="Times New Roman" w:hAnsi="Times New Roman"/>
          <w:lang w:val="en-US"/>
        </w:rPr>
      </w:pPr>
      <w:r>
        <w:rPr>
          <w:rFonts w:hint="eastAsia" w:ascii="Times New Roman" w:hAnsi="Times New Roman"/>
          <w:lang w:val="en-US"/>
        </w:rPr>
        <w:t>（</w:t>
      </w:r>
      <w:r>
        <w:rPr>
          <w:rFonts w:ascii="Times New Roman" w:hAnsi="Times New Roman"/>
          <w:lang w:val="en-US"/>
        </w:rPr>
        <w:t>2</w:t>
      </w:r>
      <w:r>
        <w:rPr>
          <w:rFonts w:hint="eastAsia" w:ascii="Times New Roman" w:hAnsi="Times New Roman"/>
          <w:lang w:val="en-US"/>
        </w:rPr>
        <w:t>）</w:t>
      </w:r>
      <w:r>
        <w:rPr>
          <w:rFonts w:hint="eastAsia" w:ascii="Times New Roman" w:hAnsi="Times New Roman" w:eastAsiaTheme="minorEastAsia"/>
          <w:spacing w:val="4"/>
        </w:rPr>
        <w:t>《生态环境部审批</w:t>
      </w:r>
      <w:r>
        <w:fldChar w:fldCharType="begin"/>
      </w:r>
      <w:r>
        <w:instrText xml:space="preserve"> HYPERLINK "http://huanbao.bjx.com.cn/zt.asp?topic=%bb%b7%be%b3%d3%b0%cf%ec" \o "环境影响新闻专题" </w:instrText>
      </w:r>
      <w:r>
        <w:fldChar w:fldCharType="separate"/>
      </w:r>
      <w:r>
        <w:rPr>
          <w:rFonts w:hint="eastAsia"/>
        </w:rPr>
        <w:t>环境影响</w:t>
      </w:r>
      <w:r>
        <w:rPr>
          <w:rFonts w:hint="eastAsia"/>
        </w:rPr>
        <w:fldChar w:fldCharType="end"/>
      </w:r>
      <w:r>
        <w:rPr>
          <w:rFonts w:hint="eastAsia" w:ascii="Times New Roman" w:hAnsi="Times New Roman" w:eastAsiaTheme="minorEastAsia"/>
          <w:spacing w:val="4"/>
        </w:rPr>
        <w:t>评价文件的建设项目目录</w:t>
      </w:r>
      <w:r>
        <w:rPr>
          <w:rFonts w:ascii="Times New Roman" w:hAnsi="Times New Roman" w:eastAsiaTheme="minorEastAsia"/>
          <w:spacing w:val="4"/>
        </w:rPr>
        <w:t>(2019</w:t>
      </w:r>
      <w:r>
        <w:rPr>
          <w:rFonts w:hint="eastAsia" w:ascii="Times New Roman" w:hAnsi="Times New Roman" w:eastAsiaTheme="minorEastAsia"/>
          <w:spacing w:val="4"/>
        </w:rPr>
        <w:t>年本</w:t>
      </w:r>
      <w:r>
        <w:rPr>
          <w:rFonts w:ascii="Times New Roman" w:hAnsi="Times New Roman" w:eastAsiaTheme="minorEastAsia"/>
          <w:spacing w:val="4"/>
        </w:rPr>
        <w:t>)</w:t>
      </w:r>
      <w:r>
        <w:rPr>
          <w:rFonts w:hint="eastAsia" w:ascii="Times New Roman" w:hAnsi="Times New Roman" w:eastAsiaTheme="minorEastAsia"/>
          <w:spacing w:val="4"/>
        </w:rPr>
        <w:t>》</w:t>
      </w:r>
      <w:r>
        <w:rPr>
          <w:rFonts w:ascii="Times New Roman" w:hAnsi="Times New Roman" w:eastAsiaTheme="minorEastAsia"/>
          <w:spacing w:val="4"/>
        </w:rPr>
        <w:t>(</w:t>
      </w:r>
      <w:r>
        <w:rPr>
          <w:rFonts w:hint="eastAsia" w:ascii="Times New Roman" w:hAnsi="Times New Roman" w:eastAsiaTheme="minorEastAsia"/>
          <w:spacing w:val="4"/>
        </w:rPr>
        <w:t>环境保护部，</w:t>
      </w:r>
      <w:r>
        <w:rPr>
          <w:rFonts w:ascii="Times New Roman" w:hAnsi="Times New Roman" w:eastAsiaTheme="minorEastAsia"/>
          <w:spacing w:val="4"/>
        </w:rPr>
        <w:t>2019</w:t>
      </w:r>
      <w:r>
        <w:rPr>
          <w:rFonts w:hint="eastAsia" w:ascii="Times New Roman" w:hAnsi="Times New Roman" w:eastAsiaTheme="minorEastAsia"/>
          <w:spacing w:val="4"/>
        </w:rPr>
        <w:t>年</w:t>
      </w:r>
      <w:r>
        <w:rPr>
          <w:rFonts w:ascii="Times New Roman" w:hAnsi="Times New Roman" w:eastAsiaTheme="minorEastAsia"/>
          <w:spacing w:val="4"/>
        </w:rPr>
        <w:t>2</w:t>
      </w:r>
      <w:r>
        <w:rPr>
          <w:rFonts w:hint="eastAsia" w:ascii="Times New Roman" w:hAnsi="Times New Roman" w:eastAsiaTheme="minorEastAsia"/>
          <w:spacing w:val="4"/>
        </w:rPr>
        <w:t>月</w:t>
      </w:r>
      <w:r>
        <w:rPr>
          <w:rFonts w:ascii="Times New Roman" w:hAnsi="Times New Roman" w:eastAsiaTheme="minorEastAsia"/>
          <w:spacing w:val="4"/>
        </w:rPr>
        <w:t>27</w:t>
      </w:r>
      <w:r>
        <w:rPr>
          <w:rFonts w:hint="eastAsia" w:ascii="Times New Roman" w:hAnsi="Times New Roman" w:eastAsiaTheme="minorEastAsia"/>
          <w:spacing w:val="4"/>
        </w:rPr>
        <w:t>日</w:t>
      </w:r>
      <w:r>
        <w:rPr>
          <w:rFonts w:ascii="Times New Roman" w:hAnsi="Times New Roman" w:eastAsiaTheme="minorEastAsia"/>
          <w:spacing w:val="4"/>
        </w:rPr>
        <w:t>)</w:t>
      </w:r>
      <w:r>
        <w:rPr>
          <w:rFonts w:hint="eastAsia" w:ascii="Times New Roman" w:hAnsi="Times New Roman" w:eastAsiaTheme="minorEastAsia"/>
          <w:spacing w:val="4"/>
        </w:rPr>
        <w:t>；</w:t>
      </w:r>
    </w:p>
    <w:p>
      <w:pPr>
        <w:pStyle w:val="141"/>
        <w:snapToGrid/>
        <w:spacing w:line="360" w:lineRule="auto"/>
        <w:rPr>
          <w:rFonts w:ascii="Times New Roman" w:hAnsi="Times New Roman"/>
          <w:lang w:val="en-US"/>
        </w:rPr>
      </w:pPr>
      <w:r>
        <w:rPr>
          <w:rFonts w:hint="eastAsia" w:ascii="Times New Roman" w:hAnsi="Times New Roman"/>
          <w:lang w:val="en-US"/>
        </w:rPr>
        <w:t>（</w:t>
      </w:r>
      <w:r>
        <w:rPr>
          <w:rFonts w:ascii="Times New Roman" w:hAnsi="Times New Roman"/>
          <w:lang w:val="en-US"/>
        </w:rPr>
        <w:t>3</w:t>
      </w:r>
      <w:r>
        <w:rPr>
          <w:rFonts w:hint="eastAsia" w:ascii="Times New Roman" w:hAnsi="Times New Roman"/>
          <w:lang w:val="en-US"/>
        </w:rPr>
        <w:t>）《饮用水源地水污染防治规范》（</w:t>
      </w:r>
      <w:r>
        <w:rPr>
          <w:rFonts w:ascii="Times New Roman" w:hAnsi="Times New Roman"/>
          <w:lang w:val="en-US"/>
        </w:rPr>
        <w:t>2010</w:t>
      </w:r>
      <w:r>
        <w:rPr>
          <w:rFonts w:hint="eastAsia" w:ascii="Times New Roman" w:hAnsi="Times New Roman"/>
          <w:lang w:val="en-US"/>
        </w:rPr>
        <w:t>年</w:t>
      </w:r>
      <w:r>
        <w:rPr>
          <w:rFonts w:ascii="Times New Roman" w:hAnsi="Times New Roman"/>
          <w:lang w:val="en-US"/>
        </w:rPr>
        <w:t>12</w:t>
      </w:r>
      <w:r>
        <w:rPr>
          <w:rFonts w:hint="eastAsia" w:ascii="Times New Roman" w:hAnsi="Times New Roman"/>
          <w:lang w:val="en-US"/>
        </w:rPr>
        <w:t>月</w:t>
      </w:r>
      <w:r>
        <w:rPr>
          <w:rFonts w:ascii="Times New Roman" w:hAnsi="Times New Roman"/>
          <w:lang w:val="en-US"/>
        </w:rPr>
        <w:t>22</w:t>
      </w:r>
      <w:r>
        <w:rPr>
          <w:rFonts w:hint="eastAsia" w:ascii="Times New Roman" w:hAnsi="Times New Roman"/>
          <w:lang w:val="en-US"/>
        </w:rPr>
        <w:t>日修正版）；</w:t>
      </w:r>
    </w:p>
    <w:p>
      <w:pPr>
        <w:pStyle w:val="141"/>
        <w:snapToGrid/>
        <w:spacing w:line="360" w:lineRule="auto"/>
        <w:rPr>
          <w:rFonts w:ascii="Times New Roman" w:hAnsi="Times New Roman"/>
          <w:lang w:val="en-US"/>
        </w:rPr>
      </w:pPr>
      <w:r>
        <w:rPr>
          <w:rFonts w:hint="eastAsia" w:ascii="Times New Roman" w:hAnsi="Times New Roman"/>
          <w:lang w:val="en-US"/>
        </w:rPr>
        <w:t>（</w:t>
      </w:r>
      <w:r>
        <w:rPr>
          <w:rFonts w:ascii="Times New Roman" w:hAnsi="Times New Roman"/>
          <w:lang w:val="en-US"/>
        </w:rPr>
        <w:t>4</w:t>
      </w:r>
      <w:r>
        <w:rPr>
          <w:rFonts w:hint="eastAsia" w:ascii="Times New Roman" w:hAnsi="Times New Roman"/>
          <w:lang w:val="en-US"/>
        </w:rPr>
        <w:t>）国家环境保护总局环发</w:t>
      </w:r>
      <w:r>
        <w:rPr>
          <w:rFonts w:ascii="Times New Roman" w:hAnsi="Times New Roman"/>
          <w:lang w:val="en-US"/>
        </w:rPr>
        <w:t>[2007]37</w:t>
      </w:r>
      <w:r>
        <w:rPr>
          <w:rFonts w:hint="eastAsia" w:ascii="Times New Roman" w:hAnsi="Times New Roman"/>
          <w:lang w:val="en-US"/>
        </w:rPr>
        <w:t>号</w:t>
      </w:r>
      <w:r>
        <w:rPr>
          <w:rFonts w:ascii="Times New Roman" w:hAnsi="Times New Roman"/>
          <w:lang w:val="en-US"/>
        </w:rPr>
        <w:t>“</w:t>
      </w:r>
      <w:r>
        <w:rPr>
          <w:rFonts w:hint="eastAsia" w:ascii="Times New Roman" w:hAnsi="Times New Roman"/>
          <w:lang w:val="en-US"/>
        </w:rPr>
        <w:t>关于进一步加强生态保护工作的意见</w:t>
      </w:r>
      <w:r>
        <w:rPr>
          <w:rFonts w:ascii="Times New Roman" w:hAnsi="Times New Roman"/>
          <w:lang w:val="en-US"/>
        </w:rPr>
        <w:t>”</w:t>
      </w:r>
      <w:r>
        <w:rPr>
          <w:rFonts w:hint="eastAsia" w:ascii="Times New Roman" w:hAnsi="Times New Roman"/>
          <w:lang w:val="en-US"/>
        </w:rPr>
        <w:t>（</w:t>
      </w:r>
      <w:r>
        <w:rPr>
          <w:rFonts w:ascii="Times New Roman" w:hAnsi="Times New Roman"/>
          <w:lang w:val="en-US"/>
        </w:rPr>
        <w:t>2007</w:t>
      </w:r>
      <w:r>
        <w:rPr>
          <w:rFonts w:hint="eastAsia" w:ascii="Times New Roman" w:hAnsi="Times New Roman"/>
          <w:lang w:val="en-US"/>
        </w:rPr>
        <w:t>年</w:t>
      </w:r>
      <w:r>
        <w:rPr>
          <w:rFonts w:ascii="Times New Roman" w:hAnsi="Times New Roman"/>
          <w:lang w:val="en-US"/>
        </w:rPr>
        <w:t>3</w:t>
      </w:r>
      <w:r>
        <w:rPr>
          <w:rFonts w:hint="eastAsia" w:ascii="Times New Roman" w:hAnsi="Times New Roman"/>
          <w:lang w:val="en-US"/>
        </w:rPr>
        <w:t>月</w:t>
      </w:r>
      <w:r>
        <w:rPr>
          <w:rFonts w:ascii="Times New Roman" w:hAnsi="Times New Roman"/>
          <w:lang w:val="en-US"/>
        </w:rPr>
        <w:t>15</w:t>
      </w:r>
      <w:r>
        <w:rPr>
          <w:rFonts w:hint="eastAsia" w:ascii="Times New Roman" w:hAnsi="Times New Roman"/>
          <w:lang w:val="en-US"/>
        </w:rPr>
        <w:t>日）；</w:t>
      </w:r>
    </w:p>
    <w:p>
      <w:pPr>
        <w:pStyle w:val="141"/>
        <w:snapToGrid/>
        <w:spacing w:line="360" w:lineRule="auto"/>
        <w:rPr>
          <w:rFonts w:ascii="Times New Roman" w:hAnsi="Times New Roman"/>
          <w:lang w:val="en-US"/>
        </w:rPr>
      </w:pPr>
      <w:r>
        <w:rPr>
          <w:rFonts w:hint="eastAsia" w:ascii="Times New Roman" w:hAnsi="Times New Roman"/>
          <w:lang w:val="en-US"/>
        </w:rPr>
        <w:t>（</w:t>
      </w:r>
      <w:r>
        <w:rPr>
          <w:rFonts w:ascii="Times New Roman" w:hAnsi="Times New Roman"/>
          <w:lang w:val="en-US"/>
        </w:rPr>
        <w:t>5</w:t>
      </w:r>
      <w:r>
        <w:rPr>
          <w:rFonts w:hint="eastAsia" w:ascii="Times New Roman" w:hAnsi="Times New Roman"/>
          <w:lang w:val="en-US"/>
        </w:rPr>
        <w:t>）国家环境保护局办公厅环办</w:t>
      </w:r>
      <w:r>
        <w:rPr>
          <w:rFonts w:ascii="Times New Roman" w:hAnsi="Times New Roman"/>
          <w:lang w:val="en-US"/>
        </w:rPr>
        <w:t>[2006]129</w:t>
      </w:r>
      <w:r>
        <w:rPr>
          <w:rFonts w:hint="eastAsia" w:ascii="Times New Roman" w:hAnsi="Times New Roman"/>
          <w:lang w:val="en-US"/>
        </w:rPr>
        <w:t>号</w:t>
      </w:r>
      <w:r>
        <w:rPr>
          <w:rFonts w:ascii="Times New Roman" w:hAnsi="Times New Roman"/>
          <w:lang w:val="en-US"/>
        </w:rPr>
        <w:t>“</w:t>
      </w:r>
      <w:r>
        <w:rPr>
          <w:rFonts w:hint="eastAsia" w:ascii="Times New Roman" w:hAnsi="Times New Roman"/>
          <w:lang w:val="en-US"/>
        </w:rPr>
        <w:t>关于加强煤炭矿区总体规划和煤矿建设项目环境影响评价工作的通知</w:t>
      </w:r>
      <w:r>
        <w:rPr>
          <w:rFonts w:ascii="Times New Roman" w:hAnsi="Times New Roman"/>
          <w:lang w:val="en-US"/>
        </w:rPr>
        <w:t>”</w:t>
      </w:r>
      <w:r>
        <w:rPr>
          <w:rFonts w:hint="eastAsia" w:ascii="Times New Roman" w:hAnsi="Times New Roman"/>
          <w:lang w:val="en-US"/>
        </w:rPr>
        <w:t>（</w:t>
      </w:r>
      <w:r>
        <w:rPr>
          <w:rFonts w:ascii="Times New Roman" w:hAnsi="Times New Roman"/>
          <w:lang w:val="en-US"/>
        </w:rPr>
        <w:t>2006</w:t>
      </w:r>
      <w:r>
        <w:rPr>
          <w:rFonts w:hint="eastAsia" w:ascii="Times New Roman" w:hAnsi="Times New Roman"/>
          <w:lang w:val="en-US"/>
        </w:rPr>
        <w:t>年</w:t>
      </w:r>
      <w:r>
        <w:rPr>
          <w:rFonts w:ascii="Times New Roman" w:hAnsi="Times New Roman"/>
          <w:lang w:val="en-US"/>
        </w:rPr>
        <w:t>11</w:t>
      </w:r>
      <w:r>
        <w:rPr>
          <w:rFonts w:hint="eastAsia" w:ascii="Times New Roman" w:hAnsi="Times New Roman"/>
          <w:lang w:val="en-US"/>
        </w:rPr>
        <w:t>月</w:t>
      </w:r>
      <w:r>
        <w:rPr>
          <w:rFonts w:ascii="Times New Roman" w:hAnsi="Times New Roman"/>
          <w:lang w:val="en-US"/>
        </w:rPr>
        <w:t>6</w:t>
      </w:r>
      <w:r>
        <w:rPr>
          <w:rFonts w:hint="eastAsia" w:ascii="Times New Roman" w:hAnsi="Times New Roman"/>
          <w:lang w:val="en-US"/>
        </w:rPr>
        <w:t>日）；</w:t>
      </w:r>
    </w:p>
    <w:p>
      <w:pPr>
        <w:pStyle w:val="141"/>
        <w:snapToGrid/>
        <w:spacing w:line="360" w:lineRule="auto"/>
        <w:rPr>
          <w:rFonts w:ascii="Times New Roman" w:hAnsi="Times New Roman"/>
          <w:lang w:val="en-US"/>
        </w:rPr>
      </w:pPr>
      <w:r>
        <w:rPr>
          <w:rFonts w:hint="eastAsia" w:ascii="Times New Roman" w:hAnsi="Times New Roman"/>
          <w:lang w:val="en-US"/>
        </w:rPr>
        <w:t>（</w:t>
      </w:r>
      <w:r>
        <w:rPr>
          <w:rFonts w:ascii="Times New Roman" w:hAnsi="Times New Roman"/>
          <w:lang w:val="en-US"/>
        </w:rPr>
        <w:t>6</w:t>
      </w:r>
      <w:r>
        <w:rPr>
          <w:rFonts w:hint="eastAsia" w:ascii="Times New Roman" w:hAnsi="Times New Roman"/>
          <w:lang w:val="en-US"/>
        </w:rPr>
        <w:t>）国家发展改革委、国家环保局发改能源</w:t>
      </w:r>
      <w:r>
        <w:rPr>
          <w:rFonts w:ascii="Times New Roman" w:hAnsi="Times New Roman"/>
          <w:lang w:val="en-US"/>
        </w:rPr>
        <w:t>[2007]1456</w:t>
      </w:r>
      <w:r>
        <w:rPr>
          <w:rFonts w:hint="eastAsia" w:ascii="Times New Roman" w:hAnsi="Times New Roman"/>
          <w:lang w:val="en-US"/>
        </w:rPr>
        <w:t>号</w:t>
      </w:r>
      <w:r>
        <w:rPr>
          <w:rFonts w:ascii="Times New Roman" w:hAnsi="Times New Roman"/>
          <w:lang w:val="en-US"/>
        </w:rPr>
        <w:t>“</w:t>
      </w:r>
      <w:r>
        <w:rPr>
          <w:rFonts w:hint="eastAsia" w:ascii="Times New Roman" w:hAnsi="Times New Roman"/>
          <w:lang w:val="en-US"/>
        </w:rPr>
        <w:t>关于印发煤炭工业节能减排工作意见的通知</w:t>
      </w:r>
      <w:r>
        <w:rPr>
          <w:rFonts w:ascii="Times New Roman" w:hAnsi="Times New Roman"/>
          <w:lang w:val="en-US"/>
        </w:rPr>
        <w:t>”</w:t>
      </w:r>
      <w:r>
        <w:rPr>
          <w:rFonts w:hint="eastAsia" w:ascii="Times New Roman" w:hAnsi="Times New Roman"/>
          <w:lang w:val="en-US"/>
        </w:rPr>
        <w:t>；</w:t>
      </w:r>
    </w:p>
    <w:p>
      <w:pPr>
        <w:pStyle w:val="141"/>
        <w:snapToGrid/>
        <w:spacing w:line="360" w:lineRule="auto"/>
        <w:rPr>
          <w:rFonts w:ascii="Times New Roman" w:hAnsi="Times New Roman"/>
        </w:rPr>
      </w:pPr>
      <w:r>
        <w:rPr>
          <w:rFonts w:hint="eastAsia" w:ascii="Times New Roman" w:hAnsi="Times New Roman"/>
          <w:lang w:val="en-US"/>
        </w:rPr>
        <w:t>（</w:t>
      </w:r>
      <w:r>
        <w:rPr>
          <w:rFonts w:ascii="Times New Roman" w:hAnsi="Times New Roman"/>
          <w:lang w:val="en-US"/>
        </w:rPr>
        <w:t>7</w:t>
      </w:r>
      <w:r>
        <w:rPr>
          <w:rFonts w:hint="eastAsia" w:ascii="Times New Roman" w:hAnsi="Times New Roman"/>
          <w:lang w:val="en-US"/>
        </w:rPr>
        <w:t>）国家发展和改革委员会发改能源</w:t>
      </w:r>
      <w:r>
        <w:rPr>
          <w:rFonts w:ascii="Times New Roman" w:hAnsi="Times New Roman"/>
          <w:lang w:val="en-US"/>
        </w:rPr>
        <w:t>[2006]1039</w:t>
      </w:r>
      <w:r>
        <w:rPr>
          <w:rFonts w:hint="eastAsia" w:ascii="Times New Roman" w:hAnsi="Times New Roman"/>
          <w:lang w:val="en-US"/>
        </w:rPr>
        <w:t>号《关于加强煤炭建设项目管理的通知》；</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8</w:t>
      </w:r>
      <w:r>
        <w:rPr>
          <w:rFonts w:hint="eastAsia" w:ascii="Times New Roman" w:hAnsi="Times New Roman"/>
        </w:rPr>
        <w:t>）《环境影响评价公众参与办法》，生态环境部部令第</w:t>
      </w:r>
      <w:r>
        <w:rPr>
          <w:rFonts w:ascii="Times New Roman" w:hAnsi="Times New Roman"/>
        </w:rPr>
        <w:t>4</w:t>
      </w:r>
      <w:r>
        <w:rPr>
          <w:rFonts w:hint="eastAsia" w:ascii="Times New Roman" w:hAnsi="Times New Roman"/>
        </w:rPr>
        <w:t>号，</w:t>
      </w:r>
      <w:r>
        <w:rPr>
          <w:rFonts w:ascii="Times New Roman" w:hAnsi="Times New Roman"/>
        </w:rPr>
        <w:t>2019</w:t>
      </w:r>
      <w:r>
        <w:rPr>
          <w:rFonts w:hint="eastAsia" w:ascii="Times New Roman" w:hAnsi="Times New Roman"/>
        </w:rPr>
        <w:t>年</w:t>
      </w:r>
      <w:r>
        <w:rPr>
          <w:rFonts w:ascii="Times New Roman" w:hAnsi="Times New Roman"/>
        </w:rPr>
        <w:t>1</w:t>
      </w:r>
      <w:r>
        <w:rPr>
          <w:rFonts w:hint="eastAsia" w:ascii="Times New Roman" w:hAnsi="Times New Roman"/>
        </w:rPr>
        <w:t>月</w:t>
      </w:r>
      <w:r>
        <w:rPr>
          <w:rFonts w:ascii="Times New Roman" w:hAnsi="Times New Roman"/>
        </w:rPr>
        <w:t>1</w:t>
      </w:r>
      <w:r>
        <w:rPr>
          <w:rFonts w:hint="eastAsia" w:ascii="Times New Roman" w:hAnsi="Times New Roman"/>
        </w:rPr>
        <w:t>日施行；</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9</w:t>
      </w:r>
      <w:r>
        <w:rPr>
          <w:rFonts w:hint="eastAsia" w:ascii="Times New Roman" w:hAnsi="Times New Roman"/>
        </w:rPr>
        <w:t>）环境保护部办公厅文件</w:t>
      </w:r>
      <w:r>
        <w:rPr>
          <w:rFonts w:ascii="Times New Roman" w:hAnsi="Times New Roman"/>
        </w:rPr>
        <w:t>(</w:t>
      </w:r>
      <w:r>
        <w:rPr>
          <w:rFonts w:hint="eastAsia" w:ascii="Times New Roman" w:hAnsi="Times New Roman"/>
        </w:rPr>
        <w:t>环办</w:t>
      </w:r>
      <w:r>
        <w:rPr>
          <w:rFonts w:ascii="Times New Roman" w:hAnsi="Times New Roman"/>
        </w:rPr>
        <w:t>[2014]30</w:t>
      </w:r>
      <w:r>
        <w:rPr>
          <w:rFonts w:hint="eastAsia" w:ascii="Times New Roman" w:hAnsi="Times New Roman"/>
        </w:rPr>
        <w:t>号</w:t>
      </w:r>
      <w:r>
        <w:rPr>
          <w:rFonts w:ascii="Times New Roman" w:hAnsi="Times New Roman"/>
        </w:rPr>
        <w:t>)</w:t>
      </w:r>
      <w:r>
        <w:rPr>
          <w:rFonts w:hint="eastAsia" w:ascii="Times New Roman" w:hAnsi="Times New Roman"/>
        </w:rPr>
        <w:t>《关于落实大气污染防治行动计划严格环境影响评价准入的通知》，</w:t>
      </w:r>
      <w:r>
        <w:rPr>
          <w:rFonts w:ascii="Times New Roman" w:hAnsi="Times New Roman"/>
        </w:rPr>
        <w:t>2014</w:t>
      </w:r>
      <w:r>
        <w:rPr>
          <w:rFonts w:hint="eastAsia" w:ascii="Times New Roman" w:hAnsi="Times New Roman"/>
        </w:rPr>
        <w:t>年</w:t>
      </w:r>
      <w:r>
        <w:rPr>
          <w:rFonts w:ascii="Times New Roman" w:hAnsi="Times New Roman"/>
        </w:rPr>
        <w:t>3</w:t>
      </w:r>
      <w:r>
        <w:rPr>
          <w:rFonts w:hint="eastAsia" w:ascii="Times New Roman" w:hAnsi="Times New Roman"/>
        </w:rPr>
        <w:t>月</w:t>
      </w:r>
      <w:r>
        <w:rPr>
          <w:rFonts w:ascii="Times New Roman" w:hAnsi="Times New Roman"/>
        </w:rPr>
        <w:t>25</w:t>
      </w:r>
      <w:r>
        <w:rPr>
          <w:rFonts w:hint="eastAsia" w:ascii="Times New Roman" w:hAnsi="Times New Roman"/>
        </w:rPr>
        <w:t>日印发；</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10</w:t>
      </w:r>
      <w:r>
        <w:rPr>
          <w:rFonts w:hint="eastAsia" w:ascii="Times New Roman" w:hAnsi="Times New Roman"/>
        </w:rPr>
        <w:t>）环境保护部文件（环生态［</w:t>
      </w:r>
      <w:r>
        <w:rPr>
          <w:rFonts w:ascii="Times New Roman" w:hAnsi="Times New Roman"/>
        </w:rPr>
        <w:t>2016</w:t>
      </w:r>
      <w:r>
        <w:rPr>
          <w:rFonts w:hint="eastAsia" w:ascii="Times New Roman" w:hAnsi="Times New Roman"/>
        </w:rPr>
        <w:t>］</w:t>
      </w:r>
      <w:r>
        <w:rPr>
          <w:rFonts w:ascii="Times New Roman" w:hAnsi="Times New Roman"/>
        </w:rPr>
        <w:t>151</w:t>
      </w:r>
      <w:r>
        <w:rPr>
          <w:rFonts w:hint="eastAsia" w:ascii="Times New Roman" w:hAnsi="Times New Roman"/>
        </w:rPr>
        <w:t>号）关于印发《全国生态保护</w:t>
      </w:r>
      <w:r>
        <w:rPr>
          <w:rFonts w:ascii="Times New Roman" w:hAnsi="Times New Roman"/>
        </w:rPr>
        <w:t>“</w:t>
      </w:r>
      <w:r>
        <w:rPr>
          <w:rFonts w:hint="eastAsia" w:ascii="Times New Roman" w:hAnsi="Times New Roman"/>
        </w:rPr>
        <w:t>十三五</w:t>
      </w:r>
      <w:r>
        <w:rPr>
          <w:rFonts w:ascii="Times New Roman" w:hAnsi="Times New Roman"/>
        </w:rPr>
        <w:t>”</w:t>
      </w:r>
      <w:r>
        <w:rPr>
          <w:rFonts w:hint="eastAsia" w:ascii="Times New Roman" w:hAnsi="Times New Roman"/>
        </w:rPr>
        <w:t>规划纲要》的通知，</w:t>
      </w:r>
      <w:r>
        <w:rPr>
          <w:rFonts w:ascii="Times New Roman" w:hAnsi="Times New Roman"/>
        </w:rPr>
        <w:t>2016</w:t>
      </w:r>
      <w:r>
        <w:rPr>
          <w:rFonts w:hint="eastAsia" w:ascii="Times New Roman" w:hAnsi="Times New Roman"/>
        </w:rPr>
        <w:t>年</w:t>
      </w:r>
      <w:r>
        <w:rPr>
          <w:rFonts w:ascii="Times New Roman" w:hAnsi="Times New Roman"/>
        </w:rPr>
        <w:t>10</w:t>
      </w:r>
      <w:r>
        <w:rPr>
          <w:rFonts w:hint="eastAsia" w:ascii="Times New Roman" w:hAnsi="Times New Roman"/>
        </w:rPr>
        <w:t>月</w:t>
      </w:r>
      <w:r>
        <w:rPr>
          <w:rFonts w:ascii="Times New Roman" w:hAnsi="Times New Roman"/>
        </w:rPr>
        <w:t>28</w:t>
      </w:r>
      <w:r>
        <w:rPr>
          <w:rFonts w:hint="eastAsia" w:ascii="Times New Roman" w:hAnsi="Times New Roman"/>
        </w:rPr>
        <w:t>日印发；</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11</w:t>
      </w:r>
      <w:r>
        <w:rPr>
          <w:rFonts w:hint="eastAsia" w:ascii="Times New Roman" w:hAnsi="Times New Roman"/>
        </w:rPr>
        <w:t>）环境保护部文件（环环评［</w:t>
      </w:r>
      <w:r>
        <w:rPr>
          <w:rFonts w:ascii="Times New Roman" w:hAnsi="Times New Roman"/>
        </w:rPr>
        <w:t>2016</w:t>
      </w:r>
      <w:r>
        <w:rPr>
          <w:rFonts w:hint="eastAsia" w:ascii="Times New Roman" w:hAnsi="Times New Roman"/>
        </w:rPr>
        <w:t>］</w:t>
      </w:r>
      <w:r>
        <w:rPr>
          <w:rFonts w:ascii="Times New Roman" w:hAnsi="Times New Roman"/>
        </w:rPr>
        <w:t>190</w:t>
      </w:r>
      <w:r>
        <w:rPr>
          <w:rFonts w:hint="eastAsia" w:ascii="Times New Roman" w:hAnsi="Times New Roman"/>
        </w:rPr>
        <w:t>号）关于落实《水污染防治行动计划》实施区域差别化环境准入的指导意见，</w:t>
      </w:r>
      <w:r>
        <w:rPr>
          <w:rFonts w:ascii="Times New Roman" w:hAnsi="Times New Roman"/>
        </w:rPr>
        <w:t>2016</w:t>
      </w:r>
      <w:r>
        <w:rPr>
          <w:rFonts w:hint="eastAsia" w:ascii="Times New Roman" w:hAnsi="Times New Roman"/>
        </w:rPr>
        <w:t>年</w:t>
      </w:r>
      <w:r>
        <w:rPr>
          <w:rFonts w:ascii="Times New Roman" w:hAnsi="Times New Roman"/>
        </w:rPr>
        <w:t>12</w:t>
      </w:r>
      <w:r>
        <w:rPr>
          <w:rFonts w:hint="eastAsia" w:ascii="Times New Roman" w:hAnsi="Times New Roman"/>
        </w:rPr>
        <w:t>月</w:t>
      </w:r>
      <w:r>
        <w:rPr>
          <w:rFonts w:ascii="Times New Roman" w:hAnsi="Times New Roman"/>
        </w:rPr>
        <w:t>27</w:t>
      </w:r>
      <w:r>
        <w:rPr>
          <w:rFonts w:hint="eastAsia" w:ascii="Times New Roman" w:hAnsi="Times New Roman"/>
        </w:rPr>
        <w:t>日印发；</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12</w:t>
      </w:r>
      <w:r>
        <w:rPr>
          <w:rFonts w:hint="eastAsia" w:ascii="Times New Roman" w:hAnsi="Times New Roman"/>
        </w:rPr>
        <w:t>）环境保护部文件（环评［</w:t>
      </w:r>
      <w:r>
        <w:rPr>
          <w:rFonts w:ascii="Times New Roman" w:hAnsi="Times New Roman"/>
        </w:rPr>
        <w:t>2016</w:t>
      </w:r>
      <w:r>
        <w:rPr>
          <w:rFonts w:hint="eastAsia" w:ascii="Times New Roman" w:hAnsi="Times New Roman"/>
        </w:rPr>
        <w:t>］</w:t>
      </w:r>
      <w:r>
        <w:rPr>
          <w:rFonts w:ascii="Times New Roman" w:hAnsi="Times New Roman"/>
        </w:rPr>
        <w:t>95</w:t>
      </w:r>
      <w:r>
        <w:rPr>
          <w:rFonts w:hint="eastAsia" w:ascii="Times New Roman" w:hAnsi="Times New Roman"/>
        </w:rPr>
        <w:t>号）关于印发《</w:t>
      </w:r>
      <w:r>
        <w:rPr>
          <w:rFonts w:ascii="Times New Roman" w:hAnsi="Times New Roman"/>
        </w:rPr>
        <w:t>“</w:t>
      </w:r>
      <w:r>
        <w:rPr>
          <w:rFonts w:hint="eastAsia" w:ascii="Times New Roman" w:hAnsi="Times New Roman"/>
        </w:rPr>
        <w:t>十三五</w:t>
      </w:r>
      <w:r>
        <w:rPr>
          <w:rFonts w:ascii="Times New Roman" w:hAnsi="Times New Roman"/>
        </w:rPr>
        <w:t>”</w:t>
      </w:r>
      <w:r>
        <w:rPr>
          <w:rFonts w:hint="eastAsia" w:ascii="Times New Roman" w:hAnsi="Times New Roman"/>
        </w:rPr>
        <w:t>环境影响评价改革实施方案》的通知，</w:t>
      </w:r>
      <w:r>
        <w:rPr>
          <w:rFonts w:ascii="Times New Roman" w:hAnsi="Times New Roman"/>
        </w:rPr>
        <w:t>2016</w:t>
      </w:r>
      <w:r>
        <w:rPr>
          <w:rFonts w:hint="eastAsia" w:ascii="Times New Roman" w:hAnsi="Times New Roman"/>
        </w:rPr>
        <w:t>年</w:t>
      </w:r>
      <w:r>
        <w:rPr>
          <w:rFonts w:ascii="Times New Roman" w:hAnsi="Times New Roman"/>
        </w:rPr>
        <w:t>7</w:t>
      </w:r>
      <w:r>
        <w:rPr>
          <w:rFonts w:hint="eastAsia" w:ascii="Times New Roman" w:hAnsi="Times New Roman"/>
        </w:rPr>
        <w:t>月</w:t>
      </w:r>
      <w:r>
        <w:rPr>
          <w:rFonts w:ascii="Times New Roman" w:hAnsi="Times New Roman"/>
        </w:rPr>
        <w:t>15</w:t>
      </w:r>
      <w:r>
        <w:rPr>
          <w:rFonts w:hint="eastAsia" w:ascii="Times New Roman" w:hAnsi="Times New Roman"/>
        </w:rPr>
        <w:t>日印发；</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1</w:t>
      </w:r>
      <w:r>
        <w:rPr>
          <w:rFonts w:ascii="Times New Roman" w:hAnsi="Times New Roman"/>
          <w:lang w:val="en-US"/>
        </w:rPr>
        <w:t>3</w:t>
      </w:r>
      <w:r>
        <w:rPr>
          <w:rFonts w:hint="eastAsia" w:ascii="Times New Roman" w:hAnsi="Times New Roman"/>
        </w:rPr>
        <w:t>）《关于进一步加强环境影响评价管理防范环境风险的通知》，国家环保部，环发</w:t>
      </w:r>
      <w:r>
        <w:rPr>
          <w:rFonts w:ascii="Times New Roman" w:hAnsi="Times New Roman"/>
        </w:rPr>
        <w:t>[2012]77</w:t>
      </w:r>
      <w:r>
        <w:rPr>
          <w:rFonts w:hint="eastAsia" w:ascii="Times New Roman" w:hAnsi="Times New Roman"/>
        </w:rPr>
        <w:t>号；</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1</w:t>
      </w:r>
      <w:r>
        <w:rPr>
          <w:rFonts w:ascii="Times New Roman" w:hAnsi="Times New Roman"/>
          <w:lang w:val="en-US"/>
        </w:rPr>
        <w:t>4</w:t>
      </w:r>
      <w:r>
        <w:rPr>
          <w:rFonts w:hint="eastAsia" w:ascii="Times New Roman" w:hAnsi="Times New Roman"/>
        </w:rPr>
        <w:t>）《关于切实加强风险防范严格环境评价管理的通知》，国家环保部，环发</w:t>
      </w:r>
      <w:r>
        <w:rPr>
          <w:rFonts w:ascii="Times New Roman" w:hAnsi="Times New Roman"/>
        </w:rPr>
        <w:t>[2012]98</w:t>
      </w:r>
      <w:r>
        <w:rPr>
          <w:rFonts w:hint="eastAsia" w:ascii="Times New Roman" w:hAnsi="Times New Roman"/>
        </w:rPr>
        <w:t>号；</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1</w:t>
      </w:r>
      <w:r>
        <w:rPr>
          <w:rFonts w:ascii="Times New Roman" w:hAnsi="Times New Roman"/>
          <w:lang w:val="en-US"/>
        </w:rPr>
        <w:t>5</w:t>
      </w:r>
      <w:r>
        <w:rPr>
          <w:rFonts w:hint="eastAsia" w:ascii="Times New Roman" w:hAnsi="Times New Roman"/>
        </w:rPr>
        <w:t>）环保部《关于以改善环境质量为核心加强环境影响评价管理的通知》（</w:t>
      </w:r>
      <w:r>
        <w:rPr>
          <w:rFonts w:ascii="Times New Roman" w:hAnsi="Times New Roman"/>
        </w:rPr>
        <w:t>2016</w:t>
      </w:r>
      <w:r>
        <w:rPr>
          <w:rFonts w:hint="eastAsia" w:ascii="Times New Roman" w:hAnsi="Times New Roman"/>
        </w:rPr>
        <w:t>年</w:t>
      </w:r>
      <w:r>
        <w:rPr>
          <w:rFonts w:ascii="Times New Roman" w:hAnsi="Times New Roman"/>
        </w:rPr>
        <w:t>10</w:t>
      </w:r>
      <w:r>
        <w:rPr>
          <w:rFonts w:hint="eastAsia" w:ascii="Times New Roman" w:hAnsi="Times New Roman"/>
        </w:rPr>
        <w:t>月</w:t>
      </w:r>
      <w:r>
        <w:rPr>
          <w:rFonts w:ascii="Times New Roman" w:hAnsi="Times New Roman"/>
        </w:rPr>
        <w:t>26</w:t>
      </w:r>
      <w:r>
        <w:rPr>
          <w:rFonts w:hint="eastAsia" w:ascii="Times New Roman" w:hAnsi="Times New Roman"/>
        </w:rPr>
        <w:t>日）；</w:t>
      </w:r>
    </w:p>
    <w:p>
      <w:pPr>
        <w:pStyle w:val="141"/>
        <w:snapToGrid/>
        <w:spacing w:line="360" w:lineRule="auto"/>
        <w:rPr>
          <w:rFonts w:ascii="Times New Roman" w:hAnsi="Times New Roman"/>
          <w:lang w:val="en-US"/>
        </w:rPr>
      </w:pPr>
      <w:r>
        <w:rPr>
          <w:rFonts w:hint="eastAsia" w:ascii="Times New Roman" w:hAnsi="Times New Roman"/>
          <w:lang w:val="en-US"/>
        </w:rPr>
        <w:t>（</w:t>
      </w:r>
      <w:r>
        <w:rPr>
          <w:rFonts w:ascii="Times New Roman" w:hAnsi="Times New Roman"/>
          <w:lang w:val="en-US"/>
        </w:rPr>
        <w:t>16</w:t>
      </w:r>
      <w:r>
        <w:rPr>
          <w:rFonts w:hint="eastAsia" w:ascii="Times New Roman" w:hAnsi="Times New Roman"/>
          <w:lang w:val="en-US"/>
        </w:rPr>
        <w:t>）关于印发能源行业加强大气污染防治工作方案的通知（发改能源</w:t>
      </w:r>
      <w:r>
        <w:rPr>
          <w:rFonts w:ascii="Times New Roman" w:hAnsi="Times New Roman"/>
          <w:lang w:val="en-US"/>
        </w:rPr>
        <w:t>[2014]506</w:t>
      </w:r>
      <w:r>
        <w:rPr>
          <w:rFonts w:hint="eastAsia" w:ascii="Times New Roman" w:hAnsi="Times New Roman"/>
          <w:lang w:val="en-US"/>
        </w:rPr>
        <w:t>号，</w:t>
      </w:r>
      <w:r>
        <w:rPr>
          <w:rFonts w:ascii="Times New Roman" w:hAnsi="Times New Roman"/>
          <w:lang w:val="en-US"/>
        </w:rPr>
        <w:t>2014</w:t>
      </w:r>
      <w:r>
        <w:rPr>
          <w:rFonts w:hint="eastAsia" w:ascii="Times New Roman" w:hAnsi="Times New Roman"/>
          <w:lang w:val="en-US"/>
        </w:rPr>
        <w:t>年</w:t>
      </w:r>
      <w:r>
        <w:rPr>
          <w:rFonts w:ascii="Times New Roman" w:hAnsi="Times New Roman"/>
          <w:lang w:val="en-US"/>
        </w:rPr>
        <w:t>3</w:t>
      </w:r>
      <w:r>
        <w:rPr>
          <w:rFonts w:hint="eastAsia" w:ascii="Times New Roman" w:hAnsi="Times New Roman"/>
          <w:lang w:val="en-US"/>
        </w:rPr>
        <w:t>月</w:t>
      </w:r>
      <w:r>
        <w:rPr>
          <w:rFonts w:ascii="Times New Roman" w:hAnsi="Times New Roman"/>
          <w:lang w:val="en-US"/>
        </w:rPr>
        <w:t>24</w:t>
      </w:r>
      <w:r>
        <w:rPr>
          <w:rFonts w:hint="eastAsia" w:ascii="Times New Roman" w:hAnsi="Times New Roman"/>
          <w:lang w:val="en-US"/>
        </w:rPr>
        <w:t>日）；</w:t>
      </w:r>
    </w:p>
    <w:p>
      <w:pPr>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17</w:t>
      </w:r>
      <w:r>
        <w:rPr>
          <w:rFonts w:hint="eastAsia" w:eastAsiaTheme="minorEastAsia"/>
          <w:spacing w:val="4"/>
          <w:sz w:val="24"/>
        </w:rPr>
        <w:t>）《关于开展生态补偿试点工作的指导意见》（国家环境保护总局，环发</w:t>
      </w:r>
      <w:r>
        <w:rPr>
          <w:rFonts w:eastAsiaTheme="minorEastAsia"/>
          <w:spacing w:val="4"/>
          <w:sz w:val="24"/>
        </w:rPr>
        <w:t>[2007]130</w:t>
      </w:r>
      <w:r>
        <w:rPr>
          <w:rFonts w:hint="eastAsia" w:eastAsiaTheme="minorEastAsia"/>
          <w:spacing w:val="4"/>
          <w:sz w:val="24"/>
        </w:rPr>
        <w:t>号，</w:t>
      </w:r>
      <w:r>
        <w:rPr>
          <w:rFonts w:eastAsiaTheme="minorEastAsia"/>
          <w:spacing w:val="4"/>
          <w:sz w:val="24"/>
        </w:rPr>
        <w:t>2007</w:t>
      </w:r>
      <w:r>
        <w:rPr>
          <w:rFonts w:hint="eastAsia" w:eastAsiaTheme="minorEastAsia"/>
          <w:spacing w:val="4"/>
          <w:sz w:val="24"/>
        </w:rPr>
        <w:t>年</w:t>
      </w:r>
      <w:r>
        <w:rPr>
          <w:rFonts w:eastAsiaTheme="minorEastAsia"/>
          <w:spacing w:val="4"/>
          <w:sz w:val="24"/>
        </w:rPr>
        <w:t>8</w:t>
      </w:r>
      <w:r>
        <w:rPr>
          <w:rFonts w:hint="eastAsia" w:eastAsiaTheme="minorEastAsia"/>
          <w:spacing w:val="4"/>
          <w:sz w:val="24"/>
        </w:rPr>
        <w:t>月</w:t>
      </w:r>
      <w:r>
        <w:rPr>
          <w:rFonts w:eastAsiaTheme="minorEastAsia"/>
          <w:spacing w:val="4"/>
          <w:sz w:val="24"/>
        </w:rPr>
        <w:t>24</w:t>
      </w:r>
      <w:r>
        <w:rPr>
          <w:rFonts w:hint="eastAsia" w:eastAsiaTheme="minorEastAsia"/>
          <w:spacing w:val="4"/>
          <w:sz w:val="24"/>
        </w:rPr>
        <w:t>日）；</w:t>
      </w:r>
    </w:p>
    <w:p>
      <w:pPr>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18</w:t>
      </w:r>
      <w:r>
        <w:rPr>
          <w:rFonts w:hint="eastAsia" w:eastAsiaTheme="minorEastAsia"/>
          <w:spacing w:val="4"/>
          <w:sz w:val="24"/>
        </w:rPr>
        <w:t>）《关于进一步加强环境保护信息公开工作的通知》（环境保护部，环发</w:t>
      </w:r>
      <w:r>
        <w:rPr>
          <w:rFonts w:eastAsiaTheme="minorEastAsia"/>
          <w:spacing w:val="4"/>
          <w:sz w:val="24"/>
        </w:rPr>
        <w:t>[2012]134</w:t>
      </w:r>
      <w:r>
        <w:rPr>
          <w:rFonts w:hint="eastAsia" w:eastAsiaTheme="minorEastAsia"/>
          <w:spacing w:val="4"/>
          <w:sz w:val="24"/>
        </w:rPr>
        <w:t>号）；</w:t>
      </w:r>
    </w:p>
    <w:p>
      <w:pPr>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19</w:t>
      </w:r>
      <w:r>
        <w:rPr>
          <w:rFonts w:hint="eastAsia" w:eastAsiaTheme="minorEastAsia"/>
          <w:spacing w:val="4"/>
          <w:sz w:val="24"/>
        </w:rPr>
        <w:t>）《环境影响评价管理防范环境风险的通知》</w:t>
      </w:r>
      <w:r>
        <w:rPr>
          <w:rFonts w:hint="eastAsia" w:eastAsiaTheme="minorEastAsia"/>
          <w:bCs/>
          <w:spacing w:val="4"/>
          <w:sz w:val="24"/>
        </w:rPr>
        <w:t>（环境保护部，环发</w:t>
      </w:r>
      <w:r>
        <w:rPr>
          <w:rFonts w:eastAsiaTheme="minorEastAsia"/>
          <w:bCs/>
          <w:spacing w:val="4"/>
          <w:sz w:val="24"/>
        </w:rPr>
        <w:t>[2012]77</w:t>
      </w:r>
      <w:r>
        <w:rPr>
          <w:rFonts w:hint="eastAsia" w:eastAsiaTheme="minorEastAsia"/>
          <w:spacing w:val="4"/>
          <w:sz w:val="24"/>
        </w:rPr>
        <w:t>号）；</w:t>
      </w:r>
    </w:p>
    <w:p>
      <w:pPr>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20</w:t>
      </w:r>
      <w:r>
        <w:rPr>
          <w:rFonts w:hint="eastAsia" w:eastAsiaTheme="minorEastAsia"/>
          <w:spacing w:val="4"/>
          <w:sz w:val="24"/>
        </w:rPr>
        <w:t>）《关于加强煤炭建设项目管理的通知》（发改能源</w:t>
      </w:r>
      <w:r>
        <w:rPr>
          <w:rFonts w:eastAsiaTheme="minorEastAsia"/>
          <w:spacing w:val="4"/>
          <w:sz w:val="24"/>
        </w:rPr>
        <w:t>[2006]1039</w:t>
      </w:r>
      <w:r>
        <w:rPr>
          <w:rFonts w:hint="eastAsia" w:eastAsiaTheme="minorEastAsia"/>
          <w:spacing w:val="4"/>
          <w:sz w:val="24"/>
        </w:rPr>
        <w:t>号，</w:t>
      </w:r>
      <w:r>
        <w:rPr>
          <w:rFonts w:eastAsiaTheme="minorEastAsia"/>
          <w:spacing w:val="4"/>
          <w:sz w:val="24"/>
        </w:rPr>
        <w:t>2006</w:t>
      </w:r>
      <w:r>
        <w:rPr>
          <w:rFonts w:hint="eastAsia" w:eastAsiaTheme="minorEastAsia"/>
          <w:spacing w:val="4"/>
          <w:sz w:val="24"/>
        </w:rPr>
        <w:t>年）；</w:t>
      </w:r>
    </w:p>
    <w:p>
      <w:pPr>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21</w:t>
      </w:r>
      <w:r>
        <w:rPr>
          <w:rFonts w:hint="eastAsia" w:eastAsiaTheme="minorEastAsia"/>
          <w:spacing w:val="4"/>
          <w:sz w:val="24"/>
        </w:rPr>
        <w:t>）《产业结构调整指导目录（</w:t>
      </w:r>
      <w:r>
        <w:rPr>
          <w:rFonts w:eastAsiaTheme="minorEastAsia"/>
          <w:spacing w:val="4"/>
          <w:sz w:val="24"/>
        </w:rPr>
        <w:t>2019</w:t>
      </w:r>
      <w:r>
        <w:rPr>
          <w:rFonts w:hint="eastAsia" w:eastAsiaTheme="minorEastAsia"/>
          <w:spacing w:val="4"/>
          <w:sz w:val="24"/>
        </w:rPr>
        <w:t>年本）》（国家发改委第</w:t>
      </w:r>
      <w:r>
        <w:rPr>
          <w:rFonts w:eastAsiaTheme="minorEastAsia"/>
          <w:spacing w:val="4"/>
          <w:sz w:val="24"/>
        </w:rPr>
        <w:t>21</w:t>
      </w:r>
      <w:r>
        <w:rPr>
          <w:rFonts w:hint="eastAsia" w:eastAsiaTheme="minorEastAsia"/>
          <w:spacing w:val="4"/>
          <w:sz w:val="24"/>
        </w:rPr>
        <w:t>号令）；</w:t>
      </w:r>
    </w:p>
    <w:p>
      <w:pPr>
        <w:pStyle w:val="141"/>
        <w:snapToGrid/>
        <w:spacing w:line="360" w:lineRule="auto"/>
        <w:rPr>
          <w:rFonts w:ascii="Times New Roman" w:hAnsi="Times New Roman"/>
        </w:rPr>
      </w:pPr>
      <w:r>
        <w:rPr>
          <w:rFonts w:hint="eastAsia" w:ascii="Times New Roman" w:hAnsi="Times New Roman" w:eastAsiaTheme="minorEastAsia"/>
          <w:spacing w:val="4"/>
        </w:rPr>
        <w:t>（</w:t>
      </w:r>
      <w:r>
        <w:rPr>
          <w:rFonts w:ascii="Times New Roman" w:hAnsi="Times New Roman" w:eastAsiaTheme="minorEastAsia"/>
          <w:spacing w:val="4"/>
        </w:rPr>
        <w:t>2</w:t>
      </w:r>
      <w:r>
        <w:rPr>
          <w:rFonts w:ascii="Times New Roman" w:hAnsi="Times New Roman" w:eastAsiaTheme="minorEastAsia"/>
          <w:spacing w:val="4"/>
          <w:lang w:val="en-US"/>
        </w:rPr>
        <w:t>2</w:t>
      </w:r>
      <w:r>
        <w:rPr>
          <w:rFonts w:hint="eastAsia" w:ascii="Times New Roman" w:hAnsi="Times New Roman" w:eastAsiaTheme="minorEastAsia"/>
          <w:spacing w:val="4"/>
        </w:rPr>
        <w:t>）</w:t>
      </w:r>
      <w:r>
        <w:rPr>
          <w:rFonts w:hint="eastAsia" w:ascii="Times New Roman" w:hAnsi="Times New Roman"/>
        </w:rPr>
        <w:t>国家发展改革委等部门《关于实施减量置换严控煤炭新增产能有关事项的通知》（发改能源</w:t>
      </w:r>
      <w:r>
        <w:rPr>
          <w:rFonts w:ascii="Times New Roman" w:hAnsi="Times New Roman"/>
        </w:rPr>
        <w:t>[2016]1602</w:t>
      </w:r>
      <w:r>
        <w:rPr>
          <w:rFonts w:hint="eastAsia" w:ascii="Times New Roman" w:hAnsi="Times New Roman"/>
        </w:rPr>
        <w:t>号）；</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2</w:t>
      </w:r>
      <w:r>
        <w:rPr>
          <w:rFonts w:ascii="Times New Roman" w:hAnsi="Times New Roman"/>
          <w:lang w:val="en-US"/>
        </w:rPr>
        <w:t>3</w:t>
      </w:r>
      <w:r>
        <w:rPr>
          <w:rFonts w:hint="eastAsia" w:ascii="Times New Roman" w:hAnsi="Times New Roman"/>
        </w:rPr>
        <w:t>）环境保护部《关于京津冀大气污染传输通道城市执行大气污染物特别排放限值的公告》（公告</w:t>
      </w:r>
      <w:r>
        <w:rPr>
          <w:rFonts w:ascii="Times New Roman" w:hAnsi="Times New Roman"/>
        </w:rPr>
        <w:t>2018</w:t>
      </w:r>
      <w:r>
        <w:rPr>
          <w:rFonts w:hint="eastAsia" w:ascii="Times New Roman" w:hAnsi="Times New Roman"/>
        </w:rPr>
        <w:t>年第</w:t>
      </w:r>
      <w:r>
        <w:rPr>
          <w:rFonts w:ascii="Times New Roman" w:hAnsi="Times New Roman"/>
        </w:rPr>
        <w:t>9</w:t>
      </w:r>
      <w:r>
        <w:rPr>
          <w:rFonts w:hint="eastAsia" w:ascii="Times New Roman" w:hAnsi="Times New Roman"/>
        </w:rPr>
        <w:t>号，</w:t>
      </w:r>
      <w:r>
        <w:rPr>
          <w:rFonts w:ascii="Times New Roman" w:hAnsi="Times New Roman"/>
        </w:rPr>
        <w:t>2018</w:t>
      </w:r>
      <w:r>
        <w:rPr>
          <w:rFonts w:hint="eastAsia" w:ascii="Times New Roman" w:hAnsi="Times New Roman"/>
        </w:rPr>
        <w:t>年</w:t>
      </w:r>
      <w:r>
        <w:rPr>
          <w:rFonts w:ascii="Times New Roman" w:hAnsi="Times New Roman"/>
        </w:rPr>
        <w:t>1</w:t>
      </w:r>
      <w:r>
        <w:rPr>
          <w:rFonts w:hint="eastAsia" w:ascii="Times New Roman" w:hAnsi="Times New Roman"/>
        </w:rPr>
        <w:t>月</w:t>
      </w:r>
      <w:r>
        <w:rPr>
          <w:rFonts w:ascii="Times New Roman" w:hAnsi="Times New Roman"/>
        </w:rPr>
        <w:t>16</w:t>
      </w:r>
      <w:r>
        <w:rPr>
          <w:rFonts w:hint="eastAsia" w:ascii="Times New Roman" w:hAnsi="Times New Roman"/>
        </w:rPr>
        <w:t>日）。</w:t>
      </w:r>
    </w:p>
    <w:p>
      <w:pPr>
        <w:spacing w:line="360" w:lineRule="auto"/>
        <w:outlineLvl w:val="3"/>
        <w:rPr>
          <w:rFonts w:eastAsiaTheme="minorEastAsia"/>
          <w:b/>
          <w:sz w:val="24"/>
        </w:rPr>
      </w:pPr>
      <w:r>
        <w:rPr>
          <w:rFonts w:eastAsiaTheme="minorEastAsia"/>
          <w:b/>
          <w:sz w:val="24"/>
        </w:rPr>
        <w:t>2.1.2.</w:t>
      </w:r>
      <w:r>
        <w:rPr>
          <w:rFonts w:hint="eastAsia" w:eastAsiaTheme="minorEastAsia"/>
          <w:b/>
          <w:sz w:val="24"/>
        </w:rPr>
        <w:t>3地方规章</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1</w:t>
      </w:r>
      <w:r>
        <w:rPr>
          <w:rFonts w:hint="eastAsia" w:ascii="Times New Roman" w:hAnsi="Times New Roman"/>
        </w:rPr>
        <w:t>）《山西省人民政府关于印发山西省打赢蓝天保卫战三年行动计划的通知》，山西省人民政府，晋政发</w:t>
      </w:r>
      <w:r>
        <w:rPr>
          <w:rFonts w:ascii="Times New Roman" w:hAnsi="Times New Roman"/>
        </w:rPr>
        <w:t>[2018]30</w:t>
      </w:r>
      <w:r>
        <w:rPr>
          <w:rFonts w:hint="eastAsia" w:ascii="Times New Roman" w:hAnsi="Times New Roman"/>
        </w:rPr>
        <w:t>号，</w:t>
      </w:r>
      <w:r>
        <w:rPr>
          <w:rFonts w:ascii="Times New Roman" w:hAnsi="Times New Roman"/>
        </w:rPr>
        <w:t>2018</w:t>
      </w:r>
      <w:r>
        <w:rPr>
          <w:rFonts w:hint="eastAsia" w:ascii="Times New Roman" w:hAnsi="Times New Roman"/>
        </w:rPr>
        <w:t>年</w:t>
      </w:r>
      <w:r>
        <w:rPr>
          <w:rFonts w:ascii="Times New Roman" w:hAnsi="Times New Roman"/>
        </w:rPr>
        <w:t>7</w:t>
      </w:r>
      <w:r>
        <w:rPr>
          <w:rFonts w:hint="eastAsia" w:ascii="Times New Roman" w:hAnsi="Times New Roman"/>
        </w:rPr>
        <w:t>月</w:t>
      </w:r>
      <w:r>
        <w:rPr>
          <w:rFonts w:ascii="Times New Roman" w:hAnsi="Times New Roman"/>
        </w:rPr>
        <w:t>29</w:t>
      </w:r>
      <w:r>
        <w:rPr>
          <w:rFonts w:hint="eastAsia" w:ascii="Times New Roman" w:hAnsi="Times New Roman"/>
        </w:rPr>
        <w:t>日印发；</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2</w:t>
      </w:r>
      <w:r>
        <w:rPr>
          <w:rFonts w:hint="eastAsia" w:ascii="Times New Roman" w:hAnsi="Times New Roman"/>
        </w:rPr>
        <w:t>）《山西省大气污染防治</w:t>
      </w:r>
      <w:r>
        <w:rPr>
          <w:rFonts w:ascii="Times New Roman" w:hAnsi="Times New Roman"/>
        </w:rPr>
        <w:t>2018</w:t>
      </w:r>
      <w:r>
        <w:rPr>
          <w:rFonts w:hint="eastAsia" w:ascii="Times New Roman" w:hAnsi="Times New Roman"/>
        </w:rPr>
        <w:t>年行动计划》，山西省人民政府办公厅，晋政办发〔</w:t>
      </w:r>
      <w:r>
        <w:rPr>
          <w:rFonts w:ascii="Times New Roman" w:hAnsi="Times New Roman"/>
        </w:rPr>
        <w:t>2018</w:t>
      </w:r>
      <w:r>
        <w:rPr>
          <w:rFonts w:hint="eastAsia" w:ascii="Times New Roman" w:hAnsi="Times New Roman"/>
        </w:rPr>
        <w:t>〕</w:t>
      </w:r>
      <w:r>
        <w:rPr>
          <w:rFonts w:ascii="Times New Roman" w:hAnsi="Times New Roman"/>
        </w:rPr>
        <w:t>52</w:t>
      </w:r>
      <w:r>
        <w:rPr>
          <w:rFonts w:hint="eastAsia" w:ascii="Times New Roman" w:hAnsi="Times New Roman"/>
        </w:rPr>
        <w:t>号，</w:t>
      </w:r>
      <w:r>
        <w:rPr>
          <w:rFonts w:ascii="Times New Roman" w:hAnsi="Times New Roman"/>
        </w:rPr>
        <w:t>2018</w:t>
      </w:r>
      <w:r>
        <w:rPr>
          <w:rFonts w:hint="eastAsia" w:ascii="Times New Roman" w:hAnsi="Times New Roman"/>
        </w:rPr>
        <w:t>年</w:t>
      </w:r>
      <w:r>
        <w:rPr>
          <w:rFonts w:ascii="Times New Roman" w:hAnsi="Times New Roman"/>
        </w:rPr>
        <w:t>5</w:t>
      </w:r>
      <w:r>
        <w:rPr>
          <w:rFonts w:hint="eastAsia" w:ascii="Times New Roman" w:hAnsi="Times New Roman"/>
        </w:rPr>
        <w:t>月</w:t>
      </w:r>
      <w:r>
        <w:rPr>
          <w:rFonts w:ascii="Times New Roman" w:hAnsi="Times New Roman"/>
        </w:rPr>
        <w:t>25</w:t>
      </w:r>
      <w:r>
        <w:rPr>
          <w:rFonts w:hint="eastAsia" w:ascii="Times New Roman" w:hAnsi="Times New Roman"/>
        </w:rPr>
        <w:t>日印发；</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）《山西省水污染防治</w:t>
      </w:r>
      <w:r>
        <w:rPr>
          <w:rFonts w:ascii="Times New Roman" w:hAnsi="Times New Roman"/>
        </w:rPr>
        <w:t>2019</w:t>
      </w:r>
      <w:r>
        <w:rPr>
          <w:rFonts w:hint="eastAsia" w:ascii="Times New Roman" w:hAnsi="Times New Roman"/>
        </w:rPr>
        <w:t>年行动计划》，</w:t>
      </w:r>
      <w:r>
        <w:rPr>
          <w:rFonts w:hint="eastAsia" w:ascii="Times New Roman" w:hAnsi="Times New Roman"/>
          <w:bCs/>
        </w:rPr>
        <w:t>（晋水防办</w:t>
      </w:r>
      <w:r>
        <w:rPr>
          <w:rFonts w:ascii="Times New Roman" w:hAnsi="Times New Roman"/>
          <w:bCs/>
        </w:rPr>
        <w:t>[2019]23</w:t>
      </w:r>
      <w:r>
        <w:rPr>
          <w:rFonts w:hint="eastAsia" w:ascii="Times New Roman" w:hAnsi="Times New Roman"/>
          <w:bCs/>
        </w:rPr>
        <w:t>号）</w:t>
      </w:r>
      <w:r>
        <w:rPr>
          <w:rFonts w:hint="eastAsia" w:ascii="Times New Roman" w:hAnsi="Times New Roman"/>
        </w:rPr>
        <w:t>；</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4</w:t>
      </w:r>
      <w:r>
        <w:rPr>
          <w:rFonts w:hint="eastAsia" w:ascii="Times New Roman" w:hAnsi="Times New Roman"/>
        </w:rPr>
        <w:t>）《山西省土壤污染防治</w:t>
      </w:r>
      <w:r>
        <w:rPr>
          <w:rFonts w:ascii="Times New Roman" w:hAnsi="Times New Roman"/>
        </w:rPr>
        <w:t>2019</w:t>
      </w:r>
      <w:r>
        <w:rPr>
          <w:rFonts w:hint="eastAsia" w:ascii="Times New Roman" w:hAnsi="Times New Roman"/>
        </w:rPr>
        <w:t>年行动计划》，</w:t>
      </w:r>
      <w:r>
        <w:rPr>
          <w:rFonts w:hint="eastAsia" w:ascii="Times New Roman" w:hAnsi="Times New Roman"/>
          <w:bCs/>
        </w:rPr>
        <w:t>（晋环土壤</w:t>
      </w:r>
      <w:r>
        <w:rPr>
          <w:rFonts w:ascii="Times New Roman" w:hAnsi="Times New Roman"/>
          <w:bCs/>
        </w:rPr>
        <w:t>[2019]142</w:t>
      </w:r>
      <w:r>
        <w:rPr>
          <w:rFonts w:hint="eastAsia" w:ascii="Times New Roman" w:hAnsi="Times New Roman"/>
          <w:bCs/>
        </w:rPr>
        <w:t>号）</w:t>
      </w:r>
      <w:r>
        <w:rPr>
          <w:rFonts w:hint="eastAsia" w:ascii="Times New Roman" w:hAnsi="Times New Roman"/>
        </w:rPr>
        <w:t>；</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5</w:t>
      </w:r>
      <w:r>
        <w:rPr>
          <w:rFonts w:hint="eastAsia" w:ascii="Times New Roman" w:hAnsi="Times New Roman"/>
        </w:rPr>
        <w:t>）山西省人民政府晋政发［</w:t>
      </w:r>
      <w:r>
        <w:rPr>
          <w:rFonts w:ascii="Times New Roman" w:hAnsi="Times New Roman"/>
        </w:rPr>
        <w:t>2001</w:t>
      </w:r>
      <w:r>
        <w:rPr>
          <w:rFonts w:hint="eastAsia" w:ascii="Times New Roman" w:hAnsi="Times New Roman"/>
        </w:rPr>
        <w:t>］</w:t>
      </w:r>
      <w:r>
        <w:rPr>
          <w:rFonts w:ascii="Times New Roman" w:hAnsi="Times New Roman"/>
        </w:rPr>
        <w:t>45</w:t>
      </w:r>
      <w:r>
        <w:rPr>
          <w:rFonts w:hint="eastAsia" w:ascii="Times New Roman" w:hAnsi="Times New Roman"/>
        </w:rPr>
        <w:t>号</w:t>
      </w:r>
      <w:r>
        <w:rPr>
          <w:rFonts w:ascii="Times New Roman" w:hAnsi="Times New Roman"/>
        </w:rPr>
        <w:t>“</w:t>
      </w:r>
      <w:r>
        <w:rPr>
          <w:rFonts w:hint="eastAsia" w:ascii="Times New Roman" w:hAnsi="Times New Roman"/>
        </w:rPr>
        <w:t>关于贯彻全国生态环境保护纲要的实施意见</w:t>
      </w:r>
      <w:r>
        <w:rPr>
          <w:rFonts w:ascii="Times New Roman" w:hAnsi="Times New Roman"/>
        </w:rPr>
        <w:t>”</w:t>
      </w:r>
      <w:r>
        <w:rPr>
          <w:rFonts w:hint="eastAsia" w:ascii="Times New Roman" w:hAnsi="Times New Roman"/>
        </w:rPr>
        <w:t>，</w:t>
      </w:r>
      <w:r>
        <w:rPr>
          <w:rFonts w:ascii="Times New Roman" w:hAnsi="Times New Roman"/>
        </w:rPr>
        <w:t>2001</w:t>
      </w:r>
      <w:r>
        <w:rPr>
          <w:rFonts w:hint="eastAsia" w:ascii="Times New Roman" w:hAnsi="Times New Roman"/>
        </w:rPr>
        <w:t>年</w:t>
      </w:r>
      <w:r>
        <w:rPr>
          <w:rFonts w:ascii="Times New Roman" w:hAnsi="Times New Roman"/>
        </w:rPr>
        <w:t>12</w:t>
      </w:r>
      <w:r>
        <w:rPr>
          <w:rFonts w:hint="eastAsia" w:ascii="Times New Roman" w:hAnsi="Times New Roman"/>
        </w:rPr>
        <w:t>月</w:t>
      </w:r>
      <w:r>
        <w:rPr>
          <w:rFonts w:ascii="Times New Roman" w:hAnsi="Times New Roman"/>
        </w:rPr>
        <w:t>27</w:t>
      </w:r>
      <w:r>
        <w:rPr>
          <w:rFonts w:hint="eastAsia" w:ascii="Times New Roman" w:hAnsi="Times New Roman"/>
        </w:rPr>
        <w:t>日实施；</w:t>
      </w:r>
    </w:p>
    <w:p>
      <w:pPr>
        <w:pStyle w:val="39"/>
        <w:ind w:firstLine="496"/>
        <w:rPr>
          <w:rFonts w:ascii="Times New Roman" w:hAnsi="Times New Roman" w:eastAsiaTheme="minorEastAsia"/>
          <w:spacing w:val="4"/>
        </w:rPr>
      </w:pPr>
      <w:r>
        <w:rPr>
          <w:rFonts w:hint="eastAsia" w:ascii="Times New Roman" w:hAnsi="Times New Roman" w:eastAsiaTheme="minorEastAsia"/>
          <w:spacing w:val="4"/>
        </w:rPr>
        <w:t>（</w:t>
      </w:r>
      <w:r>
        <w:rPr>
          <w:rFonts w:ascii="Times New Roman" w:hAnsi="Times New Roman" w:eastAsiaTheme="minorEastAsia"/>
          <w:spacing w:val="4"/>
        </w:rPr>
        <w:t>6</w:t>
      </w:r>
      <w:r>
        <w:rPr>
          <w:rFonts w:hint="eastAsia" w:ascii="Times New Roman" w:hAnsi="Times New Roman" w:eastAsiaTheme="minorEastAsia"/>
          <w:spacing w:val="4"/>
        </w:rPr>
        <w:t>）《山西省泉域水资源保护条例》（山西省第十一届人民代表大会常务委员会第二十次会议修订，</w:t>
      </w:r>
      <w:r>
        <w:rPr>
          <w:rFonts w:ascii="Times New Roman" w:hAnsi="Times New Roman" w:eastAsiaTheme="minorEastAsia"/>
          <w:spacing w:val="4"/>
        </w:rPr>
        <w:t>2010</w:t>
      </w:r>
      <w:r>
        <w:rPr>
          <w:rFonts w:hint="eastAsia" w:ascii="Times New Roman" w:hAnsi="Times New Roman" w:eastAsiaTheme="minorEastAsia"/>
          <w:spacing w:val="4"/>
        </w:rPr>
        <w:t>年</w:t>
      </w:r>
      <w:r>
        <w:rPr>
          <w:rFonts w:ascii="Times New Roman" w:hAnsi="Times New Roman" w:eastAsiaTheme="minorEastAsia"/>
          <w:spacing w:val="4"/>
        </w:rPr>
        <w:t>11</w:t>
      </w:r>
      <w:r>
        <w:rPr>
          <w:rFonts w:hint="eastAsia" w:ascii="Times New Roman" w:hAnsi="Times New Roman" w:eastAsiaTheme="minorEastAsia"/>
          <w:spacing w:val="4"/>
        </w:rPr>
        <w:t>月</w:t>
      </w:r>
      <w:r>
        <w:rPr>
          <w:rFonts w:ascii="Times New Roman" w:hAnsi="Times New Roman" w:eastAsiaTheme="minorEastAsia"/>
          <w:spacing w:val="4"/>
        </w:rPr>
        <w:t>26</w:t>
      </w:r>
      <w:r>
        <w:rPr>
          <w:rFonts w:hint="eastAsia" w:ascii="Times New Roman" w:hAnsi="Times New Roman" w:eastAsiaTheme="minorEastAsia"/>
          <w:spacing w:val="4"/>
        </w:rPr>
        <w:t>日）；</w:t>
      </w:r>
    </w:p>
    <w:p>
      <w:pPr>
        <w:pStyle w:val="39"/>
        <w:ind w:firstLine="496"/>
        <w:rPr>
          <w:rFonts w:ascii="Times New Roman" w:hAnsi="Times New Roman" w:eastAsiaTheme="minorEastAsia"/>
          <w:spacing w:val="4"/>
        </w:rPr>
      </w:pPr>
      <w:r>
        <w:rPr>
          <w:rFonts w:hint="eastAsia" w:ascii="Times New Roman" w:hAnsi="Times New Roman" w:eastAsiaTheme="minorEastAsia"/>
          <w:spacing w:val="4"/>
        </w:rPr>
        <w:t>（</w:t>
      </w:r>
      <w:r>
        <w:rPr>
          <w:rFonts w:ascii="Times New Roman" w:hAnsi="Times New Roman" w:eastAsiaTheme="minorEastAsia"/>
          <w:spacing w:val="4"/>
        </w:rPr>
        <w:t>7</w:t>
      </w:r>
      <w:r>
        <w:rPr>
          <w:rFonts w:hint="eastAsia" w:ascii="Times New Roman" w:hAnsi="Times New Roman" w:eastAsiaTheme="minorEastAsia"/>
          <w:spacing w:val="4"/>
        </w:rPr>
        <w:t>）</w:t>
      </w:r>
      <w:r>
        <w:rPr>
          <w:rFonts w:hint="eastAsia" w:ascii="Times New Roman" w:hAnsi="Times New Roman" w:eastAsiaTheme="minorEastAsia"/>
        </w:rPr>
        <w:t>《山西省泉域边界范围及重点保护区》</w:t>
      </w:r>
      <w:r>
        <w:rPr>
          <w:rFonts w:hint="eastAsia" w:ascii="Times New Roman" w:hAnsi="Times New Roman" w:eastAsiaTheme="minorEastAsia"/>
          <w:spacing w:val="4"/>
        </w:rPr>
        <w:t>（山西省水资源管理委员会办公室，</w:t>
      </w:r>
      <w:r>
        <w:rPr>
          <w:rFonts w:ascii="Times New Roman" w:hAnsi="Times New Roman" w:eastAsiaTheme="minorEastAsia"/>
          <w:spacing w:val="4"/>
        </w:rPr>
        <w:t>1998</w:t>
      </w:r>
      <w:r>
        <w:rPr>
          <w:rFonts w:hint="eastAsia" w:ascii="Times New Roman" w:hAnsi="Times New Roman" w:eastAsiaTheme="minorEastAsia"/>
          <w:spacing w:val="4"/>
        </w:rPr>
        <w:t>年）；</w:t>
      </w:r>
    </w:p>
    <w:p>
      <w:pPr>
        <w:pStyle w:val="39"/>
        <w:ind w:firstLine="496"/>
        <w:rPr>
          <w:rFonts w:ascii="Times New Roman" w:hAnsi="Times New Roman" w:eastAsiaTheme="minorEastAsia"/>
          <w:spacing w:val="4"/>
        </w:rPr>
      </w:pPr>
      <w:r>
        <w:rPr>
          <w:rFonts w:hint="eastAsia" w:ascii="Times New Roman" w:hAnsi="Times New Roman" w:eastAsiaTheme="minorEastAsia"/>
          <w:spacing w:val="4"/>
        </w:rPr>
        <w:t>（</w:t>
      </w:r>
      <w:r>
        <w:rPr>
          <w:rFonts w:ascii="Times New Roman" w:hAnsi="Times New Roman" w:eastAsiaTheme="minorEastAsia"/>
          <w:spacing w:val="4"/>
        </w:rPr>
        <w:t>8</w:t>
      </w:r>
      <w:r>
        <w:rPr>
          <w:rFonts w:hint="eastAsia" w:ascii="Times New Roman" w:hAnsi="Times New Roman" w:eastAsiaTheme="minorEastAsia"/>
          <w:spacing w:val="4"/>
        </w:rPr>
        <w:t>）</w:t>
      </w:r>
      <w:r>
        <w:rPr>
          <w:rFonts w:hint="eastAsia" w:ascii="Times New Roman" w:hAnsi="Times New Roman" w:eastAsiaTheme="minorEastAsia"/>
        </w:rPr>
        <w:t>《山西省地表水水环境功能区划》</w:t>
      </w:r>
      <w:r>
        <w:rPr>
          <w:rFonts w:hint="eastAsia" w:ascii="Times New Roman" w:hAnsi="Times New Roman" w:eastAsiaTheme="minorEastAsia"/>
          <w:spacing w:val="4"/>
        </w:rPr>
        <w:t>（</w:t>
      </w:r>
      <w:r>
        <w:rPr>
          <w:rFonts w:ascii="Times New Roman" w:hAnsi="Times New Roman" w:eastAsiaTheme="minorEastAsia"/>
          <w:spacing w:val="4"/>
        </w:rPr>
        <w:t>DB14/67-2019</w:t>
      </w:r>
      <w:r>
        <w:rPr>
          <w:rFonts w:hint="eastAsia" w:ascii="Times New Roman" w:hAnsi="Times New Roman" w:eastAsiaTheme="minorEastAsia"/>
          <w:spacing w:val="4"/>
        </w:rPr>
        <w:t>）（</w:t>
      </w:r>
      <w:r>
        <w:rPr>
          <w:rFonts w:ascii="Times New Roman" w:hAnsi="Times New Roman" w:eastAsiaTheme="minorEastAsia"/>
          <w:spacing w:val="4"/>
        </w:rPr>
        <w:t>2019</w:t>
      </w:r>
      <w:r>
        <w:rPr>
          <w:rFonts w:hint="eastAsia" w:ascii="Times New Roman" w:hAnsi="Times New Roman" w:eastAsiaTheme="minorEastAsia"/>
          <w:spacing w:val="4"/>
        </w:rPr>
        <w:t>年</w:t>
      </w:r>
      <w:r>
        <w:rPr>
          <w:rFonts w:ascii="Times New Roman" w:hAnsi="Times New Roman" w:eastAsiaTheme="minorEastAsia"/>
          <w:spacing w:val="4"/>
        </w:rPr>
        <w:t>11</w:t>
      </w:r>
      <w:r>
        <w:rPr>
          <w:rFonts w:hint="eastAsia" w:ascii="Times New Roman" w:hAnsi="Times New Roman" w:eastAsiaTheme="minorEastAsia"/>
          <w:spacing w:val="4"/>
        </w:rPr>
        <w:t>月</w:t>
      </w:r>
      <w:r>
        <w:rPr>
          <w:rFonts w:ascii="Times New Roman" w:hAnsi="Times New Roman" w:eastAsiaTheme="minorEastAsia"/>
          <w:spacing w:val="4"/>
        </w:rPr>
        <w:t>1</w:t>
      </w:r>
      <w:r>
        <w:rPr>
          <w:rFonts w:hint="eastAsia" w:ascii="Times New Roman" w:hAnsi="Times New Roman" w:eastAsiaTheme="minorEastAsia"/>
          <w:spacing w:val="4"/>
        </w:rPr>
        <w:t>日）；</w:t>
      </w:r>
    </w:p>
    <w:p>
      <w:pPr>
        <w:pStyle w:val="39"/>
        <w:ind w:firstLine="496"/>
        <w:rPr>
          <w:rFonts w:ascii="Times New Roman" w:hAnsi="Times New Roman" w:eastAsiaTheme="minorEastAsia"/>
          <w:spacing w:val="4"/>
        </w:rPr>
      </w:pPr>
      <w:r>
        <w:rPr>
          <w:rFonts w:hint="eastAsia" w:ascii="Times New Roman" w:hAnsi="Times New Roman" w:eastAsiaTheme="minorEastAsia"/>
          <w:spacing w:val="4"/>
        </w:rPr>
        <w:t>（</w:t>
      </w:r>
      <w:r>
        <w:rPr>
          <w:rFonts w:ascii="Times New Roman" w:hAnsi="Times New Roman" w:eastAsiaTheme="minorEastAsia"/>
          <w:spacing w:val="4"/>
        </w:rPr>
        <w:t>9</w:t>
      </w:r>
      <w:r>
        <w:rPr>
          <w:rFonts w:hint="eastAsia" w:ascii="Times New Roman" w:hAnsi="Times New Roman" w:eastAsiaTheme="minorEastAsia"/>
          <w:spacing w:val="4"/>
        </w:rPr>
        <w:t>）晋环发</w:t>
      </w:r>
      <w:r>
        <w:rPr>
          <w:rFonts w:ascii="Times New Roman" w:hAnsi="Times New Roman" w:eastAsiaTheme="minorEastAsia"/>
          <w:spacing w:val="4"/>
        </w:rPr>
        <w:t>[2015]25</w:t>
      </w:r>
      <w:r>
        <w:rPr>
          <w:rFonts w:hint="eastAsia" w:ascii="Times New Roman" w:hAnsi="Times New Roman" w:eastAsiaTheme="minorEastAsia"/>
          <w:spacing w:val="4"/>
        </w:rPr>
        <w:t>号文</w:t>
      </w:r>
      <w:r>
        <w:rPr>
          <w:rFonts w:ascii="Times New Roman" w:hAnsi="Times New Roman" w:eastAsiaTheme="minorEastAsia"/>
          <w:spacing w:val="4"/>
        </w:rPr>
        <w:t>“</w:t>
      </w:r>
      <w:r>
        <w:rPr>
          <w:rFonts w:hint="eastAsia" w:ascii="Times New Roman" w:hAnsi="Times New Roman" w:eastAsiaTheme="minorEastAsia"/>
          <w:spacing w:val="4"/>
        </w:rPr>
        <w:t>《山西省环境保护厅建设项目主要污染物排放总量核定办法》</w:t>
      </w:r>
      <w:r>
        <w:rPr>
          <w:rFonts w:ascii="Times New Roman" w:hAnsi="Times New Roman" w:eastAsiaTheme="minorEastAsia"/>
          <w:spacing w:val="4"/>
        </w:rPr>
        <w:t>”</w:t>
      </w:r>
      <w:r>
        <w:rPr>
          <w:rFonts w:hint="eastAsia" w:ascii="Times New Roman" w:hAnsi="Times New Roman" w:eastAsiaTheme="minorEastAsia"/>
          <w:spacing w:val="4"/>
        </w:rPr>
        <w:t>；</w:t>
      </w:r>
    </w:p>
    <w:p>
      <w:pPr>
        <w:spacing w:line="360" w:lineRule="auto"/>
        <w:ind w:firstLine="480" w:firstLineChars="200"/>
        <w:rPr>
          <w:rFonts w:eastAsiaTheme="minorEastAsia"/>
          <w:b/>
          <w:sz w:val="24"/>
        </w:rPr>
      </w:pPr>
      <w:r>
        <w:rPr>
          <w:rFonts w:hint="eastAsia" w:eastAsiaTheme="minorEastAsia"/>
          <w:sz w:val="24"/>
        </w:rPr>
        <w:t>（</w:t>
      </w:r>
      <w:r>
        <w:rPr>
          <w:rFonts w:eastAsiaTheme="minorEastAsia"/>
          <w:sz w:val="24"/>
        </w:rPr>
        <w:t>10</w:t>
      </w:r>
      <w:r>
        <w:rPr>
          <w:rFonts w:hint="eastAsia" w:eastAsiaTheme="minorEastAsia"/>
          <w:sz w:val="24"/>
        </w:rPr>
        <w:t>）山西省生态环境厅关于印发《山西省环境保护厅审批环境影响评价文件建设项目目录（</w:t>
      </w:r>
      <w:r>
        <w:rPr>
          <w:rFonts w:eastAsiaTheme="minorEastAsia"/>
          <w:sz w:val="24"/>
        </w:rPr>
        <w:t>2019</w:t>
      </w:r>
      <w:r>
        <w:rPr>
          <w:rFonts w:hint="eastAsia" w:eastAsiaTheme="minorEastAsia"/>
          <w:sz w:val="24"/>
        </w:rPr>
        <w:t>年本）》的通告，</w:t>
      </w:r>
      <w:r>
        <w:rPr>
          <w:rFonts w:eastAsiaTheme="minorEastAsia"/>
          <w:spacing w:val="4"/>
          <w:sz w:val="24"/>
        </w:rPr>
        <w:t>2019</w:t>
      </w:r>
      <w:r>
        <w:rPr>
          <w:rFonts w:hint="eastAsia" w:eastAsiaTheme="minorEastAsia"/>
          <w:spacing w:val="4"/>
          <w:sz w:val="24"/>
        </w:rPr>
        <w:t>年</w:t>
      </w:r>
      <w:r>
        <w:rPr>
          <w:rFonts w:eastAsiaTheme="minorEastAsia"/>
          <w:spacing w:val="4"/>
          <w:sz w:val="24"/>
        </w:rPr>
        <w:t>8</w:t>
      </w:r>
      <w:r>
        <w:rPr>
          <w:rFonts w:hint="eastAsia" w:eastAsiaTheme="minorEastAsia"/>
          <w:spacing w:val="4"/>
          <w:sz w:val="24"/>
        </w:rPr>
        <w:t>月</w:t>
      </w:r>
      <w:r>
        <w:rPr>
          <w:rFonts w:eastAsiaTheme="minorEastAsia"/>
          <w:spacing w:val="4"/>
          <w:sz w:val="24"/>
        </w:rPr>
        <w:t>21</w:t>
      </w:r>
      <w:r>
        <w:rPr>
          <w:rFonts w:hint="eastAsia" w:eastAsiaTheme="minorEastAsia"/>
          <w:spacing w:val="4"/>
          <w:sz w:val="24"/>
        </w:rPr>
        <w:t>日</w:t>
      </w:r>
      <w:r>
        <w:rPr>
          <w:rFonts w:hint="eastAsia" w:eastAsiaTheme="minorEastAsia"/>
          <w:sz w:val="24"/>
        </w:rPr>
        <w:t>；</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11</w:t>
      </w:r>
      <w:r>
        <w:rPr>
          <w:rFonts w:hint="eastAsia" w:eastAsiaTheme="minorEastAsia"/>
          <w:bCs/>
          <w:spacing w:val="4"/>
          <w:sz w:val="24"/>
        </w:rPr>
        <w:t>）《山西省环境保护厅关于加强煤炭行业环评管理促进煤炭供给侧改革的实施方案》（山西省环境保护厅，晋环环评函【</w:t>
      </w:r>
      <w:r>
        <w:rPr>
          <w:rFonts w:eastAsiaTheme="minorEastAsia"/>
          <w:bCs/>
          <w:spacing w:val="4"/>
          <w:sz w:val="24"/>
        </w:rPr>
        <w:t>2016</w:t>
      </w:r>
      <w:r>
        <w:rPr>
          <w:rFonts w:hint="eastAsia" w:eastAsiaTheme="minorEastAsia"/>
          <w:bCs/>
          <w:spacing w:val="4"/>
          <w:sz w:val="24"/>
        </w:rPr>
        <w:t>】</w:t>
      </w:r>
      <w:r>
        <w:rPr>
          <w:rFonts w:eastAsiaTheme="minorEastAsia"/>
          <w:bCs/>
          <w:spacing w:val="4"/>
          <w:sz w:val="24"/>
        </w:rPr>
        <w:t>77</w:t>
      </w:r>
      <w:r>
        <w:rPr>
          <w:rFonts w:hint="eastAsia" w:eastAsiaTheme="minorEastAsia"/>
          <w:bCs/>
          <w:spacing w:val="4"/>
          <w:sz w:val="24"/>
        </w:rPr>
        <w:t>号）；</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12</w:t>
      </w:r>
      <w:r>
        <w:rPr>
          <w:rFonts w:hint="eastAsia" w:eastAsiaTheme="minorEastAsia"/>
          <w:bCs/>
          <w:spacing w:val="4"/>
          <w:sz w:val="24"/>
        </w:rPr>
        <w:t>）《山西省环境保护厅关于印发煤场扬尘污染防治技术规范的通知》（山西省环境保护厅，晋环环评函【</w:t>
      </w:r>
      <w:r>
        <w:rPr>
          <w:rFonts w:eastAsiaTheme="minorEastAsia"/>
          <w:bCs/>
          <w:spacing w:val="4"/>
          <w:sz w:val="24"/>
        </w:rPr>
        <w:t>2017</w:t>
      </w:r>
      <w:r>
        <w:rPr>
          <w:rFonts w:hint="eastAsia" w:eastAsiaTheme="minorEastAsia"/>
          <w:bCs/>
          <w:spacing w:val="4"/>
          <w:sz w:val="24"/>
        </w:rPr>
        <w:t>】</w:t>
      </w:r>
      <w:r>
        <w:rPr>
          <w:rFonts w:eastAsiaTheme="minorEastAsia"/>
          <w:bCs/>
          <w:spacing w:val="4"/>
          <w:sz w:val="24"/>
        </w:rPr>
        <w:t>102</w:t>
      </w:r>
      <w:r>
        <w:rPr>
          <w:rFonts w:hint="eastAsia" w:eastAsiaTheme="minorEastAsia"/>
          <w:bCs/>
          <w:spacing w:val="4"/>
          <w:sz w:val="24"/>
        </w:rPr>
        <w:t>号）；</w:t>
      </w:r>
    </w:p>
    <w:p>
      <w:pPr>
        <w:pStyle w:val="141"/>
        <w:tabs>
          <w:tab w:val="left" w:pos="709"/>
        </w:tabs>
        <w:snapToGrid/>
        <w:spacing w:line="360" w:lineRule="auto"/>
        <w:ind w:firstLine="480" w:firstLineChars="200"/>
        <w:rPr>
          <w:rFonts w:ascii="Times New Roman" w:hAnsi="Times New Roman"/>
          <w:lang w:val="en-US"/>
        </w:rPr>
      </w:pPr>
      <w:r>
        <w:rPr>
          <w:rFonts w:hint="eastAsia" w:ascii="Times New Roman" w:hAnsi="Times New Roman"/>
          <w:lang w:val="en-US"/>
        </w:rPr>
        <w:t>（</w:t>
      </w:r>
      <w:r>
        <w:rPr>
          <w:rFonts w:ascii="Times New Roman" w:hAnsi="Times New Roman"/>
          <w:lang w:val="en-US"/>
        </w:rPr>
        <w:t>13</w:t>
      </w:r>
      <w:r>
        <w:rPr>
          <w:rFonts w:hint="eastAsia" w:ascii="Times New Roman" w:hAnsi="Times New Roman"/>
          <w:lang w:val="en-US"/>
        </w:rPr>
        <w:t>）山西省人民政府晋政办发</w:t>
      </w:r>
      <w:r>
        <w:rPr>
          <w:rFonts w:ascii="Times New Roman" w:hAnsi="Times New Roman"/>
          <w:lang w:val="en-US"/>
        </w:rPr>
        <w:t>[2009]190</w:t>
      </w:r>
      <w:r>
        <w:rPr>
          <w:rFonts w:hint="eastAsia" w:ascii="Times New Roman" w:hAnsi="Times New Roman"/>
          <w:lang w:val="en-US"/>
        </w:rPr>
        <w:t>号</w:t>
      </w:r>
      <w:r>
        <w:rPr>
          <w:rFonts w:ascii="Times New Roman" w:hAnsi="Times New Roman"/>
          <w:lang w:val="en-US"/>
        </w:rPr>
        <w:t>“</w:t>
      </w:r>
      <w:r>
        <w:rPr>
          <w:rFonts w:hint="eastAsia" w:ascii="Times New Roman" w:hAnsi="Times New Roman"/>
          <w:lang w:val="en-US"/>
        </w:rPr>
        <w:t>山西省人民政府办公厅关于印发山西省煤炭开采生态环境恢复治理实施方案的通知</w:t>
      </w:r>
      <w:r>
        <w:rPr>
          <w:rFonts w:ascii="Times New Roman" w:hAnsi="Times New Roman"/>
          <w:lang w:val="en-US"/>
        </w:rPr>
        <w:t>”</w:t>
      </w:r>
      <w:r>
        <w:rPr>
          <w:rFonts w:hint="eastAsia" w:ascii="Times New Roman" w:hAnsi="Times New Roman"/>
          <w:lang w:val="en-US"/>
        </w:rPr>
        <w:t>，（</w:t>
      </w:r>
      <w:r>
        <w:rPr>
          <w:rFonts w:ascii="Times New Roman" w:hAnsi="Times New Roman"/>
          <w:lang w:val="en-US"/>
        </w:rPr>
        <w:t>2009</w:t>
      </w:r>
      <w:r>
        <w:rPr>
          <w:rFonts w:hint="eastAsia" w:ascii="Times New Roman" w:hAnsi="Times New Roman"/>
          <w:lang w:val="en-US"/>
        </w:rPr>
        <w:t>年</w:t>
      </w:r>
      <w:r>
        <w:rPr>
          <w:rFonts w:ascii="Times New Roman" w:hAnsi="Times New Roman"/>
          <w:lang w:val="en-US"/>
        </w:rPr>
        <w:t>12</w:t>
      </w:r>
      <w:r>
        <w:rPr>
          <w:rFonts w:hint="eastAsia" w:ascii="Times New Roman" w:hAnsi="Times New Roman"/>
          <w:lang w:val="en-US"/>
        </w:rPr>
        <w:t>月</w:t>
      </w:r>
      <w:r>
        <w:rPr>
          <w:rFonts w:ascii="Times New Roman" w:hAnsi="Times New Roman"/>
          <w:lang w:val="en-US"/>
        </w:rPr>
        <w:t>18</w:t>
      </w:r>
      <w:r>
        <w:rPr>
          <w:rFonts w:hint="eastAsia" w:ascii="Times New Roman" w:hAnsi="Times New Roman"/>
          <w:lang w:val="en-US"/>
        </w:rPr>
        <w:t>日）；</w:t>
      </w:r>
    </w:p>
    <w:p>
      <w:pPr>
        <w:pStyle w:val="141"/>
        <w:tabs>
          <w:tab w:val="left" w:pos="426"/>
        </w:tabs>
        <w:snapToGrid/>
        <w:spacing w:line="360" w:lineRule="auto"/>
        <w:ind w:firstLine="480" w:firstLineChars="200"/>
        <w:rPr>
          <w:rFonts w:ascii="Times New Roman" w:hAnsi="Times New Roman"/>
          <w:lang w:val="en-US"/>
        </w:rPr>
      </w:pPr>
      <w:r>
        <w:rPr>
          <w:rFonts w:hint="eastAsia" w:ascii="Times New Roman" w:hAnsi="Times New Roman"/>
          <w:lang w:val="en-US"/>
        </w:rPr>
        <w:t>（</w:t>
      </w:r>
      <w:r>
        <w:rPr>
          <w:rFonts w:ascii="Times New Roman" w:hAnsi="Times New Roman"/>
          <w:lang w:val="en-US"/>
        </w:rPr>
        <w:t>14</w:t>
      </w:r>
      <w:r>
        <w:rPr>
          <w:rFonts w:hint="eastAsia" w:ascii="Times New Roman" w:hAnsi="Times New Roman"/>
          <w:lang w:val="en-US"/>
        </w:rPr>
        <w:t>）山西省人民政府办公厅晋政办函</w:t>
      </w:r>
      <w:r>
        <w:rPr>
          <w:rFonts w:ascii="Times New Roman" w:hAnsi="Times New Roman"/>
          <w:lang w:val="en-US"/>
        </w:rPr>
        <w:t>[2010]14</w:t>
      </w:r>
      <w:r>
        <w:rPr>
          <w:rFonts w:hint="eastAsia" w:ascii="Times New Roman" w:hAnsi="Times New Roman"/>
          <w:lang w:val="en-US"/>
        </w:rPr>
        <w:t>号</w:t>
      </w:r>
      <w:r>
        <w:rPr>
          <w:rFonts w:ascii="Times New Roman" w:hAnsi="Times New Roman"/>
          <w:lang w:val="en-US"/>
        </w:rPr>
        <w:t>“</w:t>
      </w:r>
      <w:r>
        <w:rPr>
          <w:rFonts w:hint="eastAsia" w:ascii="Times New Roman" w:hAnsi="Times New Roman"/>
          <w:lang w:val="en-US"/>
        </w:rPr>
        <w:t>山西省人民政府办公厅关于加快推进煤矿企业环境影响评价和关闭矿井生态恢复工作的通知</w:t>
      </w:r>
      <w:r>
        <w:rPr>
          <w:rFonts w:ascii="Times New Roman" w:hAnsi="Times New Roman"/>
          <w:lang w:val="en-US"/>
        </w:rPr>
        <w:t>”</w:t>
      </w:r>
      <w:r>
        <w:rPr>
          <w:rFonts w:hint="eastAsia" w:ascii="Times New Roman" w:hAnsi="Times New Roman"/>
          <w:lang w:val="en-US"/>
        </w:rPr>
        <w:t>，（</w:t>
      </w:r>
      <w:r>
        <w:rPr>
          <w:rFonts w:ascii="Times New Roman" w:hAnsi="Times New Roman"/>
          <w:lang w:val="en-US"/>
        </w:rPr>
        <w:t>2010</w:t>
      </w:r>
      <w:r>
        <w:rPr>
          <w:rFonts w:hint="eastAsia" w:ascii="Times New Roman" w:hAnsi="Times New Roman"/>
          <w:lang w:val="en-US"/>
        </w:rPr>
        <w:t>年</w:t>
      </w:r>
      <w:r>
        <w:rPr>
          <w:rFonts w:ascii="Times New Roman" w:hAnsi="Times New Roman"/>
          <w:lang w:val="en-US"/>
        </w:rPr>
        <w:t>2</w:t>
      </w:r>
      <w:r>
        <w:rPr>
          <w:rFonts w:hint="eastAsia" w:ascii="Times New Roman" w:hAnsi="Times New Roman"/>
          <w:lang w:val="en-US"/>
        </w:rPr>
        <w:t>月</w:t>
      </w:r>
      <w:r>
        <w:rPr>
          <w:rFonts w:ascii="Times New Roman" w:hAnsi="Times New Roman"/>
          <w:lang w:val="en-US"/>
        </w:rPr>
        <w:t>10</w:t>
      </w:r>
      <w:r>
        <w:rPr>
          <w:rFonts w:hint="eastAsia" w:ascii="Times New Roman" w:hAnsi="Times New Roman"/>
          <w:lang w:val="en-US"/>
        </w:rPr>
        <w:t>日；</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rPr>
        <w:t>1</w:t>
      </w:r>
      <w:r>
        <w:rPr>
          <w:rFonts w:ascii="Times New Roman" w:hAnsi="Times New Roman"/>
          <w:lang w:val="en-US"/>
        </w:rPr>
        <w:t>5</w:t>
      </w:r>
      <w:r>
        <w:rPr>
          <w:rFonts w:hint="eastAsia" w:ascii="Times New Roman" w:hAnsi="Times New Roman"/>
        </w:rPr>
        <w:t>）</w:t>
      </w:r>
      <w:bookmarkStart w:id="57" w:name="_Hlk522097552"/>
      <w:r>
        <w:rPr>
          <w:rFonts w:hint="eastAsia" w:ascii="Times New Roman" w:hAnsi="Times New Roman"/>
        </w:rPr>
        <w:t>山西省环境保护厅、山西省质量技术监督局《关于在全省范围执行大气污染物特别排放限值的公告》（</w:t>
      </w:r>
      <w:r>
        <w:rPr>
          <w:rFonts w:ascii="Times New Roman" w:hAnsi="Times New Roman"/>
        </w:rPr>
        <w:t>2018</w:t>
      </w:r>
      <w:r>
        <w:rPr>
          <w:rFonts w:hint="eastAsia" w:ascii="Times New Roman" w:hAnsi="Times New Roman"/>
        </w:rPr>
        <w:t>年第</w:t>
      </w:r>
      <w:r>
        <w:rPr>
          <w:rFonts w:ascii="Times New Roman" w:hAnsi="Times New Roman"/>
        </w:rPr>
        <w:t>1</w:t>
      </w:r>
      <w:r>
        <w:rPr>
          <w:rFonts w:hint="eastAsia" w:ascii="Times New Roman" w:hAnsi="Times New Roman"/>
        </w:rPr>
        <w:t>号，</w:t>
      </w:r>
      <w:r>
        <w:rPr>
          <w:rFonts w:ascii="Times New Roman" w:hAnsi="Times New Roman"/>
        </w:rPr>
        <w:t>2018</w:t>
      </w:r>
      <w:r>
        <w:rPr>
          <w:rFonts w:hint="eastAsia" w:ascii="Times New Roman" w:hAnsi="Times New Roman"/>
        </w:rPr>
        <w:t>年</w:t>
      </w:r>
      <w:r>
        <w:rPr>
          <w:rFonts w:ascii="Times New Roman" w:hAnsi="Times New Roman"/>
        </w:rPr>
        <w:t>6</w:t>
      </w:r>
      <w:r>
        <w:rPr>
          <w:rFonts w:hint="eastAsia" w:ascii="Times New Roman" w:hAnsi="Times New Roman"/>
        </w:rPr>
        <w:t>月</w:t>
      </w:r>
      <w:r>
        <w:rPr>
          <w:rFonts w:ascii="Times New Roman" w:hAnsi="Times New Roman"/>
        </w:rPr>
        <w:t>15</w:t>
      </w:r>
      <w:r>
        <w:rPr>
          <w:rFonts w:hint="eastAsia" w:ascii="Times New Roman" w:hAnsi="Times New Roman"/>
        </w:rPr>
        <w:t>日）；</w:t>
      </w:r>
    </w:p>
    <w:p>
      <w:pPr>
        <w:pStyle w:val="141"/>
        <w:snapToGrid/>
        <w:spacing w:line="360" w:lineRule="auto"/>
        <w:rPr>
          <w:rFonts w:ascii="Times New Roman" w:hAnsi="Times New Roman"/>
        </w:rPr>
      </w:pPr>
      <w:r>
        <w:rPr>
          <w:rFonts w:hint="eastAsia" w:ascii="Times New Roman" w:hAnsi="Times New Roman"/>
        </w:rPr>
        <w:t>（</w:t>
      </w:r>
      <w:r>
        <w:rPr>
          <w:rFonts w:ascii="Times New Roman" w:hAnsi="Times New Roman"/>
          <w:lang w:val="en-US"/>
        </w:rPr>
        <w:t>16</w:t>
      </w:r>
      <w:r>
        <w:rPr>
          <w:rFonts w:hint="eastAsia" w:ascii="Times New Roman" w:hAnsi="Times New Roman"/>
        </w:rPr>
        <w:t>）山西省人民政府</w:t>
      </w:r>
      <w:r>
        <w:rPr>
          <w:rFonts w:ascii="Times New Roman" w:hAnsi="Times New Roman"/>
        </w:rPr>
        <w:t>“</w:t>
      </w:r>
      <w:r>
        <w:rPr>
          <w:rFonts w:hint="eastAsia" w:ascii="Times New Roman" w:hAnsi="Times New Roman"/>
        </w:rPr>
        <w:t>关于印发山西省打赢蓝天保卫战</w:t>
      </w:r>
      <w:r>
        <w:rPr>
          <w:rFonts w:ascii="Times New Roman" w:hAnsi="Times New Roman"/>
        </w:rPr>
        <w:t>2020</w:t>
      </w:r>
      <w:r>
        <w:rPr>
          <w:rFonts w:hint="eastAsia" w:ascii="Times New Roman" w:hAnsi="Times New Roman"/>
        </w:rPr>
        <w:t>年决战计划的通知</w:t>
      </w:r>
      <w:r>
        <w:rPr>
          <w:rFonts w:ascii="Times New Roman" w:hAnsi="Times New Roman"/>
        </w:rPr>
        <w:t>”</w:t>
      </w:r>
      <w:r>
        <w:rPr>
          <w:rFonts w:hint="eastAsia" w:ascii="Times New Roman" w:hAnsi="Times New Roman"/>
        </w:rPr>
        <w:t>，晋政办发</w:t>
      </w:r>
      <w:r>
        <w:rPr>
          <w:rFonts w:ascii="Times New Roman" w:hAnsi="Times New Roman"/>
        </w:rPr>
        <w:t>[2020]17</w:t>
      </w:r>
      <w:r>
        <w:rPr>
          <w:rFonts w:hint="eastAsia" w:ascii="Times New Roman" w:hAnsi="Times New Roman"/>
        </w:rPr>
        <w:t>号，</w:t>
      </w:r>
      <w:r>
        <w:rPr>
          <w:rFonts w:ascii="Times New Roman" w:hAnsi="Times New Roman"/>
        </w:rPr>
        <w:t>2020</w:t>
      </w:r>
      <w:r>
        <w:rPr>
          <w:rFonts w:hint="eastAsia" w:ascii="Times New Roman" w:hAnsi="Times New Roman"/>
        </w:rPr>
        <w:t>年</w:t>
      </w:r>
      <w:r>
        <w:rPr>
          <w:rFonts w:ascii="Times New Roman" w:hAnsi="Times New Roman"/>
        </w:rPr>
        <w:t>3</w:t>
      </w:r>
      <w:r>
        <w:rPr>
          <w:rFonts w:hint="eastAsia" w:ascii="Times New Roman" w:hAnsi="Times New Roman"/>
        </w:rPr>
        <w:t>月</w:t>
      </w:r>
      <w:r>
        <w:rPr>
          <w:rFonts w:ascii="Times New Roman" w:hAnsi="Times New Roman"/>
        </w:rPr>
        <w:t>12</w:t>
      </w:r>
      <w:r>
        <w:rPr>
          <w:rFonts w:hint="eastAsia" w:ascii="Times New Roman" w:hAnsi="Times New Roman"/>
        </w:rPr>
        <w:t>日执行</w:t>
      </w:r>
      <w:bookmarkEnd w:id="57"/>
      <w:r>
        <w:rPr>
          <w:rFonts w:hint="eastAsia" w:ascii="Times New Roman" w:hAnsi="Times New Roman"/>
        </w:rPr>
        <w:t>；</w:t>
      </w:r>
    </w:p>
    <w:p>
      <w:pPr>
        <w:pStyle w:val="141"/>
        <w:snapToGrid/>
        <w:spacing w:line="360" w:lineRule="auto"/>
        <w:rPr>
          <w:rFonts w:ascii="Times New Roman" w:hAnsi="Times New Roman"/>
        </w:rPr>
      </w:pPr>
      <w:r>
        <w:rPr>
          <w:rFonts w:hint="eastAsia" w:ascii="Times New Roman" w:hAnsi="Times New Roman"/>
        </w:rPr>
        <w:t>（17）《山西省土壤污染防治条例》，</w:t>
      </w:r>
      <w:r>
        <w:rPr>
          <w:rFonts w:ascii="Times New Roman" w:hAnsi="Times New Roman"/>
        </w:rPr>
        <w:t>2020</w:t>
      </w:r>
      <w:r>
        <w:rPr>
          <w:rFonts w:hint="eastAsia" w:ascii="Times New Roman" w:hAnsi="Times New Roman"/>
        </w:rPr>
        <w:t>年1月</w:t>
      </w:r>
      <w:r>
        <w:rPr>
          <w:rFonts w:ascii="Times New Roman" w:hAnsi="Times New Roman"/>
        </w:rPr>
        <w:t>1</w:t>
      </w:r>
      <w:r>
        <w:rPr>
          <w:rFonts w:hint="eastAsia" w:ascii="Times New Roman" w:hAnsi="Times New Roman"/>
        </w:rPr>
        <w:t>日执行；</w:t>
      </w:r>
    </w:p>
    <w:p>
      <w:pPr>
        <w:spacing w:line="360" w:lineRule="auto"/>
        <w:ind w:firstLine="496" w:firstLineChars="200"/>
        <w:rPr>
          <w:rFonts w:eastAsiaTheme="minorEastAsia"/>
          <w:spacing w:val="4"/>
          <w:sz w:val="24"/>
        </w:rPr>
      </w:pPr>
      <w:r>
        <w:rPr>
          <w:rFonts w:hint="eastAsia" w:eastAsiaTheme="minorEastAsia"/>
          <w:spacing w:val="4"/>
          <w:sz w:val="24"/>
        </w:rPr>
        <w:t>（18）吕梁市人民政府办公室，关于印发</w:t>
      </w:r>
      <w:r>
        <w:rPr>
          <w:rFonts w:hint="eastAsia" w:eastAsiaTheme="minorEastAsia"/>
          <w:bCs/>
          <w:spacing w:val="4"/>
          <w:sz w:val="24"/>
        </w:rPr>
        <w:t>《</w:t>
      </w:r>
      <w:r>
        <w:rPr>
          <w:rFonts w:eastAsiaTheme="minorEastAsia"/>
          <w:bCs/>
          <w:spacing w:val="4"/>
          <w:sz w:val="24"/>
        </w:rPr>
        <w:t>吕梁市区及周边大气污染防治攻坚行动方案</w:t>
      </w:r>
      <w:r>
        <w:rPr>
          <w:rFonts w:hint="eastAsia" w:eastAsiaTheme="minorEastAsia"/>
          <w:bCs/>
          <w:spacing w:val="4"/>
          <w:sz w:val="24"/>
        </w:rPr>
        <w:t>》的通知；</w:t>
      </w:r>
      <w:r>
        <w:rPr>
          <w:rFonts w:eastAsiaTheme="minorEastAsia"/>
          <w:bCs/>
          <w:spacing w:val="4"/>
          <w:sz w:val="24"/>
        </w:rPr>
        <w:t>吕政办发〔20</w:t>
      </w:r>
      <w:r>
        <w:rPr>
          <w:rFonts w:hint="eastAsia" w:eastAsiaTheme="minorEastAsia"/>
          <w:bCs/>
          <w:spacing w:val="4"/>
          <w:sz w:val="24"/>
        </w:rPr>
        <w:t>18</w:t>
      </w:r>
      <w:r>
        <w:rPr>
          <w:rFonts w:eastAsiaTheme="minorEastAsia"/>
          <w:bCs/>
          <w:spacing w:val="4"/>
          <w:sz w:val="24"/>
        </w:rPr>
        <w:t>〕</w:t>
      </w:r>
      <w:r>
        <w:rPr>
          <w:rFonts w:hint="eastAsia" w:eastAsiaTheme="minorEastAsia"/>
          <w:bCs/>
          <w:spacing w:val="4"/>
          <w:sz w:val="24"/>
        </w:rPr>
        <w:t>20</w:t>
      </w:r>
      <w:r>
        <w:rPr>
          <w:rFonts w:eastAsiaTheme="minorEastAsia"/>
          <w:bCs/>
          <w:spacing w:val="4"/>
          <w:sz w:val="24"/>
        </w:rPr>
        <w:t>号</w:t>
      </w:r>
      <w:r>
        <w:rPr>
          <w:rFonts w:hint="eastAsia" w:eastAsiaTheme="minorEastAsia"/>
          <w:spacing w:val="4"/>
          <w:sz w:val="24"/>
        </w:rPr>
        <w:t>；</w:t>
      </w:r>
    </w:p>
    <w:p>
      <w:pPr>
        <w:spacing w:line="360" w:lineRule="auto"/>
        <w:ind w:firstLine="496" w:firstLineChars="200"/>
        <w:rPr>
          <w:rFonts w:eastAsiaTheme="minorEastAsia"/>
          <w:spacing w:val="4"/>
          <w:sz w:val="24"/>
        </w:rPr>
      </w:pPr>
      <w:r>
        <w:rPr>
          <w:rFonts w:hint="eastAsia" w:eastAsiaTheme="minorEastAsia"/>
          <w:spacing w:val="4"/>
          <w:sz w:val="24"/>
        </w:rPr>
        <w:t>（19）吕梁市人民政府办公室，关于印发</w:t>
      </w:r>
      <w:r>
        <w:rPr>
          <w:rFonts w:hint="eastAsia" w:eastAsiaTheme="minorEastAsia"/>
          <w:bCs/>
          <w:spacing w:val="4"/>
          <w:sz w:val="24"/>
        </w:rPr>
        <w:t>《吕梁市打赢蓝天保卫战 2020 年决战计划》的通知；</w:t>
      </w:r>
      <w:r>
        <w:rPr>
          <w:rFonts w:eastAsiaTheme="minorEastAsia"/>
          <w:bCs/>
          <w:spacing w:val="4"/>
          <w:sz w:val="24"/>
        </w:rPr>
        <w:t>吕政办发〔2020〕19号</w:t>
      </w:r>
      <w:r>
        <w:rPr>
          <w:rFonts w:hint="eastAsia" w:eastAsiaTheme="minorEastAsia"/>
          <w:spacing w:val="4"/>
          <w:sz w:val="24"/>
        </w:rPr>
        <w:t>；</w:t>
      </w:r>
    </w:p>
    <w:p>
      <w:pPr>
        <w:spacing w:line="360" w:lineRule="auto"/>
        <w:ind w:firstLine="496" w:firstLineChars="200"/>
        <w:rPr>
          <w:rFonts w:eastAsiaTheme="minorEastAsia"/>
          <w:spacing w:val="4"/>
          <w:sz w:val="24"/>
        </w:rPr>
      </w:pPr>
      <w:r>
        <w:rPr>
          <w:rFonts w:hint="eastAsia" w:eastAsiaTheme="minorEastAsia"/>
          <w:spacing w:val="4"/>
          <w:sz w:val="24"/>
        </w:rPr>
        <w:t>（20）吕梁市生态环境建设保护工作领导小组办公室，关于印发</w:t>
      </w:r>
      <w:r>
        <w:rPr>
          <w:rFonts w:hint="eastAsia" w:eastAsiaTheme="minorEastAsia"/>
          <w:bCs/>
          <w:spacing w:val="4"/>
          <w:sz w:val="24"/>
        </w:rPr>
        <w:t>《吕梁市水污染防治2020年行动计划》的通知</w:t>
      </w:r>
      <w:r>
        <w:rPr>
          <w:rFonts w:hint="eastAsia" w:eastAsiaTheme="minorEastAsia"/>
          <w:spacing w:val="4"/>
          <w:sz w:val="24"/>
        </w:rPr>
        <w:t>;</w:t>
      </w:r>
    </w:p>
    <w:p>
      <w:pPr>
        <w:spacing w:line="360" w:lineRule="auto"/>
        <w:ind w:firstLine="496" w:firstLineChars="200"/>
        <w:rPr>
          <w:rFonts w:eastAsiaTheme="minorEastAsia"/>
          <w:spacing w:val="4"/>
          <w:sz w:val="24"/>
        </w:rPr>
      </w:pPr>
      <w:r>
        <w:rPr>
          <w:rFonts w:hint="eastAsia" w:eastAsiaTheme="minorEastAsia"/>
          <w:spacing w:val="4"/>
          <w:sz w:val="24"/>
        </w:rPr>
        <w:t>（21）吕梁市生态环境建设保护工作领导小组办公室，关于印发</w:t>
      </w:r>
      <w:r>
        <w:rPr>
          <w:rFonts w:hint="eastAsia" w:eastAsiaTheme="minorEastAsia"/>
          <w:bCs/>
          <w:spacing w:val="4"/>
          <w:sz w:val="24"/>
        </w:rPr>
        <w:t>《吕梁市土壤污染防治2020年行动计划》的通知</w:t>
      </w:r>
      <w:r>
        <w:rPr>
          <w:rFonts w:hint="eastAsia" w:eastAsiaTheme="minorEastAsia"/>
          <w:spacing w:val="4"/>
          <w:sz w:val="24"/>
        </w:rPr>
        <w:t>。</w:t>
      </w:r>
    </w:p>
    <w:p>
      <w:pPr>
        <w:spacing w:line="360" w:lineRule="auto"/>
        <w:outlineLvl w:val="2"/>
        <w:rPr>
          <w:rFonts w:eastAsiaTheme="minorEastAsia"/>
          <w:b/>
          <w:sz w:val="24"/>
        </w:rPr>
      </w:pPr>
      <w:r>
        <w:rPr>
          <w:rFonts w:eastAsiaTheme="minorEastAsia"/>
          <w:b/>
          <w:sz w:val="24"/>
        </w:rPr>
        <w:t>2.1.3</w:t>
      </w:r>
      <w:r>
        <w:rPr>
          <w:rFonts w:hAnsiTheme="minorEastAsia" w:eastAsiaTheme="minorEastAsia"/>
          <w:b/>
          <w:sz w:val="24"/>
        </w:rPr>
        <w:t>技术依据</w:t>
      </w:r>
      <w:bookmarkEnd w:id="53"/>
      <w:bookmarkEnd w:id="54"/>
      <w:bookmarkEnd w:id="55"/>
      <w:bookmarkEnd w:id="56"/>
    </w:p>
    <w:p>
      <w:pPr>
        <w:spacing w:line="360" w:lineRule="auto"/>
        <w:ind w:firstLine="496" w:firstLineChars="200"/>
        <w:rPr>
          <w:rFonts w:eastAsiaTheme="minorEastAsia"/>
          <w:spacing w:val="4"/>
          <w:sz w:val="24"/>
        </w:rPr>
      </w:pPr>
      <w:bookmarkStart w:id="58" w:name="_Toc99439545"/>
      <w:bookmarkStart w:id="59" w:name="_Toc87096971"/>
      <w:bookmarkStart w:id="60" w:name="_Toc168481415"/>
      <w:bookmarkStart w:id="61" w:name="_Toc225155065"/>
      <w:r>
        <w:rPr>
          <w:rFonts w:hint="eastAsia" w:eastAsiaTheme="minorEastAsia"/>
          <w:spacing w:val="4"/>
          <w:sz w:val="24"/>
        </w:rPr>
        <w:t>（</w:t>
      </w:r>
      <w:r>
        <w:rPr>
          <w:rFonts w:eastAsiaTheme="minorEastAsia"/>
          <w:spacing w:val="4"/>
          <w:sz w:val="24"/>
        </w:rPr>
        <w:t>1</w:t>
      </w:r>
      <w:r>
        <w:rPr>
          <w:rFonts w:hint="eastAsia" w:eastAsiaTheme="minorEastAsia"/>
          <w:spacing w:val="4"/>
          <w:sz w:val="24"/>
        </w:rPr>
        <w:t>）《建设项目环境影响评价技术导则总纲》（</w:t>
      </w:r>
      <w:r>
        <w:rPr>
          <w:rFonts w:eastAsiaTheme="minorEastAsia"/>
          <w:spacing w:val="4"/>
          <w:sz w:val="24"/>
        </w:rPr>
        <w:t>HJ2.1-2016</w:t>
      </w:r>
      <w:r>
        <w:rPr>
          <w:rFonts w:hint="eastAsia" w:eastAsiaTheme="minorEastAsia"/>
          <w:spacing w:val="4"/>
          <w:sz w:val="24"/>
        </w:rPr>
        <w:t>）；</w:t>
      </w:r>
    </w:p>
    <w:p>
      <w:pPr>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2</w:t>
      </w:r>
      <w:r>
        <w:rPr>
          <w:rFonts w:hint="eastAsia" w:eastAsiaTheme="minorEastAsia"/>
          <w:spacing w:val="4"/>
          <w:sz w:val="24"/>
        </w:rPr>
        <w:t>）《环境影响评价技术导则大气环境》（</w:t>
      </w:r>
      <w:r>
        <w:rPr>
          <w:rFonts w:eastAsiaTheme="minorEastAsia"/>
          <w:spacing w:val="4"/>
          <w:sz w:val="24"/>
        </w:rPr>
        <w:t>HJ2.2-2018</w:t>
      </w:r>
      <w:r>
        <w:rPr>
          <w:rFonts w:hint="eastAsia" w:eastAsiaTheme="minorEastAsia"/>
          <w:spacing w:val="4"/>
          <w:sz w:val="24"/>
        </w:rPr>
        <w:t>）；</w:t>
      </w:r>
    </w:p>
    <w:p>
      <w:pPr>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3</w:t>
      </w:r>
      <w:r>
        <w:rPr>
          <w:rFonts w:hint="eastAsia" w:eastAsiaTheme="minorEastAsia"/>
          <w:spacing w:val="4"/>
          <w:sz w:val="24"/>
        </w:rPr>
        <w:t>）《环境影响评价技术导则声环境》（</w:t>
      </w:r>
      <w:r>
        <w:rPr>
          <w:rFonts w:eastAsiaTheme="minorEastAsia"/>
          <w:spacing w:val="4"/>
          <w:sz w:val="24"/>
        </w:rPr>
        <w:t>HJ2.4-2009</w:t>
      </w:r>
      <w:r>
        <w:rPr>
          <w:rFonts w:hint="eastAsia" w:eastAsiaTheme="minorEastAsia"/>
          <w:spacing w:val="4"/>
          <w:sz w:val="24"/>
        </w:rPr>
        <w:t>）；</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4</w:t>
      </w:r>
      <w:r>
        <w:rPr>
          <w:rFonts w:hint="eastAsia" w:eastAsiaTheme="minorEastAsia"/>
          <w:bCs/>
          <w:spacing w:val="4"/>
          <w:sz w:val="24"/>
        </w:rPr>
        <w:t>）《环境影响评价技术导则生态影响》（</w:t>
      </w:r>
      <w:r>
        <w:rPr>
          <w:rFonts w:eastAsiaTheme="minorEastAsia"/>
          <w:bCs/>
          <w:spacing w:val="4"/>
          <w:sz w:val="24"/>
        </w:rPr>
        <w:t>HJ19-2011</w:t>
      </w:r>
      <w:r>
        <w:rPr>
          <w:rFonts w:hint="eastAsia" w:eastAsiaTheme="minorEastAsia"/>
          <w:bCs/>
          <w:spacing w:val="4"/>
          <w:sz w:val="24"/>
        </w:rPr>
        <w:t>）；</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5</w:t>
      </w:r>
      <w:r>
        <w:rPr>
          <w:rFonts w:hint="eastAsia" w:eastAsiaTheme="minorEastAsia"/>
          <w:bCs/>
          <w:spacing w:val="4"/>
          <w:sz w:val="24"/>
        </w:rPr>
        <w:t>）《环境影响评价技术导则地面水环境》（</w:t>
      </w:r>
      <w:r>
        <w:rPr>
          <w:rFonts w:eastAsiaTheme="minorEastAsia"/>
          <w:bCs/>
          <w:spacing w:val="4"/>
          <w:sz w:val="24"/>
        </w:rPr>
        <w:t>HJ2.3-2018</w:t>
      </w:r>
      <w:r>
        <w:rPr>
          <w:rFonts w:hint="eastAsia" w:eastAsiaTheme="minorEastAsia"/>
          <w:bCs/>
          <w:spacing w:val="4"/>
          <w:sz w:val="24"/>
        </w:rPr>
        <w:t>）；</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6</w:t>
      </w:r>
      <w:r>
        <w:rPr>
          <w:rFonts w:hint="eastAsia" w:eastAsiaTheme="minorEastAsia"/>
          <w:bCs/>
          <w:spacing w:val="4"/>
          <w:sz w:val="24"/>
        </w:rPr>
        <w:t>）《环境影响评价技术导则地下水环境》（</w:t>
      </w:r>
      <w:r>
        <w:rPr>
          <w:rFonts w:eastAsiaTheme="minorEastAsia"/>
          <w:bCs/>
          <w:spacing w:val="4"/>
          <w:sz w:val="24"/>
        </w:rPr>
        <w:t>HJ610-2016</w:t>
      </w:r>
      <w:r>
        <w:rPr>
          <w:rFonts w:hint="eastAsia" w:eastAsiaTheme="minorEastAsia"/>
          <w:bCs/>
          <w:spacing w:val="4"/>
          <w:sz w:val="24"/>
        </w:rPr>
        <w:t>）；</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7</w:t>
      </w:r>
      <w:r>
        <w:rPr>
          <w:rFonts w:hint="eastAsia" w:eastAsiaTheme="minorEastAsia"/>
          <w:bCs/>
          <w:spacing w:val="4"/>
          <w:sz w:val="24"/>
        </w:rPr>
        <w:t>）《环境影响评价技术导则土壤环境（试行）》（</w:t>
      </w:r>
      <w:r>
        <w:rPr>
          <w:rFonts w:eastAsiaTheme="minorEastAsia"/>
          <w:bCs/>
          <w:spacing w:val="4"/>
          <w:sz w:val="24"/>
        </w:rPr>
        <w:t>HJ964-2018</w:t>
      </w:r>
      <w:r>
        <w:rPr>
          <w:rFonts w:hint="eastAsia" w:eastAsiaTheme="minorEastAsia"/>
          <w:bCs/>
          <w:spacing w:val="4"/>
          <w:sz w:val="24"/>
        </w:rPr>
        <w:t>）；</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8</w:t>
      </w:r>
      <w:r>
        <w:rPr>
          <w:rFonts w:hint="eastAsia" w:eastAsiaTheme="minorEastAsia"/>
          <w:bCs/>
          <w:spacing w:val="4"/>
          <w:sz w:val="24"/>
        </w:rPr>
        <w:t>）《建设项目环境风险评价技术导则》（</w:t>
      </w:r>
      <w:r>
        <w:rPr>
          <w:rFonts w:eastAsiaTheme="minorEastAsia"/>
          <w:bCs/>
          <w:spacing w:val="4"/>
          <w:sz w:val="24"/>
        </w:rPr>
        <w:t>HJ169-2018</w:t>
      </w:r>
      <w:r>
        <w:rPr>
          <w:rFonts w:hint="eastAsia" w:eastAsiaTheme="minorEastAsia"/>
          <w:bCs/>
          <w:spacing w:val="4"/>
          <w:sz w:val="24"/>
        </w:rPr>
        <w:t>）；</w:t>
      </w:r>
    </w:p>
    <w:p>
      <w:pPr>
        <w:pStyle w:val="39"/>
        <w:ind w:firstLine="496"/>
        <w:rPr>
          <w:rFonts w:ascii="Times New Roman" w:hAnsi="Times New Roman" w:eastAsiaTheme="minorEastAsia"/>
          <w:bCs/>
          <w:spacing w:val="4"/>
        </w:rPr>
      </w:pPr>
      <w:r>
        <w:rPr>
          <w:rFonts w:hint="eastAsia" w:ascii="Times New Roman" w:hAnsi="Times New Roman" w:eastAsiaTheme="minorEastAsia"/>
          <w:bCs/>
          <w:spacing w:val="4"/>
        </w:rPr>
        <w:t>（</w:t>
      </w:r>
      <w:r>
        <w:rPr>
          <w:rFonts w:ascii="Times New Roman" w:hAnsi="Times New Roman" w:eastAsiaTheme="minorEastAsia"/>
          <w:bCs/>
          <w:spacing w:val="4"/>
        </w:rPr>
        <w:t>9</w:t>
      </w:r>
      <w:r>
        <w:rPr>
          <w:rFonts w:hint="eastAsia" w:ascii="Times New Roman" w:hAnsi="Times New Roman" w:eastAsiaTheme="minorEastAsia"/>
          <w:bCs/>
          <w:spacing w:val="4"/>
        </w:rPr>
        <w:t>）</w:t>
      </w:r>
      <w:r>
        <w:rPr>
          <w:rFonts w:hint="eastAsia" w:ascii="Times New Roman" w:hAnsi="Times New Roman" w:eastAsiaTheme="minorEastAsia"/>
        </w:rPr>
        <w:t>《环境影响评价技术导则煤炭采选工程》</w:t>
      </w:r>
      <w:r>
        <w:rPr>
          <w:rFonts w:hint="eastAsia" w:ascii="Times New Roman" w:hAnsi="Times New Roman" w:eastAsiaTheme="minorEastAsia"/>
          <w:spacing w:val="4"/>
        </w:rPr>
        <w:t>（</w:t>
      </w:r>
      <w:r>
        <w:rPr>
          <w:rFonts w:ascii="Times New Roman" w:hAnsi="Times New Roman" w:eastAsiaTheme="minorEastAsia"/>
          <w:spacing w:val="4"/>
        </w:rPr>
        <w:t>HJ619-2011</w:t>
      </w:r>
      <w:r>
        <w:rPr>
          <w:rFonts w:hint="eastAsia" w:ascii="Times New Roman" w:hAnsi="Times New Roman" w:eastAsiaTheme="minorEastAsia"/>
          <w:spacing w:val="4"/>
        </w:rPr>
        <w:t>）；</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10</w:t>
      </w:r>
      <w:r>
        <w:rPr>
          <w:rFonts w:hint="eastAsia" w:eastAsiaTheme="minorEastAsia"/>
          <w:bCs/>
          <w:spacing w:val="4"/>
          <w:sz w:val="24"/>
        </w:rPr>
        <w:t>）《煤炭工业矿井设计规范》（</w:t>
      </w:r>
      <w:r>
        <w:rPr>
          <w:rFonts w:eastAsiaTheme="minorEastAsia"/>
          <w:bCs/>
          <w:spacing w:val="4"/>
          <w:sz w:val="24"/>
        </w:rPr>
        <w:t>GB50215-2005</w:t>
      </w:r>
      <w:r>
        <w:rPr>
          <w:rFonts w:hint="eastAsia" w:eastAsiaTheme="minorEastAsia"/>
          <w:bCs/>
          <w:spacing w:val="4"/>
          <w:sz w:val="24"/>
        </w:rPr>
        <w:t>）；</w:t>
      </w:r>
    </w:p>
    <w:p>
      <w:pPr>
        <w:pStyle w:val="141"/>
        <w:snapToGrid/>
        <w:spacing w:line="360" w:lineRule="auto"/>
        <w:rPr>
          <w:rFonts w:ascii="Times New Roman" w:hAnsi="Times New Roman" w:eastAsiaTheme="minorEastAsia"/>
          <w:bCs/>
          <w:lang w:val="en-US"/>
        </w:rPr>
      </w:pPr>
      <w:r>
        <w:rPr>
          <w:rFonts w:hint="eastAsia" w:ascii="Times New Roman" w:hAnsi="Times New Roman" w:eastAsiaTheme="minorEastAsia"/>
        </w:rPr>
        <w:t>（</w:t>
      </w:r>
      <w:r>
        <w:rPr>
          <w:rFonts w:ascii="Times New Roman" w:hAnsi="Times New Roman" w:eastAsiaTheme="minorEastAsia"/>
        </w:rPr>
        <w:t>11</w:t>
      </w:r>
      <w:r>
        <w:rPr>
          <w:rFonts w:hint="eastAsia" w:ascii="Times New Roman" w:hAnsi="Times New Roman" w:eastAsiaTheme="minorEastAsia"/>
        </w:rPr>
        <w:t>）</w:t>
      </w:r>
      <w:r>
        <w:rPr>
          <w:rFonts w:hint="eastAsia" w:ascii="Times New Roman" w:hAnsi="Times New Roman" w:eastAsiaTheme="minorEastAsia"/>
          <w:bCs/>
          <w:lang w:val="en-US"/>
        </w:rPr>
        <w:t>《煤矿井下消防、洒水设计规范》（</w:t>
      </w:r>
      <w:r>
        <w:rPr>
          <w:rFonts w:ascii="Times New Roman" w:hAnsi="Times New Roman" w:eastAsiaTheme="minorEastAsia"/>
          <w:bCs/>
          <w:lang w:val="en-US"/>
        </w:rPr>
        <w:t>GB50383-2016</w:t>
      </w:r>
      <w:r>
        <w:rPr>
          <w:rFonts w:hint="eastAsia" w:ascii="Times New Roman" w:hAnsi="Times New Roman" w:eastAsiaTheme="minorEastAsia"/>
          <w:bCs/>
          <w:lang w:val="en-US"/>
        </w:rPr>
        <w:t>）；</w:t>
      </w:r>
    </w:p>
    <w:p>
      <w:pPr>
        <w:pStyle w:val="141"/>
        <w:snapToGrid/>
        <w:spacing w:line="360" w:lineRule="auto"/>
        <w:rPr>
          <w:rFonts w:ascii="Times New Roman" w:hAnsi="Times New Roman" w:eastAsiaTheme="minorEastAsia"/>
        </w:rPr>
      </w:pPr>
      <w:r>
        <w:rPr>
          <w:rFonts w:hint="eastAsia" w:ascii="Times New Roman" w:hAnsi="Times New Roman" w:eastAsiaTheme="minorEastAsia"/>
          <w:bCs/>
          <w:lang w:val="en-US"/>
        </w:rPr>
        <w:t>（</w:t>
      </w:r>
      <w:r>
        <w:rPr>
          <w:rFonts w:ascii="Times New Roman" w:hAnsi="Times New Roman" w:eastAsiaTheme="minorEastAsia"/>
          <w:bCs/>
          <w:lang w:val="en-US"/>
        </w:rPr>
        <w:t>12</w:t>
      </w:r>
      <w:r>
        <w:rPr>
          <w:rFonts w:hint="eastAsia" w:ascii="Times New Roman" w:hAnsi="Times New Roman" w:eastAsiaTheme="minorEastAsia"/>
          <w:bCs/>
          <w:lang w:val="en-US"/>
        </w:rPr>
        <w:t>）《煤炭洗选工程设计规范》（</w:t>
      </w:r>
      <w:r>
        <w:rPr>
          <w:rFonts w:ascii="Times New Roman" w:hAnsi="Times New Roman" w:eastAsiaTheme="minorEastAsia"/>
          <w:bCs/>
          <w:lang w:val="en-US"/>
        </w:rPr>
        <w:t>GB50359-2016</w:t>
      </w:r>
      <w:r>
        <w:rPr>
          <w:rFonts w:hint="eastAsia" w:ascii="Times New Roman" w:hAnsi="Times New Roman" w:eastAsiaTheme="minorEastAsia"/>
          <w:bCs/>
          <w:lang w:val="en-US"/>
        </w:rPr>
        <w:t>）；</w:t>
      </w:r>
    </w:p>
    <w:p>
      <w:pPr>
        <w:pStyle w:val="39"/>
        <w:ind w:firstLine="496"/>
        <w:rPr>
          <w:rFonts w:ascii="Times New Roman" w:hAnsi="Times New Roman" w:eastAsiaTheme="minorEastAsia"/>
          <w:spacing w:val="4"/>
        </w:rPr>
      </w:pPr>
      <w:r>
        <w:rPr>
          <w:rFonts w:hint="eastAsia" w:ascii="Times New Roman" w:hAnsi="Times New Roman" w:eastAsiaTheme="minorEastAsia"/>
          <w:spacing w:val="4"/>
        </w:rPr>
        <w:t>（</w:t>
      </w:r>
      <w:r>
        <w:rPr>
          <w:rFonts w:ascii="Times New Roman" w:hAnsi="Times New Roman" w:eastAsiaTheme="minorEastAsia"/>
          <w:spacing w:val="4"/>
        </w:rPr>
        <w:t>13</w:t>
      </w:r>
      <w:r>
        <w:rPr>
          <w:rFonts w:hint="eastAsia" w:ascii="Times New Roman" w:hAnsi="Times New Roman" w:eastAsiaTheme="minorEastAsia"/>
          <w:spacing w:val="4"/>
        </w:rPr>
        <w:t>）《建筑物、水体、铁路及主要井巷煤柱留设与压煤开采规范》，国家安全监管总局，国家煤矿安监局，国家能源局，国家铁路局，</w:t>
      </w:r>
      <w:r>
        <w:rPr>
          <w:rFonts w:ascii="Times New Roman" w:hAnsi="Times New Roman" w:eastAsiaTheme="minorEastAsia"/>
          <w:spacing w:val="4"/>
        </w:rPr>
        <w:t>2017</w:t>
      </w:r>
      <w:r>
        <w:rPr>
          <w:rFonts w:hint="eastAsia" w:ascii="Times New Roman" w:hAnsi="Times New Roman" w:eastAsiaTheme="minorEastAsia"/>
          <w:spacing w:val="4"/>
        </w:rPr>
        <w:t>年</w:t>
      </w:r>
      <w:r>
        <w:rPr>
          <w:rFonts w:ascii="Times New Roman" w:hAnsi="Times New Roman" w:eastAsiaTheme="minorEastAsia"/>
          <w:spacing w:val="4"/>
        </w:rPr>
        <w:t>5</w:t>
      </w:r>
      <w:r>
        <w:rPr>
          <w:rFonts w:hint="eastAsia" w:ascii="Times New Roman" w:hAnsi="Times New Roman" w:eastAsiaTheme="minorEastAsia"/>
          <w:spacing w:val="4"/>
        </w:rPr>
        <w:t>月；</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14</w:t>
      </w:r>
      <w:r>
        <w:rPr>
          <w:rFonts w:hint="eastAsia" w:eastAsiaTheme="minorEastAsia"/>
          <w:bCs/>
          <w:spacing w:val="4"/>
          <w:sz w:val="24"/>
        </w:rPr>
        <w:t>）《国家危险废物名录》（2021年版）；</w:t>
      </w:r>
    </w:p>
    <w:p>
      <w:pPr>
        <w:spacing w:line="360" w:lineRule="auto"/>
        <w:ind w:firstLine="496" w:firstLineChars="200"/>
        <w:rPr>
          <w:rFonts w:eastAsiaTheme="minorEastAsia"/>
          <w:bCs/>
          <w:spacing w:val="4"/>
          <w:sz w:val="24"/>
        </w:rPr>
      </w:pPr>
      <w:r>
        <w:rPr>
          <w:rFonts w:hint="eastAsia" w:eastAsiaTheme="minorEastAsia"/>
          <w:bCs/>
          <w:spacing w:val="4"/>
          <w:sz w:val="24"/>
        </w:rPr>
        <w:t>（</w:t>
      </w:r>
      <w:r>
        <w:rPr>
          <w:rFonts w:eastAsiaTheme="minorEastAsia"/>
          <w:bCs/>
          <w:spacing w:val="4"/>
          <w:sz w:val="24"/>
        </w:rPr>
        <w:t>15</w:t>
      </w:r>
      <w:r>
        <w:rPr>
          <w:rFonts w:hint="eastAsia" w:eastAsiaTheme="minorEastAsia"/>
          <w:bCs/>
          <w:spacing w:val="4"/>
          <w:sz w:val="24"/>
        </w:rPr>
        <w:t>）《危险化学品重大危险源辨识》（</w:t>
      </w:r>
      <w:r>
        <w:rPr>
          <w:rFonts w:eastAsiaTheme="minorEastAsia"/>
          <w:bCs/>
          <w:spacing w:val="4"/>
          <w:sz w:val="24"/>
        </w:rPr>
        <w:t>GB18218-2018</w:t>
      </w:r>
      <w:r>
        <w:rPr>
          <w:rFonts w:hint="eastAsia" w:eastAsiaTheme="minorEastAsia"/>
          <w:bCs/>
          <w:spacing w:val="4"/>
          <w:sz w:val="24"/>
        </w:rPr>
        <w:t>）；</w:t>
      </w:r>
    </w:p>
    <w:p>
      <w:pPr>
        <w:spacing w:line="360" w:lineRule="auto"/>
        <w:ind w:firstLine="496" w:firstLineChars="200"/>
        <w:rPr>
          <w:rFonts w:eastAsiaTheme="minorEastAsia"/>
          <w:spacing w:val="4"/>
          <w:sz w:val="24"/>
        </w:rPr>
      </w:pPr>
      <w:r>
        <w:rPr>
          <w:rFonts w:hint="eastAsia" w:eastAsiaTheme="minorEastAsia"/>
          <w:spacing w:val="4"/>
          <w:sz w:val="24"/>
        </w:rPr>
        <w:t>（</w:t>
      </w:r>
      <w:r>
        <w:rPr>
          <w:rFonts w:eastAsiaTheme="minorEastAsia"/>
          <w:spacing w:val="4"/>
          <w:sz w:val="24"/>
        </w:rPr>
        <w:t>16</w:t>
      </w:r>
      <w:r>
        <w:rPr>
          <w:rFonts w:hint="eastAsia" w:eastAsiaTheme="minorEastAsia"/>
          <w:spacing w:val="4"/>
          <w:sz w:val="24"/>
        </w:rPr>
        <w:t>）《煤矿防治水规定》国家安全生产监督管理总局令第</w:t>
      </w:r>
      <w:r>
        <w:rPr>
          <w:rFonts w:eastAsiaTheme="minorEastAsia"/>
          <w:spacing w:val="4"/>
          <w:sz w:val="24"/>
        </w:rPr>
        <w:t>28</w:t>
      </w:r>
      <w:r>
        <w:rPr>
          <w:rFonts w:hint="eastAsia" w:eastAsiaTheme="minorEastAsia"/>
          <w:spacing w:val="4"/>
          <w:sz w:val="24"/>
        </w:rPr>
        <w:t>号，</w:t>
      </w:r>
      <w:r>
        <w:rPr>
          <w:rFonts w:eastAsiaTheme="minorEastAsia"/>
          <w:spacing w:val="4"/>
          <w:sz w:val="24"/>
        </w:rPr>
        <w:t>2009</w:t>
      </w:r>
      <w:r>
        <w:rPr>
          <w:rFonts w:hint="eastAsia" w:eastAsiaTheme="minorEastAsia"/>
          <w:spacing w:val="4"/>
          <w:sz w:val="24"/>
        </w:rPr>
        <w:t>年</w:t>
      </w:r>
      <w:r>
        <w:rPr>
          <w:rFonts w:eastAsiaTheme="minorEastAsia"/>
          <w:spacing w:val="4"/>
          <w:sz w:val="24"/>
        </w:rPr>
        <w:t>9</w:t>
      </w:r>
      <w:r>
        <w:rPr>
          <w:rFonts w:hint="eastAsia" w:eastAsiaTheme="minorEastAsia"/>
          <w:spacing w:val="4"/>
          <w:sz w:val="24"/>
        </w:rPr>
        <w:t>月</w:t>
      </w:r>
      <w:r>
        <w:rPr>
          <w:rFonts w:eastAsiaTheme="minorEastAsia"/>
          <w:spacing w:val="4"/>
          <w:sz w:val="24"/>
        </w:rPr>
        <w:t>21</w:t>
      </w:r>
      <w:r>
        <w:rPr>
          <w:rFonts w:hint="eastAsia" w:eastAsiaTheme="minorEastAsia"/>
          <w:spacing w:val="4"/>
          <w:sz w:val="24"/>
        </w:rPr>
        <w:t>日。</w:t>
      </w:r>
    </w:p>
    <w:p>
      <w:pPr>
        <w:spacing w:line="360" w:lineRule="auto"/>
        <w:outlineLvl w:val="2"/>
        <w:rPr>
          <w:rFonts w:eastAsiaTheme="minorEastAsia"/>
          <w:b/>
          <w:sz w:val="24"/>
        </w:rPr>
      </w:pPr>
      <w:r>
        <w:rPr>
          <w:rFonts w:eastAsiaTheme="minorEastAsia"/>
          <w:b/>
          <w:sz w:val="24"/>
        </w:rPr>
        <w:t>2.1.4</w:t>
      </w:r>
      <w:r>
        <w:rPr>
          <w:rFonts w:hAnsiTheme="minorEastAsia" w:eastAsiaTheme="minorEastAsia"/>
          <w:b/>
          <w:sz w:val="24"/>
        </w:rPr>
        <w:t>参考资料</w:t>
      </w:r>
      <w:bookmarkEnd w:id="58"/>
      <w:bookmarkEnd w:id="59"/>
      <w:bookmarkEnd w:id="60"/>
      <w:bookmarkEnd w:id="61"/>
    </w:p>
    <w:p>
      <w:pPr>
        <w:pStyle w:val="39"/>
        <w:ind w:firstLine="496"/>
        <w:rPr>
          <w:rFonts w:ascii="Times New Roman" w:hAnsi="Times New Roman" w:eastAsiaTheme="minorEastAsia"/>
          <w:b/>
          <w:bCs/>
          <w:spacing w:val="4"/>
          <w:highlight w:val="yellow"/>
        </w:rPr>
      </w:pPr>
      <w:r>
        <w:rPr>
          <w:rFonts w:ascii="Times New Roman" w:hAnsiTheme="minorEastAsia" w:eastAsiaTheme="minorEastAsia"/>
          <w:bCs/>
          <w:spacing w:val="4"/>
        </w:rPr>
        <w:t>（</w:t>
      </w:r>
      <w:r>
        <w:rPr>
          <w:rFonts w:hint="eastAsia" w:ascii="Times New Roman" w:hAnsi="Times New Roman" w:eastAsiaTheme="minorEastAsia"/>
          <w:bCs/>
          <w:spacing w:val="4"/>
        </w:rPr>
        <w:t>1</w:t>
      </w:r>
      <w:r>
        <w:rPr>
          <w:rFonts w:ascii="Times New Roman" w:hAnsiTheme="minorEastAsia" w:eastAsiaTheme="minorEastAsia"/>
          <w:bCs/>
          <w:spacing w:val="4"/>
        </w:rPr>
        <w:t>）</w:t>
      </w:r>
      <w:r>
        <w:rPr>
          <w:rFonts w:ascii="Times New Roman" w:hAnsiTheme="minorEastAsia" w:eastAsiaTheme="minorEastAsia"/>
          <w:spacing w:val="4"/>
        </w:rPr>
        <w:t>《</w:t>
      </w:r>
      <w:r>
        <w:rPr>
          <w:rFonts w:hint="eastAsia" w:ascii="Times New Roman" w:hAnsiTheme="minorEastAsia" w:eastAsiaTheme="minorEastAsia"/>
          <w:bCs/>
        </w:rPr>
        <w:t>山西煤炭运销集团新工煤业有限公司兼并重组整合矿井地质报告</w:t>
      </w:r>
      <w:r>
        <w:rPr>
          <w:rFonts w:ascii="Times New Roman" w:hAnsiTheme="minorEastAsia" w:eastAsiaTheme="minorEastAsia"/>
          <w:spacing w:val="4"/>
        </w:rPr>
        <w:t>》</w:t>
      </w:r>
      <w:r>
        <w:rPr>
          <w:rFonts w:ascii="Times New Roman" w:hAnsiTheme="minorEastAsia" w:eastAsiaTheme="minorEastAsia"/>
          <w:bCs/>
          <w:spacing w:val="4"/>
        </w:rPr>
        <w:t>，</w:t>
      </w:r>
      <w:r>
        <w:rPr>
          <w:rFonts w:hint="eastAsia" w:ascii="Times New Roman" w:hAnsiTheme="minorEastAsia" w:eastAsiaTheme="minorEastAsia"/>
          <w:bCs/>
          <w:spacing w:val="4"/>
        </w:rPr>
        <w:t>山西同地源地质矿产技术有限公司</w:t>
      </w:r>
      <w:r>
        <w:rPr>
          <w:rFonts w:ascii="Times New Roman" w:hAnsiTheme="minorEastAsia" w:eastAsiaTheme="minorEastAsia"/>
          <w:bCs/>
          <w:spacing w:val="4"/>
        </w:rPr>
        <w:t>，</w:t>
      </w:r>
      <w:r>
        <w:rPr>
          <w:rFonts w:ascii="Times New Roman" w:hAnsi="Times New Roman" w:eastAsiaTheme="minorEastAsia"/>
          <w:bCs/>
          <w:spacing w:val="4"/>
        </w:rPr>
        <w:t>201</w:t>
      </w:r>
      <w:r>
        <w:rPr>
          <w:rFonts w:hint="eastAsia" w:ascii="Times New Roman" w:hAnsi="Times New Roman" w:eastAsiaTheme="minorEastAsia"/>
          <w:bCs/>
          <w:spacing w:val="4"/>
        </w:rPr>
        <w:t>0</w:t>
      </w:r>
      <w:r>
        <w:rPr>
          <w:rFonts w:ascii="Times New Roman" w:hAnsiTheme="minorEastAsia" w:eastAsiaTheme="minorEastAsia"/>
          <w:bCs/>
          <w:spacing w:val="4"/>
        </w:rPr>
        <w:t>年</w:t>
      </w:r>
      <w:r>
        <w:rPr>
          <w:rFonts w:hint="eastAsia" w:ascii="Times New Roman" w:hAnsi="Times New Roman" w:eastAsiaTheme="minorEastAsia"/>
          <w:bCs/>
          <w:spacing w:val="4"/>
        </w:rPr>
        <w:t>10</w:t>
      </w:r>
      <w:r>
        <w:rPr>
          <w:rFonts w:ascii="Times New Roman" w:hAnsiTheme="minorEastAsia" w:eastAsiaTheme="minorEastAsia"/>
          <w:bCs/>
          <w:spacing w:val="4"/>
        </w:rPr>
        <w:t>月；</w:t>
      </w:r>
    </w:p>
    <w:p>
      <w:pPr>
        <w:pStyle w:val="39"/>
        <w:ind w:firstLine="496"/>
        <w:rPr>
          <w:rFonts w:hAnsiTheme="minorEastAsia" w:eastAsiaTheme="minorEastAsia"/>
          <w:b/>
          <w:bCs/>
        </w:rPr>
      </w:pPr>
      <w:r>
        <w:rPr>
          <w:rFonts w:ascii="Times New Roman" w:hAnsiTheme="minorEastAsia" w:eastAsiaTheme="minorEastAsia"/>
          <w:bCs/>
          <w:spacing w:val="4"/>
        </w:rPr>
        <w:t>（</w:t>
      </w:r>
      <w:r>
        <w:rPr>
          <w:rFonts w:hint="eastAsia" w:ascii="Times New Roman" w:hAnsi="Times New Roman" w:eastAsiaTheme="minorEastAsia"/>
          <w:bCs/>
          <w:spacing w:val="4"/>
        </w:rPr>
        <w:t>2</w:t>
      </w:r>
      <w:r>
        <w:rPr>
          <w:rFonts w:ascii="Times New Roman" w:hAnsiTheme="minorEastAsia" w:eastAsiaTheme="minorEastAsia"/>
          <w:bCs/>
          <w:spacing w:val="4"/>
        </w:rPr>
        <w:t>）</w:t>
      </w:r>
      <w:r>
        <w:rPr>
          <w:rFonts w:ascii="Times New Roman" w:hAnsiTheme="minorEastAsia" w:eastAsiaTheme="minorEastAsia"/>
          <w:spacing w:val="4"/>
        </w:rPr>
        <w:t>《山西</w:t>
      </w:r>
      <w:r>
        <w:rPr>
          <w:rFonts w:hint="eastAsia" w:ascii="Times New Roman" w:hAnsiTheme="minorEastAsia" w:eastAsiaTheme="minorEastAsia"/>
          <w:spacing w:val="4"/>
        </w:rPr>
        <w:t>煤炭运销集团新工煤业</w:t>
      </w:r>
      <w:r>
        <w:rPr>
          <w:rFonts w:ascii="Times New Roman" w:hAnsiTheme="minorEastAsia" w:eastAsiaTheme="minorEastAsia"/>
          <w:spacing w:val="4"/>
        </w:rPr>
        <w:t>有限公司</w:t>
      </w:r>
      <w:r>
        <w:rPr>
          <w:rFonts w:hint="eastAsia" w:ascii="Times New Roman" w:hAnsiTheme="minorEastAsia" w:eastAsiaTheme="minorEastAsia"/>
          <w:spacing w:val="4"/>
        </w:rPr>
        <w:t>120万t/a矿井兼并重组整合项目</w:t>
      </w:r>
      <w:r>
        <w:rPr>
          <w:rFonts w:ascii="Times New Roman" w:hAnsiTheme="minorEastAsia" w:eastAsiaTheme="minorEastAsia"/>
          <w:bCs/>
          <w:spacing w:val="4"/>
        </w:rPr>
        <w:t>环境影响报告书</w:t>
      </w:r>
      <w:r>
        <w:rPr>
          <w:rFonts w:ascii="Times New Roman" w:hAnsiTheme="minorEastAsia" w:eastAsiaTheme="minorEastAsia"/>
        </w:rPr>
        <w:t>》，</w:t>
      </w:r>
      <w:r>
        <w:rPr>
          <w:rFonts w:hint="eastAsia" w:hAnsiTheme="minorEastAsia" w:eastAsiaTheme="minorEastAsia"/>
          <w:bCs/>
        </w:rPr>
        <w:t>山西清源环境咨询有限公司</w:t>
      </w:r>
      <w:r>
        <w:rPr>
          <w:rFonts w:ascii="Times New Roman" w:hAnsiTheme="minorEastAsia" w:eastAsiaTheme="minorEastAsia"/>
        </w:rPr>
        <w:t>，</w:t>
      </w:r>
      <w:r>
        <w:rPr>
          <w:rFonts w:ascii="Times New Roman" w:hAnsi="Times New Roman" w:eastAsiaTheme="minorEastAsia"/>
        </w:rPr>
        <w:t>20</w:t>
      </w:r>
      <w:r>
        <w:rPr>
          <w:rFonts w:hint="eastAsia" w:ascii="Times New Roman" w:hAnsi="Times New Roman" w:eastAsiaTheme="minorEastAsia"/>
        </w:rPr>
        <w:t>14</w:t>
      </w:r>
      <w:r>
        <w:rPr>
          <w:rFonts w:ascii="Times New Roman" w:hAnsiTheme="minorEastAsia" w:eastAsiaTheme="minorEastAsia"/>
        </w:rPr>
        <w:t>年</w:t>
      </w:r>
      <w:r>
        <w:rPr>
          <w:rFonts w:hint="eastAsia" w:ascii="Times New Roman" w:hAnsi="Times New Roman" w:eastAsiaTheme="minorEastAsia"/>
        </w:rPr>
        <w:t>7</w:t>
      </w:r>
      <w:r>
        <w:rPr>
          <w:rFonts w:ascii="Times New Roman" w:hAnsiTheme="minorEastAsia" w:eastAsiaTheme="minorEastAsia"/>
        </w:rPr>
        <w:t>月；</w:t>
      </w:r>
    </w:p>
    <w:p>
      <w:pPr>
        <w:pStyle w:val="39"/>
        <w:ind w:firstLine="496"/>
        <w:rPr>
          <w:rFonts w:ascii="Times New Roman" w:hAnsi="Times New Roman" w:eastAsiaTheme="minorEastAsia"/>
          <w:bCs/>
          <w:spacing w:val="4"/>
        </w:rPr>
      </w:pPr>
      <w:r>
        <w:rPr>
          <w:rFonts w:ascii="Times New Roman" w:hAnsiTheme="minorEastAsia" w:eastAsiaTheme="minorEastAsia"/>
          <w:bCs/>
          <w:spacing w:val="4"/>
        </w:rPr>
        <w:t>（</w:t>
      </w:r>
      <w:r>
        <w:rPr>
          <w:rFonts w:hint="eastAsia" w:ascii="Times New Roman" w:hAnsi="Times New Roman" w:eastAsiaTheme="minorEastAsia"/>
          <w:bCs/>
          <w:spacing w:val="4"/>
        </w:rPr>
        <w:t>3</w:t>
      </w:r>
      <w:r>
        <w:rPr>
          <w:rFonts w:ascii="Times New Roman" w:hAnsiTheme="minorEastAsia" w:eastAsiaTheme="minorEastAsia"/>
          <w:bCs/>
          <w:spacing w:val="4"/>
        </w:rPr>
        <w:t>）大气环境影响评价（童志权，中国环境科学出版社）；</w:t>
      </w:r>
    </w:p>
    <w:p>
      <w:pPr>
        <w:pStyle w:val="39"/>
        <w:ind w:firstLine="496"/>
        <w:rPr>
          <w:rFonts w:ascii="Times New Roman" w:hAnsi="Times New Roman" w:eastAsiaTheme="minorEastAsia"/>
          <w:bCs/>
          <w:spacing w:val="4"/>
        </w:rPr>
      </w:pPr>
      <w:r>
        <w:rPr>
          <w:rFonts w:ascii="Times New Roman" w:hAnsiTheme="minorEastAsia" w:eastAsiaTheme="minorEastAsia"/>
          <w:bCs/>
          <w:spacing w:val="4"/>
        </w:rPr>
        <w:t>（</w:t>
      </w:r>
      <w:r>
        <w:rPr>
          <w:rFonts w:hint="eastAsia" w:ascii="Times New Roman" w:hAnsi="Times New Roman" w:eastAsiaTheme="minorEastAsia"/>
          <w:bCs/>
          <w:spacing w:val="4"/>
        </w:rPr>
        <w:t>4</w:t>
      </w:r>
      <w:r>
        <w:rPr>
          <w:rFonts w:ascii="Times New Roman" w:hAnsiTheme="minorEastAsia" w:eastAsiaTheme="minorEastAsia"/>
          <w:bCs/>
          <w:spacing w:val="4"/>
        </w:rPr>
        <w:t>）环境影响评价技术原则与方法（北京大学出版社）；</w:t>
      </w:r>
    </w:p>
    <w:p>
      <w:pPr>
        <w:pStyle w:val="39"/>
        <w:ind w:firstLine="496"/>
        <w:rPr>
          <w:rFonts w:ascii="Times New Roman" w:hAnsi="Times New Roman" w:eastAsiaTheme="minorEastAsia"/>
          <w:bCs/>
          <w:spacing w:val="4"/>
        </w:rPr>
      </w:pPr>
      <w:r>
        <w:rPr>
          <w:rFonts w:ascii="Times New Roman" w:hAnsiTheme="minorEastAsia" w:eastAsiaTheme="minorEastAsia"/>
          <w:bCs/>
          <w:spacing w:val="4"/>
        </w:rPr>
        <w:t>（</w:t>
      </w:r>
      <w:r>
        <w:rPr>
          <w:rFonts w:hint="eastAsia" w:ascii="Times New Roman" w:hAnsi="Times New Roman" w:eastAsiaTheme="minorEastAsia"/>
          <w:bCs/>
          <w:spacing w:val="4"/>
        </w:rPr>
        <w:t>5</w:t>
      </w:r>
      <w:r>
        <w:rPr>
          <w:rFonts w:ascii="Times New Roman" w:hAnsiTheme="minorEastAsia" w:eastAsiaTheme="minorEastAsia"/>
          <w:bCs/>
          <w:spacing w:val="4"/>
        </w:rPr>
        <w:t>）建设项目</w:t>
      </w:r>
      <w:r>
        <w:rPr>
          <w:rFonts w:ascii="Times New Roman" w:hAnsiTheme="minorEastAsia" w:eastAsiaTheme="minorEastAsia"/>
          <w:spacing w:val="4"/>
        </w:rPr>
        <w:t>环境影响评价</w:t>
      </w:r>
      <w:r>
        <w:rPr>
          <w:rFonts w:ascii="Times New Roman" w:hAnsiTheme="minorEastAsia" w:eastAsiaTheme="minorEastAsia"/>
          <w:bCs/>
          <w:spacing w:val="4"/>
        </w:rPr>
        <w:t>（史宝忠，中国环境科学出版社）；</w:t>
      </w:r>
    </w:p>
    <w:p>
      <w:pPr>
        <w:pStyle w:val="39"/>
        <w:ind w:firstLine="496"/>
        <w:rPr>
          <w:rFonts w:ascii="Times New Roman" w:hAnsi="Times New Roman" w:eastAsiaTheme="minorEastAsia"/>
          <w:bCs/>
          <w:spacing w:val="4"/>
        </w:rPr>
      </w:pPr>
      <w:r>
        <w:rPr>
          <w:rFonts w:ascii="Times New Roman" w:hAnsiTheme="minorEastAsia" w:eastAsiaTheme="minorEastAsia"/>
          <w:bCs/>
          <w:spacing w:val="4"/>
        </w:rPr>
        <w:t>（</w:t>
      </w:r>
      <w:r>
        <w:rPr>
          <w:rFonts w:hint="eastAsia" w:ascii="Times New Roman" w:hAnsi="Times New Roman" w:eastAsiaTheme="minorEastAsia"/>
          <w:bCs/>
          <w:spacing w:val="4"/>
        </w:rPr>
        <w:t>6</w:t>
      </w:r>
      <w:r>
        <w:rPr>
          <w:rFonts w:ascii="Times New Roman" w:hAnsiTheme="minorEastAsia" w:eastAsiaTheme="minorEastAsia"/>
          <w:bCs/>
          <w:spacing w:val="4"/>
        </w:rPr>
        <w:t>）大气环境标准</w:t>
      </w:r>
      <w:r>
        <w:rPr>
          <w:rFonts w:ascii="Times New Roman" w:hAnsiTheme="minorEastAsia" w:eastAsiaTheme="minorEastAsia"/>
          <w:spacing w:val="4"/>
        </w:rPr>
        <w:t>工作手册</w:t>
      </w:r>
      <w:r>
        <w:rPr>
          <w:rFonts w:ascii="Times New Roman" w:hAnsiTheme="minorEastAsia" w:eastAsiaTheme="minorEastAsia"/>
          <w:bCs/>
          <w:spacing w:val="4"/>
        </w:rPr>
        <w:t>（国家环保总局编）；</w:t>
      </w:r>
    </w:p>
    <w:p>
      <w:pPr>
        <w:pStyle w:val="39"/>
        <w:ind w:firstLine="496"/>
        <w:rPr>
          <w:rFonts w:ascii="Times New Roman" w:hAnsi="Times New Roman" w:eastAsiaTheme="minorEastAsia"/>
          <w:bCs/>
          <w:spacing w:val="4"/>
        </w:rPr>
      </w:pPr>
      <w:r>
        <w:rPr>
          <w:rFonts w:ascii="Times New Roman" w:hAnsiTheme="minorEastAsia" w:eastAsiaTheme="minorEastAsia"/>
          <w:bCs/>
          <w:spacing w:val="4"/>
        </w:rPr>
        <w:t>（</w:t>
      </w:r>
      <w:r>
        <w:rPr>
          <w:rFonts w:hint="eastAsia" w:ascii="Times New Roman" w:hAnsi="Times New Roman" w:eastAsiaTheme="minorEastAsia"/>
          <w:bCs/>
          <w:spacing w:val="4"/>
        </w:rPr>
        <w:t>7</w:t>
      </w:r>
      <w:r>
        <w:rPr>
          <w:rFonts w:ascii="Times New Roman" w:hAnsiTheme="minorEastAsia" w:eastAsiaTheme="minorEastAsia"/>
          <w:bCs/>
          <w:spacing w:val="4"/>
        </w:rPr>
        <w:t>）</w:t>
      </w:r>
      <w:r>
        <w:rPr>
          <w:rFonts w:ascii="Times New Roman" w:hAnsiTheme="minorEastAsia" w:eastAsiaTheme="minorEastAsia"/>
          <w:spacing w:val="4"/>
        </w:rPr>
        <w:t>《开发建设环境管理》</w:t>
      </w:r>
      <w:r>
        <w:rPr>
          <w:rFonts w:ascii="Times New Roman" w:hAnsiTheme="minorEastAsia" w:eastAsiaTheme="minorEastAsia"/>
          <w:bCs/>
          <w:spacing w:val="4"/>
        </w:rPr>
        <w:t>（中国环境科学出版社）侯正伟；</w:t>
      </w:r>
    </w:p>
    <w:p>
      <w:pPr>
        <w:pStyle w:val="39"/>
        <w:ind w:firstLine="496"/>
        <w:rPr>
          <w:rFonts w:ascii="Times New Roman" w:hAnsi="Times New Roman" w:eastAsiaTheme="minorEastAsia"/>
          <w:bCs/>
          <w:spacing w:val="4"/>
        </w:rPr>
      </w:pPr>
      <w:r>
        <w:rPr>
          <w:rFonts w:ascii="Times New Roman" w:hAnsiTheme="minorEastAsia" w:eastAsiaTheme="minorEastAsia"/>
          <w:bCs/>
          <w:spacing w:val="4"/>
        </w:rPr>
        <w:t>（</w:t>
      </w:r>
      <w:r>
        <w:rPr>
          <w:rFonts w:hint="eastAsia" w:ascii="Times New Roman" w:hAnsi="Times New Roman" w:eastAsiaTheme="minorEastAsia"/>
          <w:bCs/>
          <w:spacing w:val="4"/>
        </w:rPr>
        <w:t>8</w:t>
      </w:r>
      <w:r>
        <w:rPr>
          <w:rFonts w:ascii="Times New Roman" w:hAnsiTheme="minorEastAsia" w:eastAsiaTheme="minorEastAsia"/>
          <w:bCs/>
          <w:spacing w:val="4"/>
        </w:rPr>
        <w:t>）</w:t>
      </w:r>
      <w:r>
        <w:rPr>
          <w:rFonts w:ascii="Times New Roman" w:hAnsiTheme="minorEastAsia" w:eastAsiaTheme="minorEastAsia"/>
          <w:spacing w:val="4"/>
        </w:rPr>
        <w:t>《山西地下水环境特征与保护研究》</w:t>
      </w:r>
      <w:r>
        <w:rPr>
          <w:rFonts w:ascii="Times New Roman" w:hAnsiTheme="minorEastAsia" w:eastAsiaTheme="minorEastAsia"/>
          <w:bCs/>
          <w:spacing w:val="4"/>
        </w:rPr>
        <w:t>，杜锐、董克等；</w:t>
      </w:r>
    </w:p>
    <w:p>
      <w:pPr>
        <w:pStyle w:val="39"/>
        <w:ind w:firstLine="496"/>
        <w:rPr>
          <w:rFonts w:ascii="Times New Roman" w:hAnsi="Times New Roman" w:eastAsiaTheme="minorEastAsia"/>
          <w:spacing w:val="4"/>
        </w:rPr>
      </w:pPr>
      <w:r>
        <w:rPr>
          <w:rFonts w:ascii="Times New Roman" w:hAnsiTheme="minorEastAsia" w:eastAsiaTheme="minorEastAsia"/>
          <w:bCs/>
          <w:spacing w:val="4"/>
        </w:rPr>
        <w:t>（</w:t>
      </w:r>
      <w:r>
        <w:rPr>
          <w:rFonts w:hint="eastAsia" w:ascii="Times New Roman" w:hAnsi="Times New Roman" w:eastAsiaTheme="minorEastAsia"/>
          <w:bCs/>
          <w:spacing w:val="4"/>
        </w:rPr>
        <w:t>9</w:t>
      </w:r>
      <w:r>
        <w:rPr>
          <w:rFonts w:ascii="Times New Roman" w:hAnsiTheme="minorEastAsia" w:eastAsiaTheme="minorEastAsia"/>
          <w:bCs/>
          <w:spacing w:val="4"/>
        </w:rPr>
        <w:t>）</w:t>
      </w:r>
      <w:r>
        <w:rPr>
          <w:rFonts w:ascii="Times New Roman" w:hAnsiTheme="minorEastAsia" w:eastAsiaTheme="minorEastAsia"/>
          <w:spacing w:val="4"/>
        </w:rPr>
        <w:t>矿方提供的其它资料。</w:t>
      </w:r>
    </w:p>
    <w:p>
      <w:pPr>
        <w:pStyle w:val="3"/>
        <w:spacing w:before="0" w:after="0" w:line="360" w:lineRule="auto"/>
        <w:rPr>
          <w:rFonts w:ascii="Times New Roman" w:hAnsi="Times New Roman" w:eastAsiaTheme="minorEastAsia"/>
          <w:bCs w:val="0"/>
          <w:sz w:val="28"/>
        </w:rPr>
      </w:pPr>
      <w:bookmarkStart w:id="62" w:name="_Toc507765525"/>
      <w:bookmarkStart w:id="63" w:name="_Toc501291647"/>
      <w:bookmarkStart w:id="64" w:name="_Toc71551921"/>
      <w:bookmarkStart w:id="65" w:name="_Toc351651128"/>
      <w:bookmarkStart w:id="66" w:name="_Toc180747262"/>
      <w:bookmarkStart w:id="67" w:name="_Toc182074477"/>
      <w:bookmarkStart w:id="68" w:name="_Toc184336161"/>
      <w:bookmarkStart w:id="69" w:name="_Toc248722021"/>
      <w:bookmarkStart w:id="70" w:name="_Toc201573536"/>
      <w:bookmarkStart w:id="71" w:name="_Toc246967653"/>
      <w:bookmarkStart w:id="72" w:name="_Toc182074608"/>
      <w:bookmarkStart w:id="73" w:name="_Toc247600813"/>
      <w:bookmarkStart w:id="74" w:name="_Toc180709805"/>
      <w:bookmarkStart w:id="75" w:name="_Toc281976415"/>
      <w:bookmarkStart w:id="76" w:name="_Toc285254414"/>
      <w:bookmarkStart w:id="77" w:name="_Toc252263828"/>
      <w:bookmarkStart w:id="78" w:name="_Toc285981754"/>
      <w:bookmarkStart w:id="79" w:name="_Toc287816192"/>
      <w:bookmarkStart w:id="80" w:name="_Toc480708210"/>
      <w:bookmarkStart w:id="81" w:name="_Toc147820528"/>
      <w:bookmarkStart w:id="82" w:name="_Toc124051376"/>
      <w:bookmarkStart w:id="83" w:name="_Toc168481419"/>
      <w:bookmarkStart w:id="84" w:name="_Toc225155070"/>
      <w:bookmarkStart w:id="85" w:name="_Toc247622618"/>
      <w:bookmarkStart w:id="86" w:name="_Toc255195778"/>
      <w:bookmarkStart w:id="87" w:name="_Toc104373036"/>
      <w:r>
        <w:rPr>
          <w:rFonts w:ascii="Times New Roman" w:hAnsi="Times New Roman" w:eastAsiaTheme="minorEastAsia"/>
          <w:bCs w:val="0"/>
          <w:sz w:val="28"/>
        </w:rPr>
        <w:t xml:space="preserve">2.2 </w:t>
      </w:r>
      <w:r>
        <w:rPr>
          <w:rFonts w:ascii="Times New Roman" w:hAnsiTheme="minorEastAsia" w:eastAsiaTheme="minorEastAsia"/>
          <w:bCs w:val="0"/>
          <w:sz w:val="28"/>
        </w:rPr>
        <w:t>评价目的及原则</w:t>
      </w:r>
      <w:bookmarkEnd w:id="62"/>
      <w:bookmarkEnd w:id="63"/>
      <w:bookmarkEnd w:id="64"/>
    </w:p>
    <w:p>
      <w:pPr>
        <w:spacing w:line="360" w:lineRule="auto"/>
        <w:outlineLvl w:val="2"/>
        <w:rPr>
          <w:rFonts w:eastAsiaTheme="minorEastAsia"/>
          <w:b/>
          <w:sz w:val="24"/>
        </w:rPr>
      </w:pPr>
      <w:r>
        <w:rPr>
          <w:rFonts w:eastAsiaTheme="minorEastAsia"/>
          <w:b/>
          <w:sz w:val="24"/>
        </w:rPr>
        <w:t>2.2.1</w:t>
      </w:r>
      <w:r>
        <w:rPr>
          <w:rFonts w:hAnsiTheme="minorEastAsia" w:eastAsiaTheme="minorEastAsia"/>
          <w:b/>
          <w:sz w:val="24"/>
        </w:rPr>
        <w:t>评价目的</w:t>
      </w:r>
    </w:p>
    <w:p>
      <w:pPr>
        <w:pStyle w:val="91"/>
        <w:ind w:firstLine="480"/>
        <w:rPr>
          <w:rFonts w:eastAsiaTheme="minorEastAsia"/>
        </w:rPr>
      </w:pPr>
      <w:r>
        <w:rPr>
          <w:rFonts w:hAnsiTheme="minorEastAsia" w:eastAsiaTheme="minorEastAsia"/>
        </w:rPr>
        <w:t>（</w:t>
      </w:r>
      <w:r>
        <w:rPr>
          <w:rFonts w:eastAsiaTheme="minorEastAsia"/>
        </w:rPr>
        <w:t>1</w:t>
      </w:r>
      <w:r>
        <w:rPr>
          <w:rFonts w:hAnsiTheme="minorEastAsia" w:eastAsiaTheme="minorEastAsia"/>
        </w:rPr>
        <w:t>）通过对项目所在区域环境质量现状监测及收集的资料进行分析，掌握项目所处区域的环境功能要求及主要污染物的种类、来源和分布，分析污染特征及污染物扩散能力和途径、方向；</w:t>
      </w:r>
    </w:p>
    <w:p>
      <w:pPr>
        <w:pStyle w:val="91"/>
        <w:ind w:firstLine="480"/>
        <w:rPr>
          <w:rFonts w:eastAsiaTheme="minorEastAsia"/>
        </w:rPr>
      </w:pPr>
      <w:r>
        <w:rPr>
          <w:rFonts w:hAnsiTheme="minorEastAsia" w:eastAsiaTheme="minorEastAsia"/>
        </w:rPr>
        <w:t>（</w:t>
      </w:r>
      <w:r>
        <w:rPr>
          <w:rFonts w:eastAsiaTheme="minorEastAsia"/>
        </w:rPr>
        <w:t>2</w:t>
      </w:r>
      <w:r>
        <w:rPr>
          <w:rFonts w:hAnsiTheme="minorEastAsia" w:eastAsiaTheme="minorEastAsia"/>
        </w:rPr>
        <w:t>）通过详细调查现有工程情况，针对本项目的特点，分析现有工程存在的环保问题，提出合理可行的整改措施；针对本次</w:t>
      </w:r>
      <w:r>
        <w:rPr>
          <w:rFonts w:hint="eastAsia" w:hAnsiTheme="minorEastAsia" w:eastAsiaTheme="minorEastAsia"/>
        </w:rPr>
        <w:t>变更</w:t>
      </w:r>
      <w:r>
        <w:rPr>
          <w:rFonts w:hAnsiTheme="minorEastAsia" w:eastAsiaTheme="minorEastAsia"/>
        </w:rPr>
        <w:t>工程，分析工程的可行性和合理性，并提出切实可行的环保措施；</w:t>
      </w:r>
    </w:p>
    <w:p>
      <w:pPr>
        <w:pStyle w:val="91"/>
        <w:ind w:firstLine="480"/>
        <w:rPr>
          <w:rFonts w:eastAsiaTheme="minorEastAsia"/>
        </w:rPr>
      </w:pPr>
      <w:r>
        <w:rPr>
          <w:rFonts w:hAnsiTheme="minorEastAsia" w:eastAsiaTheme="minorEastAsia"/>
        </w:rPr>
        <w:t>（</w:t>
      </w:r>
      <w:r>
        <w:rPr>
          <w:rFonts w:eastAsiaTheme="minorEastAsia"/>
        </w:rPr>
        <w:t>3</w:t>
      </w:r>
      <w:r>
        <w:rPr>
          <w:rFonts w:hAnsiTheme="minorEastAsia" w:eastAsiaTheme="minorEastAsia"/>
        </w:rPr>
        <w:t>）通过对项目工艺方案与技术特点、污染源的分析，确定生产中污染源源项、源强、排放方式等；</w:t>
      </w:r>
    </w:p>
    <w:p>
      <w:pPr>
        <w:pStyle w:val="91"/>
        <w:ind w:firstLine="480"/>
        <w:rPr>
          <w:rFonts w:eastAsiaTheme="minorEastAsia"/>
        </w:rPr>
      </w:pPr>
      <w:r>
        <w:rPr>
          <w:rFonts w:hAnsiTheme="minorEastAsia" w:eastAsiaTheme="minorEastAsia"/>
        </w:rPr>
        <w:t>（</w:t>
      </w:r>
      <w:r>
        <w:rPr>
          <w:rFonts w:eastAsiaTheme="minorEastAsia"/>
        </w:rPr>
        <w:t>4</w:t>
      </w:r>
      <w:r>
        <w:rPr>
          <w:rFonts w:hAnsiTheme="minorEastAsia" w:eastAsiaTheme="minorEastAsia"/>
        </w:rPr>
        <w:t>）通过对项目建设期和运营期的工程分析，掌握后期开采工程中污染源、污染物的变化，分析工程投产后对周围环境的影响、影响程度与范围，制定有针对性的环境保护措施和生态环境恢复、土地复垦及水土保持措施；</w:t>
      </w:r>
    </w:p>
    <w:p>
      <w:pPr>
        <w:pStyle w:val="91"/>
        <w:ind w:firstLine="480"/>
        <w:rPr>
          <w:rFonts w:eastAsiaTheme="minorEastAsia"/>
        </w:rPr>
      </w:pPr>
      <w:r>
        <w:rPr>
          <w:rFonts w:hAnsiTheme="minorEastAsia" w:eastAsiaTheme="minorEastAsia"/>
        </w:rPr>
        <w:t>（</w:t>
      </w:r>
      <w:r>
        <w:rPr>
          <w:rFonts w:eastAsiaTheme="minorEastAsia"/>
        </w:rPr>
        <w:t>5</w:t>
      </w:r>
      <w:r>
        <w:rPr>
          <w:rFonts w:hAnsiTheme="minorEastAsia" w:eastAsiaTheme="minorEastAsia"/>
        </w:rPr>
        <w:t>）结合项目的工程特征、污染特征和区域环境特征，依据环保法规、环境标准及地方环境规划功能目标的要求，以</w:t>
      </w:r>
      <w:r>
        <w:rPr>
          <w:rFonts w:eastAsiaTheme="minorEastAsia"/>
        </w:rPr>
        <w:t>“</w:t>
      </w:r>
      <w:r>
        <w:rPr>
          <w:rFonts w:hAnsiTheme="minorEastAsia" w:eastAsiaTheme="minorEastAsia"/>
        </w:rPr>
        <w:t>以新带老</w:t>
      </w:r>
      <w:r>
        <w:rPr>
          <w:rFonts w:eastAsiaTheme="minorEastAsia"/>
        </w:rPr>
        <w:t>”</w:t>
      </w:r>
      <w:r>
        <w:rPr>
          <w:rFonts w:hAnsiTheme="minorEastAsia" w:eastAsiaTheme="minorEastAsia"/>
        </w:rPr>
        <w:t>、</w:t>
      </w:r>
      <w:r>
        <w:rPr>
          <w:rFonts w:eastAsiaTheme="minorEastAsia"/>
        </w:rPr>
        <w:t>“</w:t>
      </w:r>
      <w:r>
        <w:rPr>
          <w:rFonts w:hAnsiTheme="minorEastAsia" w:eastAsiaTheme="minorEastAsia"/>
        </w:rPr>
        <w:t>达标排放</w:t>
      </w:r>
      <w:r>
        <w:rPr>
          <w:rFonts w:eastAsiaTheme="minorEastAsia"/>
        </w:rPr>
        <w:t>”</w:t>
      </w:r>
      <w:r>
        <w:rPr>
          <w:rFonts w:hAnsiTheme="minorEastAsia" w:eastAsiaTheme="minorEastAsia"/>
        </w:rPr>
        <w:t>、</w:t>
      </w:r>
      <w:r>
        <w:rPr>
          <w:rFonts w:eastAsiaTheme="minorEastAsia"/>
        </w:rPr>
        <w:t>“</w:t>
      </w:r>
      <w:r>
        <w:rPr>
          <w:rFonts w:hAnsiTheme="minorEastAsia" w:eastAsiaTheme="minorEastAsia"/>
        </w:rPr>
        <w:t>总量控制</w:t>
      </w:r>
      <w:r>
        <w:rPr>
          <w:rFonts w:eastAsiaTheme="minorEastAsia"/>
        </w:rPr>
        <w:t>”</w:t>
      </w:r>
      <w:r>
        <w:rPr>
          <w:rFonts w:hAnsiTheme="minorEastAsia" w:eastAsiaTheme="minorEastAsia"/>
        </w:rPr>
        <w:t>为基本原则，对项目配采工程进行影响预测，制定污染防治对策与措施，提出清洁生产、达标排放、总量控制、节能减排方案，并对项目的环保措施可行性及可靠性进行评价，为工程设计和环境管理提供科学依据。明确回答本项目工艺合理性、先进性和环境可行性。</w:t>
      </w:r>
    </w:p>
    <w:p>
      <w:pPr>
        <w:spacing w:line="360" w:lineRule="auto"/>
        <w:outlineLvl w:val="2"/>
        <w:rPr>
          <w:rFonts w:eastAsiaTheme="minorEastAsia"/>
          <w:b/>
          <w:sz w:val="24"/>
        </w:rPr>
      </w:pPr>
      <w:r>
        <w:rPr>
          <w:rFonts w:eastAsiaTheme="minorEastAsia"/>
          <w:b/>
          <w:sz w:val="24"/>
        </w:rPr>
        <w:t>2.2.2</w:t>
      </w:r>
      <w:r>
        <w:rPr>
          <w:rFonts w:hAnsiTheme="minorEastAsia" w:eastAsiaTheme="minorEastAsia"/>
          <w:b/>
          <w:sz w:val="24"/>
        </w:rPr>
        <w:t>评价原则</w:t>
      </w:r>
    </w:p>
    <w:p>
      <w:pPr>
        <w:spacing w:line="360" w:lineRule="auto"/>
        <w:ind w:firstLine="480" w:firstLineChars="200"/>
        <w:rPr>
          <w:rFonts w:eastAsiaTheme="minorEastAsia"/>
          <w:bCs/>
          <w:sz w:val="24"/>
        </w:rPr>
      </w:pPr>
      <w:r>
        <w:rPr>
          <w:rFonts w:hAnsiTheme="minorEastAsia" w:eastAsiaTheme="minorEastAsia"/>
          <w:bCs/>
          <w:sz w:val="24"/>
        </w:rPr>
        <w:t>本次评价重点突出环境影响评价的源头预防作用，以坚持保护和改善环境质量为目标，进行环境影响评价。</w:t>
      </w:r>
    </w:p>
    <w:p>
      <w:pPr>
        <w:spacing w:line="360" w:lineRule="auto"/>
        <w:ind w:firstLine="480" w:firstLineChars="200"/>
        <w:rPr>
          <w:rFonts w:eastAsiaTheme="minorEastAsia"/>
          <w:bCs/>
          <w:sz w:val="24"/>
        </w:rPr>
      </w:pPr>
      <w:r>
        <w:rPr>
          <w:rFonts w:hAnsiTheme="minorEastAsia" w:eastAsiaTheme="minorEastAsia"/>
          <w:bCs/>
          <w:sz w:val="24"/>
        </w:rPr>
        <w:t>（</w:t>
      </w:r>
      <w:r>
        <w:rPr>
          <w:rFonts w:eastAsiaTheme="minorEastAsia"/>
          <w:bCs/>
          <w:sz w:val="24"/>
        </w:rPr>
        <w:t>1</w:t>
      </w:r>
      <w:r>
        <w:rPr>
          <w:rFonts w:hAnsiTheme="minorEastAsia" w:eastAsiaTheme="minorEastAsia"/>
          <w:bCs/>
          <w:sz w:val="24"/>
        </w:rPr>
        <w:t>）依法评价。以贯彻国家、山西省有关产业政策、环保政策以及区域可持续发展战略思想要求开展工作，综合考虑项目对各种环境因素的影响，优化项目建设和服务环境管理。</w:t>
      </w:r>
    </w:p>
    <w:p>
      <w:pPr>
        <w:spacing w:line="360" w:lineRule="auto"/>
        <w:ind w:firstLine="480" w:firstLineChars="200"/>
        <w:rPr>
          <w:rFonts w:eastAsiaTheme="minorEastAsia"/>
          <w:bCs/>
          <w:sz w:val="24"/>
        </w:rPr>
      </w:pPr>
      <w:r>
        <w:rPr>
          <w:rFonts w:hAnsiTheme="minorEastAsia" w:eastAsiaTheme="minorEastAsia"/>
          <w:bCs/>
          <w:sz w:val="24"/>
        </w:rPr>
        <w:t>（</w:t>
      </w:r>
      <w:r>
        <w:rPr>
          <w:rFonts w:eastAsiaTheme="minorEastAsia"/>
          <w:bCs/>
          <w:sz w:val="24"/>
        </w:rPr>
        <w:t>2</w:t>
      </w:r>
      <w:r>
        <w:rPr>
          <w:rFonts w:hAnsiTheme="minorEastAsia" w:eastAsiaTheme="minorEastAsia"/>
          <w:bCs/>
          <w:sz w:val="24"/>
        </w:rPr>
        <w:t>）科学评价。评价中坚持实事求是、科学务实的态度，加强污染源强等基础数据的分析计算，提高其可信度。</w:t>
      </w:r>
      <w:r>
        <w:rPr>
          <w:rFonts w:hAnsiTheme="minorEastAsia" w:eastAsiaTheme="minorEastAsia"/>
          <w:sz w:val="24"/>
        </w:rPr>
        <w:t>通过对工程建设可行性和厂址选择合理性的分析，</w:t>
      </w:r>
      <w:r>
        <w:rPr>
          <w:rFonts w:hAnsiTheme="minorEastAsia" w:eastAsiaTheme="minorEastAsia"/>
          <w:bCs/>
          <w:sz w:val="24"/>
        </w:rPr>
        <w:t>从环保角度给出明确结论。本报告要充分发挥为项目审批、环境管理、工程建设服务的作用。</w:t>
      </w:r>
    </w:p>
    <w:p>
      <w:pPr>
        <w:spacing w:line="360" w:lineRule="auto"/>
        <w:ind w:firstLine="480" w:firstLineChars="200"/>
        <w:rPr>
          <w:rFonts w:eastAsiaTheme="minorEastAsia"/>
          <w:bCs/>
          <w:sz w:val="24"/>
        </w:rPr>
      </w:pPr>
      <w:r>
        <w:rPr>
          <w:rFonts w:hAnsiTheme="minorEastAsia" w:eastAsiaTheme="minorEastAsia"/>
          <w:bCs/>
          <w:sz w:val="24"/>
        </w:rPr>
        <w:t>（</w:t>
      </w:r>
      <w:r>
        <w:rPr>
          <w:rFonts w:eastAsiaTheme="minorEastAsia"/>
          <w:bCs/>
          <w:sz w:val="24"/>
        </w:rPr>
        <w:t>3</w:t>
      </w:r>
      <w:r>
        <w:rPr>
          <w:rFonts w:hAnsiTheme="minorEastAsia" w:eastAsiaTheme="minorEastAsia"/>
          <w:bCs/>
          <w:sz w:val="24"/>
        </w:rPr>
        <w:t>）突出重点。本评价将针对项目建设可能导致的环境影响，坚持高起点、高标准的原则要求，对各类污染、生态影响实施从严控制，并将相关企业生产管理、污染控制等方面的一些先进经验反馈给企业，使企业实现稳步、可持续发展。</w:t>
      </w:r>
    </w:p>
    <w:p>
      <w:pPr>
        <w:pStyle w:val="3"/>
        <w:spacing w:before="0" w:after="0" w:line="360" w:lineRule="auto"/>
        <w:rPr>
          <w:rFonts w:ascii="Times New Roman" w:hAnsi="Times New Roman" w:eastAsiaTheme="minorEastAsia"/>
        </w:rPr>
      </w:pPr>
      <w:bookmarkStart w:id="88" w:name="_Toc71551922"/>
      <w:r>
        <w:rPr>
          <w:rFonts w:ascii="Times New Roman" w:hAnsi="Times New Roman" w:eastAsiaTheme="minorEastAsia"/>
          <w:bCs w:val="0"/>
          <w:sz w:val="28"/>
        </w:rPr>
        <w:t>2.3</w:t>
      </w:r>
      <w:r>
        <w:rPr>
          <w:rFonts w:ascii="Times New Roman" w:hAnsiTheme="minorEastAsia" w:eastAsiaTheme="minorEastAsia"/>
          <w:bCs w:val="0"/>
          <w:sz w:val="28"/>
        </w:rPr>
        <w:t>评价时段</w:t>
      </w:r>
      <w:bookmarkEnd w:id="88"/>
    </w:p>
    <w:p>
      <w:pPr>
        <w:pStyle w:val="91"/>
        <w:ind w:firstLine="480"/>
        <w:rPr>
          <w:rFonts w:eastAsiaTheme="minorEastAsia"/>
        </w:rPr>
      </w:pPr>
      <w:r>
        <w:rPr>
          <w:rFonts w:hAnsiTheme="minorEastAsia" w:eastAsiaTheme="minorEastAsia"/>
        </w:rPr>
        <w:t>根据煤炭采选工程及本工程的时序特点，对建设期、运营期进行重点评价，对闭矿期进行简要分析。</w:t>
      </w:r>
    </w:p>
    <w:p>
      <w:pPr>
        <w:pStyle w:val="3"/>
        <w:spacing w:before="0" w:after="0" w:line="360" w:lineRule="auto"/>
        <w:rPr>
          <w:rFonts w:ascii="Times New Roman" w:hAnsi="Times New Roman" w:eastAsiaTheme="minorEastAsia"/>
        </w:rPr>
      </w:pPr>
      <w:bookmarkStart w:id="89" w:name="_Toc71551923"/>
      <w:r>
        <w:rPr>
          <w:rFonts w:ascii="Times New Roman" w:hAnsi="Times New Roman" w:eastAsiaTheme="minorEastAsia"/>
          <w:bCs w:val="0"/>
          <w:sz w:val="28"/>
        </w:rPr>
        <w:t>2.</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ascii="Times New Roman" w:hAnsi="Times New Roman" w:eastAsiaTheme="minorEastAsia"/>
          <w:bCs w:val="0"/>
          <w:sz w:val="28"/>
        </w:rPr>
        <w:t>4</w:t>
      </w:r>
      <w:r>
        <w:rPr>
          <w:rFonts w:ascii="Times New Roman" w:hAnsiTheme="minorEastAsia" w:eastAsiaTheme="minorEastAsia"/>
          <w:bCs w:val="0"/>
          <w:sz w:val="28"/>
        </w:rPr>
        <w:t>环境影响识别与评价因子筛选</w:t>
      </w:r>
      <w:bookmarkEnd w:id="80"/>
      <w:bookmarkEnd w:id="89"/>
    </w:p>
    <w:p>
      <w:pPr>
        <w:spacing w:line="360" w:lineRule="auto"/>
        <w:outlineLvl w:val="2"/>
        <w:rPr>
          <w:rFonts w:eastAsiaTheme="minorEastAsia"/>
          <w:b/>
          <w:sz w:val="24"/>
        </w:rPr>
      </w:pPr>
      <w:r>
        <w:rPr>
          <w:rFonts w:eastAsiaTheme="minorEastAsia"/>
          <w:b/>
          <w:sz w:val="24"/>
        </w:rPr>
        <w:t>2.4.1</w:t>
      </w:r>
      <w:r>
        <w:rPr>
          <w:rFonts w:hAnsiTheme="minorEastAsia" w:eastAsiaTheme="minorEastAsia"/>
          <w:b/>
          <w:sz w:val="24"/>
        </w:rPr>
        <w:t>环境影响因素识别</w:t>
      </w:r>
    </w:p>
    <w:p>
      <w:pPr>
        <w:pStyle w:val="39"/>
        <w:ind w:firstLine="496"/>
        <w:rPr>
          <w:rFonts w:ascii="Times New Roman" w:hAnsiTheme="minorEastAsia" w:eastAsiaTheme="minorEastAsia"/>
          <w:spacing w:val="4"/>
        </w:rPr>
      </w:pPr>
      <w:r>
        <w:rPr>
          <w:rFonts w:ascii="Times New Roman" w:hAnsiTheme="minorEastAsia" w:eastAsiaTheme="minorEastAsia"/>
          <w:spacing w:val="4"/>
        </w:rPr>
        <w:t>本次工程的运行将会对周围自然环境、社会环境和人群生活质量产生一定的影响，只是不同时段影响程度和性质不同。</w:t>
      </w:r>
    </w:p>
    <w:p>
      <w:pPr>
        <w:pStyle w:val="39"/>
        <w:ind w:firstLine="496"/>
        <w:rPr>
          <w:rFonts w:ascii="Times New Roman" w:hAnsi="Times New Roman" w:eastAsiaTheme="minorEastAsia"/>
          <w:spacing w:val="4"/>
        </w:rPr>
      </w:pPr>
      <w:r>
        <w:rPr>
          <w:rFonts w:ascii="Times New Roman" w:hAnsiTheme="minorEastAsia" w:eastAsiaTheme="minorEastAsia"/>
          <w:spacing w:val="4"/>
        </w:rPr>
        <w:t>工程排污对环境空气和水环境的影响及影响程度分析见表</w:t>
      </w:r>
      <w:r>
        <w:rPr>
          <w:rFonts w:ascii="Times New Roman" w:hAnsi="Times New Roman" w:eastAsiaTheme="minorEastAsia"/>
          <w:spacing w:val="4"/>
        </w:rPr>
        <w:t>2.4-1</w:t>
      </w:r>
      <w:r>
        <w:rPr>
          <w:rFonts w:ascii="Times New Roman" w:hAnsiTheme="minorEastAsia" w:eastAsiaTheme="minorEastAsia"/>
          <w:spacing w:val="4"/>
        </w:rPr>
        <w:t>。</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 xml:space="preserve">2.4-1  </w:t>
      </w:r>
      <w:r>
        <w:rPr>
          <w:rFonts w:hAnsiTheme="minorEastAsia" w:eastAsiaTheme="minorEastAsia"/>
          <w:b/>
          <w:szCs w:val="21"/>
        </w:rPr>
        <w:t>本工程环境影响因素</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34"/>
        <w:gridCol w:w="1036"/>
        <w:gridCol w:w="1036"/>
        <w:gridCol w:w="1036"/>
        <w:gridCol w:w="1170"/>
        <w:gridCol w:w="901"/>
        <w:gridCol w:w="1038"/>
        <w:gridCol w:w="10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6" w:hRule="atLeast"/>
        </w:trPr>
        <w:tc>
          <w:tcPr>
            <w:tcW w:w="109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环境因素</w:t>
            </w:r>
          </w:p>
          <w:p>
            <w:pPr>
              <w:pStyle w:val="90"/>
              <w:snapToGrid/>
              <w:spacing w:line="288" w:lineRule="auto"/>
              <w:rPr>
                <w:rFonts w:ascii="Times New Roman" w:hAnsi="Times New Roman" w:cs="Times New Roman"/>
                <w:szCs w:val="21"/>
              </w:rPr>
            </w:pPr>
            <w:r>
              <w:rPr>
                <w:rFonts w:ascii="Times New Roman" w:cs="Times New Roman" w:hAnsiTheme="minorEastAsia"/>
                <w:szCs w:val="21"/>
              </w:rPr>
              <w:t>生产环节</w:t>
            </w: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环境</w:t>
            </w:r>
          </w:p>
          <w:p>
            <w:pPr>
              <w:pStyle w:val="90"/>
              <w:snapToGrid/>
              <w:spacing w:line="288" w:lineRule="auto"/>
              <w:rPr>
                <w:rFonts w:ascii="Times New Roman" w:hAnsi="Times New Roman" w:cs="Times New Roman"/>
                <w:szCs w:val="21"/>
              </w:rPr>
            </w:pPr>
            <w:r>
              <w:rPr>
                <w:rFonts w:ascii="Times New Roman" w:cs="Times New Roman" w:hAnsiTheme="minorEastAsia"/>
                <w:szCs w:val="21"/>
              </w:rPr>
              <w:t>空气</w:t>
            </w: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地表</w:t>
            </w:r>
          </w:p>
          <w:p>
            <w:pPr>
              <w:pStyle w:val="90"/>
              <w:snapToGrid/>
              <w:spacing w:line="288" w:lineRule="auto"/>
              <w:rPr>
                <w:rFonts w:ascii="Times New Roman" w:hAnsi="Times New Roman" w:cs="Times New Roman"/>
                <w:szCs w:val="21"/>
              </w:rPr>
            </w:pPr>
            <w:r>
              <w:rPr>
                <w:rFonts w:ascii="Times New Roman" w:cs="Times New Roman" w:hAnsiTheme="minorEastAsia"/>
                <w:szCs w:val="21"/>
              </w:rPr>
              <w:t>水质</w:t>
            </w: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地下水</w:t>
            </w:r>
          </w:p>
        </w:tc>
        <w:tc>
          <w:tcPr>
            <w:tcW w:w="630"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声学</w:t>
            </w:r>
          </w:p>
          <w:p>
            <w:pPr>
              <w:pStyle w:val="90"/>
              <w:snapToGrid/>
              <w:spacing w:line="288" w:lineRule="auto"/>
              <w:rPr>
                <w:rFonts w:ascii="Times New Roman" w:hAnsi="Times New Roman" w:cs="Times New Roman"/>
                <w:szCs w:val="21"/>
              </w:rPr>
            </w:pPr>
            <w:r>
              <w:rPr>
                <w:rFonts w:ascii="Times New Roman" w:cs="Times New Roman" w:hAnsiTheme="minorEastAsia"/>
                <w:szCs w:val="21"/>
              </w:rPr>
              <w:t>环境</w:t>
            </w:r>
          </w:p>
        </w:tc>
        <w:tc>
          <w:tcPr>
            <w:tcW w:w="48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土壤环境</w:t>
            </w:r>
          </w:p>
        </w:tc>
        <w:tc>
          <w:tcPr>
            <w:tcW w:w="559"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生态</w:t>
            </w:r>
          </w:p>
          <w:p>
            <w:pPr>
              <w:pStyle w:val="90"/>
              <w:snapToGrid/>
              <w:spacing w:line="288" w:lineRule="auto"/>
              <w:rPr>
                <w:rFonts w:ascii="Times New Roman" w:hAnsi="Times New Roman" w:cs="Times New Roman"/>
                <w:szCs w:val="21"/>
              </w:rPr>
            </w:pPr>
            <w:r>
              <w:rPr>
                <w:rFonts w:ascii="Times New Roman" w:cs="Times New Roman" w:hAnsiTheme="minorEastAsia"/>
                <w:szCs w:val="21"/>
              </w:rPr>
              <w:t>环境</w:t>
            </w:r>
          </w:p>
        </w:tc>
        <w:tc>
          <w:tcPr>
            <w:tcW w:w="557"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景观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09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矿井采掘</w:t>
            </w: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8" w:type="pct"/>
            <w:vAlign w:val="center"/>
          </w:tcPr>
          <w:p>
            <w:pPr>
              <w:pStyle w:val="90"/>
              <w:snapToGrid/>
              <w:spacing w:line="288" w:lineRule="auto"/>
              <w:rPr>
                <w:rFonts w:ascii="Times New Roman" w:hAnsi="Times New Roman" w:cs="Times New Roman"/>
                <w:szCs w:val="21"/>
              </w:rPr>
            </w:pPr>
            <w:r>
              <w:rPr>
                <w:rFonts w:ascii="Times New Roman" w:hAnsi="Times New Roman" w:cs="Times New Roman"/>
                <w:szCs w:val="21"/>
              </w:rPr>
              <w:t>●</w:t>
            </w:r>
          </w:p>
        </w:tc>
        <w:tc>
          <w:tcPr>
            <w:tcW w:w="630"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w:t>
            </w:r>
          </w:p>
        </w:tc>
        <w:tc>
          <w:tcPr>
            <w:tcW w:w="48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9"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w:t>
            </w:r>
          </w:p>
        </w:tc>
        <w:tc>
          <w:tcPr>
            <w:tcW w:w="557" w:type="pct"/>
            <w:vAlign w:val="center"/>
          </w:tcPr>
          <w:p>
            <w:pPr>
              <w:pStyle w:val="90"/>
              <w:snapToGrid/>
              <w:spacing w:line="288" w:lineRule="auto"/>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09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生产、生活污水</w:t>
            </w:r>
          </w:p>
        </w:tc>
        <w:tc>
          <w:tcPr>
            <w:tcW w:w="558" w:type="pct"/>
            <w:vAlign w:val="center"/>
          </w:tcPr>
          <w:p>
            <w:pPr>
              <w:pStyle w:val="90"/>
              <w:snapToGrid/>
              <w:spacing w:line="288" w:lineRule="auto"/>
              <w:rPr>
                <w:rFonts w:ascii="Times New Roman" w:hAnsi="Times New Roman" w:cs="Times New Roman"/>
                <w:szCs w:val="21"/>
              </w:rPr>
            </w:pP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630" w:type="pct"/>
            <w:vAlign w:val="center"/>
          </w:tcPr>
          <w:p>
            <w:pPr>
              <w:pStyle w:val="90"/>
              <w:snapToGrid/>
              <w:spacing w:line="288" w:lineRule="auto"/>
              <w:rPr>
                <w:rFonts w:ascii="Times New Roman" w:hAnsi="Times New Roman" w:cs="Times New Roman"/>
                <w:szCs w:val="21"/>
              </w:rPr>
            </w:pPr>
          </w:p>
        </w:tc>
        <w:tc>
          <w:tcPr>
            <w:tcW w:w="48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w:t>
            </w:r>
          </w:p>
        </w:tc>
        <w:tc>
          <w:tcPr>
            <w:tcW w:w="559"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7" w:type="pct"/>
            <w:vAlign w:val="center"/>
          </w:tcPr>
          <w:p>
            <w:pPr>
              <w:pStyle w:val="90"/>
              <w:snapToGrid/>
              <w:spacing w:line="288" w:lineRule="auto"/>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6" w:hRule="atLeast"/>
        </w:trPr>
        <w:tc>
          <w:tcPr>
            <w:tcW w:w="109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锅炉、筛分、输送转载、储煤仓</w:t>
            </w:r>
          </w:p>
        </w:tc>
        <w:tc>
          <w:tcPr>
            <w:tcW w:w="558" w:type="pct"/>
            <w:vAlign w:val="center"/>
          </w:tcPr>
          <w:p>
            <w:pPr>
              <w:pStyle w:val="90"/>
              <w:snapToGrid/>
              <w:spacing w:line="288" w:lineRule="auto"/>
              <w:rPr>
                <w:rFonts w:ascii="Times New Roman" w:hAnsi="Times New Roman" w:cs="Times New Roman"/>
                <w:szCs w:val="21"/>
              </w:rPr>
            </w:pPr>
            <w:r>
              <w:rPr>
                <w:rFonts w:ascii="Times New Roman" w:hAnsi="Times New Roman" w:cs="Times New Roman"/>
                <w:szCs w:val="21"/>
              </w:rPr>
              <w:t>●</w:t>
            </w: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8" w:type="pct"/>
            <w:vAlign w:val="center"/>
          </w:tcPr>
          <w:p>
            <w:pPr>
              <w:pStyle w:val="90"/>
              <w:snapToGrid/>
              <w:spacing w:line="288" w:lineRule="auto"/>
              <w:rPr>
                <w:rFonts w:ascii="Times New Roman" w:hAnsi="Times New Roman" w:cs="Times New Roman"/>
                <w:szCs w:val="21"/>
              </w:rPr>
            </w:pPr>
          </w:p>
        </w:tc>
        <w:tc>
          <w:tcPr>
            <w:tcW w:w="630"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w:t>
            </w:r>
          </w:p>
        </w:tc>
        <w:tc>
          <w:tcPr>
            <w:tcW w:w="48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w:t>
            </w:r>
          </w:p>
        </w:tc>
        <w:tc>
          <w:tcPr>
            <w:tcW w:w="559"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7"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09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洗煤厂</w:t>
            </w:r>
          </w:p>
        </w:tc>
        <w:tc>
          <w:tcPr>
            <w:tcW w:w="558" w:type="pct"/>
            <w:vAlign w:val="center"/>
          </w:tcPr>
          <w:p>
            <w:pPr>
              <w:pStyle w:val="90"/>
              <w:snapToGrid/>
              <w:spacing w:line="288" w:lineRule="auto"/>
              <w:rPr>
                <w:rFonts w:ascii="Times New Roman" w:hAnsi="Times New Roman" w:cs="Times New Roman"/>
                <w:szCs w:val="21"/>
              </w:rPr>
            </w:pPr>
          </w:p>
        </w:tc>
        <w:tc>
          <w:tcPr>
            <w:tcW w:w="558" w:type="pct"/>
            <w:vAlign w:val="center"/>
          </w:tcPr>
          <w:p>
            <w:pPr>
              <w:pStyle w:val="90"/>
              <w:snapToGrid/>
              <w:spacing w:line="288" w:lineRule="auto"/>
              <w:rPr>
                <w:rFonts w:ascii="Times New Roman" w:hAnsi="Times New Roman" w:cs="Times New Roman"/>
                <w:szCs w:val="21"/>
              </w:rPr>
            </w:pPr>
            <w:r>
              <w:rPr>
                <w:rFonts w:ascii="Times New Roman" w:hAnsi="Times New Roman" w:cs="Times New Roman"/>
                <w:szCs w:val="21"/>
              </w:rPr>
              <w:t>●</w:t>
            </w:r>
          </w:p>
        </w:tc>
        <w:tc>
          <w:tcPr>
            <w:tcW w:w="558" w:type="pct"/>
            <w:vAlign w:val="center"/>
          </w:tcPr>
          <w:p>
            <w:pPr>
              <w:pStyle w:val="90"/>
              <w:snapToGrid/>
              <w:spacing w:line="288" w:lineRule="auto"/>
              <w:rPr>
                <w:rFonts w:ascii="Times New Roman" w:hAnsi="Times New Roman" w:cs="Times New Roman"/>
                <w:szCs w:val="21"/>
              </w:rPr>
            </w:pPr>
            <w:r>
              <w:rPr>
                <w:rFonts w:ascii="Times New Roman" w:hAnsi="Times New Roman" w:cs="Times New Roman"/>
                <w:szCs w:val="21"/>
              </w:rPr>
              <w:t>●</w:t>
            </w:r>
          </w:p>
        </w:tc>
        <w:tc>
          <w:tcPr>
            <w:tcW w:w="630"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48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w:t>
            </w:r>
          </w:p>
        </w:tc>
        <w:tc>
          <w:tcPr>
            <w:tcW w:w="559"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7"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09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矸石、垃圾</w:t>
            </w: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w:t>
            </w:r>
          </w:p>
        </w:tc>
        <w:tc>
          <w:tcPr>
            <w:tcW w:w="558"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8" w:type="pct"/>
            <w:vAlign w:val="center"/>
          </w:tcPr>
          <w:p>
            <w:pPr>
              <w:pStyle w:val="90"/>
              <w:snapToGrid/>
              <w:spacing w:line="288" w:lineRule="auto"/>
              <w:rPr>
                <w:rFonts w:ascii="Times New Roman" w:hAnsi="Times New Roman" w:cs="Times New Roman"/>
                <w:szCs w:val="21"/>
              </w:rPr>
            </w:pPr>
          </w:p>
        </w:tc>
        <w:tc>
          <w:tcPr>
            <w:tcW w:w="630" w:type="pct"/>
            <w:vAlign w:val="center"/>
          </w:tcPr>
          <w:p>
            <w:pPr>
              <w:pStyle w:val="90"/>
              <w:snapToGrid/>
              <w:spacing w:line="288" w:lineRule="auto"/>
              <w:rPr>
                <w:rFonts w:ascii="Times New Roman" w:hAnsi="Times New Roman" w:cs="Times New Roman"/>
                <w:szCs w:val="21"/>
              </w:rPr>
            </w:pPr>
          </w:p>
        </w:tc>
        <w:tc>
          <w:tcPr>
            <w:tcW w:w="48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w:t>
            </w:r>
          </w:p>
        </w:tc>
        <w:tc>
          <w:tcPr>
            <w:tcW w:w="559" w:type="pct"/>
            <w:vAlign w:val="center"/>
          </w:tcPr>
          <w:p>
            <w:pPr>
              <w:pStyle w:val="90"/>
              <w:snapToGrid/>
              <w:spacing w:line="288" w:lineRule="auto"/>
              <w:rPr>
                <w:rFonts w:ascii="Times New Roman" w:hAnsi="Times New Roman" w:cs="Times New Roman"/>
                <w:szCs w:val="21"/>
              </w:rPr>
            </w:pPr>
            <w:r>
              <w:rPr>
                <w:rFonts w:ascii="Times New Roman" w:hAnsi="Times New Roman" w:cs="Times New Roman"/>
                <w:szCs w:val="21"/>
              </w:rPr>
              <w:t>●</w:t>
            </w:r>
          </w:p>
        </w:tc>
        <w:tc>
          <w:tcPr>
            <w:tcW w:w="557"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09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运输汽车</w:t>
            </w:r>
          </w:p>
        </w:tc>
        <w:tc>
          <w:tcPr>
            <w:tcW w:w="558" w:type="pct"/>
            <w:vAlign w:val="center"/>
          </w:tcPr>
          <w:p>
            <w:pPr>
              <w:pStyle w:val="90"/>
              <w:snapToGrid/>
              <w:spacing w:line="288" w:lineRule="auto"/>
              <w:rPr>
                <w:rFonts w:ascii="Times New Roman" w:hAnsi="Times New Roman" w:cs="Times New Roman"/>
                <w:szCs w:val="21"/>
              </w:rPr>
            </w:pPr>
            <w:r>
              <w:rPr>
                <w:rFonts w:ascii="Times New Roman" w:hAnsi="Times New Roman" w:cs="Times New Roman"/>
                <w:szCs w:val="21"/>
              </w:rPr>
              <w:t>●</w:t>
            </w:r>
          </w:p>
        </w:tc>
        <w:tc>
          <w:tcPr>
            <w:tcW w:w="558" w:type="pct"/>
            <w:vAlign w:val="center"/>
          </w:tcPr>
          <w:p>
            <w:pPr>
              <w:pStyle w:val="90"/>
              <w:snapToGrid/>
              <w:spacing w:line="288" w:lineRule="auto"/>
              <w:rPr>
                <w:rFonts w:ascii="Times New Roman" w:hAnsi="Times New Roman" w:cs="Times New Roman"/>
                <w:szCs w:val="21"/>
              </w:rPr>
            </w:pPr>
          </w:p>
        </w:tc>
        <w:tc>
          <w:tcPr>
            <w:tcW w:w="558" w:type="pct"/>
            <w:vAlign w:val="center"/>
          </w:tcPr>
          <w:p>
            <w:pPr>
              <w:pStyle w:val="90"/>
              <w:snapToGrid/>
              <w:spacing w:line="288" w:lineRule="auto"/>
              <w:rPr>
                <w:rFonts w:ascii="Times New Roman" w:hAnsi="Times New Roman" w:cs="Times New Roman"/>
                <w:szCs w:val="21"/>
              </w:rPr>
            </w:pPr>
          </w:p>
        </w:tc>
        <w:tc>
          <w:tcPr>
            <w:tcW w:w="630" w:type="pct"/>
            <w:vAlign w:val="center"/>
          </w:tcPr>
          <w:p>
            <w:pPr>
              <w:pStyle w:val="90"/>
              <w:snapToGrid/>
              <w:spacing w:line="288" w:lineRule="auto"/>
              <w:rPr>
                <w:rFonts w:ascii="Times New Roman" w:hAnsi="Times New Roman" w:cs="Times New Roman"/>
                <w:szCs w:val="21"/>
              </w:rPr>
            </w:pPr>
            <w:r>
              <w:rPr>
                <w:rFonts w:ascii="Times New Roman" w:hAnsi="Times New Roman" w:cs="Times New Roman"/>
                <w:szCs w:val="21"/>
              </w:rPr>
              <w:t>●</w:t>
            </w:r>
          </w:p>
        </w:tc>
        <w:tc>
          <w:tcPr>
            <w:tcW w:w="485" w:type="pct"/>
            <w:vAlign w:val="center"/>
          </w:tcPr>
          <w:p>
            <w:pPr>
              <w:pStyle w:val="90"/>
              <w:snapToGrid/>
              <w:spacing w:line="288" w:lineRule="auto"/>
              <w:rPr>
                <w:rFonts w:ascii="Times New Roman" w:hAnsi="Times New Roman" w:cs="Times New Roman"/>
                <w:szCs w:val="21"/>
                <w:highlight w:val="yellow"/>
              </w:rPr>
            </w:pPr>
          </w:p>
        </w:tc>
        <w:tc>
          <w:tcPr>
            <w:tcW w:w="559"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〇</w:t>
            </w:r>
          </w:p>
        </w:tc>
        <w:tc>
          <w:tcPr>
            <w:tcW w:w="557" w:type="pct"/>
            <w:vAlign w:val="center"/>
          </w:tcPr>
          <w:p>
            <w:pPr>
              <w:pStyle w:val="90"/>
              <w:snapToGrid/>
              <w:spacing w:line="288" w:lineRule="auto"/>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1095" w:type="pct"/>
            <w:vAlign w:val="center"/>
          </w:tcPr>
          <w:p>
            <w:pPr>
              <w:pStyle w:val="90"/>
              <w:snapToGrid/>
              <w:spacing w:line="288" w:lineRule="auto"/>
              <w:rPr>
                <w:rFonts w:ascii="Times New Roman" w:hAnsi="Times New Roman" w:cs="Times New Roman"/>
                <w:szCs w:val="21"/>
              </w:rPr>
            </w:pPr>
            <w:r>
              <w:rPr>
                <w:rFonts w:ascii="Times New Roman" w:cs="Times New Roman" w:hAnsiTheme="minorEastAsia"/>
                <w:szCs w:val="21"/>
              </w:rPr>
              <w:t>备注</w:t>
            </w:r>
          </w:p>
        </w:tc>
        <w:tc>
          <w:tcPr>
            <w:tcW w:w="3905" w:type="pct"/>
            <w:gridSpan w:val="7"/>
            <w:vAlign w:val="center"/>
          </w:tcPr>
          <w:p>
            <w:pPr>
              <w:pStyle w:val="90"/>
              <w:snapToGrid/>
              <w:spacing w:line="288" w:lineRule="auto"/>
              <w:rPr>
                <w:rFonts w:ascii="Times New Roman" w:hAnsi="Times New Roman" w:cs="Times New Roman"/>
                <w:szCs w:val="21"/>
              </w:rPr>
            </w:pPr>
            <w:r>
              <w:rPr>
                <w:rFonts w:ascii="Times New Roman" w:hAnsi="Times New Roman" w:cs="Times New Roman"/>
                <w:szCs w:val="21"/>
              </w:rPr>
              <w:t>●</w:t>
            </w:r>
            <w:r>
              <w:rPr>
                <w:rFonts w:ascii="Times New Roman" w:cs="Times New Roman" w:hAnsiTheme="minorEastAsia"/>
                <w:szCs w:val="21"/>
              </w:rPr>
              <w:t>为显著影响；◎为中等影响；〇为轻微影响</w:t>
            </w:r>
          </w:p>
        </w:tc>
      </w:tr>
    </w:tbl>
    <w:p>
      <w:pPr>
        <w:pStyle w:val="39"/>
        <w:ind w:firstLine="496"/>
        <w:rPr>
          <w:rFonts w:ascii="Times New Roman" w:hAnsi="Times New Roman" w:eastAsiaTheme="minorEastAsia"/>
          <w:spacing w:val="4"/>
        </w:rPr>
      </w:pPr>
      <w:r>
        <w:rPr>
          <w:rFonts w:ascii="Times New Roman" w:hAnsiTheme="minorEastAsia" w:eastAsiaTheme="minorEastAsia"/>
          <w:spacing w:val="4"/>
        </w:rPr>
        <w:t>结合工程分析结果和表</w:t>
      </w:r>
      <w:r>
        <w:rPr>
          <w:rFonts w:ascii="Times New Roman" w:hAnsi="Times New Roman" w:eastAsiaTheme="minorEastAsia"/>
          <w:spacing w:val="4"/>
        </w:rPr>
        <w:t>2.3-1</w:t>
      </w:r>
      <w:r>
        <w:rPr>
          <w:rFonts w:ascii="Times New Roman" w:hAnsiTheme="minorEastAsia" w:eastAsiaTheme="minorEastAsia"/>
          <w:spacing w:val="4"/>
        </w:rPr>
        <w:t>的分析结论可以看出，各生产环节产生的主要污染物或环境影响因素分别为：</w:t>
      </w:r>
    </w:p>
    <w:p>
      <w:pPr>
        <w:pStyle w:val="39"/>
        <w:ind w:firstLine="496"/>
        <w:rPr>
          <w:rFonts w:ascii="Times New Roman" w:hAnsi="Times New Roman" w:eastAsiaTheme="minorEastAsia"/>
          <w:spacing w:val="4"/>
        </w:rPr>
      </w:pPr>
      <w:r>
        <w:rPr>
          <w:rFonts w:ascii="Times New Roman" w:hAnsiTheme="minorEastAsia" w:eastAsiaTheme="minorEastAsia"/>
          <w:spacing w:val="4"/>
        </w:rPr>
        <w:t>环境空气主要污染因子为：</w:t>
      </w:r>
      <w:r>
        <w:rPr>
          <w:rFonts w:hint="eastAsia" w:ascii="Times New Roman" w:hAnsiTheme="minorEastAsia" w:eastAsiaTheme="minorEastAsia"/>
          <w:spacing w:val="4"/>
        </w:rPr>
        <w:t>颗粒物、SO</w:t>
      </w:r>
      <w:r>
        <w:rPr>
          <w:rFonts w:hint="eastAsia" w:ascii="Times New Roman" w:hAnsiTheme="minorEastAsia" w:eastAsiaTheme="minorEastAsia"/>
          <w:spacing w:val="4"/>
          <w:vertAlign w:val="subscript"/>
        </w:rPr>
        <w:t>2</w:t>
      </w:r>
      <w:r>
        <w:rPr>
          <w:rFonts w:hint="eastAsia" w:ascii="Times New Roman" w:hAnsiTheme="minorEastAsia" w:eastAsiaTheme="minorEastAsia"/>
          <w:spacing w:val="4"/>
        </w:rPr>
        <w:t>、NO</w:t>
      </w:r>
      <w:r>
        <w:rPr>
          <w:rFonts w:hint="eastAsia" w:ascii="Times New Roman" w:hAnsiTheme="minorEastAsia" w:eastAsiaTheme="minorEastAsia"/>
          <w:spacing w:val="4"/>
          <w:vertAlign w:val="subscript"/>
        </w:rPr>
        <w:t>X</w:t>
      </w:r>
      <w:r>
        <w:rPr>
          <w:rFonts w:ascii="Times New Roman" w:hAnsiTheme="minorEastAsia" w:eastAsiaTheme="minorEastAsia"/>
          <w:spacing w:val="4"/>
        </w:rPr>
        <w:t>；</w:t>
      </w:r>
    </w:p>
    <w:p>
      <w:pPr>
        <w:pStyle w:val="39"/>
        <w:ind w:firstLine="496"/>
        <w:rPr>
          <w:rFonts w:ascii="Times New Roman" w:hAnsi="Times New Roman" w:eastAsiaTheme="minorEastAsia"/>
          <w:spacing w:val="4"/>
        </w:rPr>
      </w:pPr>
      <w:r>
        <w:rPr>
          <w:rFonts w:ascii="Times New Roman" w:hAnsiTheme="minorEastAsia" w:eastAsiaTheme="minorEastAsia"/>
          <w:spacing w:val="4"/>
        </w:rPr>
        <w:t>地表水环境主要污染因子为：</w:t>
      </w:r>
      <w:r>
        <w:rPr>
          <w:rFonts w:hint="eastAsia" w:ascii="Times New Roman" w:hAnsi="Times New Roman" w:eastAsiaTheme="minorEastAsia"/>
          <w:spacing w:val="4"/>
        </w:rPr>
        <w:t>p</w:t>
      </w:r>
      <w:r>
        <w:rPr>
          <w:rFonts w:ascii="Times New Roman" w:hAnsi="Times New Roman" w:eastAsiaTheme="minorEastAsia"/>
          <w:spacing w:val="4"/>
        </w:rPr>
        <w:t>H</w:t>
      </w:r>
      <w:r>
        <w:rPr>
          <w:rFonts w:ascii="Times New Roman" w:hAnsiTheme="minorEastAsia" w:eastAsiaTheme="minorEastAsia"/>
          <w:spacing w:val="4"/>
        </w:rPr>
        <w:t>、</w:t>
      </w:r>
      <w:r>
        <w:rPr>
          <w:rFonts w:ascii="Times New Roman" w:hAnsi="Times New Roman" w:eastAsiaTheme="minorEastAsia"/>
          <w:spacing w:val="4"/>
        </w:rPr>
        <w:t>SS</w:t>
      </w:r>
      <w:r>
        <w:rPr>
          <w:rFonts w:ascii="Times New Roman" w:hAnsiTheme="minorEastAsia" w:eastAsiaTheme="minorEastAsia"/>
          <w:spacing w:val="4"/>
        </w:rPr>
        <w:t>、</w:t>
      </w:r>
      <w:r>
        <w:rPr>
          <w:rFonts w:ascii="Times New Roman" w:hAnsi="Times New Roman" w:eastAsiaTheme="minorEastAsia"/>
          <w:spacing w:val="4"/>
        </w:rPr>
        <w:t>COD</w:t>
      </w:r>
      <w:r>
        <w:rPr>
          <w:rFonts w:ascii="Times New Roman" w:hAnsiTheme="minorEastAsia" w:eastAsiaTheme="minorEastAsia"/>
          <w:spacing w:val="4"/>
        </w:rPr>
        <w:t>、石油类、氨氮、硫化物</w:t>
      </w:r>
      <w:r>
        <w:rPr>
          <w:rFonts w:hint="eastAsia" w:ascii="Times New Roman" w:hAnsiTheme="minorEastAsia" w:eastAsiaTheme="minorEastAsia"/>
          <w:spacing w:val="4"/>
        </w:rPr>
        <w:t>、</w:t>
      </w:r>
      <w:r>
        <w:rPr>
          <w:rFonts w:hint="eastAsia" w:ascii="Times New Roman" w:hAnsiTheme="minorEastAsia" w:eastAsiaTheme="minorEastAsia"/>
        </w:rPr>
        <w:t>Fe、Mn、总磷、氟化物</w:t>
      </w:r>
      <w:r>
        <w:rPr>
          <w:rFonts w:ascii="Times New Roman" w:hAnsiTheme="minorEastAsia" w:eastAsiaTheme="minorEastAsia"/>
          <w:spacing w:val="4"/>
        </w:rPr>
        <w:t>；</w:t>
      </w:r>
    </w:p>
    <w:p>
      <w:pPr>
        <w:pStyle w:val="39"/>
        <w:ind w:firstLine="496"/>
        <w:rPr>
          <w:rFonts w:ascii="Times New Roman" w:hAnsi="Times New Roman" w:eastAsiaTheme="minorEastAsia"/>
          <w:spacing w:val="4"/>
        </w:rPr>
      </w:pPr>
      <w:r>
        <w:rPr>
          <w:rFonts w:ascii="Times New Roman" w:hAnsiTheme="minorEastAsia" w:eastAsiaTheme="minorEastAsia"/>
          <w:spacing w:val="4"/>
        </w:rPr>
        <w:t>地下水环境主要污染因子为：</w:t>
      </w:r>
      <w:r>
        <w:rPr>
          <w:rFonts w:ascii="Times New Roman" w:hAnsi="Times New Roman" w:eastAsiaTheme="minorEastAsia"/>
          <w:spacing w:val="4"/>
        </w:rPr>
        <w:t>pH</w:t>
      </w:r>
      <w:r>
        <w:rPr>
          <w:rFonts w:ascii="Times New Roman" w:hAnsiTheme="minorEastAsia" w:eastAsiaTheme="minorEastAsia"/>
          <w:spacing w:val="4"/>
        </w:rPr>
        <w:t>、总硬度、氟化物、氨氮、砷、耗氧量、六价铬、硝酸盐氮、亚硝酸盐氮、硫酸盐、溶解性总固体、挥发酚、汞、铁、锰、铅、氰化物、氯化物、镉、菌落总数、总大肠菌群共计</w:t>
      </w:r>
      <w:r>
        <w:rPr>
          <w:rFonts w:ascii="Times New Roman" w:hAnsi="Times New Roman" w:eastAsiaTheme="minorEastAsia"/>
          <w:spacing w:val="4"/>
        </w:rPr>
        <w:t>21</w:t>
      </w:r>
      <w:r>
        <w:rPr>
          <w:rFonts w:ascii="Times New Roman" w:hAnsiTheme="minorEastAsia" w:eastAsiaTheme="minorEastAsia"/>
          <w:spacing w:val="4"/>
        </w:rPr>
        <w:t>项；</w:t>
      </w:r>
    </w:p>
    <w:p>
      <w:pPr>
        <w:pStyle w:val="39"/>
        <w:ind w:firstLine="496"/>
        <w:rPr>
          <w:rFonts w:ascii="Times New Roman" w:hAnsi="Times New Roman" w:eastAsiaTheme="minorEastAsia"/>
          <w:spacing w:val="4"/>
        </w:rPr>
      </w:pPr>
      <w:r>
        <w:rPr>
          <w:rFonts w:ascii="Times New Roman" w:hAnsiTheme="minorEastAsia" w:eastAsiaTheme="minorEastAsia"/>
          <w:spacing w:val="4"/>
        </w:rPr>
        <w:t>固体废物主要污染因子为：矸石、除尘灰、压缩煤泥、污水处理站污泥、废机油和生活垃圾；</w:t>
      </w:r>
    </w:p>
    <w:p>
      <w:pPr>
        <w:pStyle w:val="39"/>
        <w:ind w:firstLine="496"/>
        <w:rPr>
          <w:rFonts w:ascii="Times New Roman" w:hAnsi="Times New Roman" w:eastAsiaTheme="minorEastAsia"/>
          <w:spacing w:val="4"/>
        </w:rPr>
      </w:pPr>
      <w:r>
        <w:rPr>
          <w:rFonts w:ascii="Times New Roman" w:hAnsiTheme="minorEastAsia" w:eastAsiaTheme="minorEastAsia"/>
          <w:spacing w:val="4"/>
        </w:rPr>
        <w:t>土壤环境主要污染因子为基本项目：镉、汞、砷、铜、铅、六价铬、镍、四氯化碳、氯仿、氯甲烷、</w:t>
      </w:r>
      <w:r>
        <w:rPr>
          <w:rFonts w:ascii="Times New Roman" w:hAnsi="Times New Roman" w:eastAsiaTheme="minorEastAsia"/>
          <w:spacing w:val="4"/>
        </w:rPr>
        <w:t>1,1-</w:t>
      </w:r>
      <w:r>
        <w:rPr>
          <w:rFonts w:ascii="Times New Roman" w:hAnsiTheme="minorEastAsia" w:eastAsiaTheme="minorEastAsia"/>
          <w:spacing w:val="4"/>
        </w:rPr>
        <w:t>二氯乙烷、</w:t>
      </w:r>
      <w:r>
        <w:rPr>
          <w:rFonts w:ascii="Times New Roman" w:hAnsi="Times New Roman" w:eastAsiaTheme="minorEastAsia"/>
          <w:spacing w:val="4"/>
        </w:rPr>
        <w:t>1,2-</w:t>
      </w:r>
      <w:r>
        <w:rPr>
          <w:rFonts w:ascii="Times New Roman" w:hAnsiTheme="minorEastAsia" w:eastAsiaTheme="minorEastAsia"/>
          <w:spacing w:val="4"/>
        </w:rPr>
        <w:t>二氯乙烷、</w:t>
      </w:r>
      <w:r>
        <w:rPr>
          <w:rFonts w:ascii="Times New Roman" w:hAnsi="Times New Roman" w:eastAsiaTheme="minorEastAsia"/>
          <w:spacing w:val="4"/>
        </w:rPr>
        <w:t>1,1-</w:t>
      </w:r>
      <w:r>
        <w:rPr>
          <w:rFonts w:ascii="Times New Roman" w:hAnsiTheme="minorEastAsia" w:eastAsiaTheme="minorEastAsia"/>
          <w:spacing w:val="4"/>
        </w:rPr>
        <w:t>二氯乙烯、顺</w:t>
      </w:r>
      <w:r>
        <w:rPr>
          <w:rFonts w:ascii="Times New Roman" w:hAnsi="Times New Roman" w:eastAsiaTheme="minorEastAsia"/>
          <w:spacing w:val="4"/>
        </w:rPr>
        <w:t>-1,2-</w:t>
      </w:r>
      <w:r>
        <w:rPr>
          <w:rFonts w:ascii="Times New Roman" w:hAnsiTheme="minorEastAsia" w:eastAsiaTheme="minorEastAsia"/>
          <w:spacing w:val="4"/>
        </w:rPr>
        <w:t>二氯乙烯、反</w:t>
      </w:r>
      <w:r>
        <w:rPr>
          <w:rFonts w:ascii="Times New Roman" w:hAnsi="Times New Roman" w:eastAsiaTheme="minorEastAsia"/>
          <w:spacing w:val="4"/>
        </w:rPr>
        <w:t>-1,2-</w:t>
      </w:r>
      <w:r>
        <w:rPr>
          <w:rFonts w:ascii="Times New Roman" w:hAnsiTheme="minorEastAsia" w:eastAsiaTheme="minorEastAsia"/>
          <w:spacing w:val="4"/>
        </w:rPr>
        <w:t>二氯乙烯、二氯甲烷、</w:t>
      </w:r>
      <w:r>
        <w:rPr>
          <w:rFonts w:ascii="Times New Roman" w:hAnsi="Times New Roman" w:eastAsiaTheme="minorEastAsia"/>
          <w:spacing w:val="4"/>
        </w:rPr>
        <w:t>1,2-</w:t>
      </w:r>
      <w:r>
        <w:rPr>
          <w:rFonts w:ascii="Times New Roman" w:hAnsiTheme="minorEastAsia" w:eastAsiaTheme="minorEastAsia"/>
          <w:spacing w:val="4"/>
        </w:rPr>
        <w:t>二氯丙烷、</w:t>
      </w:r>
      <w:r>
        <w:rPr>
          <w:rFonts w:ascii="Times New Roman" w:hAnsi="Times New Roman" w:eastAsiaTheme="minorEastAsia"/>
          <w:spacing w:val="4"/>
        </w:rPr>
        <w:t>1,1,1,2-</w:t>
      </w:r>
      <w:r>
        <w:rPr>
          <w:rFonts w:ascii="Times New Roman" w:hAnsiTheme="minorEastAsia" w:eastAsiaTheme="minorEastAsia"/>
          <w:spacing w:val="4"/>
        </w:rPr>
        <w:t>四氯乙烷、</w:t>
      </w:r>
      <w:r>
        <w:rPr>
          <w:rFonts w:ascii="Times New Roman" w:hAnsi="Times New Roman" w:eastAsiaTheme="minorEastAsia"/>
          <w:spacing w:val="4"/>
        </w:rPr>
        <w:t>1,1,2,2-</w:t>
      </w:r>
      <w:r>
        <w:rPr>
          <w:rFonts w:ascii="Times New Roman" w:hAnsiTheme="minorEastAsia" w:eastAsiaTheme="minorEastAsia"/>
          <w:spacing w:val="4"/>
        </w:rPr>
        <w:t>四氯乙烷、四氯乙烯、</w:t>
      </w:r>
      <w:r>
        <w:rPr>
          <w:rFonts w:ascii="Times New Roman" w:hAnsi="Times New Roman" w:eastAsiaTheme="minorEastAsia"/>
          <w:spacing w:val="4"/>
        </w:rPr>
        <w:t>1,1,1-</w:t>
      </w:r>
      <w:r>
        <w:rPr>
          <w:rFonts w:ascii="Times New Roman" w:hAnsiTheme="minorEastAsia" w:eastAsiaTheme="minorEastAsia"/>
          <w:spacing w:val="4"/>
        </w:rPr>
        <w:t>三氯乙烷、</w:t>
      </w:r>
      <w:r>
        <w:rPr>
          <w:rFonts w:ascii="Times New Roman" w:hAnsi="Times New Roman" w:eastAsiaTheme="minorEastAsia"/>
          <w:spacing w:val="4"/>
        </w:rPr>
        <w:t>1,1,2-</w:t>
      </w:r>
      <w:r>
        <w:rPr>
          <w:rFonts w:ascii="Times New Roman" w:hAnsiTheme="minorEastAsia" w:eastAsiaTheme="minorEastAsia"/>
          <w:spacing w:val="4"/>
        </w:rPr>
        <w:t>三氯乙烷、三氯乙烯、</w:t>
      </w:r>
      <w:r>
        <w:rPr>
          <w:rFonts w:ascii="Times New Roman" w:hAnsi="Times New Roman" w:eastAsiaTheme="minorEastAsia"/>
          <w:spacing w:val="4"/>
        </w:rPr>
        <w:t>1,2,3,-</w:t>
      </w:r>
      <w:r>
        <w:rPr>
          <w:rFonts w:ascii="Times New Roman" w:hAnsiTheme="minorEastAsia" w:eastAsiaTheme="minorEastAsia"/>
          <w:spacing w:val="4"/>
        </w:rPr>
        <w:t>三氯丙烷、氯乙烯、苯、氯苯、</w:t>
      </w:r>
      <w:r>
        <w:rPr>
          <w:rFonts w:ascii="Times New Roman" w:hAnsi="Times New Roman" w:eastAsiaTheme="minorEastAsia"/>
          <w:spacing w:val="4"/>
        </w:rPr>
        <w:t>1,2-</w:t>
      </w:r>
      <w:r>
        <w:rPr>
          <w:rFonts w:ascii="Times New Roman" w:hAnsiTheme="minorEastAsia" w:eastAsiaTheme="minorEastAsia"/>
          <w:spacing w:val="4"/>
        </w:rPr>
        <w:t>二氯苯、</w:t>
      </w:r>
      <w:r>
        <w:rPr>
          <w:rFonts w:ascii="Times New Roman" w:hAnsi="Times New Roman" w:eastAsiaTheme="minorEastAsia"/>
          <w:spacing w:val="4"/>
        </w:rPr>
        <w:t>1,4-</w:t>
      </w:r>
      <w:r>
        <w:rPr>
          <w:rFonts w:ascii="Times New Roman" w:hAnsiTheme="minorEastAsia" w:eastAsiaTheme="minorEastAsia"/>
          <w:spacing w:val="4"/>
        </w:rPr>
        <w:t>二氯苯、乙苯、苯乙烯、甲苯、间二甲苯</w:t>
      </w:r>
      <w:r>
        <w:rPr>
          <w:rFonts w:ascii="Times New Roman" w:hAnsi="Times New Roman" w:eastAsiaTheme="minorEastAsia"/>
          <w:spacing w:val="4"/>
        </w:rPr>
        <w:t>+</w:t>
      </w:r>
      <w:r>
        <w:rPr>
          <w:rFonts w:ascii="Times New Roman" w:hAnsiTheme="minorEastAsia" w:eastAsiaTheme="minorEastAsia"/>
          <w:spacing w:val="4"/>
        </w:rPr>
        <w:t>对二甲苯、邻二甲苯、硝基苯、苯胺、</w:t>
      </w:r>
      <w:r>
        <w:rPr>
          <w:rFonts w:ascii="Times New Roman" w:hAnsi="Times New Roman" w:eastAsiaTheme="minorEastAsia"/>
          <w:spacing w:val="4"/>
        </w:rPr>
        <w:t>2-</w:t>
      </w:r>
      <w:r>
        <w:rPr>
          <w:rFonts w:ascii="Times New Roman" w:hAnsiTheme="minorEastAsia" w:eastAsiaTheme="minorEastAsia"/>
          <w:spacing w:val="4"/>
        </w:rPr>
        <w:t>氯酚、苯并</w:t>
      </w:r>
      <w:r>
        <w:rPr>
          <w:rFonts w:ascii="Times New Roman" w:hAnsi="Times New Roman" w:eastAsiaTheme="minorEastAsia"/>
          <w:spacing w:val="4"/>
        </w:rPr>
        <w:t>[a]</w:t>
      </w:r>
      <w:r>
        <w:rPr>
          <w:rFonts w:ascii="Times New Roman" w:hAnsiTheme="minorEastAsia" w:eastAsiaTheme="minorEastAsia"/>
          <w:spacing w:val="4"/>
        </w:rPr>
        <w:t>蒽、苯并</w:t>
      </w:r>
      <w:r>
        <w:rPr>
          <w:rFonts w:ascii="Times New Roman" w:hAnsi="Times New Roman" w:eastAsiaTheme="minorEastAsia"/>
          <w:spacing w:val="4"/>
        </w:rPr>
        <w:t>[a]</w:t>
      </w:r>
      <w:r>
        <w:rPr>
          <w:rFonts w:ascii="Times New Roman" w:hAnsiTheme="minorEastAsia" w:eastAsiaTheme="minorEastAsia"/>
          <w:spacing w:val="4"/>
        </w:rPr>
        <w:t>芘、苯并</w:t>
      </w:r>
      <w:r>
        <w:rPr>
          <w:rFonts w:ascii="Times New Roman" w:hAnsi="Times New Roman" w:eastAsiaTheme="minorEastAsia"/>
          <w:spacing w:val="4"/>
        </w:rPr>
        <w:t>[b]</w:t>
      </w:r>
      <w:r>
        <w:rPr>
          <w:rFonts w:ascii="Times New Roman" w:hAnsiTheme="minorEastAsia" w:eastAsiaTheme="minorEastAsia"/>
          <w:spacing w:val="4"/>
        </w:rPr>
        <w:t>荧蒽、苯并</w:t>
      </w:r>
      <w:r>
        <w:rPr>
          <w:rFonts w:ascii="Times New Roman" w:hAnsi="Times New Roman" w:eastAsiaTheme="minorEastAsia"/>
          <w:spacing w:val="4"/>
        </w:rPr>
        <w:t>[k]</w:t>
      </w:r>
      <w:r>
        <w:rPr>
          <w:rFonts w:ascii="Times New Roman" w:hAnsiTheme="minorEastAsia" w:eastAsiaTheme="minorEastAsia"/>
          <w:spacing w:val="4"/>
        </w:rPr>
        <w:t>荧蒽、䓛、二苯并</w:t>
      </w:r>
      <w:r>
        <w:rPr>
          <w:rFonts w:ascii="Times New Roman" w:hAnsi="Times New Roman" w:eastAsiaTheme="minorEastAsia"/>
          <w:spacing w:val="4"/>
        </w:rPr>
        <w:t>[a,h]</w:t>
      </w:r>
      <w:r>
        <w:rPr>
          <w:rFonts w:ascii="Times New Roman" w:hAnsiTheme="minorEastAsia" w:eastAsiaTheme="minorEastAsia"/>
          <w:spacing w:val="4"/>
        </w:rPr>
        <w:t>蒽、茚并</w:t>
      </w:r>
      <w:r>
        <w:rPr>
          <w:rFonts w:ascii="Times New Roman" w:hAnsi="Times New Roman" w:eastAsiaTheme="minorEastAsia"/>
          <w:spacing w:val="4"/>
        </w:rPr>
        <w:t>[1,2,3-cd]</w:t>
      </w:r>
      <w:r>
        <w:rPr>
          <w:rFonts w:ascii="Times New Roman" w:hAnsiTheme="minorEastAsia" w:eastAsiaTheme="minorEastAsia"/>
          <w:spacing w:val="4"/>
        </w:rPr>
        <w:t>芘、萘。共</w:t>
      </w:r>
      <w:r>
        <w:rPr>
          <w:rFonts w:ascii="Times New Roman" w:hAnsi="Times New Roman" w:eastAsiaTheme="minorEastAsia"/>
          <w:spacing w:val="4"/>
        </w:rPr>
        <w:t>45</w:t>
      </w:r>
      <w:r>
        <w:rPr>
          <w:rFonts w:ascii="Times New Roman" w:hAnsiTheme="minorEastAsia" w:eastAsiaTheme="minorEastAsia"/>
          <w:spacing w:val="4"/>
        </w:rPr>
        <w:t>项基本项；特征污染因子：汞、铅、镉、总铬、铜、锌、铍、钡、镍、砷、氟化物、氰化物。</w:t>
      </w:r>
    </w:p>
    <w:p>
      <w:pPr>
        <w:pStyle w:val="39"/>
        <w:ind w:firstLine="496"/>
        <w:rPr>
          <w:rFonts w:ascii="Times New Roman" w:hAnsi="Times New Roman" w:eastAsiaTheme="minorEastAsia"/>
          <w:spacing w:val="4"/>
        </w:rPr>
      </w:pPr>
      <w:r>
        <w:rPr>
          <w:rFonts w:ascii="Times New Roman" w:hAnsiTheme="minorEastAsia" w:eastAsiaTheme="minorEastAsia"/>
          <w:spacing w:val="4"/>
        </w:rPr>
        <w:t>声环境主要污染因子为设备及运输噪声；</w:t>
      </w:r>
    </w:p>
    <w:p>
      <w:pPr>
        <w:pStyle w:val="39"/>
        <w:ind w:firstLine="496"/>
        <w:rPr>
          <w:rFonts w:ascii="Times New Roman" w:hAnsi="Times New Roman" w:eastAsiaTheme="minorEastAsia"/>
          <w:spacing w:val="4"/>
        </w:rPr>
      </w:pPr>
      <w:r>
        <w:rPr>
          <w:rFonts w:ascii="Times New Roman" w:hAnsiTheme="minorEastAsia" w:eastAsiaTheme="minorEastAsia"/>
          <w:spacing w:val="4"/>
        </w:rPr>
        <w:t>生态环境包括地表塌陷、含水层破坏、地表水下渗及植被破坏等。</w:t>
      </w:r>
    </w:p>
    <w:p>
      <w:pPr>
        <w:spacing w:line="360" w:lineRule="auto"/>
        <w:outlineLvl w:val="2"/>
        <w:rPr>
          <w:rFonts w:eastAsiaTheme="minorEastAsia"/>
          <w:b/>
          <w:sz w:val="24"/>
        </w:rPr>
      </w:pPr>
      <w:r>
        <w:rPr>
          <w:rFonts w:eastAsiaTheme="minorEastAsia"/>
          <w:b/>
          <w:sz w:val="24"/>
        </w:rPr>
        <w:t>2.4.2</w:t>
      </w:r>
      <w:r>
        <w:rPr>
          <w:rFonts w:hAnsiTheme="minorEastAsia" w:eastAsiaTheme="minorEastAsia"/>
          <w:b/>
          <w:sz w:val="24"/>
        </w:rPr>
        <w:t>评价因子筛选</w:t>
      </w:r>
    </w:p>
    <w:p>
      <w:pPr>
        <w:pStyle w:val="39"/>
        <w:rPr>
          <w:rFonts w:ascii="Times New Roman" w:hAnsi="Times New Roman" w:eastAsiaTheme="minorEastAsia"/>
        </w:rPr>
      </w:pPr>
      <w:r>
        <w:rPr>
          <w:rFonts w:ascii="Times New Roman" w:hAnsiTheme="minorEastAsia" w:eastAsiaTheme="minorEastAsia"/>
        </w:rPr>
        <w:t>本次评价主要是根据以上对工程和周围环境之间相互影响的综合分析结果，结合本工程具体的排污种类、强度及周围环境影响程度的大小，给出评价因子的筛选矩阵，详见表</w:t>
      </w:r>
      <w:r>
        <w:rPr>
          <w:rFonts w:ascii="Times New Roman" w:hAnsi="Times New Roman" w:eastAsiaTheme="minorEastAsia"/>
        </w:rPr>
        <w:t>2.4-2</w:t>
      </w:r>
      <w:r>
        <w:rPr>
          <w:rFonts w:ascii="Times New Roman" w:hAnsiTheme="minorEastAsia" w:eastAsiaTheme="minorEastAsia"/>
        </w:rPr>
        <w:t>所示。</w:t>
      </w:r>
    </w:p>
    <w:p>
      <w:pPr>
        <w:pStyle w:val="39"/>
        <w:rPr>
          <w:rFonts w:ascii="Times New Roman" w:hAnsi="Times New Roman" w:eastAsiaTheme="minorEastAsia"/>
        </w:rPr>
      </w:pPr>
      <w:r>
        <w:rPr>
          <w:rFonts w:ascii="Times New Roman" w:hAnsiTheme="minorEastAsia" w:eastAsiaTheme="minorEastAsia"/>
        </w:rPr>
        <w:t>从表</w:t>
      </w:r>
      <w:r>
        <w:rPr>
          <w:rFonts w:ascii="Times New Roman" w:hAnsi="Times New Roman" w:eastAsiaTheme="minorEastAsia"/>
        </w:rPr>
        <w:t>2.4-2</w:t>
      </w:r>
      <w:r>
        <w:rPr>
          <w:rFonts w:ascii="Times New Roman" w:hAnsiTheme="minorEastAsia" w:eastAsiaTheme="minorEastAsia"/>
        </w:rPr>
        <w:t>中可以看出，根据煤炭开采行业对环境的影响特征，经筛选确定出主要现状评价因子、预测因子如下：</w:t>
      </w:r>
    </w:p>
    <w:p>
      <w:pPr>
        <w:spacing w:line="360" w:lineRule="auto"/>
        <w:outlineLvl w:val="2"/>
        <w:rPr>
          <w:rFonts w:eastAsiaTheme="minorEastAsia"/>
          <w:b/>
          <w:sz w:val="24"/>
        </w:rPr>
        <w:sectPr>
          <w:pgSz w:w="11906" w:h="16838"/>
          <w:pgMar w:top="1701" w:right="1418" w:bottom="1701" w:left="1418" w:header="992" w:footer="992" w:gutter="0"/>
          <w:cols w:space="425" w:num="1"/>
          <w:docGrid w:linePitch="312" w:charSpace="0"/>
        </w:sectPr>
      </w:pP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 xml:space="preserve">2.4-2  </w:t>
      </w:r>
      <w:r>
        <w:rPr>
          <w:rFonts w:hAnsiTheme="minorEastAsia" w:eastAsiaTheme="minorEastAsia"/>
          <w:b/>
          <w:szCs w:val="21"/>
        </w:rPr>
        <w:t>本工程环境影响因素</w:t>
      </w:r>
    </w:p>
    <w:tbl>
      <w:tblPr>
        <w:tblStyle w:val="25"/>
        <w:tblW w:w="49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9"/>
        <w:gridCol w:w="1643"/>
        <w:gridCol w:w="1376"/>
        <w:gridCol w:w="1376"/>
        <w:gridCol w:w="1376"/>
        <w:gridCol w:w="1376"/>
        <w:gridCol w:w="1377"/>
        <w:gridCol w:w="1377"/>
        <w:gridCol w:w="1377"/>
        <w:gridCol w:w="13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4" w:hRule="atLeast"/>
          <w:jc w:val="center"/>
        </w:trPr>
        <w:tc>
          <w:tcPr>
            <w:tcW w:w="403"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阶段</w:t>
            </w: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环境因素</w:t>
            </w:r>
          </w:p>
        </w:tc>
        <w:tc>
          <w:tcPr>
            <w:tcW w:w="500"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短期影响</w:t>
            </w:r>
          </w:p>
        </w:tc>
        <w:tc>
          <w:tcPr>
            <w:tcW w:w="500"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长期影响</w:t>
            </w:r>
          </w:p>
        </w:tc>
        <w:tc>
          <w:tcPr>
            <w:tcW w:w="500"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可逆影响</w:t>
            </w:r>
          </w:p>
        </w:tc>
        <w:tc>
          <w:tcPr>
            <w:tcW w:w="500"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不可逆影响</w:t>
            </w:r>
          </w:p>
        </w:tc>
        <w:tc>
          <w:tcPr>
            <w:tcW w:w="500"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直接影响</w:t>
            </w:r>
          </w:p>
        </w:tc>
        <w:tc>
          <w:tcPr>
            <w:tcW w:w="500"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间接影响</w:t>
            </w:r>
          </w:p>
        </w:tc>
        <w:tc>
          <w:tcPr>
            <w:tcW w:w="500"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不利影响</w:t>
            </w:r>
          </w:p>
        </w:tc>
        <w:tc>
          <w:tcPr>
            <w:tcW w:w="500"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有利影响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403" w:type="pct"/>
            <w:vMerge w:val="restar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施工期</w:t>
            </w: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大气环境</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水环境</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声学环境</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土壤环境</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农业生态</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土地利用</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美学环境</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社会经济环境</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地表形态变化</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403" w:type="pct"/>
            <w:vMerge w:val="restar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运营期</w:t>
            </w: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环境空气</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地表水环境</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地下水环境</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声学环境</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土壤环境</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农业生态</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土地利用</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社会经济</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美学环境</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地表形态变化</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地表塌陷破坏</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403" w:type="pct"/>
            <w:vMerge w:val="restar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服务期满</w:t>
            </w: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农业生态</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土地利用</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社会经济</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美学环境</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jc w:val="center"/>
              <w:rPr>
                <w:rFonts w:eastAsiaTheme="minorEastAsia"/>
                <w:kern w:val="0"/>
                <w:sz w:val="20"/>
              </w:rPr>
            </w:pPr>
          </w:p>
        </w:tc>
        <w:tc>
          <w:tcPr>
            <w:tcW w:w="500" w:type="pct"/>
            <w:vAlign w:val="center"/>
          </w:tcPr>
          <w:p>
            <w:pPr>
              <w:jc w:val="center"/>
              <w:rPr>
                <w:rFonts w:eastAsiaTheme="minorEastAsia"/>
                <w:kern w:val="0"/>
                <w:sz w:val="20"/>
              </w:rPr>
            </w:pP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地表形态变化</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403" w:type="pct"/>
            <w:vMerge w:val="continue"/>
            <w:vAlign w:val="center"/>
          </w:tcPr>
          <w:p>
            <w:pPr>
              <w:spacing w:line="288" w:lineRule="auto"/>
              <w:jc w:val="center"/>
              <w:rPr>
                <w:rFonts w:eastAsiaTheme="minorEastAsia"/>
                <w:kern w:val="0"/>
                <w:sz w:val="18"/>
                <w:szCs w:val="18"/>
              </w:rPr>
            </w:pPr>
          </w:p>
        </w:tc>
        <w:tc>
          <w:tcPr>
            <w:tcW w:w="597" w:type="pct"/>
            <w:vAlign w:val="center"/>
          </w:tcPr>
          <w:p>
            <w:pPr>
              <w:spacing w:line="288" w:lineRule="auto"/>
              <w:jc w:val="center"/>
              <w:rPr>
                <w:rFonts w:eastAsiaTheme="minorEastAsia"/>
                <w:kern w:val="0"/>
                <w:sz w:val="18"/>
                <w:szCs w:val="18"/>
              </w:rPr>
            </w:pPr>
            <w:r>
              <w:rPr>
                <w:rFonts w:hAnsiTheme="minorEastAsia" w:eastAsiaTheme="minorEastAsia"/>
                <w:kern w:val="0"/>
                <w:sz w:val="18"/>
                <w:szCs w:val="18"/>
              </w:rPr>
              <w:t>地表塌陷破坏</w:t>
            </w: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jc w:val="center"/>
              <w:rPr>
                <w:rFonts w:eastAsiaTheme="minorEastAsia"/>
                <w:kern w:val="0"/>
                <w:sz w:val="20"/>
              </w:rPr>
            </w:pPr>
            <w:r>
              <w:rPr>
                <w:rFonts w:eastAsiaTheme="minorEastAsia"/>
                <w:kern w:val="0"/>
                <w:sz w:val="18"/>
                <w:szCs w:val="18"/>
              </w:rPr>
              <w:t>√</w:t>
            </w:r>
          </w:p>
        </w:tc>
        <w:tc>
          <w:tcPr>
            <w:tcW w:w="500" w:type="pct"/>
            <w:vAlign w:val="center"/>
          </w:tcPr>
          <w:p>
            <w:pPr>
              <w:jc w:val="center"/>
              <w:rPr>
                <w:rFonts w:eastAsiaTheme="minorEastAsia"/>
                <w:kern w:val="0"/>
                <w:sz w:val="20"/>
              </w:rPr>
            </w:pPr>
          </w:p>
        </w:tc>
        <w:tc>
          <w:tcPr>
            <w:tcW w:w="500" w:type="pct"/>
            <w:vAlign w:val="center"/>
          </w:tcPr>
          <w:p>
            <w:pPr>
              <w:spacing w:line="288" w:lineRule="auto"/>
              <w:jc w:val="center"/>
              <w:rPr>
                <w:rFonts w:eastAsiaTheme="minorEastAsia"/>
                <w:kern w:val="0"/>
                <w:sz w:val="18"/>
                <w:szCs w:val="18"/>
              </w:rPr>
            </w:pPr>
            <w:r>
              <w:rPr>
                <w:rFonts w:eastAsiaTheme="minorEastAsia"/>
                <w:kern w:val="0"/>
                <w:sz w:val="18"/>
                <w:szCs w:val="18"/>
              </w:rPr>
              <w:t>√</w:t>
            </w:r>
          </w:p>
        </w:tc>
        <w:tc>
          <w:tcPr>
            <w:tcW w:w="500" w:type="pct"/>
            <w:vAlign w:val="center"/>
          </w:tcPr>
          <w:p>
            <w:pPr>
              <w:spacing w:line="288" w:lineRule="auto"/>
              <w:jc w:val="center"/>
              <w:rPr>
                <w:rFonts w:eastAsiaTheme="minorEastAsia"/>
                <w:kern w:val="0"/>
                <w:sz w:val="18"/>
                <w:szCs w:val="18"/>
              </w:rPr>
            </w:pPr>
          </w:p>
        </w:tc>
      </w:tr>
    </w:tbl>
    <w:p>
      <w:pPr>
        <w:spacing w:line="360" w:lineRule="auto"/>
        <w:rPr>
          <w:rFonts w:eastAsiaTheme="minorEastAsia"/>
          <w:b/>
          <w:sz w:val="24"/>
        </w:rPr>
        <w:sectPr>
          <w:headerReference r:id="rId10" w:type="default"/>
          <w:footerReference r:id="rId11" w:type="default"/>
          <w:pgSz w:w="16838" w:h="11906" w:orient="landscape"/>
          <w:pgMar w:top="1440" w:right="1440" w:bottom="1440" w:left="1800" w:header="1134" w:footer="992" w:gutter="0"/>
          <w:cols w:space="425" w:num="1"/>
          <w:docGrid w:linePitch="312" w:charSpace="0"/>
        </w:sectPr>
      </w:pPr>
    </w:p>
    <w:p>
      <w:pPr>
        <w:spacing w:line="360" w:lineRule="auto"/>
        <w:ind w:firstLine="480" w:firstLineChars="200"/>
        <w:rPr>
          <w:rFonts w:eastAsiaTheme="minorEastAsia"/>
          <w:sz w:val="24"/>
        </w:rPr>
      </w:pPr>
      <w:r>
        <w:rPr>
          <w:rFonts w:hAnsiTheme="minorEastAsia" w:eastAsiaTheme="minorEastAsia"/>
          <w:sz w:val="24"/>
        </w:rPr>
        <w:t>本项目在施工期和运营期对当地的自然环境等方面均会产生一定的影响，只是在不同的时段，其影响的性质和程度不同。</w:t>
      </w:r>
    </w:p>
    <w:p>
      <w:pPr>
        <w:spacing w:line="360" w:lineRule="auto"/>
        <w:ind w:firstLine="480" w:firstLineChars="200"/>
        <w:rPr>
          <w:rFonts w:eastAsiaTheme="minorEastAsia"/>
          <w:sz w:val="24"/>
        </w:rPr>
      </w:pPr>
      <w:r>
        <w:rPr>
          <w:rFonts w:hAnsiTheme="minorEastAsia" w:eastAsiaTheme="minorEastAsia"/>
          <w:sz w:val="24"/>
        </w:rPr>
        <w:t>本项目在运营期的各种活动所产生的污染物对环境资源的影响是长期的，且影响程度大小有所不同。本项目的环境影响主要体现在对大气环境、水环境、声学环境及固体废物。据此可以确定，本次评价时段主要为工程运营期。在评价时段内，对周围环境的影响因子主要为废气，其次是固体废物、噪声、废水等。</w:t>
      </w:r>
    </w:p>
    <w:p>
      <w:pPr>
        <w:pStyle w:val="39"/>
        <w:rPr>
          <w:rFonts w:ascii="Times New Roman" w:hAnsi="Times New Roman" w:eastAsiaTheme="minorEastAsia"/>
        </w:rPr>
      </w:pPr>
      <w:r>
        <w:rPr>
          <w:rFonts w:ascii="Times New Roman" w:hAnsiTheme="minorEastAsia" w:eastAsiaTheme="minorEastAsia"/>
        </w:rPr>
        <w:t>根据</w:t>
      </w:r>
      <w:r>
        <w:rPr>
          <w:rFonts w:ascii="Times New Roman" w:hAnsiTheme="minorEastAsia" w:eastAsiaTheme="minorEastAsia"/>
          <w:spacing w:val="4"/>
        </w:rPr>
        <w:t>《环境影响评价技术导则》</w:t>
      </w:r>
      <w:r>
        <w:rPr>
          <w:rFonts w:ascii="Times New Roman" w:hAnsiTheme="minorEastAsia" w:eastAsiaTheme="minorEastAsia"/>
        </w:rPr>
        <w:t>中的有关规定，结合煤炭开采对环境影响的特征，筛选出主要的环境影响评价因子如下：</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1</w:t>
      </w:r>
      <w:r>
        <w:rPr>
          <w:rFonts w:ascii="Times New Roman" w:hAnsiTheme="minorEastAsia" w:eastAsiaTheme="minorEastAsia"/>
        </w:rPr>
        <w:t>）</w:t>
      </w:r>
      <w:r>
        <w:rPr>
          <w:rFonts w:ascii="Times New Roman" w:hAnsiTheme="minorEastAsia" w:eastAsiaTheme="minorEastAsia"/>
          <w:spacing w:val="4"/>
        </w:rPr>
        <w:t>生态环境</w:t>
      </w:r>
    </w:p>
    <w:p>
      <w:pPr>
        <w:pStyle w:val="39"/>
        <w:rPr>
          <w:rFonts w:ascii="Times New Roman" w:hAnsi="Times New Roman" w:eastAsiaTheme="minorEastAsia"/>
        </w:rPr>
      </w:pPr>
      <w:r>
        <w:rPr>
          <w:rFonts w:ascii="Times New Roman" w:hAnsi="Times New Roman" w:eastAsiaTheme="minorEastAsia"/>
        </w:rPr>
        <w:t>A</w:t>
      </w:r>
      <w:r>
        <w:rPr>
          <w:rFonts w:ascii="Times New Roman" w:hAnsiTheme="minorEastAsia" w:eastAsiaTheme="minorEastAsia"/>
        </w:rPr>
        <w:t>、现状因子</w:t>
      </w:r>
    </w:p>
    <w:p>
      <w:pPr>
        <w:pStyle w:val="39"/>
        <w:rPr>
          <w:rFonts w:ascii="Times New Roman" w:hAnsi="Times New Roman" w:eastAsiaTheme="minorEastAsia"/>
        </w:rPr>
      </w:pPr>
      <w:r>
        <w:rPr>
          <w:rFonts w:asciiTheme="minorEastAsia" w:hAnsiTheme="minorEastAsia" w:eastAsiaTheme="minorEastAsia"/>
        </w:rPr>
        <w:t>①</w:t>
      </w:r>
      <w:r>
        <w:rPr>
          <w:rFonts w:ascii="Times New Roman" w:hAnsiTheme="minorEastAsia" w:eastAsiaTheme="minorEastAsia"/>
        </w:rPr>
        <w:t>土壤类型：构成、特点、分布等；</w:t>
      </w:r>
    </w:p>
    <w:p>
      <w:pPr>
        <w:pStyle w:val="39"/>
        <w:rPr>
          <w:rFonts w:ascii="Times New Roman" w:hAnsi="Times New Roman" w:eastAsiaTheme="minorEastAsia"/>
        </w:rPr>
      </w:pPr>
      <w:r>
        <w:rPr>
          <w:rFonts w:asciiTheme="minorEastAsia" w:hAnsiTheme="minorEastAsia" w:eastAsiaTheme="minorEastAsia"/>
        </w:rPr>
        <w:t>②</w:t>
      </w:r>
      <w:r>
        <w:rPr>
          <w:rFonts w:ascii="Times New Roman" w:hAnsiTheme="minorEastAsia" w:eastAsiaTheme="minorEastAsia"/>
        </w:rPr>
        <w:t>土地利用：各类型土地构成、分布、面积等；</w:t>
      </w:r>
    </w:p>
    <w:p>
      <w:pPr>
        <w:pStyle w:val="39"/>
        <w:rPr>
          <w:rFonts w:ascii="Times New Roman" w:hAnsi="Times New Roman" w:eastAsiaTheme="minorEastAsia"/>
        </w:rPr>
      </w:pPr>
      <w:r>
        <w:rPr>
          <w:rFonts w:asciiTheme="minorEastAsia" w:hAnsiTheme="minorEastAsia" w:eastAsiaTheme="minorEastAsia"/>
        </w:rPr>
        <w:t>③</w:t>
      </w:r>
      <w:r>
        <w:rPr>
          <w:rFonts w:ascii="Times New Roman" w:hAnsiTheme="minorEastAsia" w:eastAsiaTheme="minorEastAsia"/>
        </w:rPr>
        <w:t>植被资源：</w:t>
      </w:r>
      <w:r>
        <w:rPr>
          <w:rFonts w:ascii="Times New Roman" w:hAnsiTheme="minorEastAsia" w:eastAsiaTheme="minorEastAsia"/>
          <w:spacing w:val="4"/>
        </w:rPr>
        <w:t>植被</w:t>
      </w:r>
      <w:r>
        <w:rPr>
          <w:rFonts w:ascii="Times New Roman" w:hAnsiTheme="minorEastAsia" w:eastAsiaTheme="minorEastAsia"/>
        </w:rPr>
        <w:t>类型、组成、分布、覆盖率、生长系数等；</w:t>
      </w:r>
    </w:p>
    <w:p>
      <w:pPr>
        <w:pStyle w:val="39"/>
        <w:rPr>
          <w:rFonts w:ascii="Times New Roman" w:hAnsi="Times New Roman" w:eastAsiaTheme="minorEastAsia"/>
        </w:rPr>
      </w:pPr>
      <w:r>
        <w:rPr>
          <w:rFonts w:asciiTheme="minorEastAsia" w:hAnsiTheme="minorEastAsia" w:eastAsiaTheme="minorEastAsia"/>
        </w:rPr>
        <w:t>④</w:t>
      </w:r>
      <w:r>
        <w:rPr>
          <w:rFonts w:ascii="Times New Roman" w:hAnsiTheme="minorEastAsia" w:eastAsiaTheme="minorEastAsia"/>
        </w:rPr>
        <w:t>土壤侵蚀；</w:t>
      </w:r>
      <w:r>
        <w:rPr>
          <w:rFonts w:ascii="Times New Roman" w:hAnsiTheme="minorEastAsia" w:eastAsiaTheme="minorEastAsia"/>
          <w:spacing w:val="4"/>
        </w:rPr>
        <w:t>侵蚀</w:t>
      </w:r>
      <w:r>
        <w:rPr>
          <w:rFonts w:ascii="Times New Roman" w:hAnsiTheme="minorEastAsia" w:eastAsiaTheme="minorEastAsia"/>
        </w:rPr>
        <w:t>类型、侵蚀程度、侵蚀模数等；</w:t>
      </w:r>
    </w:p>
    <w:p>
      <w:pPr>
        <w:pStyle w:val="39"/>
        <w:rPr>
          <w:rFonts w:ascii="Times New Roman" w:hAnsi="Times New Roman" w:eastAsiaTheme="minorEastAsia"/>
        </w:rPr>
      </w:pPr>
      <w:r>
        <w:rPr>
          <w:rFonts w:asciiTheme="minorEastAsia" w:hAnsiTheme="minorEastAsia" w:eastAsiaTheme="minorEastAsia"/>
        </w:rPr>
        <w:t>⑤</w:t>
      </w:r>
      <w:r>
        <w:rPr>
          <w:rFonts w:ascii="Times New Roman" w:hAnsiTheme="minorEastAsia" w:eastAsiaTheme="minorEastAsia"/>
        </w:rPr>
        <w:t>生态系统：</w:t>
      </w:r>
      <w:r>
        <w:rPr>
          <w:rFonts w:ascii="Times New Roman" w:hAnsiTheme="minorEastAsia" w:eastAsiaTheme="minorEastAsia"/>
          <w:spacing w:val="4"/>
        </w:rPr>
        <w:t>评价</w:t>
      </w:r>
      <w:r>
        <w:rPr>
          <w:rFonts w:ascii="Times New Roman" w:hAnsiTheme="minorEastAsia" w:eastAsiaTheme="minorEastAsia"/>
        </w:rPr>
        <w:t>区内主要生态系统的种类、分布、特点等。</w:t>
      </w:r>
    </w:p>
    <w:p>
      <w:pPr>
        <w:pStyle w:val="39"/>
        <w:rPr>
          <w:rFonts w:ascii="Times New Roman" w:hAnsi="Times New Roman" w:eastAsiaTheme="minorEastAsia"/>
        </w:rPr>
      </w:pPr>
      <w:r>
        <w:rPr>
          <w:rFonts w:ascii="Times New Roman" w:hAnsi="Times New Roman" w:eastAsiaTheme="minorEastAsia"/>
        </w:rPr>
        <w:t>B</w:t>
      </w:r>
      <w:r>
        <w:rPr>
          <w:rFonts w:ascii="Times New Roman" w:hAnsiTheme="minorEastAsia" w:eastAsiaTheme="minorEastAsia"/>
        </w:rPr>
        <w:t>、预测因子</w:t>
      </w:r>
    </w:p>
    <w:p>
      <w:pPr>
        <w:pStyle w:val="39"/>
        <w:rPr>
          <w:rFonts w:ascii="Times New Roman" w:hAnsi="Times New Roman" w:eastAsiaTheme="minorEastAsia"/>
        </w:rPr>
      </w:pPr>
      <w:r>
        <w:rPr>
          <w:rFonts w:asciiTheme="minorEastAsia" w:hAnsiTheme="minorEastAsia" w:eastAsiaTheme="minorEastAsia"/>
        </w:rPr>
        <w:t>①</w:t>
      </w:r>
      <w:r>
        <w:rPr>
          <w:rFonts w:ascii="Times New Roman" w:hAnsiTheme="minorEastAsia" w:eastAsiaTheme="minorEastAsia"/>
        </w:rPr>
        <w:t>地表塌陷对</w:t>
      </w:r>
      <w:r>
        <w:rPr>
          <w:rFonts w:ascii="Times New Roman" w:hAnsiTheme="minorEastAsia" w:eastAsiaTheme="minorEastAsia"/>
          <w:spacing w:val="4"/>
        </w:rPr>
        <w:t>评价</w:t>
      </w:r>
      <w:r>
        <w:rPr>
          <w:rFonts w:ascii="Times New Roman" w:hAnsiTheme="minorEastAsia" w:eastAsiaTheme="minorEastAsia"/>
        </w:rPr>
        <w:t>区耕地、林地的受影响程度、面积、特点等；</w:t>
      </w:r>
    </w:p>
    <w:p>
      <w:pPr>
        <w:pStyle w:val="39"/>
        <w:rPr>
          <w:rFonts w:ascii="Times New Roman" w:hAnsi="Times New Roman" w:eastAsiaTheme="minorEastAsia"/>
        </w:rPr>
      </w:pPr>
      <w:r>
        <w:rPr>
          <w:rFonts w:asciiTheme="minorEastAsia" w:hAnsiTheme="minorEastAsia" w:eastAsiaTheme="minorEastAsia"/>
        </w:rPr>
        <w:t>②</w:t>
      </w:r>
      <w:r>
        <w:rPr>
          <w:rFonts w:ascii="Times New Roman" w:hAnsiTheme="minorEastAsia" w:eastAsiaTheme="minorEastAsia"/>
        </w:rPr>
        <w:t>地表塌陷对植物群落生物量、农作物产量的影响；土地与农业结构变化趋势；</w:t>
      </w:r>
    </w:p>
    <w:p>
      <w:pPr>
        <w:pStyle w:val="39"/>
        <w:rPr>
          <w:rFonts w:ascii="Times New Roman" w:hAnsi="Times New Roman" w:eastAsiaTheme="minorEastAsia"/>
        </w:rPr>
      </w:pPr>
      <w:r>
        <w:rPr>
          <w:rFonts w:asciiTheme="minorEastAsia" w:hAnsiTheme="minorEastAsia" w:eastAsiaTheme="minorEastAsia"/>
        </w:rPr>
        <w:t>③</w:t>
      </w:r>
      <w:r>
        <w:rPr>
          <w:rFonts w:ascii="Times New Roman" w:hAnsiTheme="minorEastAsia" w:eastAsiaTheme="minorEastAsia"/>
        </w:rPr>
        <w:t>土壤侵蚀</w:t>
      </w:r>
      <w:r>
        <w:rPr>
          <w:rFonts w:ascii="Times New Roman" w:hAnsiTheme="minorEastAsia" w:eastAsiaTheme="minorEastAsia"/>
          <w:spacing w:val="4"/>
        </w:rPr>
        <w:t>总量</w:t>
      </w:r>
      <w:r>
        <w:rPr>
          <w:rFonts w:ascii="Times New Roman" w:hAnsiTheme="minorEastAsia" w:eastAsiaTheme="minorEastAsia"/>
        </w:rPr>
        <w:t>、侵蚀模数的变化；</w:t>
      </w:r>
    </w:p>
    <w:p>
      <w:pPr>
        <w:pStyle w:val="39"/>
        <w:rPr>
          <w:rFonts w:ascii="Times New Roman" w:hAnsi="Times New Roman" w:eastAsiaTheme="minorEastAsia"/>
        </w:rPr>
      </w:pPr>
      <w:r>
        <w:rPr>
          <w:rFonts w:asciiTheme="minorEastAsia" w:hAnsiTheme="minorEastAsia" w:eastAsiaTheme="minorEastAsia"/>
        </w:rPr>
        <w:t>④</w:t>
      </w:r>
      <w:r>
        <w:rPr>
          <w:rFonts w:ascii="Times New Roman" w:hAnsiTheme="minorEastAsia" w:eastAsiaTheme="minorEastAsia"/>
        </w:rPr>
        <w:t>地表塌陷对景观嵌镶格局与生态系统稳定性的影响；</w:t>
      </w:r>
    </w:p>
    <w:p>
      <w:pPr>
        <w:pStyle w:val="39"/>
        <w:rPr>
          <w:rFonts w:ascii="Times New Roman" w:hAnsi="Times New Roman" w:eastAsiaTheme="minorEastAsia"/>
        </w:rPr>
      </w:pPr>
      <w:r>
        <w:rPr>
          <w:rFonts w:asciiTheme="minorEastAsia" w:hAnsiTheme="minorEastAsia" w:eastAsiaTheme="minorEastAsia"/>
        </w:rPr>
        <w:t>⑤</w:t>
      </w:r>
      <w:r>
        <w:rPr>
          <w:rFonts w:ascii="Times New Roman" w:hAnsiTheme="minorEastAsia" w:eastAsiaTheme="minorEastAsia"/>
        </w:rPr>
        <w:t>工业场地</w:t>
      </w:r>
      <w:r>
        <w:rPr>
          <w:rFonts w:ascii="Times New Roman" w:hAnsiTheme="minorEastAsia" w:eastAsiaTheme="minorEastAsia"/>
          <w:spacing w:val="4"/>
        </w:rPr>
        <w:t>绿地</w:t>
      </w:r>
      <w:r>
        <w:rPr>
          <w:rFonts w:ascii="Times New Roman" w:hAnsiTheme="minorEastAsia" w:eastAsiaTheme="minorEastAsia"/>
        </w:rPr>
        <w:t>系数的变化。</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2</w:t>
      </w:r>
      <w:r>
        <w:rPr>
          <w:rFonts w:ascii="Times New Roman" w:hAnsiTheme="minorEastAsia" w:eastAsiaTheme="minorEastAsia"/>
        </w:rPr>
        <w:t>）环境</w:t>
      </w:r>
      <w:r>
        <w:rPr>
          <w:rFonts w:ascii="Times New Roman" w:hAnsiTheme="minorEastAsia" w:eastAsiaTheme="minorEastAsia"/>
          <w:spacing w:val="4"/>
        </w:rPr>
        <w:t>空气</w:t>
      </w:r>
    </w:p>
    <w:p>
      <w:pPr>
        <w:pStyle w:val="39"/>
        <w:rPr>
          <w:rFonts w:ascii="Times New Roman" w:hAnsi="Times New Roman" w:eastAsiaTheme="minorEastAsia"/>
        </w:rPr>
      </w:pPr>
      <w:r>
        <w:rPr>
          <w:rFonts w:ascii="Times New Roman" w:hAnsiTheme="minorEastAsia" w:eastAsiaTheme="minorEastAsia"/>
        </w:rPr>
        <w:t>现状监测</w:t>
      </w:r>
      <w:r>
        <w:rPr>
          <w:rFonts w:ascii="Times New Roman" w:hAnsiTheme="minorEastAsia" w:eastAsiaTheme="minorEastAsia"/>
          <w:spacing w:val="4"/>
        </w:rPr>
        <w:t>因子</w:t>
      </w:r>
      <w:r>
        <w:rPr>
          <w:rFonts w:ascii="Times New Roman" w:hAnsiTheme="minorEastAsia" w:eastAsiaTheme="minorEastAsia"/>
        </w:rPr>
        <w:t>：</w:t>
      </w:r>
      <w:r>
        <w:rPr>
          <w:rFonts w:ascii="Times New Roman" w:hAnsi="Times New Roman" w:eastAsiaTheme="minorEastAsia"/>
        </w:rPr>
        <w:t>TSP</w:t>
      </w:r>
      <w:r>
        <w:rPr>
          <w:rFonts w:ascii="Times New Roman" w:hAnsiTheme="minorEastAsia" w:eastAsiaTheme="minorEastAsia"/>
        </w:rPr>
        <w:t>、</w:t>
      </w:r>
      <w:r>
        <w:rPr>
          <w:rFonts w:ascii="Times New Roman" w:hAnsi="Times New Roman" w:eastAsiaTheme="minorEastAsia"/>
        </w:rPr>
        <w:t>PM</w:t>
      </w:r>
      <w:r>
        <w:rPr>
          <w:rFonts w:ascii="Times New Roman" w:hAnsi="Times New Roman" w:eastAsiaTheme="minorEastAsia"/>
          <w:vertAlign w:val="subscript"/>
        </w:rPr>
        <w:t>10</w:t>
      </w:r>
      <w:r>
        <w:rPr>
          <w:rFonts w:ascii="Times New Roman" w:hAnsiTheme="minorEastAsia" w:eastAsiaTheme="minorEastAsia"/>
        </w:rPr>
        <w:t>、</w:t>
      </w:r>
      <w:r>
        <w:rPr>
          <w:rFonts w:ascii="Times New Roman" w:hAnsi="Times New Roman" w:eastAsiaTheme="minorEastAsia"/>
        </w:rPr>
        <w:t>SO</w:t>
      </w:r>
      <w:r>
        <w:rPr>
          <w:rFonts w:ascii="Times New Roman" w:hAnsi="Times New Roman" w:eastAsiaTheme="minorEastAsia"/>
          <w:vertAlign w:val="subscript"/>
        </w:rPr>
        <w:t>2</w:t>
      </w:r>
      <w:r>
        <w:rPr>
          <w:rFonts w:ascii="Times New Roman" w:hAnsiTheme="minorEastAsia" w:eastAsiaTheme="minorEastAsia"/>
        </w:rPr>
        <w:t>、</w:t>
      </w:r>
      <w:r>
        <w:rPr>
          <w:rFonts w:ascii="Times New Roman" w:hAnsi="Times New Roman" w:eastAsiaTheme="minorEastAsia"/>
        </w:rPr>
        <w:t>NO</w:t>
      </w:r>
      <w:r>
        <w:rPr>
          <w:rFonts w:ascii="Times New Roman" w:hAnsi="Times New Roman" w:eastAsiaTheme="minorEastAsia"/>
          <w:vertAlign w:val="subscript"/>
        </w:rPr>
        <w:t>2</w:t>
      </w:r>
      <w:r>
        <w:rPr>
          <w:rFonts w:ascii="Times New Roman" w:hAnsiTheme="minorEastAsia" w:eastAsiaTheme="minorEastAsia"/>
        </w:rPr>
        <w:t>；</w:t>
      </w:r>
    </w:p>
    <w:p>
      <w:pPr>
        <w:pStyle w:val="39"/>
        <w:rPr>
          <w:rFonts w:ascii="Times New Roman" w:hAnsi="Times New Roman" w:eastAsiaTheme="minorEastAsia"/>
        </w:rPr>
      </w:pPr>
      <w:r>
        <w:rPr>
          <w:rFonts w:ascii="Times New Roman" w:hAnsiTheme="minorEastAsia" w:eastAsiaTheme="minorEastAsia"/>
        </w:rPr>
        <w:t>预测</w:t>
      </w:r>
      <w:r>
        <w:rPr>
          <w:rFonts w:ascii="Times New Roman" w:hAnsiTheme="minorEastAsia" w:eastAsiaTheme="minorEastAsia"/>
          <w:spacing w:val="4"/>
        </w:rPr>
        <w:t>因子</w:t>
      </w:r>
      <w:r>
        <w:rPr>
          <w:rFonts w:ascii="Times New Roman" w:hAnsiTheme="minorEastAsia" w:eastAsiaTheme="minorEastAsia"/>
        </w:rPr>
        <w:t>：</w:t>
      </w:r>
      <w:r>
        <w:rPr>
          <w:rFonts w:hint="eastAsia" w:ascii="Times New Roman" w:hAnsi="Times New Roman" w:eastAsiaTheme="minorEastAsia"/>
        </w:rPr>
        <w:t>TSP、</w:t>
      </w:r>
      <w:r>
        <w:rPr>
          <w:rFonts w:ascii="Times New Roman" w:hAnsi="Times New Roman" w:eastAsiaTheme="minorEastAsia"/>
        </w:rPr>
        <w:t>PM</w:t>
      </w:r>
      <w:r>
        <w:rPr>
          <w:rFonts w:ascii="Times New Roman" w:hAnsi="Times New Roman" w:eastAsiaTheme="minorEastAsia"/>
          <w:vertAlign w:val="subscript"/>
        </w:rPr>
        <w:t>10</w:t>
      </w:r>
      <w:r>
        <w:rPr>
          <w:rFonts w:ascii="Times New Roman" w:hAnsiTheme="minorEastAsia" w:eastAsiaTheme="minorEastAsia"/>
        </w:rPr>
        <w:t>、</w:t>
      </w:r>
      <w:r>
        <w:rPr>
          <w:rFonts w:ascii="Times New Roman" w:hAnsi="Times New Roman" w:eastAsiaTheme="minorEastAsia"/>
        </w:rPr>
        <w:t>SO</w:t>
      </w:r>
      <w:r>
        <w:rPr>
          <w:rFonts w:ascii="Times New Roman" w:hAnsi="Times New Roman" w:eastAsiaTheme="minorEastAsia"/>
          <w:vertAlign w:val="subscript"/>
        </w:rPr>
        <w:t>2</w:t>
      </w:r>
      <w:r>
        <w:rPr>
          <w:rFonts w:ascii="Times New Roman" w:hAnsiTheme="minorEastAsia" w:eastAsiaTheme="minorEastAsia"/>
        </w:rPr>
        <w:t>、</w:t>
      </w:r>
      <w:r>
        <w:rPr>
          <w:rFonts w:ascii="Times New Roman" w:hAnsi="Times New Roman" w:eastAsiaTheme="minorEastAsia"/>
        </w:rPr>
        <w:t>NO</w:t>
      </w:r>
      <w:r>
        <w:rPr>
          <w:rFonts w:ascii="Times New Roman" w:hAnsi="Times New Roman" w:eastAsiaTheme="minorEastAsia"/>
          <w:vertAlign w:val="subscript"/>
        </w:rPr>
        <w:t>2</w:t>
      </w:r>
      <w:r>
        <w:rPr>
          <w:rFonts w:ascii="Times New Roman" w:hAnsiTheme="minorEastAsia" w:eastAsiaTheme="minorEastAsia"/>
        </w:rPr>
        <w:t>；</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3</w:t>
      </w:r>
      <w:r>
        <w:rPr>
          <w:rFonts w:ascii="Times New Roman" w:hAnsiTheme="minorEastAsia" w:eastAsiaTheme="minorEastAsia"/>
        </w:rPr>
        <w:t>）</w:t>
      </w:r>
      <w:r>
        <w:rPr>
          <w:rFonts w:ascii="Times New Roman" w:hAnsiTheme="minorEastAsia" w:eastAsiaTheme="minorEastAsia"/>
          <w:spacing w:val="4"/>
        </w:rPr>
        <w:t>地表水</w:t>
      </w:r>
    </w:p>
    <w:p>
      <w:pPr>
        <w:pStyle w:val="39"/>
        <w:rPr>
          <w:rFonts w:ascii="Times New Roman" w:hAnsiTheme="minorEastAsia" w:eastAsiaTheme="minorEastAsia"/>
        </w:rPr>
      </w:pPr>
      <w:r>
        <w:rPr>
          <w:rFonts w:ascii="Times New Roman" w:hAnsiTheme="minorEastAsia" w:eastAsiaTheme="minorEastAsia"/>
        </w:rPr>
        <w:t>现状</w:t>
      </w:r>
      <w:r>
        <w:rPr>
          <w:rFonts w:ascii="Times New Roman" w:hAnsiTheme="minorEastAsia" w:eastAsiaTheme="minorEastAsia"/>
          <w:spacing w:val="4"/>
        </w:rPr>
        <w:t>监测</w:t>
      </w:r>
      <w:r>
        <w:rPr>
          <w:rFonts w:ascii="Times New Roman" w:hAnsiTheme="minorEastAsia" w:eastAsiaTheme="minorEastAsia"/>
        </w:rPr>
        <w:t>因子：</w:t>
      </w:r>
      <w:r>
        <w:rPr>
          <w:rFonts w:ascii="Times New Roman" w:hAnsi="Times New Roman" w:eastAsiaTheme="minorEastAsia"/>
        </w:rPr>
        <w:t>pH</w:t>
      </w:r>
      <w:r>
        <w:rPr>
          <w:rFonts w:ascii="Times New Roman" w:hAnsiTheme="minorEastAsia" w:eastAsiaTheme="minorEastAsia"/>
        </w:rPr>
        <w:t>、</w:t>
      </w:r>
      <w:r>
        <w:rPr>
          <w:rFonts w:ascii="Times New Roman" w:hAnsi="Times New Roman" w:eastAsiaTheme="minorEastAsia"/>
        </w:rPr>
        <w:t>CODcr</w:t>
      </w:r>
      <w:r>
        <w:rPr>
          <w:rFonts w:ascii="Times New Roman" w:hAnsiTheme="minorEastAsia" w:eastAsiaTheme="minorEastAsia"/>
        </w:rPr>
        <w:t>、</w:t>
      </w:r>
      <w:r>
        <w:rPr>
          <w:rFonts w:ascii="Times New Roman" w:hAnsi="Times New Roman" w:eastAsiaTheme="minorEastAsia"/>
        </w:rPr>
        <w:t>BOD</w:t>
      </w:r>
      <w:r>
        <w:rPr>
          <w:rFonts w:ascii="Times New Roman" w:hAnsi="Times New Roman" w:eastAsiaTheme="minorEastAsia"/>
          <w:vertAlign w:val="subscript"/>
        </w:rPr>
        <w:t>5</w:t>
      </w:r>
      <w:r>
        <w:rPr>
          <w:rFonts w:ascii="Times New Roman" w:hAnsiTheme="minorEastAsia" w:eastAsiaTheme="minorEastAsia"/>
        </w:rPr>
        <w:t>、氨氮、挥发酚、石油类、</w:t>
      </w:r>
      <w:r>
        <w:rPr>
          <w:rFonts w:ascii="Times New Roman" w:hAnsi="Times New Roman" w:eastAsiaTheme="minorEastAsia"/>
        </w:rPr>
        <w:t>Fe</w:t>
      </w:r>
      <w:r>
        <w:rPr>
          <w:rFonts w:ascii="Times New Roman" w:hAnsiTheme="minorEastAsia" w:eastAsiaTheme="minorEastAsia"/>
        </w:rPr>
        <w:t>、</w:t>
      </w:r>
      <w:r>
        <w:rPr>
          <w:rFonts w:ascii="Times New Roman" w:hAnsi="Times New Roman" w:eastAsiaTheme="minorEastAsia"/>
        </w:rPr>
        <w:t>Mn</w:t>
      </w:r>
      <w:r>
        <w:rPr>
          <w:rFonts w:ascii="Times New Roman" w:hAnsiTheme="minorEastAsia" w:eastAsiaTheme="minorEastAsia"/>
        </w:rPr>
        <w:t>、阴离子表面活性剂、粪大肠菌群。</w:t>
      </w:r>
    </w:p>
    <w:p>
      <w:pPr>
        <w:pStyle w:val="39"/>
        <w:rPr>
          <w:rFonts w:ascii="Times New Roman" w:hAnsi="Times New Roman" w:eastAsiaTheme="minorEastAsia"/>
        </w:rPr>
      </w:pPr>
      <w:r>
        <w:rPr>
          <w:rFonts w:hint="eastAsia" w:ascii="Times New Roman" w:hAnsi="Times New Roman"/>
        </w:rPr>
        <w:t>预测</w:t>
      </w:r>
      <w:r>
        <w:rPr>
          <w:rFonts w:hint="eastAsia" w:ascii="Times New Roman" w:hAnsi="Times New Roman"/>
          <w:spacing w:val="4"/>
        </w:rPr>
        <w:t>因子</w:t>
      </w:r>
      <w:r>
        <w:rPr>
          <w:rFonts w:hint="eastAsia" w:ascii="Times New Roman" w:hAnsi="Times New Roman"/>
        </w:rPr>
        <w:t>：</w:t>
      </w:r>
      <w:r>
        <w:rPr>
          <w:rFonts w:ascii="Times New Roman" w:hAnsi="Times New Roman" w:eastAsiaTheme="minorEastAsia"/>
        </w:rPr>
        <w:t>CODcr</w:t>
      </w:r>
      <w:r>
        <w:rPr>
          <w:rFonts w:hint="eastAsia" w:ascii="Times New Roman" w:hAnsi="Times New Roman" w:eastAsiaTheme="minorEastAsia"/>
        </w:rPr>
        <w:t>、氨氮</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4</w:t>
      </w:r>
      <w:r>
        <w:rPr>
          <w:rFonts w:ascii="Times New Roman" w:hAnsiTheme="minorEastAsia" w:eastAsiaTheme="minorEastAsia"/>
        </w:rPr>
        <w:t>）</w:t>
      </w:r>
      <w:r>
        <w:rPr>
          <w:rFonts w:ascii="Times New Roman" w:hAnsiTheme="minorEastAsia" w:eastAsiaTheme="minorEastAsia"/>
          <w:spacing w:val="4"/>
        </w:rPr>
        <w:t>地下水</w:t>
      </w:r>
    </w:p>
    <w:p>
      <w:pPr>
        <w:pStyle w:val="39"/>
        <w:rPr>
          <w:rFonts w:ascii="Times New Roman" w:hAnsiTheme="minorEastAsia" w:eastAsiaTheme="minorEastAsia"/>
          <w:spacing w:val="-2"/>
        </w:rPr>
      </w:pPr>
      <w:r>
        <w:rPr>
          <w:rFonts w:ascii="Times New Roman" w:hAnsiTheme="minorEastAsia" w:eastAsiaTheme="minorEastAsia"/>
        </w:rPr>
        <w:t>现状监测因子：</w:t>
      </w:r>
      <w:r>
        <w:rPr>
          <w:rFonts w:ascii="Times New Roman" w:hAnsi="Times New Roman" w:eastAsiaTheme="minorEastAsia"/>
          <w:spacing w:val="-2"/>
        </w:rPr>
        <w:t>K</w:t>
      </w:r>
      <w:r>
        <w:rPr>
          <w:rFonts w:ascii="Times New Roman" w:hAnsi="Times New Roman" w:eastAsiaTheme="minorEastAsia"/>
          <w:spacing w:val="-2"/>
          <w:vertAlign w:val="superscript"/>
        </w:rPr>
        <w:t>+</w:t>
      </w:r>
      <w:r>
        <w:rPr>
          <w:rFonts w:ascii="Times New Roman" w:hAnsiTheme="minorEastAsia" w:eastAsiaTheme="minorEastAsia"/>
          <w:spacing w:val="-2"/>
        </w:rPr>
        <w:t>、</w:t>
      </w:r>
      <w:r>
        <w:rPr>
          <w:rFonts w:ascii="Times New Roman" w:hAnsi="Times New Roman" w:eastAsiaTheme="minorEastAsia"/>
          <w:spacing w:val="-2"/>
        </w:rPr>
        <w:t>Na</w:t>
      </w:r>
      <w:r>
        <w:rPr>
          <w:rFonts w:ascii="Times New Roman" w:hAnsi="Times New Roman" w:eastAsiaTheme="minorEastAsia"/>
          <w:spacing w:val="-2"/>
          <w:vertAlign w:val="superscript"/>
        </w:rPr>
        <w:t>+</w:t>
      </w:r>
      <w:r>
        <w:rPr>
          <w:rFonts w:ascii="Times New Roman" w:hAnsiTheme="minorEastAsia" w:eastAsiaTheme="minorEastAsia"/>
          <w:spacing w:val="-2"/>
        </w:rPr>
        <w:t>、</w:t>
      </w:r>
      <w:r>
        <w:rPr>
          <w:rFonts w:ascii="Times New Roman" w:hAnsi="Times New Roman" w:eastAsiaTheme="minorEastAsia"/>
          <w:spacing w:val="-2"/>
        </w:rPr>
        <w:t>Ca</w:t>
      </w:r>
      <w:r>
        <w:rPr>
          <w:rFonts w:ascii="Times New Roman" w:hAnsi="Times New Roman" w:eastAsiaTheme="minorEastAsia"/>
          <w:spacing w:val="-2"/>
          <w:vertAlign w:val="superscript"/>
        </w:rPr>
        <w:t>2+</w:t>
      </w:r>
      <w:r>
        <w:rPr>
          <w:rFonts w:ascii="Times New Roman" w:hAnsiTheme="minorEastAsia" w:eastAsiaTheme="minorEastAsia"/>
          <w:spacing w:val="-2"/>
        </w:rPr>
        <w:t>、</w:t>
      </w:r>
      <w:r>
        <w:rPr>
          <w:rFonts w:ascii="Times New Roman" w:hAnsi="Times New Roman" w:eastAsiaTheme="minorEastAsia"/>
          <w:spacing w:val="-2"/>
        </w:rPr>
        <w:t>Mg</w:t>
      </w:r>
      <w:r>
        <w:rPr>
          <w:rFonts w:ascii="Times New Roman" w:hAnsi="Times New Roman" w:eastAsiaTheme="minorEastAsia"/>
          <w:spacing w:val="-2"/>
          <w:vertAlign w:val="superscript"/>
        </w:rPr>
        <w:t>2+</w:t>
      </w:r>
      <w:r>
        <w:rPr>
          <w:rFonts w:ascii="Times New Roman" w:hAnsiTheme="minorEastAsia" w:eastAsiaTheme="minorEastAsia"/>
          <w:spacing w:val="-2"/>
        </w:rPr>
        <w:t>、</w:t>
      </w:r>
      <w:r>
        <w:rPr>
          <w:rFonts w:ascii="Times New Roman" w:hAnsi="Times New Roman" w:eastAsiaTheme="minorEastAsia"/>
          <w:spacing w:val="-2"/>
        </w:rPr>
        <w:t>CO</w:t>
      </w:r>
      <w:r>
        <w:rPr>
          <w:rFonts w:ascii="Times New Roman" w:hAnsi="Times New Roman" w:eastAsiaTheme="minorEastAsia"/>
          <w:spacing w:val="-2"/>
          <w:vertAlign w:val="subscript"/>
        </w:rPr>
        <w:t>3</w:t>
      </w:r>
      <w:r>
        <w:rPr>
          <w:rFonts w:ascii="Times New Roman" w:hAnsi="Times New Roman" w:eastAsiaTheme="minorEastAsia"/>
          <w:spacing w:val="-2"/>
          <w:vertAlign w:val="superscript"/>
        </w:rPr>
        <w:t>2-</w:t>
      </w:r>
      <w:r>
        <w:rPr>
          <w:rFonts w:ascii="Times New Roman" w:hAnsiTheme="minorEastAsia" w:eastAsiaTheme="minorEastAsia"/>
          <w:spacing w:val="-2"/>
        </w:rPr>
        <w:t>、</w:t>
      </w:r>
      <w:r>
        <w:rPr>
          <w:rFonts w:ascii="Times New Roman" w:hAnsi="Times New Roman" w:eastAsiaTheme="minorEastAsia"/>
          <w:spacing w:val="-2"/>
        </w:rPr>
        <w:t>HCO</w:t>
      </w:r>
      <w:r>
        <w:rPr>
          <w:rFonts w:ascii="Times New Roman" w:hAnsi="Times New Roman" w:eastAsiaTheme="minorEastAsia"/>
          <w:spacing w:val="-2"/>
          <w:vertAlign w:val="subscript"/>
        </w:rPr>
        <w:t>3</w:t>
      </w:r>
      <w:r>
        <w:rPr>
          <w:rFonts w:ascii="Times New Roman" w:hAnsi="Times New Roman" w:eastAsiaTheme="minorEastAsia"/>
          <w:spacing w:val="-2"/>
          <w:vertAlign w:val="superscript"/>
        </w:rPr>
        <w:t>-</w:t>
      </w:r>
      <w:r>
        <w:rPr>
          <w:rFonts w:ascii="Times New Roman" w:hAnsiTheme="minorEastAsia" w:eastAsiaTheme="minorEastAsia"/>
          <w:spacing w:val="-2"/>
        </w:rPr>
        <w:t>、</w:t>
      </w:r>
      <w:r>
        <w:rPr>
          <w:rFonts w:ascii="Times New Roman" w:hAnsi="Times New Roman" w:eastAsiaTheme="minorEastAsia"/>
          <w:spacing w:val="-2"/>
        </w:rPr>
        <w:t>Cl</w:t>
      </w:r>
      <w:r>
        <w:rPr>
          <w:rFonts w:ascii="Times New Roman" w:hAnsi="Times New Roman" w:eastAsiaTheme="minorEastAsia"/>
          <w:spacing w:val="-2"/>
          <w:vertAlign w:val="superscript"/>
        </w:rPr>
        <w:t>-</w:t>
      </w:r>
      <w:r>
        <w:rPr>
          <w:rFonts w:ascii="Times New Roman" w:hAnsiTheme="minorEastAsia" w:eastAsiaTheme="minorEastAsia"/>
          <w:spacing w:val="-2"/>
        </w:rPr>
        <w:t>、</w:t>
      </w:r>
      <w:r>
        <w:rPr>
          <w:rFonts w:ascii="Times New Roman" w:hAnsi="Times New Roman" w:eastAsiaTheme="minorEastAsia"/>
          <w:spacing w:val="-2"/>
        </w:rPr>
        <w:t>SO</w:t>
      </w:r>
      <w:r>
        <w:rPr>
          <w:rFonts w:ascii="Times New Roman" w:hAnsi="Times New Roman" w:eastAsiaTheme="minorEastAsia"/>
          <w:spacing w:val="-2"/>
          <w:vertAlign w:val="subscript"/>
        </w:rPr>
        <w:t>4</w:t>
      </w:r>
      <w:r>
        <w:rPr>
          <w:rFonts w:ascii="Times New Roman" w:hAnsi="Times New Roman" w:eastAsiaTheme="minorEastAsia"/>
          <w:spacing w:val="-2"/>
          <w:vertAlign w:val="superscript"/>
        </w:rPr>
        <w:t>2-</w:t>
      </w:r>
      <w:r>
        <w:rPr>
          <w:rFonts w:ascii="Times New Roman" w:hAnsiTheme="minorEastAsia" w:eastAsiaTheme="minorEastAsia"/>
          <w:spacing w:val="-2"/>
        </w:rPr>
        <w:t>共计</w:t>
      </w:r>
      <w:r>
        <w:rPr>
          <w:rFonts w:ascii="Times New Roman" w:hAnsi="Times New Roman" w:eastAsiaTheme="minorEastAsia"/>
          <w:spacing w:val="-2"/>
        </w:rPr>
        <w:t>8</w:t>
      </w:r>
      <w:r>
        <w:rPr>
          <w:rFonts w:ascii="Times New Roman" w:hAnsiTheme="minorEastAsia" w:eastAsiaTheme="minorEastAsia"/>
          <w:spacing w:val="-2"/>
        </w:rPr>
        <w:t>项；</w:t>
      </w:r>
      <w:r>
        <w:rPr>
          <w:rFonts w:ascii="Times New Roman" w:hAnsi="Times New Roman" w:eastAsiaTheme="minorEastAsia"/>
          <w:spacing w:val="-2"/>
        </w:rPr>
        <w:t>pH</w:t>
      </w:r>
      <w:r>
        <w:rPr>
          <w:rFonts w:ascii="Times New Roman" w:hAnsiTheme="minorEastAsia" w:eastAsiaTheme="minorEastAsia"/>
          <w:spacing w:val="-2"/>
        </w:rPr>
        <w:t>、氨氮、硝酸盐、亚硝酸盐、挥发性酚类、氰化物、砷、汞、六价铬、总硬度、</w:t>
      </w:r>
      <w:r>
        <w:rPr>
          <w:rFonts w:ascii="Times New Roman" w:hAnsiTheme="minorEastAsia" w:eastAsiaTheme="minorEastAsia"/>
        </w:rPr>
        <w:t>硫酸盐、氯化物、</w:t>
      </w:r>
      <w:r>
        <w:rPr>
          <w:rFonts w:ascii="Times New Roman" w:hAnsiTheme="minorEastAsia" w:eastAsiaTheme="minorEastAsia"/>
          <w:spacing w:val="-2"/>
        </w:rPr>
        <w:t>铅、氟、镉、铁、锰、溶解性总固体、</w:t>
      </w:r>
      <w:r>
        <w:rPr>
          <w:rFonts w:hint="eastAsia" w:ascii="Times New Roman" w:hAnsiTheme="minorEastAsia" w:eastAsiaTheme="minorEastAsia"/>
          <w:spacing w:val="-2"/>
        </w:rPr>
        <w:t>耗氧量</w:t>
      </w:r>
      <w:r>
        <w:rPr>
          <w:rFonts w:ascii="Times New Roman" w:hAnsiTheme="minorEastAsia" w:eastAsiaTheme="minorEastAsia"/>
          <w:spacing w:val="-2"/>
        </w:rPr>
        <w:t>、细菌总数、总大肠菌群共</w:t>
      </w:r>
      <w:r>
        <w:rPr>
          <w:rFonts w:ascii="Times New Roman" w:hAnsi="Times New Roman" w:eastAsiaTheme="minorEastAsia"/>
          <w:spacing w:val="-2"/>
        </w:rPr>
        <w:t>21</w:t>
      </w:r>
      <w:r>
        <w:rPr>
          <w:rFonts w:ascii="Times New Roman" w:hAnsiTheme="minorEastAsia" w:eastAsiaTheme="minorEastAsia"/>
          <w:spacing w:val="-2"/>
        </w:rPr>
        <w:t>项。</w:t>
      </w:r>
    </w:p>
    <w:p>
      <w:pPr>
        <w:pStyle w:val="39"/>
        <w:rPr>
          <w:rFonts w:ascii="Times New Roman" w:hAnsi="Times New Roman" w:eastAsiaTheme="minorEastAsia"/>
          <w:spacing w:val="-2"/>
        </w:rPr>
      </w:pPr>
      <w:r>
        <w:rPr>
          <w:rFonts w:hint="eastAsia" w:ascii="Times New Roman" w:hAnsiTheme="minorEastAsia" w:eastAsiaTheme="minorEastAsia"/>
        </w:rPr>
        <w:t>预测因子：</w:t>
      </w:r>
      <w:r>
        <w:rPr>
          <w:rFonts w:ascii="Times New Roman" w:hAnsiTheme="minorEastAsia" w:eastAsiaTheme="minorEastAsia"/>
        </w:rPr>
        <w:t>氨氮</w:t>
      </w:r>
      <w:r>
        <w:rPr>
          <w:rFonts w:hint="eastAsia" w:ascii="Times New Roman" w:hAnsiTheme="minorEastAsia" w:eastAsiaTheme="minorEastAsia"/>
        </w:rPr>
        <w:t>。</w:t>
      </w:r>
    </w:p>
    <w:p>
      <w:pPr>
        <w:pStyle w:val="39"/>
        <w:ind w:firstLine="472"/>
        <w:rPr>
          <w:rFonts w:ascii="Times New Roman" w:hAnsi="Times New Roman" w:eastAsiaTheme="minorEastAsia"/>
          <w:spacing w:val="-2"/>
        </w:rPr>
      </w:pPr>
      <w:r>
        <w:rPr>
          <w:rFonts w:ascii="Times New Roman" w:hAnsiTheme="minorEastAsia" w:eastAsiaTheme="minorEastAsia"/>
          <w:spacing w:val="-2"/>
        </w:rPr>
        <w:t>（</w:t>
      </w:r>
      <w:r>
        <w:rPr>
          <w:rFonts w:ascii="Times New Roman" w:hAnsi="Times New Roman" w:eastAsiaTheme="minorEastAsia"/>
          <w:spacing w:val="-2"/>
        </w:rPr>
        <w:t>5</w:t>
      </w:r>
      <w:r>
        <w:rPr>
          <w:rFonts w:ascii="Times New Roman" w:hAnsiTheme="minorEastAsia" w:eastAsiaTheme="minorEastAsia"/>
          <w:spacing w:val="-2"/>
        </w:rPr>
        <w:t>）土壤环境</w:t>
      </w:r>
    </w:p>
    <w:p>
      <w:pPr>
        <w:pStyle w:val="39"/>
        <w:rPr>
          <w:rFonts w:ascii="Times New Roman" w:hAnsiTheme="minorEastAsia" w:eastAsiaTheme="minorEastAsia"/>
          <w:spacing w:val="4"/>
        </w:rPr>
      </w:pPr>
      <w:r>
        <w:rPr>
          <w:rFonts w:hint="eastAsia" w:ascii="Times New Roman" w:hAnsiTheme="minorEastAsia" w:eastAsiaTheme="minorEastAsia"/>
        </w:rPr>
        <w:t>污染影响型</w:t>
      </w:r>
      <w:r>
        <w:rPr>
          <w:rFonts w:ascii="Times New Roman" w:hAnsiTheme="minorEastAsia" w:eastAsiaTheme="minorEastAsia"/>
        </w:rPr>
        <w:t>现状监测因子</w:t>
      </w:r>
      <w:r>
        <w:rPr>
          <w:rFonts w:ascii="Times New Roman" w:hAnsiTheme="minorEastAsia" w:eastAsiaTheme="minorEastAsia"/>
          <w:spacing w:val="4"/>
        </w:rPr>
        <w:t>为基本项目：镉、汞、砷、铜、铅、六价铬、镍、四氯化碳、氯仿、氯甲烷、</w:t>
      </w:r>
      <w:r>
        <w:rPr>
          <w:rFonts w:ascii="Times New Roman" w:hAnsi="Times New Roman" w:eastAsiaTheme="minorEastAsia"/>
          <w:spacing w:val="4"/>
        </w:rPr>
        <w:t>1,1-</w:t>
      </w:r>
      <w:r>
        <w:rPr>
          <w:rFonts w:ascii="Times New Roman" w:hAnsiTheme="minorEastAsia" w:eastAsiaTheme="minorEastAsia"/>
          <w:spacing w:val="4"/>
        </w:rPr>
        <w:t>二氯乙烷、</w:t>
      </w:r>
      <w:r>
        <w:rPr>
          <w:rFonts w:ascii="Times New Roman" w:hAnsi="Times New Roman" w:eastAsiaTheme="minorEastAsia"/>
          <w:spacing w:val="4"/>
        </w:rPr>
        <w:t>1,2-</w:t>
      </w:r>
      <w:r>
        <w:rPr>
          <w:rFonts w:ascii="Times New Roman" w:hAnsiTheme="minorEastAsia" w:eastAsiaTheme="minorEastAsia"/>
          <w:spacing w:val="4"/>
        </w:rPr>
        <w:t>二氯乙烷、</w:t>
      </w:r>
      <w:r>
        <w:rPr>
          <w:rFonts w:ascii="Times New Roman" w:hAnsi="Times New Roman" w:eastAsiaTheme="minorEastAsia"/>
          <w:spacing w:val="4"/>
        </w:rPr>
        <w:t>1,1-</w:t>
      </w:r>
      <w:r>
        <w:rPr>
          <w:rFonts w:ascii="Times New Roman" w:hAnsiTheme="minorEastAsia" w:eastAsiaTheme="minorEastAsia"/>
          <w:spacing w:val="4"/>
        </w:rPr>
        <w:t>二氯乙烯、顺</w:t>
      </w:r>
      <w:r>
        <w:rPr>
          <w:rFonts w:ascii="Times New Roman" w:hAnsi="Times New Roman" w:eastAsiaTheme="minorEastAsia"/>
          <w:spacing w:val="4"/>
        </w:rPr>
        <w:t>-1,2-</w:t>
      </w:r>
      <w:r>
        <w:rPr>
          <w:rFonts w:ascii="Times New Roman" w:hAnsiTheme="minorEastAsia" w:eastAsiaTheme="minorEastAsia"/>
          <w:spacing w:val="4"/>
        </w:rPr>
        <w:t>二氯乙烯、反</w:t>
      </w:r>
      <w:r>
        <w:rPr>
          <w:rFonts w:ascii="Times New Roman" w:hAnsi="Times New Roman" w:eastAsiaTheme="minorEastAsia"/>
          <w:spacing w:val="4"/>
        </w:rPr>
        <w:t>-1,2-</w:t>
      </w:r>
      <w:r>
        <w:rPr>
          <w:rFonts w:ascii="Times New Roman" w:hAnsiTheme="minorEastAsia" w:eastAsiaTheme="minorEastAsia"/>
          <w:spacing w:val="4"/>
        </w:rPr>
        <w:t>二氯乙烯、二氯甲烷、</w:t>
      </w:r>
      <w:r>
        <w:rPr>
          <w:rFonts w:ascii="Times New Roman" w:hAnsi="Times New Roman" w:eastAsiaTheme="minorEastAsia"/>
          <w:spacing w:val="4"/>
        </w:rPr>
        <w:t>1,2-</w:t>
      </w:r>
      <w:r>
        <w:rPr>
          <w:rFonts w:ascii="Times New Roman" w:hAnsiTheme="minorEastAsia" w:eastAsiaTheme="minorEastAsia"/>
          <w:spacing w:val="4"/>
        </w:rPr>
        <w:t>二氯丙烷、</w:t>
      </w:r>
      <w:r>
        <w:rPr>
          <w:rFonts w:ascii="Times New Roman" w:hAnsi="Times New Roman" w:eastAsiaTheme="minorEastAsia"/>
          <w:spacing w:val="4"/>
        </w:rPr>
        <w:t>1,1,1,2-</w:t>
      </w:r>
      <w:r>
        <w:rPr>
          <w:rFonts w:ascii="Times New Roman" w:hAnsiTheme="minorEastAsia" w:eastAsiaTheme="minorEastAsia"/>
          <w:spacing w:val="4"/>
        </w:rPr>
        <w:t>四氯乙烷、</w:t>
      </w:r>
      <w:r>
        <w:rPr>
          <w:rFonts w:ascii="Times New Roman" w:hAnsi="Times New Roman" w:eastAsiaTheme="minorEastAsia"/>
          <w:spacing w:val="4"/>
        </w:rPr>
        <w:t>1,1,2,2-</w:t>
      </w:r>
      <w:r>
        <w:rPr>
          <w:rFonts w:ascii="Times New Roman" w:hAnsiTheme="minorEastAsia" w:eastAsiaTheme="minorEastAsia"/>
          <w:spacing w:val="4"/>
        </w:rPr>
        <w:t>四氯乙烷、四氯乙烯、</w:t>
      </w:r>
      <w:r>
        <w:rPr>
          <w:rFonts w:ascii="Times New Roman" w:hAnsi="Times New Roman" w:eastAsiaTheme="minorEastAsia"/>
          <w:spacing w:val="4"/>
        </w:rPr>
        <w:t>1,1,1-</w:t>
      </w:r>
      <w:r>
        <w:rPr>
          <w:rFonts w:ascii="Times New Roman" w:hAnsiTheme="minorEastAsia" w:eastAsiaTheme="minorEastAsia"/>
          <w:spacing w:val="4"/>
        </w:rPr>
        <w:t>三氯乙烷、</w:t>
      </w:r>
      <w:r>
        <w:rPr>
          <w:rFonts w:ascii="Times New Roman" w:hAnsi="Times New Roman" w:eastAsiaTheme="minorEastAsia"/>
          <w:spacing w:val="4"/>
        </w:rPr>
        <w:t>1,1,2-</w:t>
      </w:r>
      <w:r>
        <w:rPr>
          <w:rFonts w:ascii="Times New Roman" w:hAnsiTheme="minorEastAsia" w:eastAsiaTheme="minorEastAsia"/>
          <w:spacing w:val="4"/>
        </w:rPr>
        <w:t>三氯乙烷、三氯乙烯、</w:t>
      </w:r>
      <w:r>
        <w:rPr>
          <w:rFonts w:ascii="Times New Roman" w:hAnsi="Times New Roman" w:eastAsiaTheme="minorEastAsia"/>
          <w:spacing w:val="4"/>
        </w:rPr>
        <w:t>1,2,3,-</w:t>
      </w:r>
      <w:r>
        <w:rPr>
          <w:rFonts w:ascii="Times New Roman" w:hAnsiTheme="minorEastAsia" w:eastAsiaTheme="minorEastAsia"/>
          <w:spacing w:val="4"/>
        </w:rPr>
        <w:t>三氯丙烷、氯乙烯、苯、氯苯、</w:t>
      </w:r>
      <w:r>
        <w:rPr>
          <w:rFonts w:ascii="Times New Roman" w:hAnsi="Times New Roman" w:eastAsiaTheme="minorEastAsia"/>
          <w:spacing w:val="4"/>
        </w:rPr>
        <w:t>1,2-</w:t>
      </w:r>
      <w:r>
        <w:rPr>
          <w:rFonts w:ascii="Times New Roman" w:hAnsiTheme="minorEastAsia" w:eastAsiaTheme="minorEastAsia"/>
          <w:spacing w:val="4"/>
        </w:rPr>
        <w:t>二氯苯、</w:t>
      </w:r>
      <w:r>
        <w:rPr>
          <w:rFonts w:ascii="Times New Roman" w:hAnsi="Times New Roman" w:eastAsiaTheme="minorEastAsia"/>
          <w:spacing w:val="4"/>
        </w:rPr>
        <w:t>1,4-</w:t>
      </w:r>
      <w:r>
        <w:rPr>
          <w:rFonts w:ascii="Times New Roman" w:hAnsiTheme="minorEastAsia" w:eastAsiaTheme="minorEastAsia"/>
          <w:spacing w:val="4"/>
        </w:rPr>
        <w:t>二氯苯、乙苯、苯乙烯、甲苯、间二甲苯</w:t>
      </w:r>
      <w:r>
        <w:rPr>
          <w:rFonts w:ascii="Times New Roman" w:hAnsi="Times New Roman" w:eastAsiaTheme="minorEastAsia"/>
          <w:spacing w:val="4"/>
        </w:rPr>
        <w:t>+</w:t>
      </w:r>
      <w:r>
        <w:rPr>
          <w:rFonts w:ascii="Times New Roman" w:hAnsiTheme="minorEastAsia" w:eastAsiaTheme="minorEastAsia"/>
          <w:spacing w:val="4"/>
        </w:rPr>
        <w:t>对二甲苯、邻二甲苯、硝基苯、苯胺、</w:t>
      </w:r>
      <w:r>
        <w:rPr>
          <w:rFonts w:ascii="Times New Roman" w:hAnsi="Times New Roman" w:eastAsiaTheme="minorEastAsia"/>
          <w:spacing w:val="4"/>
        </w:rPr>
        <w:t>2-</w:t>
      </w:r>
      <w:r>
        <w:rPr>
          <w:rFonts w:ascii="Times New Roman" w:hAnsiTheme="minorEastAsia" w:eastAsiaTheme="minorEastAsia"/>
          <w:spacing w:val="4"/>
        </w:rPr>
        <w:t>氯酚、苯并</w:t>
      </w:r>
      <w:r>
        <w:rPr>
          <w:rFonts w:ascii="Times New Roman" w:hAnsi="Times New Roman" w:eastAsiaTheme="minorEastAsia"/>
          <w:spacing w:val="4"/>
        </w:rPr>
        <w:t>[a]</w:t>
      </w:r>
      <w:r>
        <w:rPr>
          <w:rFonts w:ascii="Times New Roman" w:hAnsiTheme="minorEastAsia" w:eastAsiaTheme="minorEastAsia"/>
          <w:spacing w:val="4"/>
        </w:rPr>
        <w:t>蒽、苯并</w:t>
      </w:r>
      <w:r>
        <w:rPr>
          <w:rFonts w:ascii="Times New Roman" w:hAnsi="Times New Roman" w:eastAsiaTheme="minorEastAsia"/>
          <w:spacing w:val="4"/>
        </w:rPr>
        <w:t>[a]</w:t>
      </w:r>
      <w:r>
        <w:rPr>
          <w:rFonts w:ascii="Times New Roman" w:hAnsiTheme="minorEastAsia" w:eastAsiaTheme="minorEastAsia"/>
          <w:spacing w:val="4"/>
        </w:rPr>
        <w:t>芘、苯并</w:t>
      </w:r>
      <w:r>
        <w:rPr>
          <w:rFonts w:ascii="Times New Roman" w:hAnsi="Times New Roman" w:eastAsiaTheme="minorEastAsia"/>
          <w:spacing w:val="4"/>
        </w:rPr>
        <w:t>[b]</w:t>
      </w:r>
      <w:r>
        <w:rPr>
          <w:rFonts w:ascii="Times New Roman" w:hAnsiTheme="minorEastAsia" w:eastAsiaTheme="minorEastAsia"/>
          <w:spacing w:val="4"/>
        </w:rPr>
        <w:t>荧蒽、苯并</w:t>
      </w:r>
      <w:r>
        <w:rPr>
          <w:rFonts w:ascii="Times New Roman" w:hAnsi="Times New Roman" w:eastAsiaTheme="minorEastAsia"/>
          <w:spacing w:val="4"/>
        </w:rPr>
        <w:t>[k]</w:t>
      </w:r>
      <w:r>
        <w:rPr>
          <w:rFonts w:ascii="Times New Roman" w:hAnsiTheme="minorEastAsia" w:eastAsiaTheme="minorEastAsia"/>
          <w:spacing w:val="4"/>
        </w:rPr>
        <w:t>荧蒽、䓛、二苯并</w:t>
      </w:r>
      <w:r>
        <w:rPr>
          <w:rFonts w:ascii="Times New Roman" w:hAnsi="Times New Roman" w:eastAsiaTheme="minorEastAsia"/>
          <w:spacing w:val="4"/>
        </w:rPr>
        <w:t>[a,h]</w:t>
      </w:r>
      <w:r>
        <w:rPr>
          <w:rFonts w:ascii="Times New Roman" w:hAnsiTheme="minorEastAsia" w:eastAsiaTheme="minorEastAsia"/>
          <w:spacing w:val="4"/>
        </w:rPr>
        <w:t>蒽、茚并</w:t>
      </w:r>
      <w:r>
        <w:rPr>
          <w:rFonts w:ascii="Times New Roman" w:hAnsi="Times New Roman" w:eastAsiaTheme="minorEastAsia"/>
          <w:spacing w:val="4"/>
        </w:rPr>
        <w:t>[1,2,3-cd]</w:t>
      </w:r>
      <w:r>
        <w:rPr>
          <w:rFonts w:ascii="Times New Roman" w:hAnsiTheme="minorEastAsia" w:eastAsiaTheme="minorEastAsia"/>
          <w:spacing w:val="4"/>
        </w:rPr>
        <w:t>芘、萘。共</w:t>
      </w:r>
      <w:r>
        <w:rPr>
          <w:rFonts w:ascii="Times New Roman" w:hAnsi="Times New Roman" w:eastAsiaTheme="minorEastAsia"/>
          <w:spacing w:val="4"/>
        </w:rPr>
        <w:t>45</w:t>
      </w:r>
      <w:r>
        <w:rPr>
          <w:rFonts w:ascii="Times New Roman" w:hAnsiTheme="minorEastAsia" w:eastAsiaTheme="minorEastAsia"/>
          <w:spacing w:val="4"/>
        </w:rPr>
        <w:t>项基本项；特征污染因子：汞、铅、镉、总铬、铜、锌、铍、钡、镍、砷、氟化物、氰化物。</w:t>
      </w:r>
    </w:p>
    <w:p>
      <w:pPr>
        <w:pStyle w:val="39"/>
        <w:rPr>
          <w:rFonts w:ascii="Times New Roman" w:hAnsiTheme="minorEastAsia" w:eastAsiaTheme="minorEastAsia"/>
        </w:rPr>
      </w:pPr>
      <w:r>
        <w:rPr>
          <w:rFonts w:hint="eastAsia" w:ascii="Times New Roman" w:hAnsiTheme="minorEastAsia" w:eastAsiaTheme="minorEastAsia"/>
        </w:rPr>
        <w:t>生态影响型现状监测因子：pH、含盐量</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6</w:t>
      </w:r>
      <w:r>
        <w:rPr>
          <w:rFonts w:ascii="Times New Roman" w:hAnsiTheme="minorEastAsia" w:eastAsiaTheme="minorEastAsia"/>
        </w:rPr>
        <w:t>）</w:t>
      </w:r>
      <w:r>
        <w:rPr>
          <w:rFonts w:ascii="Times New Roman" w:hAnsiTheme="minorEastAsia" w:eastAsiaTheme="minorEastAsia"/>
          <w:spacing w:val="4"/>
        </w:rPr>
        <w:t>噪声</w:t>
      </w:r>
    </w:p>
    <w:p>
      <w:pPr>
        <w:pStyle w:val="39"/>
        <w:rPr>
          <w:rFonts w:ascii="Times New Roman" w:hAnsi="Times New Roman" w:eastAsiaTheme="minorEastAsia"/>
        </w:rPr>
      </w:pPr>
      <w:r>
        <w:rPr>
          <w:rFonts w:ascii="Times New Roman" w:hAnsiTheme="minorEastAsia" w:eastAsiaTheme="minorEastAsia"/>
        </w:rPr>
        <w:t>等效连续</w:t>
      </w:r>
      <w:r>
        <w:rPr>
          <w:rFonts w:ascii="Times New Roman" w:hAnsi="Times New Roman" w:eastAsiaTheme="minorEastAsia"/>
        </w:rPr>
        <w:t>A</w:t>
      </w:r>
      <w:r>
        <w:rPr>
          <w:rFonts w:ascii="Times New Roman" w:hAnsiTheme="minorEastAsia" w:eastAsiaTheme="minorEastAsia"/>
        </w:rPr>
        <w:t>声级。</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7</w:t>
      </w:r>
      <w:r>
        <w:rPr>
          <w:rFonts w:ascii="Times New Roman" w:hAnsiTheme="minorEastAsia" w:eastAsiaTheme="minorEastAsia"/>
        </w:rPr>
        <w:t>）</w:t>
      </w:r>
      <w:r>
        <w:rPr>
          <w:rFonts w:ascii="Times New Roman" w:hAnsiTheme="minorEastAsia" w:eastAsiaTheme="minorEastAsia"/>
          <w:spacing w:val="4"/>
        </w:rPr>
        <w:t>固体废物</w:t>
      </w:r>
    </w:p>
    <w:p>
      <w:pPr>
        <w:pStyle w:val="39"/>
        <w:rPr>
          <w:rFonts w:ascii="Times New Roman" w:hAnsi="Times New Roman" w:eastAsiaTheme="minorEastAsia"/>
        </w:rPr>
      </w:pPr>
      <w:r>
        <w:rPr>
          <w:rFonts w:ascii="Times New Roman" w:hAnsiTheme="minorEastAsia" w:eastAsiaTheme="minorEastAsia"/>
        </w:rPr>
        <w:t>矸石、煤泥、除尘灰、污水处理站污泥、</w:t>
      </w:r>
      <w:r>
        <w:rPr>
          <w:rFonts w:hint="eastAsia" w:eastAsiaTheme="minorEastAsia"/>
        </w:rPr>
        <w:t>废矿物油</w:t>
      </w:r>
      <w:r>
        <w:rPr>
          <w:rFonts w:ascii="Times New Roman" w:hAnsiTheme="minorEastAsia" w:eastAsiaTheme="minorEastAsia"/>
        </w:rPr>
        <w:t>、生活垃圾。</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8</w:t>
      </w:r>
      <w:r>
        <w:rPr>
          <w:rFonts w:ascii="Times New Roman" w:hAnsiTheme="minorEastAsia" w:eastAsiaTheme="minorEastAsia"/>
        </w:rPr>
        <w:t>）地表</w:t>
      </w:r>
      <w:r>
        <w:rPr>
          <w:rFonts w:ascii="Times New Roman" w:hAnsiTheme="minorEastAsia" w:eastAsiaTheme="minorEastAsia"/>
          <w:spacing w:val="4"/>
        </w:rPr>
        <w:t>塌陷</w:t>
      </w:r>
    </w:p>
    <w:p>
      <w:pPr>
        <w:pStyle w:val="39"/>
        <w:rPr>
          <w:rFonts w:ascii="Times New Roman" w:hAnsi="Times New Roman" w:eastAsiaTheme="minorEastAsia"/>
        </w:rPr>
      </w:pPr>
      <w:r>
        <w:rPr>
          <w:rFonts w:ascii="Times New Roman" w:hAnsiTheme="minorEastAsia" w:eastAsiaTheme="minorEastAsia"/>
        </w:rPr>
        <w:t>根据区域地质构造及地表特征，预测项目开采产生地表变形和沉陷对井田范围内村庄、植被、农作物及退耕还林、地下水等的影响。</w:t>
      </w:r>
    </w:p>
    <w:p>
      <w:pPr>
        <w:spacing w:line="360" w:lineRule="auto"/>
        <w:outlineLvl w:val="2"/>
        <w:rPr>
          <w:rFonts w:eastAsiaTheme="minorEastAsia"/>
          <w:b/>
          <w:sz w:val="24"/>
        </w:rPr>
      </w:pPr>
      <w:r>
        <w:rPr>
          <w:rFonts w:eastAsiaTheme="minorEastAsia"/>
          <w:b/>
          <w:sz w:val="24"/>
        </w:rPr>
        <w:t>2.4.3</w:t>
      </w:r>
      <w:r>
        <w:rPr>
          <w:rFonts w:hAnsiTheme="minorEastAsia" w:eastAsiaTheme="minorEastAsia"/>
          <w:b/>
          <w:sz w:val="24"/>
        </w:rPr>
        <w:t>评价标准</w:t>
      </w:r>
    </w:p>
    <w:p>
      <w:pPr>
        <w:pStyle w:val="39"/>
        <w:rPr>
          <w:rFonts w:ascii="Times New Roman" w:hAnsi="Times New Roman" w:eastAsiaTheme="minorEastAsia"/>
        </w:rPr>
      </w:pPr>
      <w:r>
        <w:rPr>
          <w:rFonts w:ascii="Times New Roman" w:hAnsi="Times New Roman" w:eastAsiaTheme="minorEastAsia"/>
        </w:rPr>
        <w:t>1</w:t>
      </w:r>
      <w:r>
        <w:rPr>
          <w:rFonts w:ascii="Times New Roman" w:hAnsiTheme="minorEastAsia" w:eastAsiaTheme="minorEastAsia"/>
        </w:rPr>
        <w:t>、环境质量标准</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1</w:t>
      </w:r>
      <w:r>
        <w:rPr>
          <w:rFonts w:ascii="Times New Roman" w:hAnsiTheme="minorEastAsia" w:eastAsiaTheme="minorEastAsia"/>
        </w:rPr>
        <w:t>）环境空气：执行《环境空气质量标准》（</w:t>
      </w:r>
      <w:r>
        <w:rPr>
          <w:rFonts w:ascii="Times New Roman" w:hAnsi="Times New Roman" w:eastAsiaTheme="minorEastAsia"/>
        </w:rPr>
        <w:t>GB 3095-2012</w:t>
      </w:r>
      <w:r>
        <w:rPr>
          <w:rFonts w:ascii="Times New Roman" w:hAnsiTheme="minorEastAsia" w:eastAsiaTheme="minorEastAsia"/>
        </w:rPr>
        <w:t>）中二级标准。详见表</w:t>
      </w:r>
      <w:r>
        <w:rPr>
          <w:rFonts w:ascii="Times New Roman" w:hAnsi="Times New Roman" w:eastAsiaTheme="minorEastAsia"/>
        </w:rPr>
        <w:t>2.4-3</w:t>
      </w:r>
      <w:r>
        <w:rPr>
          <w:rFonts w:ascii="Times New Roman" w:hAnsiTheme="minorEastAsia" w:eastAsiaTheme="minorEastAsia"/>
        </w:rPr>
        <w:t>。</w:t>
      </w:r>
    </w:p>
    <w:p>
      <w:pPr>
        <w:pStyle w:val="7"/>
        <w:spacing w:line="360" w:lineRule="auto"/>
        <w:ind w:firstLine="0"/>
        <w:jc w:val="center"/>
        <w:rPr>
          <w:rFonts w:eastAsiaTheme="minorEastAsia"/>
          <w:b/>
          <w:sz w:val="21"/>
          <w:szCs w:val="21"/>
        </w:rPr>
      </w:pPr>
      <w:r>
        <w:rPr>
          <w:rFonts w:eastAsiaTheme="minorEastAsia"/>
          <w:b/>
          <w:sz w:val="21"/>
          <w:szCs w:val="21"/>
        </w:rPr>
        <w:t xml:space="preserve">                  </w:t>
      </w:r>
    </w:p>
    <w:p>
      <w:pPr>
        <w:pStyle w:val="7"/>
        <w:spacing w:line="360" w:lineRule="auto"/>
        <w:ind w:firstLine="0"/>
        <w:jc w:val="center"/>
        <w:rPr>
          <w:rFonts w:eastAsiaTheme="minorEastAsia"/>
          <w:b/>
          <w:sz w:val="21"/>
          <w:szCs w:val="21"/>
        </w:rPr>
      </w:pPr>
    </w:p>
    <w:p>
      <w:pPr>
        <w:pStyle w:val="7"/>
        <w:spacing w:line="360" w:lineRule="auto"/>
        <w:ind w:firstLine="0"/>
        <w:jc w:val="center"/>
        <w:rPr>
          <w:rFonts w:eastAsiaTheme="minorEastAsia"/>
          <w:b/>
          <w:sz w:val="21"/>
          <w:szCs w:val="21"/>
        </w:rPr>
      </w:pPr>
    </w:p>
    <w:p>
      <w:pPr>
        <w:pStyle w:val="7"/>
        <w:spacing w:line="360" w:lineRule="auto"/>
        <w:ind w:firstLine="0"/>
        <w:jc w:val="center"/>
        <w:rPr>
          <w:rFonts w:eastAsiaTheme="minorEastAsia"/>
          <w:b/>
          <w:sz w:val="21"/>
          <w:szCs w:val="21"/>
        </w:rPr>
      </w:pPr>
    </w:p>
    <w:p>
      <w:pPr>
        <w:pStyle w:val="7"/>
        <w:spacing w:line="360" w:lineRule="auto"/>
        <w:ind w:firstLine="0"/>
        <w:jc w:val="center"/>
        <w:rPr>
          <w:rFonts w:eastAsiaTheme="minorEastAsia"/>
          <w:b/>
          <w:sz w:val="21"/>
          <w:szCs w:val="21"/>
        </w:rPr>
      </w:pPr>
    </w:p>
    <w:p>
      <w:pPr>
        <w:pStyle w:val="7"/>
        <w:spacing w:line="360" w:lineRule="auto"/>
        <w:ind w:firstLine="0"/>
        <w:jc w:val="center"/>
        <w:rPr>
          <w:rFonts w:eastAsiaTheme="minorEastAsia"/>
          <w:b/>
          <w:sz w:val="21"/>
          <w:szCs w:val="21"/>
        </w:rPr>
      </w:pPr>
      <w:r>
        <w:rPr>
          <w:rFonts w:hint="eastAsia" w:hAnsiTheme="minorEastAsia" w:eastAsiaTheme="minorEastAsia"/>
          <w:b/>
          <w:sz w:val="21"/>
          <w:szCs w:val="21"/>
        </w:rPr>
        <w:t xml:space="preserve">                     </w:t>
      </w:r>
      <w:r>
        <w:rPr>
          <w:rFonts w:hAnsiTheme="minorEastAsia" w:eastAsiaTheme="minorEastAsia"/>
          <w:b/>
          <w:sz w:val="21"/>
          <w:szCs w:val="21"/>
        </w:rPr>
        <w:t>表</w:t>
      </w:r>
      <w:r>
        <w:rPr>
          <w:rFonts w:eastAsiaTheme="minorEastAsia"/>
          <w:b/>
          <w:sz w:val="21"/>
          <w:szCs w:val="21"/>
        </w:rPr>
        <w:t xml:space="preserve">2.4-3    </w:t>
      </w:r>
      <w:r>
        <w:rPr>
          <w:rFonts w:hAnsiTheme="minorEastAsia" w:eastAsiaTheme="minorEastAsia"/>
          <w:b/>
          <w:sz w:val="21"/>
          <w:szCs w:val="21"/>
        </w:rPr>
        <w:t>环境空气质量评价标准</w:t>
      </w:r>
      <w:r>
        <w:rPr>
          <w:rFonts w:eastAsiaTheme="minorEastAsia"/>
          <w:b/>
          <w:sz w:val="21"/>
          <w:szCs w:val="21"/>
        </w:rPr>
        <w:t xml:space="preserve">       </w:t>
      </w:r>
      <w:r>
        <w:rPr>
          <w:rFonts w:hAnsiTheme="minorEastAsia" w:eastAsiaTheme="minorEastAsia"/>
          <w:sz w:val="21"/>
          <w:szCs w:val="21"/>
        </w:rPr>
        <w:t>单位：</w:t>
      </w:r>
      <w:r>
        <w:rPr>
          <w:rFonts w:eastAsiaTheme="minorEastAsia"/>
          <w:sz w:val="21"/>
          <w:szCs w:val="21"/>
        </w:rPr>
        <w:t>ug/m</w:t>
      </w:r>
      <w:r>
        <w:rPr>
          <w:rFonts w:eastAsiaTheme="minorEastAsia"/>
          <w:sz w:val="21"/>
          <w:szCs w:val="21"/>
          <w:vertAlign w:val="superscript"/>
        </w:rPr>
        <w:t>3</w:t>
      </w:r>
      <w:r>
        <w:rPr>
          <w:rFonts w:hAnsiTheme="minorEastAsia" w:eastAsiaTheme="minorEastAsia"/>
          <w:sz w:val="21"/>
          <w:szCs w:val="21"/>
        </w:rPr>
        <w:t>（</w:t>
      </w:r>
      <w:r>
        <w:rPr>
          <w:rFonts w:eastAsiaTheme="minorEastAsia"/>
          <w:sz w:val="21"/>
          <w:szCs w:val="21"/>
        </w:rPr>
        <w:t>CO</w:t>
      </w:r>
      <w:r>
        <w:rPr>
          <w:rFonts w:hAnsiTheme="minorEastAsia" w:eastAsiaTheme="minorEastAsia"/>
          <w:sz w:val="21"/>
          <w:szCs w:val="21"/>
        </w:rPr>
        <w:t>为</w:t>
      </w:r>
      <w:r>
        <w:rPr>
          <w:rFonts w:eastAsiaTheme="minorEastAsia"/>
          <w:sz w:val="21"/>
          <w:szCs w:val="21"/>
        </w:rPr>
        <w:t>mg/m</w:t>
      </w:r>
      <w:r>
        <w:rPr>
          <w:rFonts w:eastAsiaTheme="minorEastAsia"/>
          <w:sz w:val="21"/>
          <w:szCs w:val="21"/>
          <w:vertAlign w:val="superscript"/>
        </w:rPr>
        <w:t>3</w:t>
      </w:r>
      <w:r>
        <w:rPr>
          <w:rFonts w:hAnsiTheme="minorEastAsia" w:eastAsiaTheme="minorEastAsia"/>
          <w:sz w:val="21"/>
          <w:szCs w:val="21"/>
        </w:rPr>
        <w:t>）</w:t>
      </w:r>
      <w:r>
        <w:rPr>
          <w:rFonts w:eastAsiaTheme="minorEastAsia"/>
          <w:sz w:val="21"/>
          <w:szCs w:val="21"/>
        </w:rPr>
        <w:t xml:space="preserve"> </w:t>
      </w:r>
      <w:r>
        <w:rPr>
          <w:rFonts w:eastAsiaTheme="minorEastAsia"/>
          <w:b/>
          <w:sz w:val="21"/>
          <w:szCs w:val="21"/>
        </w:rPr>
        <w:t xml:space="preserve">                         </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18"/>
        <w:gridCol w:w="656"/>
        <w:gridCol w:w="1367"/>
        <w:gridCol w:w="945"/>
        <w:gridCol w:w="797"/>
        <w:gridCol w:w="799"/>
        <w:gridCol w:w="799"/>
        <w:gridCol w:w="800"/>
        <w:gridCol w:w="800"/>
        <w:gridCol w:w="90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jc w:val="center"/>
        </w:trPr>
        <w:tc>
          <w:tcPr>
            <w:tcW w:w="514" w:type="pct"/>
            <w:vAlign w:val="center"/>
          </w:tcPr>
          <w:p>
            <w:pPr>
              <w:spacing w:line="288" w:lineRule="auto"/>
              <w:jc w:val="center"/>
              <w:rPr>
                <w:rFonts w:eastAsiaTheme="minorEastAsia"/>
                <w:szCs w:val="21"/>
              </w:rPr>
            </w:pPr>
            <w:r>
              <w:rPr>
                <w:rFonts w:hAnsiTheme="minorEastAsia" w:eastAsiaTheme="minorEastAsia"/>
                <w:szCs w:val="21"/>
              </w:rPr>
              <w:t>标准</w:t>
            </w:r>
          </w:p>
        </w:tc>
        <w:tc>
          <w:tcPr>
            <w:tcW w:w="381" w:type="pct"/>
            <w:vAlign w:val="center"/>
          </w:tcPr>
          <w:p>
            <w:pPr>
              <w:spacing w:line="288" w:lineRule="auto"/>
              <w:jc w:val="center"/>
              <w:rPr>
                <w:rFonts w:eastAsiaTheme="minorEastAsia"/>
                <w:szCs w:val="21"/>
              </w:rPr>
            </w:pPr>
            <w:r>
              <w:rPr>
                <w:rFonts w:hAnsiTheme="minorEastAsia" w:eastAsiaTheme="minorEastAsia"/>
                <w:szCs w:val="21"/>
              </w:rPr>
              <w:t>级别</w:t>
            </w:r>
          </w:p>
        </w:tc>
        <w:tc>
          <w:tcPr>
            <w:tcW w:w="4106" w:type="pct"/>
            <w:gridSpan w:val="8"/>
            <w:vAlign w:val="center"/>
          </w:tcPr>
          <w:p>
            <w:pPr>
              <w:spacing w:line="288" w:lineRule="auto"/>
              <w:jc w:val="center"/>
              <w:rPr>
                <w:rFonts w:eastAsiaTheme="minorEastAsia"/>
                <w:szCs w:val="21"/>
              </w:rPr>
            </w:pPr>
            <w:r>
              <w:rPr>
                <w:rFonts w:hAnsiTheme="minorEastAsia" w:eastAsiaTheme="minorEastAsia"/>
                <w:szCs w:val="21"/>
              </w:rPr>
              <w:t>标准值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jc w:val="center"/>
        </w:trPr>
        <w:tc>
          <w:tcPr>
            <w:tcW w:w="514" w:type="pct"/>
            <w:vMerge w:val="restart"/>
            <w:vAlign w:val="center"/>
          </w:tcPr>
          <w:p>
            <w:pPr>
              <w:spacing w:line="288" w:lineRule="auto"/>
              <w:jc w:val="center"/>
              <w:rPr>
                <w:rFonts w:eastAsiaTheme="minorEastAsia"/>
                <w:szCs w:val="21"/>
              </w:rPr>
            </w:pPr>
            <w:r>
              <w:rPr>
                <w:rFonts w:hAnsiTheme="minorEastAsia" w:eastAsiaTheme="minorEastAsia"/>
                <w:szCs w:val="21"/>
              </w:rPr>
              <w:t>《环境空气质量标准》</w:t>
            </w:r>
            <w:r>
              <w:rPr>
                <w:rFonts w:eastAsiaTheme="minorEastAsia"/>
                <w:szCs w:val="21"/>
              </w:rPr>
              <w:t>GB3095-2012</w:t>
            </w:r>
          </w:p>
        </w:tc>
        <w:tc>
          <w:tcPr>
            <w:tcW w:w="381" w:type="pct"/>
            <w:vMerge w:val="restart"/>
            <w:vAlign w:val="center"/>
          </w:tcPr>
          <w:p>
            <w:pPr>
              <w:spacing w:line="288" w:lineRule="auto"/>
              <w:jc w:val="center"/>
              <w:rPr>
                <w:rFonts w:eastAsiaTheme="minorEastAsia"/>
                <w:szCs w:val="21"/>
              </w:rPr>
            </w:pPr>
            <w:r>
              <w:rPr>
                <w:rFonts w:hAnsiTheme="minorEastAsia" w:eastAsiaTheme="minorEastAsia"/>
                <w:szCs w:val="21"/>
              </w:rPr>
              <w:t>二级</w:t>
            </w:r>
          </w:p>
        </w:tc>
        <w:tc>
          <w:tcPr>
            <w:tcW w:w="764" w:type="pct"/>
            <w:vAlign w:val="center"/>
          </w:tcPr>
          <w:p>
            <w:pPr>
              <w:spacing w:line="288" w:lineRule="auto"/>
              <w:jc w:val="center"/>
              <w:rPr>
                <w:rFonts w:eastAsiaTheme="minorEastAsia"/>
                <w:szCs w:val="21"/>
              </w:rPr>
            </w:pPr>
            <w:r>
              <w:rPr>
                <w:rFonts w:hAnsiTheme="minorEastAsia" w:eastAsiaTheme="minorEastAsia"/>
                <w:szCs w:val="21"/>
              </w:rPr>
              <w:t>项目</w:t>
            </w:r>
          </w:p>
        </w:tc>
        <w:tc>
          <w:tcPr>
            <w:tcW w:w="537" w:type="pct"/>
            <w:vAlign w:val="center"/>
          </w:tcPr>
          <w:p>
            <w:pPr>
              <w:spacing w:line="288" w:lineRule="auto"/>
              <w:jc w:val="center"/>
              <w:rPr>
                <w:rFonts w:eastAsiaTheme="minorEastAsia"/>
                <w:szCs w:val="21"/>
              </w:rPr>
            </w:pPr>
            <w:r>
              <w:rPr>
                <w:rFonts w:eastAsiaTheme="minorEastAsia"/>
                <w:szCs w:val="21"/>
              </w:rPr>
              <w:t>NO</w:t>
            </w:r>
            <w:r>
              <w:rPr>
                <w:rFonts w:eastAsiaTheme="minorEastAsia"/>
                <w:szCs w:val="21"/>
                <w:vertAlign w:val="subscript"/>
              </w:rPr>
              <w:t>2</w:t>
            </w:r>
          </w:p>
        </w:tc>
        <w:tc>
          <w:tcPr>
            <w:tcW w:w="457" w:type="pct"/>
            <w:vAlign w:val="center"/>
          </w:tcPr>
          <w:p>
            <w:pPr>
              <w:spacing w:line="288" w:lineRule="auto"/>
              <w:jc w:val="center"/>
              <w:rPr>
                <w:rFonts w:eastAsiaTheme="minorEastAsia"/>
                <w:szCs w:val="21"/>
              </w:rPr>
            </w:pPr>
            <w:r>
              <w:rPr>
                <w:rFonts w:eastAsiaTheme="minorEastAsia"/>
                <w:szCs w:val="21"/>
              </w:rPr>
              <w:t>SO</w:t>
            </w:r>
            <w:r>
              <w:rPr>
                <w:rFonts w:eastAsiaTheme="minorEastAsia"/>
                <w:szCs w:val="21"/>
                <w:vertAlign w:val="subscript"/>
              </w:rPr>
              <w:t>2</w:t>
            </w:r>
          </w:p>
        </w:tc>
        <w:tc>
          <w:tcPr>
            <w:tcW w:w="458" w:type="pct"/>
            <w:vAlign w:val="center"/>
          </w:tcPr>
          <w:p>
            <w:pPr>
              <w:spacing w:line="288" w:lineRule="auto"/>
              <w:jc w:val="center"/>
              <w:rPr>
                <w:rFonts w:eastAsiaTheme="minorEastAsia"/>
                <w:szCs w:val="21"/>
              </w:rPr>
            </w:pPr>
            <w:r>
              <w:rPr>
                <w:rFonts w:eastAsiaTheme="minorEastAsia"/>
                <w:szCs w:val="21"/>
              </w:rPr>
              <w:t>PM</w:t>
            </w:r>
            <w:r>
              <w:rPr>
                <w:rFonts w:eastAsiaTheme="minorEastAsia"/>
                <w:szCs w:val="21"/>
                <w:vertAlign w:val="subscript"/>
              </w:rPr>
              <w:t>2.5</w:t>
            </w:r>
          </w:p>
        </w:tc>
        <w:tc>
          <w:tcPr>
            <w:tcW w:w="458" w:type="pct"/>
            <w:vAlign w:val="center"/>
          </w:tcPr>
          <w:p>
            <w:pPr>
              <w:spacing w:line="288" w:lineRule="auto"/>
              <w:jc w:val="center"/>
              <w:rPr>
                <w:rFonts w:eastAsiaTheme="minorEastAsia"/>
                <w:szCs w:val="21"/>
              </w:rPr>
            </w:pPr>
            <w:r>
              <w:rPr>
                <w:rFonts w:eastAsiaTheme="minorEastAsia"/>
                <w:szCs w:val="21"/>
              </w:rPr>
              <w:t>PM</w:t>
            </w:r>
            <w:r>
              <w:rPr>
                <w:rFonts w:eastAsiaTheme="minorEastAsia"/>
                <w:szCs w:val="21"/>
                <w:vertAlign w:val="subscript"/>
              </w:rPr>
              <w:t>10</w:t>
            </w:r>
          </w:p>
        </w:tc>
        <w:tc>
          <w:tcPr>
            <w:tcW w:w="458" w:type="pct"/>
            <w:vAlign w:val="center"/>
          </w:tcPr>
          <w:p>
            <w:pPr>
              <w:spacing w:line="288" w:lineRule="auto"/>
              <w:jc w:val="center"/>
              <w:rPr>
                <w:rFonts w:eastAsiaTheme="minorEastAsia"/>
                <w:szCs w:val="21"/>
              </w:rPr>
            </w:pPr>
            <w:r>
              <w:rPr>
                <w:rFonts w:eastAsiaTheme="minorEastAsia"/>
                <w:szCs w:val="21"/>
              </w:rPr>
              <w:t>CO</w:t>
            </w:r>
          </w:p>
        </w:tc>
        <w:tc>
          <w:tcPr>
            <w:tcW w:w="458" w:type="pct"/>
            <w:vAlign w:val="center"/>
          </w:tcPr>
          <w:p>
            <w:pPr>
              <w:spacing w:line="288" w:lineRule="auto"/>
              <w:jc w:val="center"/>
              <w:rPr>
                <w:rFonts w:eastAsiaTheme="minorEastAsia"/>
                <w:szCs w:val="21"/>
              </w:rPr>
            </w:pPr>
            <w:r>
              <w:rPr>
                <w:rFonts w:eastAsiaTheme="minorEastAsia"/>
                <w:szCs w:val="21"/>
              </w:rPr>
              <w:t>O</w:t>
            </w:r>
            <w:r>
              <w:rPr>
                <w:rFonts w:eastAsiaTheme="minorEastAsia"/>
                <w:szCs w:val="21"/>
                <w:vertAlign w:val="subscript"/>
              </w:rPr>
              <w:t>3</w:t>
            </w:r>
          </w:p>
        </w:tc>
        <w:tc>
          <w:tcPr>
            <w:tcW w:w="515" w:type="pct"/>
            <w:vAlign w:val="center"/>
          </w:tcPr>
          <w:p>
            <w:pPr>
              <w:spacing w:line="288" w:lineRule="auto"/>
              <w:jc w:val="center"/>
              <w:rPr>
                <w:rFonts w:eastAsiaTheme="minorEastAsia"/>
                <w:szCs w:val="21"/>
              </w:rPr>
            </w:pPr>
            <w:r>
              <w:rPr>
                <w:rFonts w:hint="eastAsia" w:eastAsiaTheme="minorEastAsia"/>
                <w:szCs w:val="21"/>
              </w:rPr>
              <w:t>TSP</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7" w:hRule="atLeast"/>
          <w:jc w:val="center"/>
        </w:trPr>
        <w:tc>
          <w:tcPr>
            <w:tcW w:w="514" w:type="pct"/>
            <w:vMerge w:val="continue"/>
            <w:vAlign w:val="center"/>
          </w:tcPr>
          <w:p>
            <w:pPr>
              <w:widowControl/>
              <w:spacing w:line="288" w:lineRule="auto"/>
              <w:jc w:val="left"/>
              <w:rPr>
                <w:rFonts w:eastAsiaTheme="minorEastAsia"/>
                <w:szCs w:val="21"/>
              </w:rPr>
            </w:pPr>
          </w:p>
        </w:tc>
        <w:tc>
          <w:tcPr>
            <w:tcW w:w="381" w:type="pct"/>
            <w:vMerge w:val="continue"/>
            <w:vAlign w:val="center"/>
          </w:tcPr>
          <w:p>
            <w:pPr>
              <w:widowControl/>
              <w:spacing w:line="288" w:lineRule="auto"/>
              <w:jc w:val="left"/>
              <w:rPr>
                <w:rFonts w:eastAsiaTheme="minorEastAsia"/>
                <w:szCs w:val="21"/>
              </w:rPr>
            </w:pPr>
          </w:p>
        </w:tc>
        <w:tc>
          <w:tcPr>
            <w:tcW w:w="764" w:type="pct"/>
            <w:vAlign w:val="center"/>
          </w:tcPr>
          <w:p>
            <w:pPr>
              <w:spacing w:line="288" w:lineRule="auto"/>
              <w:jc w:val="center"/>
              <w:rPr>
                <w:rFonts w:eastAsiaTheme="minorEastAsia"/>
                <w:szCs w:val="21"/>
              </w:rPr>
            </w:pPr>
            <w:r>
              <w:rPr>
                <w:rFonts w:hAnsiTheme="minorEastAsia" w:eastAsiaTheme="minorEastAsia"/>
                <w:szCs w:val="21"/>
              </w:rPr>
              <w:t>年平均</w:t>
            </w:r>
          </w:p>
        </w:tc>
        <w:tc>
          <w:tcPr>
            <w:tcW w:w="537" w:type="pct"/>
            <w:vAlign w:val="center"/>
          </w:tcPr>
          <w:p>
            <w:pPr>
              <w:spacing w:line="288" w:lineRule="auto"/>
              <w:jc w:val="center"/>
              <w:rPr>
                <w:rFonts w:eastAsiaTheme="minorEastAsia"/>
                <w:szCs w:val="21"/>
              </w:rPr>
            </w:pPr>
            <w:r>
              <w:rPr>
                <w:rFonts w:eastAsiaTheme="minorEastAsia"/>
                <w:szCs w:val="21"/>
              </w:rPr>
              <w:t>40</w:t>
            </w:r>
          </w:p>
        </w:tc>
        <w:tc>
          <w:tcPr>
            <w:tcW w:w="457" w:type="pct"/>
            <w:vAlign w:val="center"/>
          </w:tcPr>
          <w:p>
            <w:pPr>
              <w:spacing w:line="288" w:lineRule="auto"/>
              <w:jc w:val="center"/>
              <w:rPr>
                <w:rFonts w:eastAsiaTheme="minorEastAsia"/>
                <w:szCs w:val="21"/>
              </w:rPr>
            </w:pPr>
            <w:r>
              <w:rPr>
                <w:rFonts w:eastAsiaTheme="minorEastAsia"/>
                <w:szCs w:val="21"/>
              </w:rPr>
              <w:t>60</w:t>
            </w:r>
          </w:p>
        </w:tc>
        <w:tc>
          <w:tcPr>
            <w:tcW w:w="458" w:type="pct"/>
            <w:vAlign w:val="center"/>
          </w:tcPr>
          <w:p>
            <w:pPr>
              <w:spacing w:line="288" w:lineRule="auto"/>
              <w:jc w:val="center"/>
              <w:rPr>
                <w:rFonts w:eastAsiaTheme="minorEastAsia"/>
                <w:szCs w:val="21"/>
              </w:rPr>
            </w:pPr>
            <w:r>
              <w:rPr>
                <w:rFonts w:eastAsiaTheme="minorEastAsia"/>
                <w:szCs w:val="21"/>
              </w:rPr>
              <w:t>35</w:t>
            </w:r>
          </w:p>
        </w:tc>
        <w:tc>
          <w:tcPr>
            <w:tcW w:w="458" w:type="pct"/>
            <w:vAlign w:val="center"/>
          </w:tcPr>
          <w:p>
            <w:pPr>
              <w:spacing w:line="288" w:lineRule="auto"/>
              <w:jc w:val="center"/>
              <w:rPr>
                <w:rFonts w:eastAsiaTheme="minorEastAsia"/>
                <w:szCs w:val="21"/>
              </w:rPr>
            </w:pPr>
            <w:r>
              <w:rPr>
                <w:rFonts w:eastAsiaTheme="minorEastAsia"/>
                <w:szCs w:val="21"/>
              </w:rPr>
              <w:t>70</w:t>
            </w:r>
          </w:p>
        </w:tc>
        <w:tc>
          <w:tcPr>
            <w:tcW w:w="458" w:type="pct"/>
            <w:vAlign w:val="center"/>
          </w:tcPr>
          <w:p>
            <w:pPr>
              <w:spacing w:line="288" w:lineRule="auto"/>
              <w:jc w:val="center"/>
              <w:rPr>
                <w:rFonts w:eastAsiaTheme="minorEastAsia"/>
                <w:szCs w:val="21"/>
              </w:rPr>
            </w:pPr>
            <w:r>
              <w:rPr>
                <w:rFonts w:eastAsiaTheme="minorEastAsia"/>
                <w:szCs w:val="21"/>
              </w:rPr>
              <w:t>-</w:t>
            </w:r>
          </w:p>
        </w:tc>
        <w:tc>
          <w:tcPr>
            <w:tcW w:w="458" w:type="pct"/>
            <w:vAlign w:val="center"/>
          </w:tcPr>
          <w:p>
            <w:pPr>
              <w:spacing w:line="288" w:lineRule="auto"/>
              <w:jc w:val="center"/>
              <w:rPr>
                <w:rFonts w:eastAsiaTheme="minorEastAsia"/>
                <w:szCs w:val="21"/>
              </w:rPr>
            </w:pPr>
          </w:p>
        </w:tc>
        <w:tc>
          <w:tcPr>
            <w:tcW w:w="515" w:type="pct"/>
            <w:vAlign w:val="center"/>
          </w:tcPr>
          <w:p>
            <w:pPr>
              <w:spacing w:line="288" w:lineRule="auto"/>
              <w:jc w:val="center"/>
              <w:rPr>
                <w:rFonts w:eastAsiaTheme="minorEastAsia"/>
                <w:szCs w:val="21"/>
              </w:rPr>
            </w:pPr>
            <w:r>
              <w:rPr>
                <w:rFonts w:hint="eastAsia" w:eastAsiaTheme="minorEastAsia"/>
                <w:szCs w:val="21"/>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7" w:hRule="atLeast"/>
          <w:jc w:val="center"/>
        </w:trPr>
        <w:tc>
          <w:tcPr>
            <w:tcW w:w="514" w:type="pct"/>
            <w:vMerge w:val="continue"/>
            <w:vAlign w:val="center"/>
          </w:tcPr>
          <w:p>
            <w:pPr>
              <w:widowControl/>
              <w:spacing w:line="288" w:lineRule="auto"/>
              <w:jc w:val="left"/>
              <w:rPr>
                <w:rFonts w:eastAsiaTheme="minorEastAsia"/>
                <w:szCs w:val="21"/>
              </w:rPr>
            </w:pPr>
          </w:p>
        </w:tc>
        <w:tc>
          <w:tcPr>
            <w:tcW w:w="381" w:type="pct"/>
            <w:vMerge w:val="continue"/>
            <w:vAlign w:val="center"/>
          </w:tcPr>
          <w:p>
            <w:pPr>
              <w:widowControl/>
              <w:spacing w:line="288" w:lineRule="auto"/>
              <w:jc w:val="left"/>
              <w:rPr>
                <w:rFonts w:eastAsiaTheme="minorEastAsia"/>
                <w:szCs w:val="21"/>
              </w:rPr>
            </w:pPr>
          </w:p>
        </w:tc>
        <w:tc>
          <w:tcPr>
            <w:tcW w:w="764" w:type="pct"/>
            <w:vAlign w:val="center"/>
          </w:tcPr>
          <w:p>
            <w:pPr>
              <w:spacing w:line="288" w:lineRule="auto"/>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537" w:type="pct"/>
            <w:vAlign w:val="center"/>
          </w:tcPr>
          <w:p>
            <w:pPr>
              <w:spacing w:line="288" w:lineRule="auto"/>
              <w:jc w:val="center"/>
              <w:rPr>
                <w:rFonts w:eastAsiaTheme="minorEastAsia"/>
                <w:szCs w:val="21"/>
              </w:rPr>
            </w:pPr>
            <w:r>
              <w:rPr>
                <w:rFonts w:eastAsiaTheme="minorEastAsia"/>
                <w:szCs w:val="21"/>
              </w:rPr>
              <w:t>80</w:t>
            </w:r>
          </w:p>
        </w:tc>
        <w:tc>
          <w:tcPr>
            <w:tcW w:w="457" w:type="pct"/>
            <w:vAlign w:val="center"/>
          </w:tcPr>
          <w:p>
            <w:pPr>
              <w:spacing w:line="288" w:lineRule="auto"/>
              <w:jc w:val="center"/>
              <w:rPr>
                <w:rFonts w:eastAsiaTheme="minorEastAsia"/>
                <w:szCs w:val="21"/>
              </w:rPr>
            </w:pPr>
            <w:r>
              <w:rPr>
                <w:rFonts w:eastAsiaTheme="minorEastAsia"/>
                <w:szCs w:val="21"/>
              </w:rPr>
              <w:t>150</w:t>
            </w:r>
          </w:p>
        </w:tc>
        <w:tc>
          <w:tcPr>
            <w:tcW w:w="458" w:type="pct"/>
            <w:vAlign w:val="center"/>
          </w:tcPr>
          <w:p>
            <w:pPr>
              <w:spacing w:line="288" w:lineRule="auto"/>
              <w:jc w:val="center"/>
              <w:rPr>
                <w:rFonts w:eastAsiaTheme="minorEastAsia"/>
                <w:szCs w:val="21"/>
              </w:rPr>
            </w:pPr>
            <w:r>
              <w:rPr>
                <w:rFonts w:eastAsiaTheme="minorEastAsia"/>
                <w:szCs w:val="21"/>
              </w:rPr>
              <w:t>75</w:t>
            </w:r>
          </w:p>
        </w:tc>
        <w:tc>
          <w:tcPr>
            <w:tcW w:w="458" w:type="pct"/>
            <w:vAlign w:val="center"/>
          </w:tcPr>
          <w:p>
            <w:pPr>
              <w:spacing w:line="288" w:lineRule="auto"/>
              <w:jc w:val="center"/>
              <w:rPr>
                <w:rFonts w:eastAsiaTheme="minorEastAsia"/>
                <w:szCs w:val="21"/>
              </w:rPr>
            </w:pPr>
            <w:r>
              <w:rPr>
                <w:rFonts w:eastAsiaTheme="minorEastAsia"/>
                <w:szCs w:val="21"/>
              </w:rPr>
              <w:t>150</w:t>
            </w:r>
          </w:p>
        </w:tc>
        <w:tc>
          <w:tcPr>
            <w:tcW w:w="458" w:type="pct"/>
            <w:vAlign w:val="center"/>
          </w:tcPr>
          <w:p>
            <w:pPr>
              <w:spacing w:line="288" w:lineRule="auto"/>
              <w:jc w:val="center"/>
              <w:rPr>
                <w:rFonts w:eastAsiaTheme="minorEastAsia"/>
                <w:szCs w:val="21"/>
              </w:rPr>
            </w:pPr>
            <w:r>
              <w:rPr>
                <w:rFonts w:eastAsiaTheme="minorEastAsia"/>
                <w:szCs w:val="21"/>
              </w:rPr>
              <w:t>4</w:t>
            </w:r>
          </w:p>
        </w:tc>
        <w:tc>
          <w:tcPr>
            <w:tcW w:w="458" w:type="pct"/>
            <w:vAlign w:val="center"/>
          </w:tcPr>
          <w:p>
            <w:pPr>
              <w:spacing w:line="288" w:lineRule="auto"/>
              <w:jc w:val="center"/>
              <w:rPr>
                <w:rFonts w:eastAsiaTheme="minorEastAsia"/>
                <w:szCs w:val="21"/>
              </w:rPr>
            </w:pPr>
          </w:p>
        </w:tc>
        <w:tc>
          <w:tcPr>
            <w:tcW w:w="515" w:type="pct"/>
            <w:vAlign w:val="center"/>
          </w:tcPr>
          <w:p>
            <w:pPr>
              <w:spacing w:line="288" w:lineRule="auto"/>
              <w:jc w:val="center"/>
              <w:rPr>
                <w:rFonts w:eastAsiaTheme="minorEastAsia"/>
                <w:szCs w:val="21"/>
              </w:rPr>
            </w:pPr>
            <w:r>
              <w:rPr>
                <w:rFonts w:hint="eastAsia" w:eastAsiaTheme="minorEastAsia"/>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7" w:hRule="atLeast"/>
          <w:jc w:val="center"/>
        </w:trPr>
        <w:tc>
          <w:tcPr>
            <w:tcW w:w="514" w:type="pct"/>
            <w:vMerge w:val="continue"/>
            <w:vAlign w:val="center"/>
          </w:tcPr>
          <w:p>
            <w:pPr>
              <w:widowControl/>
              <w:spacing w:line="288" w:lineRule="auto"/>
              <w:jc w:val="left"/>
              <w:rPr>
                <w:rFonts w:eastAsiaTheme="minorEastAsia"/>
                <w:szCs w:val="21"/>
              </w:rPr>
            </w:pPr>
          </w:p>
        </w:tc>
        <w:tc>
          <w:tcPr>
            <w:tcW w:w="381" w:type="pct"/>
            <w:vMerge w:val="continue"/>
            <w:vAlign w:val="center"/>
          </w:tcPr>
          <w:p>
            <w:pPr>
              <w:widowControl/>
              <w:spacing w:line="288" w:lineRule="auto"/>
              <w:jc w:val="left"/>
              <w:rPr>
                <w:rFonts w:eastAsiaTheme="minorEastAsia"/>
                <w:szCs w:val="21"/>
              </w:rPr>
            </w:pPr>
          </w:p>
        </w:tc>
        <w:tc>
          <w:tcPr>
            <w:tcW w:w="764" w:type="pct"/>
            <w:vAlign w:val="center"/>
          </w:tcPr>
          <w:p>
            <w:pPr>
              <w:spacing w:line="288" w:lineRule="auto"/>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537" w:type="pct"/>
            <w:vAlign w:val="center"/>
          </w:tcPr>
          <w:p>
            <w:pPr>
              <w:spacing w:line="288" w:lineRule="auto"/>
              <w:jc w:val="center"/>
              <w:rPr>
                <w:rFonts w:eastAsiaTheme="minorEastAsia"/>
                <w:szCs w:val="21"/>
              </w:rPr>
            </w:pPr>
            <w:r>
              <w:rPr>
                <w:rFonts w:eastAsiaTheme="minorEastAsia"/>
                <w:szCs w:val="21"/>
              </w:rPr>
              <w:t>200</w:t>
            </w:r>
          </w:p>
        </w:tc>
        <w:tc>
          <w:tcPr>
            <w:tcW w:w="457" w:type="pct"/>
            <w:vAlign w:val="center"/>
          </w:tcPr>
          <w:p>
            <w:pPr>
              <w:spacing w:line="288" w:lineRule="auto"/>
              <w:jc w:val="center"/>
              <w:rPr>
                <w:rFonts w:eastAsiaTheme="minorEastAsia"/>
                <w:szCs w:val="21"/>
              </w:rPr>
            </w:pPr>
            <w:r>
              <w:rPr>
                <w:rFonts w:eastAsiaTheme="minorEastAsia"/>
                <w:szCs w:val="21"/>
              </w:rPr>
              <w:t>500</w:t>
            </w:r>
          </w:p>
        </w:tc>
        <w:tc>
          <w:tcPr>
            <w:tcW w:w="458" w:type="pct"/>
            <w:vAlign w:val="center"/>
          </w:tcPr>
          <w:p>
            <w:pPr>
              <w:spacing w:line="288" w:lineRule="auto"/>
              <w:jc w:val="center"/>
              <w:rPr>
                <w:rFonts w:eastAsiaTheme="minorEastAsia"/>
                <w:szCs w:val="21"/>
              </w:rPr>
            </w:pPr>
            <w:r>
              <w:rPr>
                <w:rFonts w:eastAsiaTheme="minorEastAsia"/>
                <w:szCs w:val="21"/>
              </w:rPr>
              <w:t>-</w:t>
            </w:r>
          </w:p>
        </w:tc>
        <w:tc>
          <w:tcPr>
            <w:tcW w:w="458" w:type="pct"/>
            <w:vAlign w:val="center"/>
          </w:tcPr>
          <w:p>
            <w:pPr>
              <w:spacing w:line="288" w:lineRule="auto"/>
              <w:jc w:val="center"/>
              <w:rPr>
                <w:rFonts w:eastAsiaTheme="minorEastAsia"/>
                <w:szCs w:val="21"/>
              </w:rPr>
            </w:pPr>
            <w:r>
              <w:rPr>
                <w:rFonts w:eastAsiaTheme="minorEastAsia"/>
                <w:szCs w:val="21"/>
              </w:rPr>
              <w:t>-</w:t>
            </w:r>
          </w:p>
        </w:tc>
        <w:tc>
          <w:tcPr>
            <w:tcW w:w="458" w:type="pct"/>
            <w:vAlign w:val="center"/>
          </w:tcPr>
          <w:p>
            <w:pPr>
              <w:spacing w:line="288" w:lineRule="auto"/>
              <w:jc w:val="center"/>
              <w:rPr>
                <w:rFonts w:eastAsiaTheme="minorEastAsia"/>
                <w:szCs w:val="21"/>
              </w:rPr>
            </w:pPr>
            <w:r>
              <w:rPr>
                <w:rFonts w:eastAsiaTheme="minorEastAsia"/>
                <w:szCs w:val="21"/>
              </w:rPr>
              <w:t>10</w:t>
            </w:r>
          </w:p>
        </w:tc>
        <w:tc>
          <w:tcPr>
            <w:tcW w:w="458" w:type="pct"/>
            <w:vAlign w:val="center"/>
          </w:tcPr>
          <w:p>
            <w:pPr>
              <w:spacing w:line="288" w:lineRule="auto"/>
              <w:jc w:val="center"/>
              <w:rPr>
                <w:rFonts w:eastAsiaTheme="minorEastAsia"/>
                <w:szCs w:val="21"/>
              </w:rPr>
            </w:pPr>
            <w:r>
              <w:rPr>
                <w:rFonts w:eastAsiaTheme="minorEastAsia"/>
                <w:szCs w:val="21"/>
              </w:rPr>
              <w:t>200</w:t>
            </w:r>
          </w:p>
        </w:tc>
        <w:tc>
          <w:tcPr>
            <w:tcW w:w="515" w:type="pct"/>
            <w:vAlign w:val="center"/>
          </w:tcPr>
          <w:p>
            <w:pPr>
              <w:spacing w:line="288" w:lineRule="auto"/>
              <w:jc w:val="center"/>
              <w:rPr>
                <w:rFonts w:eastAsiaTheme="minorEastAsia"/>
                <w:szCs w:val="21"/>
              </w:rPr>
            </w:pPr>
            <w:r>
              <w:rPr>
                <w:rFonts w:hint="eastAsia" w:eastAsiaTheme="minorEastAsia"/>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7" w:hRule="atLeast"/>
          <w:jc w:val="center"/>
        </w:trPr>
        <w:tc>
          <w:tcPr>
            <w:tcW w:w="514" w:type="pct"/>
            <w:vMerge w:val="continue"/>
            <w:vAlign w:val="center"/>
          </w:tcPr>
          <w:p>
            <w:pPr>
              <w:widowControl/>
              <w:spacing w:line="288" w:lineRule="auto"/>
              <w:jc w:val="left"/>
              <w:rPr>
                <w:rFonts w:eastAsiaTheme="minorEastAsia"/>
                <w:szCs w:val="21"/>
              </w:rPr>
            </w:pPr>
          </w:p>
        </w:tc>
        <w:tc>
          <w:tcPr>
            <w:tcW w:w="381" w:type="pct"/>
            <w:vMerge w:val="continue"/>
            <w:vAlign w:val="center"/>
          </w:tcPr>
          <w:p>
            <w:pPr>
              <w:widowControl/>
              <w:spacing w:line="288" w:lineRule="auto"/>
              <w:jc w:val="left"/>
              <w:rPr>
                <w:rFonts w:eastAsiaTheme="minorEastAsia"/>
                <w:szCs w:val="21"/>
              </w:rPr>
            </w:pPr>
          </w:p>
        </w:tc>
        <w:tc>
          <w:tcPr>
            <w:tcW w:w="764" w:type="pct"/>
            <w:vAlign w:val="center"/>
          </w:tcPr>
          <w:p>
            <w:pPr>
              <w:pStyle w:val="94"/>
              <w:adjustRightInd/>
              <w:snapToGrid/>
              <w:spacing w:line="288" w:lineRule="auto"/>
              <w:rPr>
                <w:rFonts w:eastAsiaTheme="minorEastAsia"/>
                <w:kern w:val="2"/>
                <w:szCs w:val="21"/>
              </w:rPr>
            </w:pPr>
            <w:r>
              <w:rPr>
                <w:rFonts w:hAnsiTheme="minorEastAsia" w:eastAsiaTheme="minorEastAsia"/>
                <w:kern w:val="2"/>
                <w:szCs w:val="21"/>
              </w:rPr>
              <w:t>日最大</w:t>
            </w:r>
            <w:r>
              <w:rPr>
                <w:rFonts w:eastAsiaTheme="minorEastAsia"/>
                <w:kern w:val="2"/>
                <w:szCs w:val="21"/>
              </w:rPr>
              <w:t>8</w:t>
            </w:r>
            <w:r>
              <w:rPr>
                <w:rFonts w:hAnsiTheme="minorEastAsia" w:eastAsiaTheme="minorEastAsia"/>
                <w:kern w:val="2"/>
                <w:szCs w:val="21"/>
              </w:rPr>
              <w:t>小时平均</w:t>
            </w:r>
          </w:p>
        </w:tc>
        <w:tc>
          <w:tcPr>
            <w:tcW w:w="537" w:type="pct"/>
            <w:vAlign w:val="center"/>
          </w:tcPr>
          <w:p>
            <w:pPr>
              <w:spacing w:line="288" w:lineRule="auto"/>
              <w:jc w:val="center"/>
              <w:rPr>
                <w:rFonts w:eastAsiaTheme="minorEastAsia"/>
                <w:szCs w:val="21"/>
              </w:rPr>
            </w:pPr>
            <w:r>
              <w:rPr>
                <w:rFonts w:eastAsiaTheme="minorEastAsia"/>
                <w:szCs w:val="21"/>
              </w:rPr>
              <w:t>-</w:t>
            </w:r>
          </w:p>
        </w:tc>
        <w:tc>
          <w:tcPr>
            <w:tcW w:w="457" w:type="pct"/>
            <w:vAlign w:val="center"/>
          </w:tcPr>
          <w:p>
            <w:pPr>
              <w:spacing w:line="288" w:lineRule="auto"/>
              <w:jc w:val="center"/>
              <w:rPr>
                <w:rFonts w:eastAsiaTheme="minorEastAsia"/>
                <w:szCs w:val="21"/>
              </w:rPr>
            </w:pPr>
            <w:r>
              <w:rPr>
                <w:rFonts w:eastAsiaTheme="minorEastAsia"/>
                <w:szCs w:val="21"/>
              </w:rPr>
              <w:t>-</w:t>
            </w:r>
          </w:p>
        </w:tc>
        <w:tc>
          <w:tcPr>
            <w:tcW w:w="458" w:type="pct"/>
            <w:vAlign w:val="center"/>
          </w:tcPr>
          <w:p>
            <w:pPr>
              <w:spacing w:line="288" w:lineRule="auto"/>
              <w:jc w:val="center"/>
              <w:rPr>
                <w:rFonts w:eastAsiaTheme="minorEastAsia"/>
                <w:szCs w:val="21"/>
              </w:rPr>
            </w:pPr>
            <w:r>
              <w:rPr>
                <w:rFonts w:eastAsiaTheme="minorEastAsia"/>
                <w:szCs w:val="21"/>
              </w:rPr>
              <w:t>-</w:t>
            </w:r>
          </w:p>
        </w:tc>
        <w:tc>
          <w:tcPr>
            <w:tcW w:w="458" w:type="pct"/>
            <w:vAlign w:val="center"/>
          </w:tcPr>
          <w:p>
            <w:pPr>
              <w:spacing w:line="288" w:lineRule="auto"/>
              <w:jc w:val="center"/>
              <w:rPr>
                <w:rFonts w:eastAsiaTheme="minorEastAsia"/>
                <w:szCs w:val="21"/>
              </w:rPr>
            </w:pPr>
            <w:r>
              <w:rPr>
                <w:rFonts w:eastAsiaTheme="minorEastAsia"/>
                <w:szCs w:val="21"/>
              </w:rPr>
              <w:t>-</w:t>
            </w:r>
          </w:p>
        </w:tc>
        <w:tc>
          <w:tcPr>
            <w:tcW w:w="458" w:type="pct"/>
            <w:vAlign w:val="center"/>
          </w:tcPr>
          <w:p>
            <w:pPr>
              <w:spacing w:line="288" w:lineRule="auto"/>
              <w:jc w:val="center"/>
              <w:rPr>
                <w:rFonts w:eastAsiaTheme="minorEastAsia"/>
                <w:szCs w:val="21"/>
              </w:rPr>
            </w:pPr>
            <w:r>
              <w:rPr>
                <w:rFonts w:eastAsiaTheme="minorEastAsia"/>
                <w:szCs w:val="21"/>
              </w:rPr>
              <w:t>-</w:t>
            </w:r>
          </w:p>
        </w:tc>
        <w:tc>
          <w:tcPr>
            <w:tcW w:w="458" w:type="pct"/>
            <w:vAlign w:val="center"/>
          </w:tcPr>
          <w:p>
            <w:pPr>
              <w:spacing w:line="288" w:lineRule="auto"/>
              <w:jc w:val="center"/>
              <w:rPr>
                <w:rFonts w:eastAsiaTheme="minorEastAsia"/>
                <w:szCs w:val="21"/>
              </w:rPr>
            </w:pPr>
            <w:r>
              <w:rPr>
                <w:rFonts w:eastAsiaTheme="minorEastAsia"/>
                <w:szCs w:val="21"/>
              </w:rPr>
              <w:t>160</w:t>
            </w:r>
          </w:p>
        </w:tc>
        <w:tc>
          <w:tcPr>
            <w:tcW w:w="515" w:type="pct"/>
            <w:vAlign w:val="center"/>
          </w:tcPr>
          <w:p>
            <w:pPr>
              <w:spacing w:line="288" w:lineRule="auto"/>
              <w:jc w:val="center"/>
              <w:rPr>
                <w:rFonts w:eastAsiaTheme="minorEastAsia"/>
                <w:szCs w:val="21"/>
              </w:rPr>
            </w:pPr>
            <w:r>
              <w:rPr>
                <w:rFonts w:hint="eastAsia" w:eastAsiaTheme="minorEastAsia"/>
                <w:szCs w:val="21"/>
              </w:rPr>
              <w:t>-</w:t>
            </w:r>
          </w:p>
        </w:tc>
      </w:tr>
    </w:tbl>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2</w:t>
      </w:r>
      <w:r>
        <w:rPr>
          <w:rFonts w:ascii="Times New Roman" w:hAnsiTheme="minorEastAsia" w:eastAsiaTheme="minorEastAsia"/>
        </w:rPr>
        <w:t>）地表水：</w:t>
      </w:r>
      <w:r>
        <w:rPr>
          <w:rFonts w:hint="eastAsia" w:ascii="Times New Roman" w:hAnsi="Times New Roman" w:eastAsiaTheme="minorEastAsia"/>
        </w:rPr>
        <w:t>本项目所在区域属黄河流域黄河干流，距离本项目最近的河流为井田西侧的湫水河，为黄河的一级支流。</w:t>
      </w:r>
    </w:p>
    <w:p>
      <w:pPr>
        <w:pStyle w:val="39"/>
        <w:rPr>
          <w:rFonts w:ascii="Times New Roman" w:hAnsiTheme="minorEastAsia" w:eastAsiaTheme="minorEastAsia"/>
        </w:rPr>
      </w:pPr>
      <w:r>
        <w:rPr>
          <w:rFonts w:hint="eastAsia" w:ascii="Times New Roman" w:hAnsiTheme="minorEastAsia" w:eastAsiaTheme="minorEastAsia"/>
        </w:rPr>
        <w:t>根据《山西省地表水水环境功能区划》（</w:t>
      </w:r>
      <w:r>
        <w:rPr>
          <w:rFonts w:ascii="Times New Roman" w:hAnsiTheme="minorEastAsia" w:eastAsiaTheme="minorEastAsia"/>
        </w:rPr>
        <w:t>DB14/67 -2019</w:t>
      </w:r>
      <w:r>
        <w:rPr>
          <w:rFonts w:hint="eastAsia" w:ascii="Times New Roman" w:hAnsiTheme="minorEastAsia" w:eastAsiaTheme="minorEastAsia"/>
        </w:rPr>
        <w:t>），</w:t>
      </w:r>
      <w:r>
        <w:rPr>
          <w:rFonts w:hint="eastAsia" w:eastAsiaTheme="minorEastAsia"/>
        </w:rPr>
        <w:t>本项目属</w:t>
      </w:r>
      <w:r>
        <w:rPr>
          <w:rFonts w:eastAsiaTheme="minorEastAsia"/>
        </w:rPr>
        <w:t>“</w:t>
      </w:r>
      <w:r>
        <w:rPr>
          <w:rFonts w:hint="eastAsia" w:eastAsiaTheme="minorEastAsia"/>
        </w:rPr>
        <w:t>湫水河东会</w:t>
      </w:r>
      <w:r>
        <w:rPr>
          <w:rFonts w:eastAsiaTheme="minorEastAsia"/>
        </w:rPr>
        <w:t>-</w:t>
      </w:r>
      <w:r>
        <w:rPr>
          <w:rFonts w:hint="eastAsia" w:eastAsiaTheme="minorEastAsia"/>
        </w:rPr>
        <w:t>入黄河</w:t>
      </w:r>
      <w:r>
        <w:rPr>
          <w:rFonts w:eastAsiaTheme="minorEastAsia"/>
        </w:rPr>
        <w:t>”</w:t>
      </w:r>
      <w:r>
        <w:rPr>
          <w:rFonts w:hint="eastAsia" w:eastAsiaTheme="minorEastAsia"/>
        </w:rPr>
        <w:t>段，</w:t>
      </w:r>
      <w:r>
        <w:rPr>
          <w:rFonts w:hint="eastAsia" w:ascii="Times New Roman" w:hAnsi="Times New Roman" w:eastAsiaTheme="minorEastAsia"/>
        </w:rPr>
        <w:t>水环境功能为“农业与一般景观水保护”，水质执行《地表水环境质量标准》（</w:t>
      </w:r>
      <w:r>
        <w:rPr>
          <w:rFonts w:ascii="Times New Roman" w:hAnsi="Times New Roman" w:eastAsiaTheme="minorEastAsia"/>
        </w:rPr>
        <w:t>GB3838-2002</w:t>
      </w:r>
      <w:r>
        <w:rPr>
          <w:rFonts w:hint="eastAsia" w:ascii="Times New Roman" w:hAnsi="Times New Roman" w:eastAsiaTheme="minorEastAsia"/>
        </w:rPr>
        <w:t>）中的</w:t>
      </w:r>
      <w:r>
        <w:rPr>
          <w:rFonts w:hint="eastAsia" w:cs="宋体"/>
        </w:rPr>
        <w:t>Ⅳ</w:t>
      </w:r>
      <w:r>
        <w:rPr>
          <w:rFonts w:hint="eastAsia" w:ascii="Times New Roman" w:hAnsi="Times New Roman" w:eastAsiaTheme="minorEastAsia"/>
        </w:rPr>
        <w:t>类标准</w:t>
      </w:r>
      <w:r>
        <w:rPr>
          <w:rFonts w:ascii="Times New Roman" w:hAnsiTheme="minorEastAsia" w:eastAsiaTheme="minorEastAsia"/>
        </w:rPr>
        <w:t>，具体见下表。</w:t>
      </w:r>
    </w:p>
    <w:p>
      <w:pPr>
        <w:pStyle w:val="7"/>
        <w:spacing w:line="360" w:lineRule="auto"/>
        <w:ind w:firstLine="0"/>
        <w:jc w:val="center"/>
        <w:rPr>
          <w:rFonts w:eastAsiaTheme="minorEastAsia"/>
          <w:b/>
          <w:sz w:val="21"/>
          <w:szCs w:val="21"/>
          <w:highlight w:val="yellow"/>
        </w:rPr>
      </w:pPr>
      <w:r>
        <w:rPr>
          <w:rFonts w:eastAsiaTheme="minorEastAsia"/>
          <w:b/>
          <w:sz w:val="21"/>
          <w:szCs w:val="21"/>
        </w:rPr>
        <w:t xml:space="preserve">              </w:t>
      </w:r>
      <w:r>
        <w:rPr>
          <w:rFonts w:hAnsiTheme="minorEastAsia" w:eastAsiaTheme="minorEastAsia"/>
          <w:b/>
          <w:sz w:val="21"/>
          <w:szCs w:val="21"/>
        </w:rPr>
        <w:t>表</w:t>
      </w:r>
      <w:r>
        <w:rPr>
          <w:rFonts w:eastAsiaTheme="minorEastAsia"/>
          <w:b/>
          <w:sz w:val="21"/>
          <w:szCs w:val="21"/>
        </w:rPr>
        <w:t xml:space="preserve">2.4-4 </w:t>
      </w:r>
      <w:r>
        <w:rPr>
          <w:rFonts w:hAnsiTheme="minorEastAsia" w:eastAsiaTheme="minorEastAsia"/>
          <w:b/>
          <w:sz w:val="21"/>
          <w:szCs w:val="21"/>
        </w:rPr>
        <w:t>《地表水环境质量标准》（</w:t>
      </w:r>
      <w:r>
        <w:rPr>
          <w:rFonts w:eastAsiaTheme="minorEastAsia"/>
          <w:b/>
          <w:sz w:val="21"/>
          <w:szCs w:val="21"/>
        </w:rPr>
        <w:t>GB3838—2002</w:t>
      </w:r>
      <w:r>
        <w:rPr>
          <w:rFonts w:hAnsiTheme="minorEastAsia" w:eastAsiaTheme="minorEastAsia"/>
          <w:b/>
          <w:sz w:val="21"/>
          <w:szCs w:val="21"/>
        </w:rPr>
        <w:t>）中</w:t>
      </w:r>
      <w:r>
        <w:rPr>
          <w:rFonts w:hint="eastAsia" w:asciiTheme="minorEastAsia" w:hAnsiTheme="minorEastAsia" w:eastAsiaTheme="minorEastAsia"/>
          <w:b/>
          <w:sz w:val="21"/>
          <w:szCs w:val="21"/>
        </w:rPr>
        <w:t>Ⅳ</w:t>
      </w:r>
      <w:r>
        <w:rPr>
          <w:rFonts w:hAnsiTheme="minorEastAsia" w:eastAsiaTheme="minorEastAsia"/>
          <w:b/>
          <w:sz w:val="21"/>
          <w:szCs w:val="21"/>
        </w:rPr>
        <w:t>类标准</w:t>
      </w:r>
      <w:r>
        <w:rPr>
          <w:rFonts w:eastAsiaTheme="minorEastAsia"/>
          <w:b/>
          <w:sz w:val="21"/>
          <w:szCs w:val="21"/>
        </w:rPr>
        <w:t xml:space="preserve">     </w:t>
      </w:r>
      <w:r>
        <w:rPr>
          <w:rFonts w:hAnsiTheme="minorEastAsia" w:eastAsiaTheme="minorEastAsia"/>
          <w:sz w:val="21"/>
          <w:szCs w:val="21"/>
        </w:rPr>
        <w:t>单位：</w:t>
      </w:r>
      <w:r>
        <w:rPr>
          <w:rFonts w:eastAsiaTheme="minorEastAsia"/>
          <w:sz w:val="21"/>
          <w:szCs w:val="21"/>
        </w:rPr>
        <w:t>mg/l</w:t>
      </w:r>
      <w:r>
        <w:rPr>
          <w:rFonts w:eastAsiaTheme="minorEastAsia"/>
          <w:b/>
          <w:sz w:val="21"/>
          <w:szCs w:val="21"/>
          <w:highlight w:val="yellow"/>
        </w:rPr>
        <w:t xml:space="preserve"> </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88"/>
        <w:gridCol w:w="764"/>
        <w:gridCol w:w="764"/>
        <w:gridCol w:w="768"/>
        <w:gridCol w:w="764"/>
        <w:gridCol w:w="764"/>
        <w:gridCol w:w="1050"/>
        <w:gridCol w:w="1049"/>
        <w:gridCol w:w="1049"/>
        <w:gridCol w:w="10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98" w:type="pct"/>
            <w:vAlign w:val="center"/>
          </w:tcPr>
          <w:p>
            <w:pPr>
              <w:spacing w:line="288" w:lineRule="auto"/>
              <w:jc w:val="center"/>
              <w:rPr>
                <w:rFonts w:eastAsiaTheme="minorEastAsia"/>
                <w:bCs/>
                <w:szCs w:val="21"/>
              </w:rPr>
            </w:pPr>
            <w:r>
              <w:rPr>
                <w:rFonts w:hAnsiTheme="minorEastAsia" w:eastAsiaTheme="minorEastAsia"/>
                <w:bCs/>
                <w:szCs w:val="21"/>
              </w:rPr>
              <w:t>项目</w:t>
            </w:r>
          </w:p>
        </w:tc>
        <w:tc>
          <w:tcPr>
            <w:tcW w:w="420" w:type="pct"/>
            <w:vAlign w:val="center"/>
          </w:tcPr>
          <w:p>
            <w:pPr>
              <w:spacing w:line="288" w:lineRule="auto"/>
              <w:jc w:val="center"/>
              <w:rPr>
                <w:rFonts w:eastAsiaTheme="minorEastAsia"/>
                <w:bCs/>
                <w:szCs w:val="21"/>
              </w:rPr>
            </w:pPr>
            <w:r>
              <w:rPr>
                <w:rFonts w:eastAsiaTheme="minorEastAsia"/>
                <w:bCs/>
                <w:szCs w:val="21"/>
              </w:rPr>
              <w:t>PH</w:t>
            </w:r>
          </w:p>
        </w:tc>
        <w:tc>
          <w:tcPr>
            <w:tcW w:w="420" w:type="pct"/>
            <w:vAlign w:val="center"/>
          </w:tcPr>
          <w:p>
            <w:pPr>
              <w:spacing w:line="288" w:lineRule="auto"/>
              <w:jc w:val="center"/>
              <w:rPr>
                <w:rFonts w:eastAsiaTheme="minorEastAsia"/>
                <w:bCs/>
                <w:szCs w:val="21"/>
                <w:vertAlign w:val="subscript"/>
              </w:rPr>
            </w:pPr>
            <w:r>
              <w:rPr>
                <w:rFonts w:eastAsiaTheme="minorEastAsia"/>
                <w:bCs/>
                <w:szCs w:val="21"/>
              </w:rPr>
              <w:t>COD</w:t>
            </w:r>
          </w:p>
        </w:tc>
        <w:tc>
          <w:tcPr>
            <w:tcW w:w="422" w:type="pct"/>
            <w:vAlign w:val="center"/>
          </w:tcPr>
          <w:p>
            <w:pPr>
              <w:spacing w:line="288" w:lineRule="auto"/>
              <w:jc w:val="center"/>
              <w:rPr>
                <w:rFonts w:eastAsiaTheme="minorEastAsia"/>
                <w:bCs/>
                <w:szCs w:val="21"/>
              </w:rPr>
            </w:pPr>
            <w:r>
              <w:rPr>
                <w:rFonts w:eastAsiaTheme="minorEastAsia"/>
                <w:bCs/>
                <w:szCs w:val="21"/>
              </w:rPr>
              <w:t>BOD</w:t>
            </w:r>
            <w:r>
              <w:rPr>
                <w:rFonts w:eastAsiaTheme="minorEastAsia"/>
                <w:bCs/>
                <w:szCs w:val="21"/>
                <w:vertAlign w:val="subscript"/>
              </w:rPr>
              <w:t>5</w:t>
            </w:r>
          </w:p>
        </w:tc>
        <w:tc>
          <w:tcPr>
            <w:tcW w:w="420" w:type="pct"/>
            <w:vAlign w:val="center"/>
          </w:tcPr>
          <w:p>
            <w:pPr>
              <w:spacing w:line="288" w:lineRule="auto"/>
              <w:jc w:val="center"/>
              <w:rPr>
                <w:rFonts w:eastAsiaTheme="minorEastAsia"/>
                <w:bCs/>
                <w:szCs w:val="21"/>
              </w:rPr>
            </w:pPr>
            <w:r>
              <w:rPr>
                <w:rFonts w:hAnsiTheme="minorEastAsia" w:eastAsiaTheme="minorEastAsia"/>
                <w:bCs/>
                <w:szCs w:val="21"/>
              </w:rPr>
              <w:t>石油类</w:t>
            </w:r>
          </w:p>
        </w:tc>
        <w:tc>
          <w:tcPr>
            <w:tcW w:w="420" w:type="pct"/>
            <w:vAlign w:val="center"/>
          </w:tcPr>
          <w:p>
            <w:pPr>
              <w:spacing w:line="288" w:lineRule="auto"/>
              <w:jc w:val="center"/>
              <w:rPr>
                <w:rFonts w:eastAsiaTheme="minorEastAsia"/>
                <w:bCs/>
                <w:szCs w:val="21"/>
              </w:rPr>
            </w:pPr>
            <w:r>
              <w:rPr>
                <w:rFonts w:eastAsiaTheme="minorEastAsia"/>
                <w:bCs/>
                <w:szCs w:val="21"/>
              </w:rPr>
              <w:t>NH</w:t>
            </w:r>
            <w:r>
              <w:rPr>
                <w:rFonts w:eastAsiaTheme="minorEastAsia"/>
                <w:bCs/>
                <w:szCs w:val="21"/>
                <w:vertAlign w:val="subscript"/>
              </w:rPr>
              <w:t>3</w:t>
            </w:r>
            <w:r>
              <w:rPr>
                <w:rFonts w:eastAsiaTheme="minorEastAsia"/>
                <w:bCs/>
                <w:szCs w:val="21"/>
              </w:rPr>
              <w:t>-N</w:t>
            </w:r>
          </w:p>
        </w:tc>
        <w:tc>
          <w:tcPr>
            <w:tcW w:w="577" w:type="pct"/>
            <w:vAlign w:val="center"/>
          </w:tcPr>
          <w:p>
            <w:pPr>
              <w:spacing w:line="288" w:lineRule="auto"/>
              <w:jc w:val="center"/>
              <w:rPr>
                <w:rFonts w:eastAsiaTheme="minorEastAsia"/>
                <w:bCs/>
                <w:szCs w:val="21"/>
              </w:rPr>
            </w:pPr>
            <w:r>
              <w:rPr>
                <w:rFonts w:hAnsiTheme="minorEastAsia" w:eastAsiaTheme="minorEastAsia"/>
                <w:bCs/>
                <w:szCs w:val="21"/>
              </w:rPr>
              <w:t>硫化物</w:t>
            </w:r>
          </w:p>
        </w:tc>
        <w:tc>
          <w:tcPr>
            <w:tcW w:w="576" w:type="pct"/>
            <w:vAlign w:val="center"/>
          </w:tcPr>
          <w:p>
            <w:pPr>
              <w:spacing w:line="288" w:lineRule="auto"/>
              <w:jc w:val="center"/>
              <w:rPr>
                <w:rFonts w:eastAsiaTheme="minorEastAsia"/>
                <w:bCs/>
                <w:szCs w:val="21"/>
              </w:rPr>
            </w:pPr>
            <w:r>
              <w:rPr>
                <w:rFonts w:hAnsiTheme="minorEastAsia" w:eastAsiaTheme="minorEastAsia"/>
                <w:bCs/>
                <w:szCs w:val="21"/>
              </w:rPr>
              <w:t>氟化物</w:t>
            </w:r>
          </w:p>
        </w:tc>
        <w:tc>
          <w:tcPr>
            <w:tcW w:w="576" w:type="pct"/>
            <w:vAlign w:val="center"/>
          </w:tcPr>
          <w:p>
            <w:pPr>
              <w:spacing w:line="288" w:lineRule="auto"/>
              <w:jc w:val="center"/>
              <w:rPr>
                <w:rFonts w:eastAsiaTheme="minorEastAsia"/>
                <w:bCs/>
                <w:szCs w:val="21"/>
              </w:rPr>
            </w:pPr>
            <w:r>
              <w:rPr>
                <w:rFonts w:hAnsiTheme="minorEastAsia" w:eastAsiaTheme="minorEastAsia"/>
                <w:bCs/>
                <w:szCs w:val="21"/>
              </w:rPr>
              <w:t>总氮</w:t>
            </w:r>
          </w:p>
        </w:tc>
        <w:tc>
          <w:tcPr>
            <w:tcW w:w="571" w:type="pct"/>
            <w:vAlign w:val="center"/>
          </w:tcPr>
          <w:p>
            <w:pPr>
              <w:spacing w:line="288" w:lineRule="auto"/>
              <w:jc w:val="center"/>
              <w:rPr>
                <w:rFonts w:eastAsiaTheme="minorEastAsia"/>
                <w:bCs/>
                <w:szCs w:val="21"/>
              </w:rPr>
            </w:pPr>
            <w:r>
              <w:rPr>
                <w:rFonts w:hAnsiTheme="minorEastAsia" w:eastAsiaTheme="minorEastAsia"/>
                <w:bCs/>
                <w:szCs w:val="21"/>
              </w:rPr>
              <w:t>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98" w:type="pct"/>
            <w:vAlign w:val="center"/>
          </w:tcPr>
          <w:p>
            <w:pPr>
              <w:spacing w:line="288" w:lineRule="auto"/>
              <w:jc w:val="center"/>
              <w:rPr>
                <w:rFonts w:eastAsiaTheme="minorEastAsia"/>
                <w:bCs/>
                <w:szCs w:val="21"/>
              </w:rPr>
            </w:pPr>
            <w:r>
              <w:rPr>
                <w:rFonts w:hAnsiTheme="minorEastAsia" w:eastAsiaTheme="minorEastAsia"/>
                <w:bCs/>
                <w:szCs w:val="21"/>
              </w:rPr>
              <w:t>标准值</w:t>
            </w:r>
          </w:p>
        </w:tc>
        <w:tc>
          <w:tcPr>
            <w:tcW w:w="420" w:type="pct"/>
            <w:vAlign w:val="center"/>
          </w:tcPr>
          <w:p>
            <w:pPr>
              <w:spacing w:line="288" w:lineRule="auto"/>
              <w:jc w:val="center"/>
              <w:rPr>
                <w:rFonts w:eastAsiaTheme="minorEastAsia"/>
                <w:bCs/>
                <w:szCs w:val="21"/>
              </w:rPr>
            </w:pPr>
            <w:r>
              <w:rPr>
                <w:rFonts w:eastAsiaTheme="minorEastAsia"/>
                <w:bCs/>
                <w:szCs w:val="21"/>
              </w:rPr>
              <w:t>6</w:t>
            </w:r>
            <w:r>
              <w:rPr>
                <w:rFonts w:hAnsiTheme="minorEastAsia" w:eastAsiaTheme="minorEastAsia"/>
                <w:bCs/>
                <w:szCs w:val="21"/>
              </w:rPr>
              <w:t>～</w:t>
            </w:r>
            <w:r>
              <w:rPr>
                <w:rFonts w:eastAsiaTheme="minorEastAsia"/>
                <w:bCs/>
                <w:szCs w:val="21"/>
              </w:rPr>
              <w:t>9</w:t>
            </w:r>
          </w:p>
        </w:tc>
        <w:tc>
          <w:tcPr>
            <w:tcW w:w="420" w:type="pct"/>
            <w:vAlign w:val="center"/>
          </w:tcPr>
          <w:p>
            <w:pPr>
              <w:spacing w:line="288" w:lineRule="auto"/>
              <w:jc w:val="center"/>
              <w:rPr>
                <w:rFonts w:eastAsiaTheme="minorEastAsia"/>
                <w:bCs/>
                <w:szCs w:val="21"/>
              </w:rPr>
            </w:pPr>
            <w:r>
              <w:rPr>
                <w:rFonts w:eastAsiaTheme="minorEastAsia"/>
                <w:bCs/>
                <w:szCs w:val="21"/>
              </w:rPr>
              <w:t>≤</w:t>
            </w:r>
            <w:r>
              <w:rPr>
                <w:rFonts w:hint="eastAsia" w:eastAsiaTheme="minorEastAsia"/>
                <w:bCs/>
                <w:szCs w:val="21"/>
              </w:rPr>
              <w:t>3</w:t>
            </w:r>
            <w:r>
              <w:rPr>
                <w:rFonts w:eastAsiaTheme="minorEastAsia"/>
                <w:bCs/>
                <w:szCs w:val="21"/>
              </w:rPr>
              <w:t>0</w:t>
            </w:r>
          </w:p>
        </w:tc>
        <w:tc>
          <w:tcPr>
            <w:tcW w:w="422" w:type="pct"/>
            <w:vAlign w:val="center"/>
          </w:tcPr>
          <w:p>
            <w:pPr>
              <w:spacing w:line="288" w:lineRule="auto"/>
              <w:jc w:val="center"/>
              <w:rPr>
                <w:rFonts w:eastAsiaTheme="minorEastAsia"/>
                <w:bCs/>
                <w:szCs w:val="21"/>
              </w:rPr>
            </w:pPr>
            <w:r>
              <w:rPr>
                <w:rFonts w:eastAsiaTheme="minorEastAsia"/>
                <w:bCs/>
                <w:szCs w:val="21"/>
              </w:rPr>
              <w:t>≤</w:t>
            </w:r>
            <w:r>
              <w:rPr>
                <w:rFonts w:hint="eastAsia" w:eastAsiaTheme="minorEastAsia"/>
                <w:bCs/>
                <w:szCs w:val="21"/>
              </w:rPr>
              <w:t>6</w:t>
            </w:r>
          </w:p>
        </w:tc>
        <w:tc>
          <w:tcPr>
            <w:tcW w:w="420" w:type="pct"/>
            <w:vAlign w:val="center"/>
          </w:tcPr>
          <w:p>
            <w:pPr>
              <w:spacing w:line="288" w:lineRule="auto"/>
              <w:jc w:val="center"/>
              <w:rPr>
                <w:rFonts w:eastAsiaTheme="minorEastAsia"/>
                <w:bCs/>
                <w:szCs w:val="21"/>
              </w:rPr>
            </w:pPr>
            <w:r>
              <w:rPr>
                <w:rFonts w:eastAsiaTheme="minorEastAsia"/>
                <w:bCs/>
                <w:szCs w:val="21"/>
              </w:rPr>
              <w:t>≤0.</w:t>
            </w:r>
            <w:r>
              <w:rPr>
                <w:rFonts w:hint="eastAsia" w:eastAsiaTheme="minorEastAsia"/>
                <w:bCs/>
                <w:szCs w:val="21"/>
              </w:rPr>
              <w:t>5</w:t>
            </w:r>
          </w:p>
        </w:tc>
        <w:tc>
          <w:tcPr>
            <w:tcW w:w="420" w:type="pct"/>
            <w:vAlign w:val="center"/>
          </w:tcPr>
          <w:p>
            <w:pPr>
              <w:spacing w:line="288" w:lineRule="auto"/>
              <w:jc w:val="center"/>
              <w:rPr>
                <w:rFonts w:eastAsiaTheme="minorEastAsia"/>
                <w:bCs/>
                <w:szCs w:val="21"/>
              </w:rPr>
            </w:pPr>
            <w:r>
              <w:rPr>
                <w:rFonts w:eastAsiaTheme="minorEastAsia"/>
                <w:bCs/>
                <w:szCs w:val="21"/>
              </w:rPr>
              <w:t>≤1.</w:t>
            </w:r>
            <w:r>
              <w:rPr>
                <w:rFonts w:hint="eastAsia" w:eastAsiaTheme="minorEastAsia"/>
                <w:bCs/>
                <w:szCs w:val="21"/>
              </w:rPr>
              <w:t>5</w:t>
            </w:r>
          </w:p>
        </w:tc>
        <w:tc>
          <w:tcPr>
            <w:tcW w:w="577" w:type="pct"/>
            <w:vAlign w:val="center"/>
          </w:tcPr>
          <w:p>
            <w:pPr>
              <w:spacing w:line="288" w:lineRule="auto"/>
              <w:jc w:val="center"/>
              <w:rPr>
                <w:rFonts w:eastAsiaTheme="minorEastAsia"/>
                <w:bCs/>
                <w:szCs w:val="21"/>
              </w:rPr>
            </w:pPr>
            <w:r>
              <w:rPr>
                <w:rFonts w:eastAsiaTheme="minorEastAsia"/>
                <w:bCs/>
                <w:szCs w:val="21"/>
              </w:rPr>
              <w:t>≤0.</w:t>
            </w:r>
            <w:r>
              <w:rPr>
                <w:rFonts w:hint="eastAsia" w:eastAsiaTheme="minorEastAsia"/>
                <w:bCs/>
                <w:szCs w:val="21"/>
              </w:rPr>
              <w:t>5</w:t>
            </w:r>
          </w:p>
        </w:tc>
        <w:tc>
          <w:tcPr>
            <w:tcW w:w="576" w:type="pct"/>
            <w:vAlign w:val="center"/>
          </w:tcPr>
          <w:p>
            <w:pPr>
              <w:spacing w:line="288" w:lineRule="auto"/>
              <w:jc w:val="center"/>
              <w:rPr>
                <w:rFonts w:eastAsiaTheme="minorEastAsia"/>
                <w:bCs/>
                <w:szCs w:val="21"/>
              </w:rPr>
            </w:pPr>
            <w:r>
              <w:rPr>
                <w:rFonts w:eastAsiaTheme="minorEastAsia"/>
                <w:bCs/>
                <w:szCs w:val="21"/>
              </w:rPr>
              <w:t>≤1.</w:t>
            </w:r>
            <w:r>
              <w:rPr>
                <w:rFonts w:hint="eastAsia" w:eastAsiaTheme="minorEastAsia"/>
                <w:bCs/>
                <w:szCs w:val="21"/>
              </w:rPr>
              <w:t>5</w:t>
            </w:r>
          </w:p>
        </w:tc>
        <w:tc>
          <w:tcPr>
            <w:tcW w:w="576" w:type="pct"/>
            <w:vAlign w:val="center"/>
          </w:tcPr>
          <w:p>
            <w:pPr>
              <w:spacing w:line="288" w:lineRule="auto"/>
              <w:jc w:val="center"/>
              <w:rPr>
                <w:rFonts w:eastAsiaTheme="minorEastAsia"/>
                <w:bCs/>
                <w:szCs w:val="21"/>
              </w:rPr>
            </w:pPr>
            <w:r>
              <w:rPr>
                <w:rFonts w:eastAsiaTheme="minorEastAsia"/>
                <w:bCs/>
                <w:szCs w:val="21"/>
              </w:rPr>
              <w:t>1.</w:t>
            </w:r>
            <w:r>
              <w:rPr>
                <w:rFonts w:hint="eastAsia" w:eastAsiaTheme="minorEastAsia"/>
                <w:bCs/>
                <w:szCs w:val="21"/>
              </w:rPr>
              <w:t>5</w:t>
            </w:r>
          </w:p>
        </w:tc>
        <w:tc>
          <w:tcPr>
            <w:tcW w:w="571" w:type="pct"/>
            <w:vAlign w:val="center"/>
          </w:tcPr>
          <w:p>
            <w:pPr>
              <w:spacing w:line="288" w:lineRule="auto"/>
              <w:jc w:val="center"/>
              <w:rPr>
                <w:rFonts w:eastAsiaTheme="minorEastAsia"/>
                <w:bCs/>
                <w:szCs w:val="21"/>
              </w:rPr>
            </w:pPr>
            <w:r>
              <w:rPr>
                <w:rFonts w:eastAsiaTheme="minorEastAsia"/>
                <w:bCs/>
                <w:szCs w:val="21"/>
              </w:rPr>
              <w:t>≤0.</w:t>
            </w:r>
            <w:r>
              <w:rPr>
                <w:rFonts w:hint="eastAsia" w:eastAsiaTheme="minorEastAsia"/>
                <w:bCs/>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98" w:type="pct"/>
            <w:vAlign w:val="center"/>
          </w:tcPr>
          <w:p>
            <w:pPr>
              <w:spacing w:line="288" w:lineRule="auto"/>
              <w:jc w:val="center"/>
              <w:rPr>
                <w:rFonts w:eastAsiaTheme="minorEastAsia"/>
                <w:bCs/>
                <w:szCs w:val="21"/>
              </w:rPr>
            </w:pPr>
            <w:r>
              <w:rPr>
                <w:rFonts w:hAnsiTheme="minorEastAsia" w:eastAsiaTheme="minorEastAsia"/>
                <w:bCs/>
                <w:szCs w:val="21"/>
              </w:rPr>
              <w:t>项目</w:t>
            </w:r>
          </w:p>
        </w:tc>
        <w:tc>
          <w:tcPr>
            <w:tcW w:w="420" w:type="pct"/>
            <w:vAlign w:val="center"/>
          </w:tcPr>
          <w:p>
            <w:pPr>
              <w:spacing w:line="288" w:lineRule="auto"/>
              <w:jc w:val="center"/>
              <w:rPr>
                <w:rFonts w:eastAsiaTheme="minorEastAsia"/>
                <w:bCs/>
                <w:szCs w:val="21"/>
              </w:rPr>
            </w:pPr>
            <w:r>
              <w:rPr>
                <w:rFonts w:hAnsiTheme="minorEastAsia" w:eastAsiaTheme="minorEastAsia"/>
                <w:bCs/>
                <w:szCs w:val="21"/>
              </w:rPr>
              <w:t>溶解氧</w:t>
            </w:r>
          </w:p>
        </w:tc>
        <w:tc>
          <w:tcPr>
            <w:tcW w:w="842" w:type="pct"/>
            <w:gridSpan w:val="2"/>
            <w:vAlign w:val="center"/>
          </w:tcPr>
          <w:p>
            <w:pPr>
              <w:spacing w:line="288" w:lineRule="auto"/>
              <w:jc w:val="center"/>
              <w:rPr>
                <w:rFonts w:eastAsiaTheme="minorEastAsia"/>
                <w:bCs/>
                <w:szCs w:val="21"/>
              </w:rPr>
            </w:pPr>
            <w:r>
              <w:rPr>
                <w:rFonts w:hAnsiTheme="minorEastAsia" w:eastAsiaTheme="minorEastAsia"/>
                <w:bCs/>
                <w:szCs w:val="21"/>
              </w:rPr>
              <w:t>高锰酸盐指数</w:t>
            </w:r>
          </w:p>
        </w:tc>
        <w:tc>
          <w:tcPr>
            <w:tcW w:w="420" w:type="pct"/>
            <w:vAlign w:val="center"/>
          </w:tcPr>
          <w:p>
            <w:pPr>
              <w:spacing w:line="288" w:lineRule="auto"/>
              <w:jc w:val="center"/>
              <w:rPr>
                <w:rFonts w:eastAsiaTheme="minorEastAsia"/>
                <w:bCs/>
                <w:szCs w:val="21"/>
              </w:rPr>
            </w:pPr>
            <w:r>
              <w:rPr>
                <w:rFonts w:hAnsiTheme="minorEastAsia" w:eastAsiaTheme="minorEastAsia"/>
                <w:bCs/>
                <w:szCs w:val="21"/>
              </w:rPr>
              <w:t>锌</w:t>
            </w:r>
          </w:p>
        </w:tc>
        <w:tc>
          <w:tcPr>
            <w:tcW w:w="420" w:type="pct"/>
            <w:vAlign w:val="center"/>
          </w:tcPr>
          <w:p>
            <w:pPr>
              <w:spacing w:line="288" w:lineRule="auto"/>
              <w:jc w:val="center"/>
              <w:rPr>
                <w:rFonts w:eastAsiaTheme="minorEastAsia"/>
                <w:bCs/>
                <w:szCs w:val="21"/>
              </w:rPr>
            </w:pPr>
            <w:r>
              <w:rPr>
                <w:rFonts w:hAnsiTheme="minorEastAsia" w:eastAsiaTheme="minorEastAsia"/>
                <w:bCs/>
                <w:szCs w:val="21"/>
              </w:rPr>
              <w:t>硒</w:t>
            </w:r>
          </w:p>
        </w:tc>
        <w:tc>
          <w:tcPr>
            <w:tcW w:w="577" w:type="pct"/>
            <w:vAlign w:val="center"/>
          </w:tcPr>
          <w:p>
            <w:pPr>
              <w:spacing w:line="288" w:lineRule="auto"/>
              <w:jc w:val="center"/>
              <w:rPr>
                <w:rFonts w:eastAsiaTheme="minorEastAsia"/>
                <w:bCs/>
                <w:szCs w:val="21"/>
              </w:rPr>
            </w:pPr>
            <w:r>
              <w:rPr>
                <w:rFonts w:hAnsiTheme="minorEastAsia" w:eastAsiaTheme="minorEastAsia"/>
                <w:bCs/>
                <w:szCs w:val="21"/>
              </w:rPr>
              <w:t>砷</w:t>
            </w:r>
          </w:p>
        </w:tc>
        <w:tc>
          <w:tcPr>
            <w:tcW w:w="576" w:type="pct"/>
            <w:vAlign w:val="center"/>
          </w:tcPr>
          <w:p>
            <w:pPr>
              <w:spacing w:line="288" w:lineRule="auto"/>
              <w:jc w:val="center"/>
              <w:rPr>
                <w:rFonts w:eastAsiaTheme="minorEastAsia"/>
                <w:bCs/>
                <w:szCs w:val="21"/>
              </w:rPr>
            </w:pPr>
            <w:r>
              <w:rPr>
                <w:rFonts w:hAnsiTheme="minorEastAsia" w:eastAsiaTheme="minorEastAsia"/>
                <w:bCs/>
                <w:szCs w:val="21"/>
              </w:rPr>
              <w:t>汞</w:t>
            </w:r>
          </w:p>
        </w:tc>
        <w:tc>
          <w:tcPr>
            <w:tcW w:w="576" w:type="pct"/>
            <w:vAlign w:val="center"/>
          </w:tcPr>
          <w:p>
            <w:pPr>
              <w:spacing w:line="288" w:lineRule="auto"/>
              <w:jc w:val="center"/>
              <w:rPr>
                <w:rFonts w:eastAsiaTheme="minorEastAsia"/>
                <w:bCs/>
                <w:szCs w:val="21"/>
              </w:rPr>
            </w:pPr>
            <w:r>
              <w:rPr>
                <w:rFonts w:hAnsiTheme="minorEastAsia" w:eastAsiaTheme="minorEastAsia"/>
                <w:bCs/>
                <w:szCs w:val="21"/>
              </w:rPr>
              <w:t>铬（六价）</w:t>
            </w:r>
          </w:p>
        </w:tc>
        <w:tc>
          <w:tcPr>
            <w:tcW w:w="571" w:type="pct"/>
            <w:vAlign w:val="center"/>
          </w:tcPr>
          <w:p>
            <w:pPr>
              <w:spacing w:line="288" w:lineRule="auto"/>
              <w:jc w:val="center"/>
              <w:rPr>
                <w:rFonts w:eastAsiaTheme="minorEastAsia"/>
                <w:bCs/>
                <w:szCs w:val="21"/>
              </w:rPr>
            </w:pPr>
            <w:r>
              <w:rPr>
                <w:rFonts w:hAnsiTheme="minorEastAsia" w:eastAsiaTheme="minorEastAsia"/>
                <w:bCs/>
                <w:szCs w:val="21"/>
              </w:rPr>
              <w:t>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98" w:type="pct"/>
            <w:vAlign w:val="center"/>
          </w:tcPr>
          <w:p>
            <w:pPr>
              <w:spacing w:line="288" w:lineRule="auto"/>
              <w:jc w:val="center"/>
              <w:rPr>
                <w:rFonts w:eastAsiaTheme="minorEastAsia"/>
                <w:bCs/>
                <w:szCs w:val="21"/>
              </w:rPr>
            </w:pPr>
            <w:r>
              <w:rPr>
                <w:rFonts w:hAnsiTheme="minorEastAsia" w:eastAsiaTheme="minorEastAsia"/>
                <w:bCs/>
                <w:szCs w:val="21"/>
              </w:rPr>
              <w:t>标准值</w:t>
            </w:r>
          </w:p>
        </w:tc>
        <w:tc>
          <w:tcPr>
            <w:tcW w:w="420" w:type="pct"/>
            <w:vAlign w:val="center"/>
          </w:tcPr>
          <w:p>
            <w:pPr>
              <w:spacing w:line="288" w:lineRule="auto"/>
              <w:jc w:val="center"/>
              <w:rPr>
                <w:rFonts w:eastAsiaTheme="minorEastAsia"/>
                <w:bCs/>
                <w:szCs w:val="21"/>
              </w:rPr>
            </w:pPr>
            <w:r>
              <w:rPr>
                <w:rFonts w:eastAsiaTheme="minorEastAsia"/>
                <w:bCs/>
                <w:szCs w:val="21"/>
              </w:rPr>
              <w:t>≥</w:t>
            </w:r>
            <w:r>
              <w:rPr>
                <w:rFonts w:hint="eastAsia" w:eastAsiaTheme="minorEastAsia"/>
                <w:bCs/>
                <w:szCs w:val="21"/>
              </w:rPr>
              <w:t>3</w:t>
            </w:r>
          </w:p>
        </w:tc>
        <w:tc>
          <w:tcPr>
            <w:tcW w:w="842" w:type="pct"/>
            <w:gridSpan w:val="2"/>
            <w:vAlign w:val="center"/>
          </w:tcPr>
          <w:p>
            <w:pPr>
              <w:spacing w:line="288" w:lineRule="auto"/>
              <w:jc w:val="center"/>
              <w:rPr>
                <w:rFonts w:eastAsiaTheme="minorEastAsia"/>
                <w:bCs/>
                <w:szCs w:val="21"/>
              </w:rPr>
            </w:pPr>
            <w:r>
              <w:rPr>
                <w:rFonts w:eastAsiaTheme="minorEastAsia"/>
                <w:bCs/>
                <w:szCs w:val="21"/>
              </w:rPr>
              <w:t>≤</w:t>
            </w:r>
            <w:r>
              <w:rPr>
                <w:rFonts w:hint="eastAsia" w:eastAsiaTheme="minorEastAsia"/>
                <w:bCs/>
                <w:szCs w:val="21"/>
              </w:rPr>
              <w:t>10</w:t>
            </w:r>
          </w:p>
        </w:tc>
        <w:tc>
          <w:tcPr>
            <w:tcW w:w="420" w:type="pct"/>
            <w:vAlign w:val="center"/>
          </w:tcPr>
          <w:p>
            <w:pPr>
              <w:spacing w:line="288" w:lineRule="auto"/>
              <w:jc w:val="center"/>
              <w:rPr>
                <w:rFonts w:eastAsiaTheme="minorEastAsia"/>
                <w:bCs/>
                <w:szCs w:val="21"/>
              </w:rPr>
            </w:pPr>
            <w:r>
              <w:rPr>
                <w:rFonts w:eastAsiaTheme="minorEastAsia"/>
                <w:bCs/>
                <w:szCs w:val="21"/>
              </w:rPr>
              <w:t>≤</w:t>
            </w:r>
            <w:r>
              <w:rPr>
                <w:rFonts w:hint="eastAsia" w:eastAsiaTheme="minorEastAsia"/>
                <w:bCs/>
                <w:szCs w:val="21"/>
              </w:rPr>
              <w:t>2.0</w:t>
            </w:r>
          </w:p>
        </w:tc>
        <w:tc>
          <w:tcPr>
            <w:tcW w:w="420" w:type="pct"/>
            <w:vAlign w:val="center"/>
          </w:tcPr>
          <w:p>
            <w:pPr>
              <w:spacing w:line="288" w:lineRule="auto"/>
              <w:jc w:val="center"/>
              <w:rPr>
                <w:rFonts w:eastAsiaTheme="minorEastAsia"/>
                <w:bCs/>
                <w:szCs w:val="21"/>
              </w:rPr>
            </w:pPr>
            <w:r>
              <w:rPr>
                <w:rFonts w:eastAsiaTheme="minorEastAsia"/>
                <w:bCs/>
                <w:szCs w:val="21"/>
              </w:rPr>
              <w:t>≤0.0</w:t>
            </w:r>
            <w:r>
              <w:rPr>
                <w:rFonts w:hint="eastAsia" w:eastAsiaTheme="minorEastAsia"/>
                <w:bCs/>
                <w:szCs w:val="21"/>
              </w:rPr>
              <w:t>2</w:t>
            </w:r>
          </w:p>
        </w:tc>
        <w:tc>
          <w:tcPr>
            <w:tcW w:w="577" w:type="pct"/>
            <w:vAlign w:val="center"/>
          </w:tcPr>
          <w:p>
            <w:pPr>
              <w:spacing w:line="288" w:lineRule="auto"/>
              <w:jc w:val="center"/>
              <w:rPr>
                <w:rFonts w:eastAsiaTheme="minorEastAsia"/>
                <w:bCs/>
                <w:szCs w:val="21"/>
              </w:rPr>
            </w:pPr>
            <w:r>
              <w:rPr>
                <w:rFonts w:eastAsiaTheme="minorEastAsia"/>
                <w:bCs/>
                <w:szCs w:val="21"/>
              </w:rPr>
              <w:t>≤0.0</w:t>
            </w:r>
            <w:r>
              <w:rPr>
                <w:rFonts w:hint="eastAsia" w:eastAsiaTheme="minorEastAsia"/>
                <w:bCs/>
                <w:szCs w:val="21"/>
              </w:rPr>
              <w:t>2</w:t>
            </w:r>
          </w:p>
        </w:tc>
        <w:tc>
          <w:tcPr>
            <w:tcW w:w="576" w:type="pct"/>
            <w:vAlign w:val="center"/>
          </w:tcPr>
          <w:p>
            <w:pPr>
              <w:spacing w:line="288" w:lineRule="auto"/>
              <w:jc w:val="center"/>
              <w:rPr>
                <w:rFonts w:eastAsiaTheme="minorEastAsia"/>
                <w:bCs/>
                <w:szCs w:val="21"/>
              </w:rPr>
            </w:pPr>
            <w:r>
              <w:rPr>
                <w:rFonts w:eastAsiaTheme="minorEastAsia"/>
                <w:bCs/>
                <w:szCs w:val="21"/>
              </w:rPr>
              <w:t>≤0.001</w:t>
            </w:r>
          </w:p>
        </w:tc>
        <w:tc>
          <w:tcPr>
            <w:tcW w:w="576" w:type="pct"/>
            <w:vAlign w:val="center"/>
          </w:tcPr>
          <w:p>
            <w:pPr>
              <w:spacing w:line="288" w:lineRule="auto"/>
              <w:jc w:val="center"/>
              <w:rPr>
                <w:rFonts w:eastAsiaTheme="minorEastAsia"/>
                <w:bCs/>
                <w:szCs w:val="21"/>
              </w:rPr>
            </w:pPr>
            <w:r>
              <w:rPr>
                <w:rFonts w:eastAsiaTheme="minorEastAsia"/>
                <w:bCs/>
                <w:szCs w:val="21"/>
              </w:rPr>
              <w:t>≤0.05</w:t>
            </w:r>
          </w:p>
        </w:tc>
        <w:tc>
          <w:tcPr>
            <w:tcW w:w="571" w:type="pct"/>
            <w:vAlign w:val="center"/>
          </w:tcPr>
          <w:p>
            <w:pPr>
              <w:spacing w:line="288" w:lineRule="auto"/>
              <w:jc w:val="center"/>
              <w:rPr>
                <w:rFonts w:eastAsiaTheme="minorEastAsia"/>
                <w:bCs/>
                <w:szCs w:val="21"/>
              </w:rPr>
            </w:pPr>
            <w:r>
              <w:rPr>
                <w:rFonts w:eastAsiaTheme="minorEastAsia"/>
                <w:bCs/>
                <w:szCs w:val="21"/>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98" w:type="pct"/>
            <w:vAlign w:val="center"/>
          </w:tcPr>
          <w:p>
            <w:pPr>
              <w:spacing w:line="288" w:lineRule="auto"/>
              <w:jc w:val="center"/>
              <w:rPr>
                <w:rFonts w:eastAsiaTheme="minorEastAsia"/>
                <w:bCs/>
                <w:szCs w:val="21"/>
              </w:rPr>
            </w:pPr>
            <w:r>
              <w:rPr>
                <w:rFonts w:hAnsiTheme="minorEastAsia" w:eastAsiaTheme="minorEastAsia"/>
                <w:bCs/>
                <w:szCs w:val="21"/>
              </w:rPr>
              <w:t>项目</w:t>
            </w:r>
          </w:p>
        </w:tc>
        <w:tc>
          <w:tcPr>
            <w:tcW w:w="420" w:type="pct"/>
            <w:vAlign w:val="center"/>
          </w:tcPr>
          <w:p>
            <w:pPr>
              <w:spacing w:line="288" w:lineRule="auto"/>
              <w:jc w:val="center"/>
              <w:rPr>
                <w:rFonts w:eastAsiaTheme="minorEastAsia"/>
                <w:bCs/>
                <w:szCs w:val="21"/>
              </w:rPr>
            </w:pPr>
            <w:r>
              <w:rPr>
                <w:rFonts w:hAnsiTheme="minorEastAsia" w:eastAsiaTheme="minorEastAsia"/>
                <w:bCs/>
                <w:szCs w:val="21"/>
              </w:rPr>
              <w:t>铅</w:t>
            </w:r>
          </w:p>
        </w:tc>
        <w:tc>
          <w:tcPr>
            <w:tcW w:w="420" w:type="pct"/>
            <w:vAlign w:val="center"/>
          </w:tcPr>
          <w:p>
            <w:pPr>
              <w:spacing w:line="288" w:lineRule="auto"/>
              <w:jc w:val="center"/>
              <w:rPr>
                <w:rFonts w:eastAsiaTheme="minorEastAsia"/>
                <w:bCs/>
                <w:szCs w:val="21"/>
              </w:rPr>
            </w:pPr>
            <w:r>
              <w:rPr>
                <w:rFonts w:hAnsiTheme="minorEastAsia" w:eastAsiaTheme="minorEastAsia"/>
                <w:bCs/>
                <w:szCs w:val="21"/>
              </w:rPr>
              <w:t>氰化物</w:t>
            </w:r>
          </w:p>
        </w:tc>
        <w:tc>
          <w:tcPr>
            <w:tcW w:w="422" w:type="pct"/>
            <w:vAlign w:val="center"/>
          </w:tcPr>
          <w:p>
            <w:pPr>
              <w:spacing w:line="288" w:lineRule="auto"/>
              <w:jc w:val="center"/>
              <w:rPr>
                <w:rFonts w:eastAsiaTheme="minorEastAsia"/>
                <w:bCs/>
                <w:szCs w:val="21"/>
              </w:rPr>
            </w:pPr>
            <w:r>
              <w:rPr>
                <w:rFonts w:hAnsiTheme="minorEastAsia" w:eastAsiaTheme="minorEastAsia"/>
                <w:bCs/>
                <w:szCs w:val="21"/>
              </w:rPr>
              <w:t>挥发酚</w:t>
            </w:r>
          </w:p>
        </w:tc>
        <w:tc>
          <w:tcPr>
            <w:tcW w:w="420" w:type="pct"/>
            <w:vAlign w:val="center"/>
          </w:tcPr>
          <w:p>
            <w:pPr>
              <w:spacing w:line="288" w:lineRule="auto"/>
              <w:jc w:val="center"/>
              <w:rPr>
                <w:rFonts w:eastAsiaTheme="minorEastAsia"/>
                <w:bCs/>
                <w:szCs w:val="21"/>
              </w:rPr>
            </w:pPr>
            <w:r>
              <w:rPr>
                <w:rFonts w:hAnsiTheme="minorEastAsia" w:eastAsiaTheme="minorEastAsia"/>
                <w:bCs/>
                <w:szCs w:val="21"/>
              </w:rPr>
              <w:t>铜</w:t>
            </w:r>
          </w:p>
        </w:tc>
        <w:tc>
          <w:tcPr>
            <w:tcW w:w="997" w:type="pct"/>
            <w:gridSpan w:val="2"/>
            <w:vAlign w:val="center"/>
          </w:tcPr>
          <w:p>
            <w:pPr>
              <w:spacing w:line="288" w:lineRule="auto"/>
              <w:jc w:val="center"/>
              <w:rPr>
                <w:rFonts w:eastAsiaTheme="minorEastAsia"/>
                <w:bCs/>
                <w:szCs w:val="21"/>
              </w:rPr>
            </w:pPr>
            <w:r>
              <w:rPr>
                <w:rFonts w:hAnsiTheme="minorEastAsia" w:eastAsiaTheme="minorEastAsia"/>
                <w:bCs/>
                <w:szCs w:val="21"/>
              </w:rPr>
              <w:t>阴离子表面活性剂</w:t>
            </w:r>
          </w:p>
        </w:tc>
        <w:tc>
          <w:tcPr>
            <w:tcW w:w="1723" w:type="pct"/>
            <w:gridSpan w:val="3"/>
            <w:vAlign w:val="center"/>
          </w:tcPr>
          <w:p>
            <w:pPr>
              <w:spacing w:line="288" w:lineRule="auto"/>
              <w:jc w:val="center"/>
              <w:rPr>
                <w:rFonts w:eastAsiaTheme="minorEastAsia"/>
                <w:bCs/>
                <w:szCs w:val="21"/>
              </w:rPr>
            </w:pPr>
            <w:r>
              <w:rPr>
                <w:rFonts w:hAnsiTheme="minorEastAsia" w:eastAsiaTheme="minorEastAsia"/>
                <w:bCs/>
                <w:szCs w:val="21"/>
              </w:rPr>
              <w:t>粪大肠菌群（个</w:t>
            </w:r>
            <w:r>
              <w:rPr>
                <w:rFonts w:eastAsiaTheme="minorEastAsia"/>
                <w:bCs/>
                <w:szCs w:val="21"/>
              </w:rPr>
              <w:t>/L</w:t>
            </w:r>
            <w:r>
              <w:rPr>
                <w:rFonts w:hAnsiTheme="minorEastAsia" w:eastAsiaTheme="minorEastAsia"/>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98" w:type="pct"/>
            <w:vAlign w:val="center"/>
          </w:tcPr>
          <w:p>
            <w:pPr>
              <w:spacing w:line="288" w:lineRule="auto"/>
              <w:jc w:val="center"/>
              <w:rPr>
                <w:rFonts w:eastAsiaTheme="minorEastAsia"/>
                <w:bCs/>
                <w:szCs w:val="21"/>
              </w:rPr>
            </w:pPr>
            <w:r>
              <w:rPr>
                <w:rFonts w:hAnsiTheme="minorEastAsia" w:eastAsiaTheme="minorEastAsia"/>
                <w:bCs/>
                <w:szCs w:val="21"/>
              </w:rPr>
              <w:t>标准值</w:t>
            </w:r>
          </w:p>
        </w:tc>
        <w:tc>
          <w:tcPr>
            <w:tcW w:w="420" w:type="pct"/>
            <w:vAlign w:val="center"/>
          </w:tcPr>
          <w:p>
            <w:pPr>
              <w:spacing w:line="288" w:lineRule="auto"/>
              <w:jc w:val="center"/>
              <w:rPr>
                <w:rFonts w:eastAsiaTheme="minorEastAsia"/>
                <w:bCs/>
                <w:szCs w:val="21"/>
              </w:rPr>
            </w:pPr>
            <w:r>
              <w:rPr>
                <w:rFonts w:eastAsiaTheme="minorEastAsia"/>
                <w:bCs/>
                <w:szCs w:val="21"/>
              </w:rPr>
              <w:t>≤0.05</w:t>
            </w:r>
          </w:p>
        </w:tc>
        <w:tc>
          <w:tcPr>
            <w:tcW w:w="420" w:type="pct"/>
            <w:vAlign w:val="center"/>
          </w:tcPr>
          <w:p>
            <w:pPr>
              <w:spacing w:line="288" w:lineRule="auto"/>
              <w:jc w:val="center"/>
              <w:rPr>
                <w:rFonts w:eastAsiaTheme="minorEastAsia"/>
                <w:bCs/>
                <w:szCs w:val="21"/>
              </w:rPr>
            </w:pPr>
            <w:r>
              <w:rPr>
                <w:rFonts w:eastAsiaTheme="minorEastAsia"/>
                <w:bCs/>
                <w:szCs w:val="21"/>
              </w:rPr>
              <w:t>≤0.2</w:t>
            </w:r>
          </w:p>
        </w:tc>
        <w:tc>
          <w:tcPr>
            <w:tcW w:w="422" w:type="pct"/>
            <w:vAlign w:val="center"/>
          </w:tcPr>
          <w:p>
            <w:pPr>
              <w:spacing w:line="288" w:lineRule="auto"/>
              <w:jc w:val="center"/>
              <w:rPr>
                <w:rFonts w:eastAsiaTheme="minorEastAsia"/>
                <w:bCs/>
                <w:szCs w:val="21"/>
              </w:rPr>
            </w:pPr>
            <w:r>
              <w:rPr>
                <w:rFonts w:eastAsiaTheme="minorEastAsia"/>
                <w:bCs/>
                <w:szCs w:val="21"/>
              </w:rPr>
              <w:t>≤0.0</w:t>
            </w:r>
            <w:r>
              <w:rPr>
                <w:rFonts w:hint="eastAsia" w:eastAsiaTheme="minorEastAsia"/>
                <w:bCs/>
                <w:szCs w:val="21"/>
              </w:rPr>
              <w:t>1</w:t>
            </w:r>
          </w:p>
        </w:tc>
        <w:tc>
          <w:tcPr>
            <w:tcW w:w="420" w:type="pct"/>
            <w:vAlign w:val="center"/>
          </w:tcPr>
          <w:p>
            <w:pPr>
              <w:spacing w:line="288" w:lineRule="auto"/>
              <w:jc w:val="center"/>
              <w:rPr>
                <w:rFonts w:eastAsiaTheme="minorEastAsia"/>
                <w:bCs/>
                <w:szCs w:val="21"/>
              </w:rPr>
            </w:pPr>
            <w:r>
              <w:rPr>
                <w:rFonts w:eastAsiaTheme="minorEastAsia"/>
                <w:bCs/>
                <w:szCs w:val="21"/>
              </w:rPr>
              <w:t>≤1.0</w:t>
            </w:r>
          </w:p>
        </w:tc>
        <w:tc>
          <w:tcPr>
            <w:tcW w:w="997" w:type="pct"/>
            <w:gridSpan w:val="2"/>
            <w:vAlign w:val="center"/>
          </w:tcPr>
          <w:p>
            <w:pPr>
              <w:spacing w:line="288" w:lineRule="auto"/>
              <w:jc w:val="center"/>
              <w:rPr>
                <w:rFonts w:eastAsiaTheme="minorEastAsia"/>
                <w:bCs/>
                <w:szCs w:val="21"/>
              </w:rPr>
            </w:pPr>
            <w:r>
              <w:rPr>
                <w:rFonts w:eastAsiaTheme="minorEastAsia"/>
                <w:bCs/>
                <w:szCs w:val="21"/>
              </w:rPr>
              <w:t>≤0.</w:t>
            </w:r>
            <w:r>
              <w:rPr>
                <w:rFonts w:hint="eastAsia" w:eastAsiaTheme="minorEastAsia"/>
                <w:bCs/>
                <w:szCs w:val="21"/>
              </w:rPr>
              <w:t>3</w:t>
            </w:r>
          </w:p>
        </w:tc>
        <w:tc>
          <w:tcPr>
            <w:tcW w:w="1723" w:type="pct"/>
            <w:gridSpan w:val="3"/>
            <w:vAlign w:val="center"/>
          </w:tcPr>
          <w:p>
            <w:pPr>
              <w:spacing w:line="288" w:lineRule="auto"/>
              <w:jc w:val="center"/>
              <w:rPr>
                <w:rFonts w:eastAsiaTheme="minorEastAsia"/>
                <w:bCs/>
                <w:szCs w:val="21"/>
              </w:rPr>
            </w:pPr>
            <w:r>
              <w:rPr>
                <w:rFonts w:eastAsiaTheme="minorEastAsia"/>
                <w:bCs/>
                <w:szCs w:val="21"/>
              </w:rPr>
              <w:t>≤</w:t>
            </w:r>
            <w:r>
              <w:rPr>
                <w:rFonts w:hint="eastAsia" w:eastAsiaTheme="minorEastAsia"/>
                <w:bCs/>
                <w:szCs w:val="21"/>
              </w:rPr>
              <w:t>2</w:t>
            </w:r>
            <w:r>
              <w:rPr>
                <w:rFonts w:eastAsiaTheme="minorEastAsia"/>
                <w:bCs/>
                <w:szCs w:val="21"/>
              </w:rPr>
              <w:t>0000</w:t>
            </w:r>
          </w:p>
        </w:tc>
      </w:tr>
    </w:tbl>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3</w:t>
      </w:r>
      <w:r>
        <w:rPr>
          <w:rFonts w:ascii="Times New Roman" w:hAnsiTheme="minorEastAsia" w:eastAsiaTheme="minorEastAsia"/>
        </w:rPr>
        <w:t>）地下水：执行《地下水质量标准》（</w:t>
      </w:r>
      <w:r>
        <w:rPr>
          <w:rFonts w:ascii="Times New Roman" w:hAnsi="Times New Roman" w:eastAsiaTheme="minorEastAsia"/>
        </w:rPr>
        <w:t>GB/T 14848-2017</w:t>
      </w:r>
      <w:r>
        <w:rPr>
          <w:rFonts w:ascii="Times New Roman" w:hAnsiTheme="minorEastAsia" w:eastAsiaTheme="minorEastAsia"/>
        </w:rPr>
        <w:t>）中Ⅲ类标准。</w:t>
      </w:r>
    </w:p>
    <w:p>
      <w:pPr>
        <w:spacing w:line="360" w:lineRule="auto"/>
        <w:jc w:val="center"/>
        <w:rPr>
          <w:rFonts w:eastAsiaTheme="minorEastAsia"/>
          <w:b/>
          <w:szCs w:val="21"/>
        </w:rPr>
      </w:pPr>
      <w:r>
        <w:rPr>
          <w:rFonts w:hint="eastAsia" w:hAnsiTheme="minorEastAsia" w:eastAsiaTheme="minorEastAsia"/>
          <w:b/>
          <w:szCs w:val="21"/>
        </w:rPr>
        <w:t xml:space="preserve">             </w:t>
      </w:r>
      <w:r>
        <w:rPr>
          <w:rFonts w:hAnsiTheme="minorEastAsia" w:eastAsiaTheme="minorEastAsia"/>
          <w:b/>
          <w:szCs w:val="21"/>
        </w:rPr>
        <w:t>表</w:t>
      </w:r>
      <w:r>
        <w:rPr>
          <w:rFonts w:eastAsiaTheme="minorEastAsia"/>
          <w:b/>
          <w:szCs w:val="21"/>
        </w:rPr>
        <w:t xml:space="preserve">2.4-5   </w:t>
      </w:r>
      <w:r>
        <w:rPr>
          <w:rFonts w:hAnsiTheme="minorEastAsia" w:eastAsiaTheme="minorEastAsia"/>
          <w:b/>
          <w:szCs w:val="21"/>
        </w:rPr>
        <w:t>地下水质量标准</w:t>
      </w:r>
      <w:r>
        <w:rPr>
          <w:rFonts w:eastAsiaTheme="minorEastAsia"/>
          <w:b/>
          <w:szCs w:val="21"/>
        </w:rPr>
        <w:t>(GB/T14848-2017)</w:t>
      </w:r>
      <w:r>
        <w:rPr>
          <w:rFonts w:hAnsiTheme="minorEastAsia" w:eastAsiaTheme="minorEastAsia"/>
          <w:b/>
          <w:szCs w:val="21"/>
        </w:rPr>
        <w:t>中</w:t>
      </w:r>
      <w:r>
        <w:rPr>
          <w:rFonts w:eastAsiaTheme="minorEastAsia"/>
          <w:b/>
          <w:szCs w:val="21"/>
        </w:rPr>
        <w:t>III</w:t>
      </w:r>
      <w:r>
        <w:rPr>
          <w:rFonts w:hAnsiTheme="minorEastAsia" w:eastAsiaTheme="minorEastAsia"/>
          <w:b/>
          <w:szCs w:val="21"/>
        </w:rPr>
        <w:t>类标准</w:t>
      </w:r>
      <w:r>
        <w:rPr>
          <w:rFonts w:eastAsiaTheme="minorEastAsia"/>
          <w:b/>
          <w:szCs w:val="21"/>
        </w:rPr>
        <w:t xml:space="preserve">   </w:t>
      </w:r>
      <w:r>
        <w:rPr>
          <w:rFonts w:hAnsiTheme="minorEastAsia" w:eastAsiaTheme="minorEastAsia"/>
          <w:b/>
          <w:szCs w:val="21"/>
        </w:rPr>
        <w:t>单位</w:t>
      </w:r>
      <w:r>
        <w:rPr>
          <w:rFonts w:eastAsiaTheme="minorEastAsia"/>
          <w:b/>
          <w:szCs w:val="21"/>
        </w:rPr>
        <w:t>mg/L</w:t>
      </w:r>
    </w:p>
    <w:tbl>
      <w:tblPr>
        <w:tblStyle w:val="24"/>
        <w:tblW w:w="492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4"/>
        <w:gridCol w:w="1204"/>
        <w:gridCol w:w="1208"/>
        <w:gridCol w:w="1206"/>
        <w:gridCol w:w="1206"/>
        <w:gridCol w:w="1207"/>
        <w:gridCol w:w="19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658" w:type="pct"/>
            <w:tcBorders>
              <w:top w:val="single" w:color="auto" w:sz="12" w:space="0"/>
              <w:left w:val="single" w:color="auto" w:sz="12"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污染物</w:t>
            </w:r>
          </w:p>
        </w:tc>
        <w:tc>
          <w:tcPr>
            <w:tcW w:w="658" w:type="pct"/>
            <w:tcBorders>
              <w:top w:val="single" w:color="auto" w:sz="12"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PH</w:t>
            </w:r>
          </w:p>
        </w:tc>
        <w:tc>
          <w:tcPr>
            <w:tcW w:w="660" w:type="pct"/>
            <w:tcBorders>
              <w:top w:val="single" w:color="auto" w:sz="12"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总硬度</w:t>
            </w:r>
          </w:p>
        </w:tc>
        <w:tc>
          <w:tcPr>
            <w:tcW w:w="659" w:type="pct"/>
            <w:tcBorders>
              <w:top w:val="single" w:color="auto" w:sz="12"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氨氮</w:t>
            </w:r>
          </w:p>
        </w:tc>
        <w:tc>
          <w:tcPr>
            <w:tcW w:w="659" w:type="pct"/>
            <w:tcBorders>
              <w:top w:val="single" w:color="auto" w:sz="12"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氟化物</w:t>
            </w:r>
          </w:p>
        </w:tc>
        <w:tc>
          <w:tcPr>
            <w:tcW w:w="659" w:type="pct"/>
            <w:tcBorders>
              <w:top w:val="single" w:color="auto" w:sz="12"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硫酸盐</w:t>
            </w:r>
          </w:p>
        </w:tc>
        <w:tc>
          <w:tcPr>
            <w:tcW w:w="1047" w:type="pct"/>
            <w:tcBorders>
              <w:top w:val="single" w:color="auto" w:sz="12" w:space="0"/>
              <w:left w:val="single" w:color="auto" w:sz="6" w:space="0"/>
              <w:bottom w:val="single" w:color="auto" w:sz="6" w:space="0"/>
              <w:right w:val="single" w:color="auto" w:sz="12" w:space="0"/>
            </w:tcBorders>
            <w:vAlign w:val="center"/>
          </w:tcPr>
          <w:p>
            <w:pPr>
              <w:spacing w:line="288" w:lineRule="auto"/>
              <w:jc w:val="center"/>
              <w:rPr>
                <w:rFonts w:eastAsiaTheme="minorEastAsia"/>
                <w:szCs w:val="21"/>
              </w:rPr>
            </w:pPr>
            <w:r>
              <w:rPr>
                <w:rFonts w:hAnsiTheme="minorEastAsia" w:eastAsiaTheme="minorEastAsia"/>
                <w:szCs w:val="21"/>
              </w:rPr>
              <w:t>氯化物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658" w:type="pct"/>
            <w:tcBorders>
              <w:top w:val="single" w:color="auto" w:sz="6" w:space="0"/>
              <w:left w:val="single" w:color="auto" w:sz="12"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标准值</w:t>
            </w:r>
          </w:p>
        </w:tc>
        <w:tc>
          <w:tcPr>
            <w:tcW w:w="658"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6.5-8.5</w:t>
            </w:r>
          </w:p>
        </w:tc>
        <w:tc>
          <w:tcPr>
            <w:tcW w:w="660"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≤450</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≤0.5</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≤1.0</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≤250</w:t>
            </w:r>
          </w:p>
        </w:tc>
        <w:tc>
          <w:tcPr>
            <w:tcW w:w="1047" w:type="pct"/>
            <w:tcBorders>
              <w:top w:val="single" w:color="auto" w:sz="6" w:space="0"/>
              <w:left w:val="single" w:color="auto" w:sz="6" w:space="0"/>
              <w:bottom w:val="single" w:color="auto" w:sz="6" w:space="0"/>
              <w:right w:val="single" w:color="auto" w:sz="12" w:space="0"/>
            </w:tcBorders>
            <w:vAlign w:val="center"/>
          </w:tcPr>
          <w:p>
            <w:pPr>
              <w:spacing w:line="288" w:lineRule="auto"/>
              <w:jc w:val="center"/>
              <w:rPr>
                <w:rFonts w:eastAsiaTheme="minorEastAsia"/>
                <w:szCs w:val="21"/>
              </w:rPr>
            </w:pPr>
            <w:r>
              <w:rPr>
                <w:rFonts w:eastAsiaTheme="minorEastAsia"/>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658" w:type="pct"/>
            <w:tcBorders>
              <w:top w:val="single" w:color="auto" w:sz="6" w:space="0"/>
              <w:left w:val="single" w:color="auto" w:sz="12"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污染物</w:t>
            </w:r>
          </w:p>
        </w:tc>
        <w:tc>
          <w:tcPr>
            <w:tcW w:w="658"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硝酸盐</w:t>
            </w:r>
          </w:p>
        </w:tc>
        <w:tc>
          <w:tcPr>
            <w:tcW w:w="660"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亚硝酸盐</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挥发酚</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氰化物</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铁</w:t>
            </w:r>
          </w:p>
        </w:tc>
        <w:tc>
          <w:tcPr>
            <w:tcW w:w="1047" w:type="pct"/>
            <w:tcBorders>
              <w:top w:val="single" w:color="auto" w:sz="6" w:space="0"/>
              <w:left w:val="single" w:color="auto" w:sz="6" w:space="0"/>
              <w:bottom w:val="single" w:color="auto" w:sz="6" w:space="0"/>
              <w:right w:val="single" w:color="auto" w:sz="12" w:space="0"/>
            </w:tcBorders>
            <w:vAlign w:val="center"/>
          </w:tcPr>
          <w:p>
            <w:pPr>
              <w:spacing w:line="288" w:lineRule="auto"/>
              <w:jc w:val="center"/>
              <w:rPr>
                <w:rFonts w:eastAsiaTheme="minorEastAsia"/>
                <w:szCs w:val="21"/>
              </w:rPr>
            </w:pPr>
            <w:r>
              <w:rPr>
                <w:rFonts w:hAnsiTheme="minorEastAsia" w:eastAsiaTheme="minorEastAsia"/>
                <w:szCs w:val="21"/>
              </w:rPr>
              <w:t>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658" w:type="pct"/>
            <w:tcBorders>
              <w:top w:val="single" w:color="auto" w:sz="6" w:space="0"/>
              <w:left w:val="single" w:color="auto" w:sz="12"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标准值</w:t>
            </w:r>
          </w:p>
        </w:tc>
        <w:tc>
          <w:tcPr>
            <w:tcW w:w="658"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≤20</w:t>
            </w:r>
          </w:p>
        </w:tc>
        <w:tc>
          <w:tcPr>
            <w:tcW w:w="660"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≤1</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≤0.002</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≤0.05</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≤0.3</w:t>
            </w:r>
          </w:p>
        </w:tc>
        <w:tc>
          <w:tcPr>
            <w:tcW w:w="1047" w:type="pct"/>
            <w:tcBorders>
              <w:top w:val="single" w:color="auto" w:sz="6" w:space="0"/>
              <w:left w:val="single" w:color="auto" w:sz="6" w:space="0"/>
              <w:bottom w:val="single" w:color="auto" w:sz="6" w:space="0"/>
              <w:right w:val="single" w:color="auto" w:sz="12" w:space="0"/>
            </w:tcBorders>
            <w:vAlign w:val="center"/>
          </w:tcPr>
          <w:p>
            <w:pPr>
              <w:spacing w:line="288" w:lineRule="auto"/>
              <w:jc w:val="center"/>
              <w:rPr>
                <w:rFonts w:eastAsiaTheme="minorEastAsia"/>
                <w:szCs w:val="21"/>
              </w:rPr>
            </w:pPr>
            <w:r>
              <w:rPr>
                <w:rFonts w:eastAsiaTheme="minorEastAsia"/>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658" w:type="pct"/>
            <w:tcBorders>
              <w:top w:val="single" w:color="auto" w:sz="6" w:space="0"/>
              <w:left w:val="single" w:color="auto" w:sz="12"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污染物</w:t>
            </w:r>
          </w:p>
        </w:tc>
        <w:tc>
          <w:tcPr>
            <w:tcW w:w="658"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铅</w:t>
            </w:r>
          </w:p>
        </w:tc>
        <w:tc>
          <w:tcPr>
            <w:tcW w:w="660"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汞</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砷</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镉</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六价铬</w:t>
            </w:r>
          </w:p>
        </w:tc>
        <w:tc>
          <w:tcPr>
            <w:tcW w:w="1047" w:type="pct"/>
            <w:tcBorders>
              <w:top w:val="single" w:color="auto" w:sz="6" w:space="0"/>
              <w:left w:val="single" w:color="auto" w:sz="6" w:space="0"/>
              <w:bottom w:val="single" w:color="auto" w:sz="6" w:space="0"/>
              <w:right w:val="single" w:color="auto" w:sz="12" w:space="0"/>
            </w:tcBorders>
            <w:vAlign w:val="center"/>
          </w:tcPr>
          <w:p>
            <w:pPr>
              <w:spacing w:line="288" w:lineRule="auto"/>
              <w:jc w:val="center"/>
              <w:rPr>
                <w:rFonts w:eastAsiaTheme="minorEastAsia"/>
                <w:szCs w:val="21"/>
              </w:rPr>
            </w:pPr>
            <w:r>
              <w:rPr>
                <w:rFonts w:hAnsiTheme="minorEastAsia" w:eastAsiaTheme="minorEastAsia"/>
                <w:szCs w:val="21"/>
              </w:rPr>
              <w:t>菌落总数（</w:t>
            </w:r>
            <w:r>
              <w:rPr>
                <w:rFonts w:eastAsiaTheme="minorEastAsia"/>
                <w:szCs w:val="21"/>
              </w:rPr>
              <w:t>CFU/mL</w:t>
            </w:r>
            <w:r>
              <w:rPr>
                <w:rFonts w:hAnsiTheme="minorEastAsia"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658" w:type="pct"/>
            <w:tcBorders>
              <w:top w:val="single" w:color="auto" w:sz="6" w:space="0"/>
              <w:left w:val="single" w:color="auto" w:sz="12"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标准值</w:t>
            </w:r>
          </w:p>
        </w:tc>
        <w:tc>
          <w:tcPr>
            <w:tcW w:w="658"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≤0.01</w:t>
            </w:r>
          </w:p>
        </w:tc>
        <w:tc>
          <w:tcPr>
            <w:tcW w:w="660"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≤0.001</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≤0.01</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≤0.005</w:t>
            </w:r>
          </w:p>
        </w:tc>
        <w:tc>
          <w:tcPr>
            <w:tcW w:w="659"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eastAsiaTheme="minorEastAsia"/>
                <w:szCs w:val="21"/>
              </w:rPr>
              <w:t>≤0.05</w:t>
            </w:r>
          </w:p>
        </w:tc>
        <w:tc>
          <w:tcPr>
            <w:tcW w:w="1047" w:type="pct"/>
            <w:tcBorders>
              <w:top w:val="single" w:color="auto" w:sz="6" w:space="0"/>
              <w:left w:val="single" w:color="auto" w:sz="6" w:space="0"/>
              <w:bottom w:val="single" w:color="auto" w:sz="6" w:space="0"/>
              <w:right w:val="single" w:color="auto" w:sz="12" w:space="0"/>
            </w:tcBorders>
            <w:vAlign w:val="center"/>
          </w:tcPr>
          <w:p>
            <w:pPr>
              <w:spacing w:line="288" w:lineRule="auto"/>
              <w:jc w:val="center"/>
              <w:rPr>
                <w:rFonts w:eastAsiaTheme="minorEastAsia"/>
                <w:szCs w:val="21"/>
              </w:rPr>
            </w:pPr>
            <w:r>
              <w:rPr>
                <w:rFonts w:eastAsiaTheme="minorEastAsia"/>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658" w:type="pct"/>
            <w:tcBorders>
              <w:top w:val="single" w:color="auto" w:sz="6" w:space="0"/>
              <w:left w:val="single" w:color="auto" w:sz="12"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污染物</w:t>
            </w:r>
          </w:p>
        </w:tc>
        <w:tc>
          <w:tcPr>
            <w:tcW w:w="1318" w:type="pct"/>
            <w:gridSpan w:val="2"/>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溶解性总固体</w:t>
            </w:r>
          </w:p>
        </w:tc>
        <w:tc>
          <w:tcPr>
            <w:tcW w:w="1318" w:type="pct"/>
            <w:gridSpan w:val="2"/>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耗氧量</w:t>
            </w:r>
          </w:p>
        </w:tc>
        <w:tc>
          <w:tcPr>
            <w:tcW w:w="1706" w:type="pct"/>
            <w:gridSpan w:val="2"/>
            <w:tcBorders>
              <w:top w:val="single" w:color="auto" w:sz="6" w:space="0"/>
              <w:left w:val="single" w:color="auto" w:sz="6" w:space="0"/>
              <w:bottom w:val="single" w:color="auto" w:sz="6" w:space="0"/>
              <w:right w:val="single" w:color="auto" w:sz="12" w:space="0"/>
            </w:tcBorders>
            <w:vAlign w:val="center"/>
          </w:tcPr>
          <w:p>
            <w:pPr>
              <w:spacing w:line="288" w:lineRule="auto"/>
              <w:jc w:val="center"/>
              <w:rPr>
                <w:rFonts w:eastAsiaTheme="minorEastAsia"/>
                <w:szCs w:val="21"/>
              </w:rPr>
            </w:pPr>
            <w:r>
              <w:rPr>
                <w:rFonts w:hAnsiTheme="minorEastAsia" w:eastAsiaTheme="minorEastAsia"/>
                <w:szCs w:val="21"/>
              </w:rPr>
              <w:t>总大肠菌群（</w:t>
            </w:r>
            <w:r>
              <w:rPr>
                <w:rFonts w:eastAsiaTheme="minorEastAsia"/>
                <w:szCs w:val="21"/>
              </w:rPr>
              <w:t>CFU/100mL</w:t>
            </w:r>
            <w:r>
              <w:rPr>
                <w:rFonts w:hAnsiTheme="minorEastAsia"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658" w:type="pct"/>
            <w:tcBorders>
              <w:top w:val="single" w:color="auto" w:sz="6" w:space="0"/>
              <w:left w:val="single" w:color="auto" w:sz="12" w:space="0"/>
              <w:bottom w:val="single" w:color="auto" w:sz="12"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标准值</w:t>
            </w:r>
          </w:p>
        </w:tc>
        <w:tc>
          <w:tcPr>
            <w:tcW w:w="1318" w:type="pct"/>
            <w:gridSpan w:val="2"/>
            <w:tcBorders>
              <w:top w:val="single" w:color="auto" w:sz="6" w:space="0"/>
              <w:left w:val="single" w:color="auto" w:sz="6" w:space="0"/>
              <w:bottom w:val="single" w:color="auto" w:sz="12" w:space="0"/>
              <w:right w:val="single" w:color="auto" w:sz="6" w:space="0"/>
            </w:tcBorders>
            <w:vAlign w:val="center"/>
          </w:tcPr>
          <w:p>
            <w:pPr>
              <w:spacing w:line="288" w:lineRule="auto"/>
              <w:jc w:val="center"/>
              <w:rPr>
                <w:rFonts w:eastAsiaTheme="minorEastAsia"/>
                <w:szCs w:val="21"/>
              </w:rPr>
            </w:pPr>
            <w:r>
              <w:rPr>
                <w:rFonts w:eastAsiaTheme="minorEastAsia"/>
                <w:szCs w:val="21"/>
              </w:rPr>
              <w:t>≤1000</w:t>
            </w:r>
          </w:p>
        </w:tc>
        <w:tc>
          <w:tcPr>
            <w:tcW w:w="1318" w:type="pct"/>
            <w:gridSpan w:val="2"/>
            <w:tcBorders>
              <w:top w:val="single" w:color="auto" w:sz="6" w:space="0"/>
              <w:left w:val="single" w:color="auto" w:sz="6" w:space="0"/>
              <w:bottom w:val="single" w:color="auto" w:sz="12" w:space="0"/>
              <w:right w:val="single" w:color="auto" w:sz="6" w:space="0"/>
            </w:tcBorders>
            <w:vAlign w:val="center"/>
          </w:tcPr>
          <w:p>
            <w:pPr>
              <w:spacing w:line="288" w:lineRule="auto"/>
              <w:jc w:val="center"/>
              <w:rPr>
                <w:rFonts w:eastAsiaTheme="minorEastAsia"/>
                <w:szCs w:val="21"/>
              </w:rPr>
            </w:pPr>
            <w:r>
              <w:rPr>
                <w:rFonts w:eastAsiaTheme="minorEastAsia"/>
                <w:szCs w:val="21"/>
              </w:rPr>
              <w:t>≤3</w:t>
            </w:r>
          </w:p>
        </w:tc>
        <w:tc>
          <w:tcPr>
            <w:tcW w:w="1706" w:type="pct"/>
            <w:gridSpan w:val="2"/>
            <w:tcBorders>
              <w:top w:val="single" w:color="auto" w:sz="6" w:space="0"/>
              <w:left w:val="single" w:color="auto" w:sz="6" w:space="0"/>
              <w:bottom w:val="single" w:color="auto" w:sz="12" w:space="0"/>
              <w:right w:val="single" w:color="auto" w:sz="12" w:space="0"/>
            </w:tcBorders>
            <w:vAlign w:val="center"/>
          </w:tcPr>
          <w:p>
            <w:pPr>
              <w:spacing w:line="288" w:lineRule="auto"/>
              <w:jc w:val="center"/>
              <w:rPr>
                <w:rFonts w:eastAsiaTheme="minorEastAsia"/>
                <w:szCs w:val="21"/>
              </w:rPr>
            </w:pPr>
            <w:r>
              <w:rPr>
                <w:rFonts w:eastAsiaTheme="minorEastAsia"/>
                <w:szCs w:val="21"/>
              </w:rPr>
              <w:t>≤3</w:t>
            </w:r>
          </w:p>
        </w:tc>
      </w:tr>
    </w:tbl>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4</w:t>
      </w:r>
      <w:r>
        <w:rPr>
          <w:rFonts w:ascii="Times New Roman" w:hAnsiTheme="minorEastAsia" w:eastAsiaTheme="minorEastAsia"/>
        </w:rPr>
        <w:t>）环境噪声：村庄执行《声环境质量标准》（</w:t>
      </w:r>
      <w:r>
        <w:rPr>
          <w:rFonts w:ascii="Times New Roman" w:hAnsi="Times New Roman" w:eastAsiaTheme="minorEastAsia"/>
        </w:rPr>
        <w:t>GB 3096—2008</w:t>
      </w:r>
      <w:r>
        <w:rPr>
          <w:rFonts w:ascii="Times New Roman" w:hAnsiTheme="minorEastAsia" w:eastAsiaTheme="minorEastAsia"/>
        </w:rPr>
        <w:t>）中</w:t>
      </w:r>
      <w:r>
        <w:rPr>
          <w:rFonts w:ascii="Times New Roman" w:hAnsi="Times New Roman" w:eastAsiaTheme="minorEastAsia"/>
        </w:rPr>
        <w:t>1</w:t>
      </w:r>
      <w:r>
        <w:rPr>
          <w:rFonts w:ascii="Times New Roman" w:hAnsiTheme="minorEastAsia" w:eastAsiaTheme="minorEastAsia"/>
        </w:rPr>
        <w:t>类标准，工业场地</w:t>
      </w:r>
      <w:r>
        <w:rPr>
          <w:rFonts w:hint="eastAsia" w:ascii="Times New Roman" w:hAnsiTheme="minorEastAsia" w:eastAsiaTheme="minorEastAsia"/>
        </w:rPr>
        <w:t>、</w:t>
      </w:r>
      <w:r>
        <w:rPr>
          <w:rFonts w:hint="eastAsia" w:eastAsiaTheme="minorEastAsia"/>
        </w:rPr>
        <w:t>风井场地</w:t>
      </w:r>
      <w:r>
        <w:rPr>
          <w:rFonts w:ascii="Times New Roman" w:hAnsiTheme="minorEastAsia" w:eastAsiaTheme="minorEastAsia"/>
        </w:rPr>
        <w:t>周围执行</w:t>
      </w:r>
      <w:r>
        <w:rPr>
          <w:rFonts w:ascii="Times New Roman" w:hAnsi="Times New Roman" w:eastAsiaTheme="minorEastAsia"/>
        </w:rPr>
        <w:t>2</w:t>
      </w:r>
      <w:r>
        <w:rPr>
          <w:rFonts w:ascii="Times New Roman" w:hAnsiTheme="minorEastAsia" w:eastAsiaTheme="minorEastAsia"/>
        </w:rPr>
        <w:t>类标准。</w:t>
      </w:r>
    </w:p>
    <w:p>
      <w:pPr>
        <w:pStyle w:val="7"/>
        <w:spacing w:line="360" w:lineRule="auto"/>
        <w:ind w:firstLine="0"/>
        <w:jc w:val="center"/>
        <w:rPr>
          <w:rFonts w:hAnsiTheme="minorEastAsia" w:eastAsiaTheme="minorEastAsia"/>
          <w:b/>
          <w:sz w:val="21"/>
          <w:szCs w:val="21"/>
        </w:rPr>
      </w:pPr>
    </w:p>
    <w:p>
      <w:pPr>
        <w:pStyle w:val="7"/>
        <w:spacing w:line="360" w:lineRule="auto"/>
        <w:ind w:firstLine="0"/>
        <w:jc w:val="center"/>
        <w:rPr>
          <w:rFonts w:eastAsiaTheme="minorEastAsia"/>
          <w:b/>
          <w:sz w:val="21"/>
          <w:szCs w:val="21"/>
        </w:rPr>
      </w:pPr>
      <w:r>
        <w:rPr>
          <w:rFonts w:hAnsiTheme="minorEastAsia" w:eastAsiaTheme="minorEastAsia"/>
          <w:b/>
          <w:sz w:val="21"/>
          <w:szCs w:val="21"/>
        </w:rPr>
        <w:t>表</w:t>
      </w:r>
      <w:r>
        <w:rPr>
          <w:rFonts w:eastAsiaTheme="minorEastAsia"/>
          <w:b/>
          <w:sz w:val="21"/>
          <w:szCs w:val="21"/>
        </w:rPr>
        <w:t xml:space="preserve">2.4-6   </w:t>
      </w:r>
      <w:r>
        <w:rPr>
          <w:rFonts w:hAnsiTheme="minorEastAsia" w:eastAsiaTheme="minorEastAsia"/>
          <w:b/>
          <w:sz w:val="21"/>
          <w:szCs w:val="21"/>
        </w:rPr>
        <w:t>声环境质量标准</w:t>
      </w:r>
      <w:r>
        <w:rPr>
          <w:rFonts w:eastAsiaTheme="minorEastAsia"/>
          <w:b/>
          <w:sz w:val="21"/>
          <w:szCs w:val="21"/>
        </w:rPr>
        <w:t xml:space="preserve">   </w:t>
      </w:r>
      <w:r>
        <w:rPr>
          <w:rFonts w:hAnsiTheme="minorEastAsia" w:eastAsiaTheme="minorEastAsia"/>
          <w:b/>
          <w:sz w:val="21"/>
          <w:szCs w:val="21"/>
        </w:rPr>
        <w:t>单位：</w:t>
      </w:r>
      <w:r>
        <w:rPr>
          <w:rFonts w:eastAsiaTheme="minorEastAsia"/>
          <w:b/>
          <w:sz w:val="21"/>
          <w:szCs w:val="21"/>
        </w:rPr>
        <w:t>LAeqdB</w:t>
      </w:r>
    </w:p>
    <w:tbl>
      <w:tblPr>
        <w:tblStyle w:val="24"/>
        <w:tblW w:w="499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87"/>
        <w:gridCol w:w="2496"/>
        <w:gridCol w:w="2496"/>
        <w:gridCol w:w="24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8" w:hRule="atLeast"/>
          <w:jc w:val="center"/>
        </w:trPr>
        <w:tc>
          <w:tcPr>
            <w:tcW w:w="964" w:type="pct"/>
            <w:vAlign w:val="center"/>
          </w:tcPr>
          <w:p>
            <w:pPr>
              <w:pStyle w:val="37"/>
              <w:rPr>
                <w:rFonts w:ascii="Times New Roman" w:hAnsi="Times New Roman" w:eastAsiaTheme="minorEastAsia"/>
                <w:sz w:val="21"/>
                <w:szCs w:val="21"/>
              </w:rPr>
            </w:pPr>
            <w:r>
              <w:rPr>
                <w:rFonts w:ascii="Times New Roman" w:hAnsiTheme="minorEastAsia" w:eastAsiaTheme="minorEastAsia"/>
                <w:sz w:val="21"/>
                <w:szCs w:val="21"/>
              </w:rPr>
              <w:t>类别</w:t>
            </w:r>
          </w:p>
        </w:tc>
        <w:tc>
          <w:tcPr>
            <w:tcW w:w="1346" w:type="pct"/>
            <w:vAlign w:val="center"/>
          </w:tcPr>
          <w:p>
            <w:pPr>
              <w:pStyle w:val="37"/>
              <w:rPr>
                <w:rFonts w:ascii="Times New Roman" w:hAnsi="Times New Roman" w:eastAsiaTheme="minorEastAsia"/>
                <w:sz w:val="21"/>
                <w:szCs w:val="21"/>
              </w:rPr>
            </w:pPr>
            <w:r>
              <w:rPr>
                <w:rFonts w:ascii="Times New Roman" w:hAnsiTheme="minorEastAsia" w:eastAsiaTheme="minorEastAsia"/>
                <w:sz w:val="21"/>
                <w:szCs w:val="21"/>
              </w:rPr>
              <w:t>昼间</w:t>
            </w:r>
            <w:r>
              <w:rPr>
                <w:rFonts w:ascii="Times New Roman" w:hAnsi="Times New Roman" w:eastAsiaTheme="minorEastAsia"/>
                <w:sz w:val="21"/>
                <w:szCs w:val="21"/>
              </w:rPr>
              <w:t>dB(A)</w:t>
            </w:r>
          </w:p>
        </w:tc>
        <w:tc>
          <w:tcPr>
            <w:tcW w:w="1346" w:type="pct"/>
            <w:vAlign w:val="center"/>
          </w:tcPr>
          <w:p>
            <w:pPr>
              <w:pStyle w:val="37"/>
              <w:rPr>
                <w:rFonts w:ascii="Times New Roman" w:hAnsi="Times New Roman" w:eastAsiaTheme="minorEastAsia"/>
                <w:sz w:val="21"/>
                <w:szCs w:val="21"/>
              </w:rPr>
            </w:pPr>
            <w:r>
              <w:rPr>
                <w:rFonts w:ascii="Times New Roman" w:hAnsiTheme="minorEastAsia" w:eastAsiaTheme="minorEastAsia"/>
                <w:sz w:val="21"/>
                <w:szCs w:val="21"/>
              </w:rPr>
              <w:t>夜间</w:t>
            </w:r>
            <w:r>
              <w:rPr>
                <w:rFonts w:ascii="Times New Roman" w:hAnsi="Times New Roman" w:eastAsiaTheme="minorEastAsia"/>
                <w:sz w:val="21"/>
                <w:szCs w:val="21"/>
              </w:rPr>
              <w:t>dB(A)</w:t>
            </w:r>
          </w:p>
        </w:tc>
        <w:tc>
          <w:tcPr>
            <w:tcW w:w="1344" w:type="pct"/>
            <w:vAlign w:val="center"/>
          </w:tcPr>
          <w:p>
            <w:pPr>
              <w:pStyle w:val="37"/>
              <w:rPr>
                <w:rFonts w:ascii="Times New Roman" w:hAnsi="Times New Roman" w:eastAsiaTheme="minorEastAsia"/>
                <w:sz w:val="21"/>
                <w:szCs w:val="21"/>
              </w:rPr>
            </w:pPr>
            <w:r>
              <w:rPr>
                <w:rFonts w:ascii="Times New Roman" w:hAnsiTheme="minorEastAsia" w:eastAsiaTheme="minorEastAsia"/>
                <w:sz w:val="21"/>
                <w:szCs w:val="21"/>
              </w:rPr>
              <w:t>说</w:t>
            </w:r>
            <w:r>
              <w:rPr>
                <w:rFonts w:ascii="Times New Roman" w:hAnsi="Times New Roman" w:eastAsiaTheme="minorEastAsia"/>
                <w:sz w:val="21"/>
                <w:szCs w:val="21"/>
              </w:rPr>
              <w:t xml:space="preserve">  </w:t>
            </w:r>
            <w:r>
              <w:rPr>
                <w:rFonts w:ascii="Times New Roman" w:hAnsiTheme="minorEastAsia" w:eastAsiaTheme="minorEastAsia"/>
                <w:sz w:val="21"/>
                <w:szCs w:val="21"/>
              </w:rPr>
              <w:t>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964" w:type="pct"/>
            <w:vAlign w:val="center"/>
          </w:tcPr>
          <w:p>
            <w:pPr>
              <w:pStyle w:val="11"/>
              <w:spacing w:line="288" w:lineRule="auto"/>
              <w:ind w:firstLine="0"/>
              <w:jc w:val="center"/>
              <w:rPr>
                <w:rFonts w:eastAsiaTheme="minorEastAsia"/>
                <w:b w:val="0"/>
                <w:sz w:val="21"/>
                <w:szCs w:val="21"/>
              </w:rPr>
            </w:pPr>
            <w:r>
              <w:rPr>
                <w:rFonts w:eastAsiaTheme="minorEastAsia"/>
                <w:b w:val="0"/>
                <w:sz w:val="21"/>
                <w:szCs w:val="21"/>
              </w:rPr>
              <w:t>1</w:t>
            </w:r>
            <w:r>
              <w:rPr>
                <w:rFonts w:hAnsiTheme="minorEastAsia" w:eastAsiaTheme="minorEastAsia"/>
                <w:b w:val="0"/>
                <w:sz w:val="21"/>
                <w:szCs w:val="21"/>
              </w:rPr>
              <w:t>类</w:t>
            </w:r>
          </w:p>
        </w:tc>
        <w:tc>
          <w:tcPr>
            <w:tcW w:w="1346" w:type="pct"/>
            <w:vAlign w:val="center"/>
          </w:tcPr>
          <w:p>
            <w:pPr>
              <w:pStyle w:val="11"/>
              <w:spacing w:line="288" w:lineRule="auto"/>
              <w:ind w:firstLine="0"/>
              <w:jc w:val="center"/>
              <w:rPr>
                <w:rFonts w:eastAsiaTheme="minorEastAsia"/>
                <w:b w:val="0"/>
                <w:sz w:val="21"/>
                <w:szCs w:val="21"/>
              </w:rPr>
            </w:pPr>
            <w:r>
              <w:rPr>
                <w:rFonts w:eastAsiaTheme="minorEastAsia"/>
                <w:b w:val="0"/>
                <w:sz w:val="21"/>
                <w:szCs w:val="21"/>
              </w:rPr>
              <w:t>55</w:t>
            </w:r>
          </w:p>
        </w:tc>
        <w:tc>
          <w:tcPr>
            <w:tcW w:w="1346" w:type="pct"/>
            <w:vAlign w:val="center"/>
          </w:tcPr>
          <w:p>
            <w:pPr>
              <w:pStyle w:val="11"/>
              <w:spacing w:line="288" w:lineRule="auto"/>
              <w:ind w:firstLine="0"/>
              <w:jc w:val="center"/>
              <w:rPr>
                <w:rFonts w:eastAsiaTheme="minorEastAsia"/>
                <w:b w:val="0"/>
                <w:sz w:val="21"/>
                <w:szCs w:val="21"/>
              </w:rPr>
            </w:pPr>
            <w:r>
              <w:rPr>
                <w:rFonts w:eastAsiaTheme="minorEastAsia"/>
                <w:b w:val="0"/>
                <w:sz w:val="21"/>
                <w:szCs w:val="21"/>
              </w:rPr>
              <w:t>45</w:t>
            </w:r>
          </w:p>
        </w:tc>
        <w:tc>
          <w:tcPr>
            <w:tcW w:w="1344" w:type="pct"/>
            <w:vAlign w:val="center"/>
          </w:tcPr>
          <w:p>
            <w:pPr>
              <w:pStyle w:val="37"/>
              <w:rPr>
                <w:rFonts w:ascii="Times New Roman" w:hAnsi="Times New Roman" w:eastAsiaTheme="minorEastAsia"/>
                <w:sz w:val="21"/>
                <w:szCs w:val="21"/>
              </w:rPr>
            </w:pPr>
            <w:r>
              <w:rPr>
                <w:rFonts w:ascii="Times New Roman" w:hAnsiTheme="minorEastAsia" w:eastAsiaTheme="minorEastAsia"/>
                <w:sz w:val="21"/>
                <w:szCs w:val="21"/>
              </w:rPr>
              <w:t>乡村居住环境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8" w:hRule="atLeast"/>
          <w:jc w:val="center"/>
        </w:trPr>
        <w:tc>
          <w:tcPr>
            <w:tcW w:w="964" w:type="pct"/>
            <w:vAlign w:val="center"/>
          </w:tcPr>
          <w:p>
            <w:pPr>
              <w:pStyle w:val="37"/>
              <w:rPr>
                <w:rFonts w:ascii="Times New Roman" w:hAnsi="Times New Roman" w:eastAsiaTheme="minorEastAsia"/>
                <w:sz w:val="21"/>
                <w:szCs w:val="21"/>
              </w:rPr>
            </w:pPr>
            <w:r>
              <w:rPr>
                <w:rFonts w:ascii="Times New Roman" w:hAnsi="Times New Roman" w:eastAsiaTheme="minorEastAsia"/>
                <w:sz w:val="21"/>
                <w:szCs w:val="21"/>
              </w:rPr>
              <w:t>2</w:t>
            </w:r>
            <w:r>
              <w:rPr>
                <w:rFonts w:ascii="Times New Roman" w:hAnsiTheme="minorEastAsia" w:eastAsiaTheme="minorEastAsia"/>
                <w:sz w:val="21"/>
                <w:szCs w:val="21"/>
              </w:rPr>
              <w:t>类</w:t>
            </w:r>
          </w:p>
        </w:tc>
        <w:tc>
          <w:tcPr>
            <w:tcW w:w="1346" w:type="pct"/>
            <w:vAlign w:val="center"/>
          </w:tcPr>
          <w:p>
            <w:pPr>
              <w:pStyle w:val="37"/>
              <w:rPr>
                <w:rFonts w:ascii="Times New Roman" w:hAnsi="Times New Roman" w:eastAsiaTheme="minorEastAsia"/>
                <w:sz w:val="21"/>
                <w:szCs w:val="21"/>
              </w:rPr>
            </w:pPr>
            <w:r>
              <w:rPr>
                <w:rFonts w:ascii="Times New Roman" w:hAnsi="Times New Roman" w:eastAsiaTheme="minorEastAsia"/>
                <w:sz w:val="21"/>
                <w:szCs w:val="21"/>
              </w:rPr>
              <w:t>60</w:t>
            </w:r>
          </w:p>
        </w:tc>
        <w:tc>
          <w:tcPr>
            <w:tcW w:w="1346" w:type="pct"/>
            <w:vAlign w:val="center"/>
          </w:tcPr>
          <w:p>
            <w:pPr>
              <w:pStyle w:val="37"/>
              <w:rPr>
                <w:rFonts w:ascii="Times New Roman" w:hAnsi="Times New Roman" w:eastAsiaTheme="minorEastAsia"/>
                <w:sz w:val="21"/>
                <w:szCs w:val="21"/>
              </w:rPr>
            </w:pPr>
            <w:r>
              <w:rPr>
                <w:rFonts w:ascii="Times New Roman" w:hAnsi="Times New Roman" w:eastAsiaTheme="minorEastAsia"/>
                <w:sz w:val="21"/>
                <w:szCs w:val="21"/>
              </w:rPr>
              <w:t>50</w:t>
            </w:r>
          </w:p>
        </w:tc>
        <w:tc>
          <w:tcPr>
            <w:tcW w:w="1344" w:type="pct"/>
            <w:vAlign w:val="center"/>
          </w:tcPr>
          <w:p>
            <w:pPr>
              <w:pStyle w:val="37"/>
              <w:rPr>
                <w:rFonts w:ascii="Times New Roman" w:hAnsi="Times New Roman" w:eastAsiaTheme="minorEastAsia"/>
                <w:sz w:val="21"/>
                <w:szCs w:val="21"/>
              </w:rPr>
            </w:pPr>
            <w:r>
              <w:rPr>
                <w:rFonts w:ascii="Times New Roman" w:hAnsiTheme="minorEastAsia" w:eastAsiaTheme="minorEastAsia"/>
                <w:sz w:val="21"/>
                <w:szCs w:val="21"/>
              </w:rPr>
              <w:t>工业场地、交通噪声</w:t>
            </w:r>
          </w:p>
        </w:tc>
      </w:tr>
    </w:tbl>
    <w:p>
      <w:pPr>
        <w:pStyle w:val="39"/>
        <w:rPr>
          <w:rFonts w:ascii="Times New Roman" w:hAnsiTheme="minorEastAsia" w:eastAsiaTheme="minorEastAsia"/>
        </w:rPr>
      </w:pPr>
      <w:r>
        <w:rPr>
          <w:rFonts w:ascii="Times New Roman" w:hAnsiTheme="minorEastAsia" w:eastAsiaTheme="minorEastAsia"/>
        </w:rPr>
        <w:t>（</w:t>
      </w:r>
      <w:r>
        <w:rPr>
          <w:rFonts w:ascii="Times New Roman" w:hAnsi="Times New Roman" w:eastAsiaTheme="minorEastAsia"/>
        </w:rPr>
        <w:t>5</w:t>
      </w:r>
      <w:r>
        <w:rPr>
          <w:rFonts w:ascii="Times New Roman" w:hAnsiTheme="minorEastAsia" w:eastAsiaTheme="minorEastAsia"/>
        </w:rPr>
        <w:t>）土壤环境：工业场地执行《土壤环境质量</w:t>
      </w:r>
      <w:r>
        <w:rPr>
          <w:rFonts w:ascii="Times New Roman" w:hAnsi="Times New Roman" w:eastAsiaTheme="minorEastAsia"/>
        </w:rPr>
        <w:t xml:space="preserve"> </w:t>
      </w:r>
      <w:r>
        <w:rPr>
          <w:rFonts w:ascii="Times New Roman" w:hAnsiTheme="minorEastAsia" w:eastAsiaTheme="minorEastAsia"/>
        </w:rPr>
        <w:t>建设用地土壤污染风险管控标准（试行）》（</w:t>
      </w:r>
      <w:r>
        <w:rPr>
          <w:rFonts w:ascii="Times New Roman" w:hAnsi="Times New Roman" w:eastAsiaTheme="minorEastAsia"/>
        </w:rPr>
        <w:t>GB36600-2018</w:t>
      </w:r>
      <w:r>
        <w:rPr>
          <w:rFonts w:ascii="Times New Roman" w:hAnsiTheme="minorEastAsia" w:eastAsiaTheme="minorEastAsia"/>
        </w:rPr>
        <w:t>）</w:t>
      </w:r>
      <w:r>
        <w:rPr>
          <w:rFonts w:ascii="Times New Roman" w:hAnsi="Times New Roman" w:eastAsiaTheme="minorEastAsia"/>
        </w:rPr>
        <w:t xml:space="preserve"> </w:t>
      </w:r>
      <w:r>
        <w:rPr>
          <w:rFonts w:ascii="Times New Roman" w:hAnsiTheme="minorEastAsia" w:eastAsiaTheme="minorEastAsia"/>
        </w:rPr>
        <w:t>中建设用地第二类用地的土壤污染风险筛选值。井田内农用地执行《土壤环境质量</w:t>
      </w:r>
      <w:r>
        <w:rPr>
          <w:rFonts w:ascii="Times New Roman" w:hAnsi="Times New Roman" w:eastAsiaTheme="minorEastAsia"/>
        </w:rPr>
        <w:t xml:space="preserve"> </w:t>
      </w:r>
      <w:r>
        <w:rPr>
          <w:rFonts w:hint="eastAsia" w:ascii="Times New Roman" w:hAnsiTheme="minorEastAsia" w:eastAsiaTheme="minorEastAsia"/>
        </w:rPr>
        <w:t>农用</w:t>
      </w:r>
      <w:r>
        <w:rPr>
          <w:rFonts w:ascii="Times New Roman" w:hAnsiTheme="minorEastAsia" w:eastAsiaTheme="minorEastAsia"/>
        </w:rPr>
        <w:t>地土壤污染风险管控标准（试行）》（</w:t>
      </w:r>
      <w:r>
        <w:rPr>
          <w:rFonts w:ascii="Times New Roman" w:hAnsi="Times New Roman" w:eastAsiaTheme="minorEastAsia"/>
        </w:rPr>
        <w:t>GB15618-2018</w:t>
      </w:r>
      <w:r>
        <w:rPr>
          <w:rFonts w:ascii="Times New Roman" w:hAnsiTheme="minorEastAsia" w:eastAsiaTheme="minorEastAsia"/>
        </w:rPr>
        <w:t>）</w:t>
      </w:r>
      <w:r>
        <w:rPr>
          <w:rFonts w:ascii="Times New Roman" w:hAnsi="Times New Roman" w:eastAsiaTheme="minorEastAsia"/>
        </w:rPr>
        <w:t xml:space="preserve"> </w:t>
      </w:r>
      <w:r>
        <w:rPr>
          <w:rFonts w:ascii="Times New Roman" w:hAnsiTheme="minorEastAsia" w:eastAsiaTheme="minorEastAsia"/>
        </w:rPr>
        <w:t>中农用地其他用地的土壤污染风险筛选值。</w:t>
      </w:r>
    </w:p>
    <w:p>
      <w:pPr>
        <w:pStyle w:val="39"/>
        <w:rPr>
          <w:rFonts w:ascii="Times New Roman" w:hAnsi="Times New Roman" w:eastAsiaTheme="minorEastAsia"/>
        </w:rPr>
      </w:pPr>
      <w:r>
        <w:rPr>
          <w:rFonts w:ascii="Times New Roman" w:hAnsi="Times New Roman" w:eastAsiaTheme="minorEastAsia"/>
        </w:rPr>
        <w:t>2</w:t>
      </w:r>
      <w:r>
        <w:rPr>
          <w:rFonts w:ascii="Times New Roman" w:hAnsiTheme="minorEastAsia" w:eastAsiaTheme="minorEastAsia"/>
        </w:rPr>
        <w:t>、污染物排放标准</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1</w:t>
      </w:r>
      <w:r>
        <w:rPr>
          <w:rFonts w:ascii="Times New Roman" w:hAnsiTheme="minorEastAsia" w:eastAsiaTheme="minorEastAsia"/>
        </w:rPr>
        <w:t>）废气</w:t>
      </w:r>
    </w:p>
    <w:p>
      <w:pPr>
        <w:pStyle w:val="39"/>
        <w:rPr>
          <w:rFonts w:ascii="Times New Roman" w:hAnsi="Times New Roman" w:eastAsiaTheme="minorEastAsia"/>
        </w:rPr>
      </w:pPr>
      <w:r>
        <w:rPr>
          <w:rFonts w:ascii="Times New Roman" w:eastAsiaTheme="minorEastAsia"/>
        </w:rPr>
        <w:t>锅炉烟气执行</w:t>
      </w:r>
      <w:r>
        <w:rPr>
          <w:rFonts w:hint="eastAsia" w:ascii="Times New Roman" w:hAnsiTheme="minorEastAsia" w:eastAsiaTheme="minorEastAsia"/>
        </w:rPr>
        <w:t>山西省地方标准</w:t>
      </w:r>
      <w:r>
        <w:rPr>
          <w:rFonts w:ascii="Times New Roman" w:eastAsiaTheme="minorEastAsia"/>
        </w:rPr>
        <w:t>《锅炉大气污染物排放标准》（</w:t>
      </w:r>
      <w:r>
        <w:rPr>
          <w:rFonts w:ascii="Times New Roman" w:hAnsi="Times New Roman" w:eastAsiaTheme="minorEastAsia"/>
        </w:rPr>
        <w:t>DB14/1929-2019</w:t>
      </w:r>
      <w:r>
        <w:rPr>
          <w:rFonts w:ascii="Times New Roman" w:eastAsiaTheme="minorEastAsia"/>
        </w:rPr>
        <w:t>）中表</w:t>
      </w:r>
      <w:r>
        <w:rPr>
          <w:rFonts w:ascii="Times New Roman" w:hAnsi="Times New Roman" w:eastAsiaTheme="minorEastAsia"/>
        </w:rPr>
        <w:t>3</w:t>
      </w:r>
      <w:r>
        <w:rPr>
          <w:rFonts w:ascii="Times New Roman" w:eastAsiaTheme="minorEastAsia"/>
        </w:rPr>
        <w:t>标准限值要求，具体见表</w:t>
      </w:r>
      <w:r>
        <w:rPr>
          <w:rFonts w:ascii="Times New Roman" w:hAnsi="Times New Roman" w:eastAsiaTheme="minorEastAsia"/>
        </w:rPr>
        <w:t>2.4-7</w:t>
      </w:r>
      <w:r>
        <w:rPr>
          <w:rFonts w:ascii="Times New Roman" w:eastAsiaTheme="minorEastAsia"/>
        </w:rPr>
        <w:t>；</w:t>
      </w:r>
      <w:r>
        <w:rPr>
          <w:rFonts w:ascii="Times New Roman" w:hAnsiTheme="minorEastAsia" w:eastAsiaTheme="minorEastAsia"/>
        </w:rPr>
        <w:t>破碎筛分车间废气、储煤场颗粒物</w:t>
      </w:r>
      <w:r>
        <w:rPr>
          <w:rFonts w:hint="eastAsia" w:ascii="Times New Roman" w:hAnsiTheme="minorEastAsia" w:eastAsiaTheme="minorEastAsia"/>
        </w:rPr>
        <w:t>无组织</w:t>
      </w:r>
      <w:r>
        <w:rPr>
          <w:rFonts w:ascii="Times New Roman" w:hAnsiTheme="minorEastAsia" w:eastAsiaTheme="minorEastAsia"/>
        </w:rPr>
        <w:t>排放执行</w:t>
      </w:r>
      <w:r>
        <w:rPr>
          <w:rFonts w:hint="eastAsia" w:ascii="Times New Roman" w:hAnsiTheme="minorEastAsia" w:eastAsiaTheme="minorEastAsia"/>
        </w:rPr>
        <w:t>山西省地方标准</w:t>
      </w:r>
      <w:r>
        <w:rPr>
          <w:rFonts w:ascii="Times New Roman" w:hAnsiTheme="minorEastAsia" w:eastAsiaTheme="minorEastAsia"/>
        </w:rPr>
        <w:t>《煤炭</w:t>
      </w:r>
      <w:r>
        <w:rPr>
          <w:rFonts w:hint="eastAsia" w:ascii="Times New Roman" w:hAnsiTheme="minorEastAsia" w:eastAsiaTheme="minorEastAsia"/>
        </w:rPr>
        <w:t>洗选行业</w:t>
      </w:r>
      <w:r>
        <w:rPr>
          <w:rFonts w:ascii="Times New Roman" w:hAnsiTheme="minorEastAsia" w:eastAsiaTheme="minorEastAsia"/>
        </w:rPr>
        <w:t>污染物排放标准》（</w:t>
      </w:r>
      <w:r>
        <w:rPr>
          <w:rFonts w:hint="eastAsia" w:ascii="Times New Roman" w:hAnsi="Times New Roman" w:eastAsiaTheme="minorEastAsia"/>
        </w:rPr>
        <w:t>DB14/2270</w:t>
      </w:r>
      <w:r>
        <w:rPr>
          <w:rFonts w:ascii="Times New Roman" w:hAnsi="Times New Roman" w:eastAsiaTheme="minorEastAsia"/>
        </w:rPr>
        <w:t>-20</w:t>
      </w:r>
      <w:r>
        <w:rPr>
          <w:rFonts w:hint="eastAsia" w:ascii="Times New Roman" w:hAnsi="Times New Roman" w:eastAsiaTheme="minorEastAsia"/>
        </w:rPr>
        <w:t>21</w:t>
      </w:r>
      <w:r>
        <w:rPr>
          <w:rFonts w:ascii="Times New Roman" w:hAnsiTheme="minorEastAsia" w:eastAsiaTheme="minorEastAsia"/>
        </w:rPr>
        <w:t>）排放限值标准。详见表</w:t>
      </w:r>
      <w:r>
        <w:rPr>
          <w:rFonts w:ascii="Times New Roman" w:hAnsi="Times New Roman" w:eastAsiaTheme="minorEastAsia"/>
        </w:rPr>
        <w:t>2.4-</w:t>
      </w:r>
      <w:r>
        <w:rPr>
          <w:rFonts w:hint="eastAsia" w:ascii="Times New Roman" w:hAnsi="Times New Roman" w:eastAsiaTheme="minorEastAsia"/>
        </w:rPr>
        <w:t>8</w:t>
      </w:r>
      <w:r>
        <w:rPr>
          <w:rFonts w:ascii="Times New Roman" w:hAnsiTheme="minorEastAsia" w:eastAsiaTheme="minorEastAsia"/>
        </w:rPr>
        <w:t>。</w:t>
      </w:r>
    </w:p>
    <w:p>
      <w:pPr>
        <w:widowControl/>
        <w:spacing w:line="360" w:lineRule="auto"/>
        <w:jc w:val="center"/>
        <w:rPr>
          <w:rFonts w:eastAsiaTheme="minorEastAsia"/>
          <w:b/>
          <w:spacing w:val="2"/>
          <w:szCs w:val="21"/>
        </w:rPr>
      </w:pPr>
      <w:r>
        <w:rPr>
          <w:rFonts w:hint="eastAsia" w:eastAsiaTheme="minorEastAsia"/>
          <w:b/>
          <w:spacing w:val="2"/>
          <w:szCs w:val="21"/>
        </w:rPr>
        <w:t>表</w:t>
      </w:r>
      <w:r>
        <w:rPr>
          <w:rFonts w:eastAsiaTheme="minorEastAsia"/>
          <w:b/>
          <w:spacing w:val="2"/>
          <w:szCs w:val="21"/>
        </w:rPr>
        <w:t>2.4-7</w:t>
      </w:r>
      <w:r>
        <w:rPr>
          <w:rFonts w:hint="eastAsia" w:eastAsiaTheme="minorEastAsia"/>
          <w:b/>
          <w:spacing w:val="2"/>
          <w:szCs w:val="21"/>
        </w:rPr>
        <w:t>《锅炉大气污染物排放标准》（</w:t>
      </w:r>
      <w:r>
        <w:rPr>
          <w:rFonts w:eastAsiaTheme="minorEastAsia"/>
          <w:b/>
          <w:spacing w:val="2"/>
          <w:szCs w:val="21"/>
        </w:rPr>
        <w:t>DB14/1929-2019</w:t>
      </w:r>
      <w:r>
        <w:rPr>
          <w:rFonts w:hint="eastAsia" w:eastAsiaTheme="minorEastAsia"/>
          <w:b/>
          <w:spacing w:val="2"/>
          <w:szCs w:val="21"/>
        </w:rPr>
        <w:t>）</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2589"/>
        <w:gridCol w:w="2981"/>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op w:val="single" w:color="auto" w:sz="12" w:space="0"/>
              <w:left w:val="single" w:color="auto" w:sz="12" w:space="0"/>
              <w:bottom w:val="single" w:color="auto" w:sz="4" w:space="0"/>
              <w:right w:val="single" w:color="auto" w:sz="4" w:space="0"/>
            </w:tcBorders>
            <w:noWrap/>
            <w:vAlign w:val="center"/>
          </w:tcPr>
          <w:p>
            <w:pPr>
              <w:pStyle w:val="154"/>
              <w:adjustRightInd/>
              <w:snapToGrid w:val="0"/>
              <w:spacing w:before="0" w:after="0" w:line="300" w:lineRule="exact"/>
              <w:rPr>
                <w:sz w:val="21"/>
                <w:szCs w:val="21"/>
              </w:rPr>
            </w:pPr>
            <w:r>
              <w:rPr>
                <w:rFonts w:hint="eastAsia"/>
                <w:sz w:val="21"/>
                <w:szCs w:val="21"/>
              </w:rPr>
              <w:t>锅炉类型</w:t>
            </w:r>
          </w:p>
        </w:tc>
        <w:tc>
          <w:tcPr>
            <w:tcW w:w="1394" w:type="pct"/>
            <w:tcBorders>
              <w:top w:val="single" w:color="auto" w:sz="12" w:space="0"/>
              <w:left w:val="single" w:color="auto" w:sz="4" w:space="0"/>
              <w:bottom w:val="single" w:color="auto" w:sz="4" w:space="0"/>
              <w:right w:val="single" w:color="auto" w:sz="4" w:space="0"/>
            </w:tcBorders>
            <w:noWrap/>
            <w:vAlign w:val="center"/>
          </w:tcPr>
          <w:p>
            <w:pPr>
              <w:pStyle w:val="154"/>
              <w:adjustRightInd/>
              <w:snapToGrid w:val="0"/>
              <w:spacing w:before="0" w:after="0" w:line="300" w:lineRule="exact"/>
              <w:rPr>
                <w:sz w:val="21"/>
                <w:szCs w:val="21"/>
              </w:rPr>
            </w:pPr>
            <w:r>
              <w:rPr>
                <w:rFonts w:hint="eastAsia"/>
                <w:sz w:val="21"/>
                <w:szCs w:val="21"/>
              </w:rPr>
              <w:t>污染物</w:t>
            </w:r>
          </w:p>
        </w:tc>
        <w:tc>
          <w:tcPr>
            <w:tcW w:w="1605" w:type="pct"/>
            <w:tcBorders>
              <w:top w:val="single" w:color="auto" w:sz="12" w:space="0"/>
              <w:left w:val="single" w:color="auto" w:sz="4" w:space="0"/>
              <w:bottom w:val="single" w:color="auto" w:sz="4" w:space="0"/>
              <w:right w:val="single" w:color="auto" w:sz="4" w:space="0"/>
            </w:tcBorders>
            <w:noWrap/>
            <w:vAlign w:val="center"/>
          </w:tcPr>
          <w:p>
            <w:pPr>
              <w:pStyle w:val="154"/>
              <w:adjustRightInd/>
              <w:snapToGrid w:val="0"/>
              <w:spacing w:before="0" w:after="0" w:line="300" w:lineRule="exact"/>
              <w:rPr>
                <w:sz w:val="21"/>
                <w:szCs w:val="21"/>
              </w:rPr>
            </w:pPr>
            <w:r>
              <w:rPr>
                <w:rFonts w:hint="eastAsia"/>
                <w:sz w:val="21"/>
                <w:szCs w:val="21"/>
              </w:rPr>
              <w:t>浓度限值</w:t>
            </w:r>
          </w:p>
        </w:tc>
        <w:tc>
          <w:tcPr>
            <w:tcW w:w="1000" w:type="pct"/>
            <w:tcBorders>
              <w:top w:val="single" w:color="auto" w:sz="12" w:space="0"/>
              <w:left w:val="single" w:color="auto" w:sz="4" w:space="0"/>
              <w:bottom w:val="single" w:color="auto" w:sz="4" w:space="0"/>
              <w:right w:val="single" w:color="auto" w:sz="12" w:space="0"/>
            </w:tcBorders>
            <w:noWrap/>
            <w:vAlign w:val="center"/>
          </w:tcPr>
          <w:p>
            <w:pPr>
              <w:pStyle w:val="154"/>
              <w:adjustRightInd/>
              <w:snapToGrid w:val="0"/>
              <w:spacing w:before="0" w:after="0" w:line="300" w:lineRule="exact"/>
              <w:rPr>
                <w:sz w:val="21"/>
                <w:szCs w:val="21"/>
              </w:rPr>
            </w:pPr>
            <w:r>
              <w:rPr>
                <w:rFonts w:hint="eastAsia"/>
                <w:sz w:val="21"/>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restart"/>
            <w:tcBorders>
              <w:top w:val="single" w:color="auto" w:sz="4" w:space="0"/>
              <w:left w:val="single" w:color="auto" w:sz="12" w:space="0"/>
              <w:bottom w:val="single" w:color="auto" w:sz="12" w:space="0"/>
              <w:right w:val="single" w:color="auto" w:sz="4" w:space="0"/>
            </w:tcBorders>
            <w:noWrap/>
            <w:vAlign w:val="center"/>
          </w:tcPr>
          <w:p>
            <w:pPr>
              <w:pStyle w:val="154"/>
              <w:adjustRightInd/>
              <w:snapToGrid w:val="0"/>
              <w:spacing w:before="0" w:after="0" w:line="300" w:lineRule="exact"/>
              <w:rPr>
                <w:sz w:val="21"/>
                <w:szCs w:val="21"/>
              </w:rPr>
            </w:pPr>
            <w:r>
              <w:rPr>
                <w:rFonts w:hint="eastAsia"/>
                <w:sz w:val="21"/>
                <w:szCs w:val="21"/>
              </w:rPr>
              <w:t>新建燃气锅炉</w:t>
            </w:r>
          </w:p>
        </w:tc>
        <w:tc>
          <w:tcPr>
            <w:tcW w:w="1394" w:type="pct"/>
            <w:tcBorders>
              <w:top w:val="single" w:color="auto" w:sz="4" w:space="0"/>
              <w:left w:val="single" w:color="auto" w:sz="4" w:space="0"/>
              <w:bottom w:val="single" w:color="auto" w:sz="4" w:space="0"/>
              <w:right w:val="single" w:color="auto" w:sz="4" w:space="0"/>
            </w:tcBorders>
            <w:noWrap/>
            <w:vAlign w:val="center"/>
          </w:tcPr>
          <w:p>
            <w:pPr>
              <w:pStyle w:val="154"/>
              <w:adjustRightInd/>
              <w:snapToGrid w:val="0"/>
              <w:spacing w:before="0" w:after="0" w:line="300" w:lineRule="exact"/>
              <w:rPr>
                <w:sz w:val="21"/>
                <w:szCs w:val="21"/>
              </w:rPr>
            </w:pPr>
            <w:r>
              <w:rPr>
                <w:rFonts w:hint="eastAsia"/>
                <w:sz w:val="21"/>
                <w:szCs w:val="21"/>
              </w:rPr>
              <w:t>颗粒物</w:t>
            </w:r>
          </w:p>
        </w:tc>
        <w:tc>
          <w:tcPr>
            <w:tcW w:w="1605" w:type="pct"/>
            <w:tcBorders>
              <w:top w:val="single" w:color="auto" w:sz="4" w:space="0"/>
              <w:left w:val="single" w:color="auto" w:sz="4" w:space="0"/>
              <w:bottom w:val="single" w:color="auto" w:sz="4" w:space="0"/>
              <w:right w:val="single" w:color="auto" w:sz="4" w:space="0"/>
            </w:tcBorders>
            <w:noWrap/>
            <w:vAlign w:val="center"/>
          </w:tcPr>
          <w:p>
            <w:pPr>
              <w:pStyle w:val="154"/>
              <w:adjustRightInd/>
              <w:snapToGrid w:val="0"/>
              <w:spacing w:before="0" w:after="0" w:line="300" w:lineRule="exact"/>
              <w:rPr>
                <w:sz w:val="21"/>
                <w:szCs w:val="21"/>
              </w:rPr>
            </w:pPr>
            <w:r>
              <w:rPr>
                <w:sz w:val="21"/>
                <w:szCs w:val="21"/>
              </w:rPr>
              <w:t>5</w:t>
            </w:r>
          </w:p>
        </w:tc>
        <w:tc>
          <w:tcPr>
            <w:tcW w:w="1000" w:type="pct"/>
            <w:vMerge w:val="restart"/>
            <w:tcBorders>
              <w:top w:val="single" w:color="auto" w:sz="4" w:space="0"/>
              <w:left w:val="single" w:color="auto" w:sz="4" w:space="0"/>
              <w:bottom w:val="single" w:color="auto" w:sz="12" w:space="0"/>
              <w:right w:val="single" w:color="auto" w:sz="12" w:space="0"/>
            </w:tcBorders>
            <w:noWrap/>
            <w:vAlign w:val="center"/>
          </w:tcPr>
          <w:p>
            <w:pPr>
              <w:pStyle w:val="154"/>
              <w:adjustRightInd/>
              <w:snapToGrid w:val="0"/>
              <w:spacing w:before="0" w:after="0" w:line="300" w:lineRule="exact"/>
              <w:rPr>
                <w:sz w:val="21"/>
                <w:szCs w:val="21"/>
              </w:rPr>
            </w:pPr>
            <w:r>
              <w:rPr>
                <w:sz w:val="21"/>
                <w:szCs w:val="21"/>
                <w:lang w:val="zh-CN"/>
              </w:rPr>
              <w:t>mg/</w:t>
            </w:r>
            <w:r>
              <w:rPr>
                <w:sz w:val="21"/>
                <w:szCs w:val="21"/>
              </w:rPr>
              <w:t>m</w:t>
            </w:r>
            <w:r>
              <w:rPr>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12" w:space="0"/>
              <w:right w:val="single" w:color="auto" w:sz="4" w:space="0"/>
            </w:tcBorders>
            <w:vAlign w:val="center"/>
          </w:tcPr>
          <w:p>
            <w:pPr>
              <w:widowControl/>
              <w:jc w:val="left"/>
              <w:rPr>
                <w:kern w:val="0"/>
                <w:sz w:val="21"/>
                <w:szCs w:val="21"/>
              </w:rPr>
            </w:pPr>
          </w:p>
        </w:tc>
        <w:tc>
          <w:tcPr>
            <w:tcW w:w="1394" w:type="pct"/>
            <w:tcBorders>
              <w:top w:val="single" w:color="auto" w:sz="4" w:space="0"/>
              <w:left w:val="single" w:color="auto" w:sz="4" w:space="0"/>
              <w:bottom w:val="single" w:color="auto" w:sz="4" w:space="0"/>
              <w:right w:val="single" w:color="auto" w:sz="4" w:space="0"/>
            </w:tcBorders>
            <w:noWrap/>
            <w:vAlign w:val="center"/>
          </w:tcPr>
          <w:p>
            <w:pPr>
              <w:pStyle w:val="154"/>
              <w:adjustRightInd/>
              <w:snapToGrid w:val="0"/>
              <w:spacing w:before="0" w:after="0" w:line="300" w:lineRule="exact"/>
              <w:rPr>
                <w:sz w:val="21"/>
                <w:szCs w:val="21"/>
              </w:rPr>
            </w:pPr>
            <w:r>
              <w:rPr>
                <w:rFonts w:hint="eastAsia"/>
                <w:sz w:val="21"/>
                <w:szCs w:val="21"/>
              </w:rPr>
              <w:t>二氧化硫</w:t>
            </w:r>
          </w:p>
        </w:tc>
        <w:tc>
          <w:tcPr>
            <w:tcW w:w="1605" w:type="pct"/>
            <w:tcBorders>
              <w:top w:val="single" w:color="auto" w:sz="4" w:space="0"/>
              <w:left w:val="single" w:color="auto" w:sz="4" w:space="0"/>
              <w:bottom w:val="single" w:color="auto" w:sz="4" w:space="0"/>
              <w:right w:val="single" w:color="auto" w:sz="4" w:space="0"/>
            </w:tcBorders>
            <w:noWrap/>
            <w:vAlign w:val="center"/>
          </w:tcPr>
          <w:p>
            <w:pPr>
              <w:pStyle w:val="154"/>
              <w:adjustRightInd/>
              <w:snapToGrid w:val="0"/>
              <w:spacing w:before="0" w:after="0" w:line="300" w:lineRule="exact"/>
              <w:rPr>
                <w:sz w:val="21"/>
                <w:szCs w:val="21"/>
              </w:rPr>
            </w:pPr>
            <w:r>
              <w:rPr>
                <w:sz w:val="21"/>
                <w:szCs w:val="21"/>
              </w:rPr>
              <w:t>35</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12" w:space="0"/>
              <w:right w:val="single" w:color="auto" w:sz="4" w:space="0"/>
            </w:tcBorders>
            <w:vAlign w:val="center"/>
          </w:tcPr>
          <w:p>
            <w:pPr>
              <w:widowControl/>
              <w:jc w:val="left"/>
              <w:rPr>
                <w:kern w:val="0"/>
                <w:sz w:val="21"/>
                <w:szCs w:val="21"/>
              </w:rPr>
            </w:pPr>
          </w:p>
        </w:tc>
        <w:tc>
          <w:tcPr>
            <w:tcW w:w="1394" w:type="pct"/>
            <w:tcBorders>
              <w:top w:val="single" w:color="auto" w:sz="4" w:space="0"/>
              <w:left w:val="single" w:color="auto" w:sz="4" w:space="0"/>
              <w:bottom w:val="single" w:color="auto" w:sz="4" w:space="0"/>
              <w:right w:val="single" w:color="auto" w:sz="4" w:space="0"/>
            </w:tcBorders>
            <w:noWrap/>
            <w:vAlign w:val="center"/>
          </w:tcPr>
          <w:p>
            <w:pPr>
              <w:pStyle w:val="154"/>
              <w:adjustRightInd/>
              <w:snapToGrid w:val="0"/>
              <w:spacing w:before="0" w:after="0" w:line="300" w:lineRule="exact"/>
              <w:rPr>
                <w:sz w:val="21"/>
                <w:szCs w:val="21"/>
              </w:rPr>
            </w:pPr>
            <w:r>
              <w:rPr>
                <w:rFonts w:hint="eastAsia"/>
                <w:sz w:val="21"/>
                <w:szCs w:val="21"/>
              </w:rPr>
              <w:t>氮氧化物</w:t>
            </w:r>
          </w:p>
        </w:tc>
        <w:tc>
          <w:tcPr>
            <w:tcW w:w="1605" w:type="pct"/>
            <w:tcBorders>
              <w:top w:val="single" w:color="auto" w:sz="4" w:space="0"/>
              <w:left w:val="single" w:color="auto" w:sz="4" w:space="0"/>
              <w:bottom w:val="single" w:color="auto" w:sz="4" w:space="0"/>
              <w:right w:val="single" w:color="auto" w:sz="4" w:space="0"/>
            </w:tcBorders>
            <w:noWrap/>
            <w:vAlign w:val="center"/>
          </w:tcPr>
          <w:p>
            <w:pPr>
              <w:pStyle w:val="154"/>
              <w:adjustRightInd/>
              <w:snapToGrid w:val="0"/>
              <w:spacing w:before="0" w:after="0" w:line="300" w:lineRule="exact"/>
              <w:rPr>
                <w:sz w:val="21"/>
                <w:szCs w:val="21"/>
              </w:rPr>
            </w:pPr>
            <w:r>
              <w:rPr>
                <w:sz w:val="21"/>
                <w:szCs w:val="21"/>
              </w:rPr>
              <w:t>50</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pPr>
              <w:widowControl/>
              <w:jc w:val="left"/>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12" w:space="0"/>
              <w:right w:val="single" w:color="auto" w:sz="4" w:space="0"/>
            </w:tcBorders>
            <w:vAlign w:val="center"/>
          </w:tcPr>
          <w:p>
            <w:pPr>
              <w:widowControl/>
              <w:jc w:val="left"/>
              <w:rPr>
                <w:kern w:val="0"/>
                <w:sz w:val="21"/>
                <w:szCs w:val="21"/>
              </w:rPr>
            </w:pPr>
          </w:p>
        </w:tc>
        <w:tc>
          <w:tcPr>
            <w:tcW w:w="1394" w:type="pct"/>
            <w:tcBorders>
              <w:top w:val="single" w:color="auto" w:sz="4" w:space="0"/>
              <w:left w:val="single" w:color="auto" w:sz="4" w:space="0"/>
              <w:bottom w:val="single" w:color="auto" w:sz="12" w:space="0"/>
              <w:right w:val="single" w:color="auto" w:sz="4" w:space="0"/>
            </w:tcBorders>
            <w:noWrap/>
            <w:vAlign w:val="center"/>
          </w:tcPr>
          <w:p>
            <w:pPr>
              <w:pStyle w:val="154"/>
              <w:adjustRightInd/>
              <w:snapToGrid w:val="0"/>
              <w:spacing w:before="0" w:after="0" w:line="300" w:lineRule="exact"/>
              <w:rPr>
                <w:sz w:val="21"/>
                <w:szCs w:val="21"/>
              </w:rPr>
            </w:pPr>
            <w:r>
              <w:rPr>
                <w:rFonts w:hint="eastAsia"/>
                <w:sz w:val="21"/>
                <w:szCs w:val="21"/>
              </w:rPr>
              <w:t>烟气黑度</w:t>
            </w:r>
          </w:p>
        </w:tc>
        <w:tc>
          <w:tcPr>
            <w:tcW w:w="1605" w:type="pct"/>
            <w:tcBorders>
              <w:top w:val="single" w:color="auto" w:sz="4" w:space="0"/>
              <w:left w:val="single" w:color="auto" w:sz="4" w:space="0"/>
              <w:bottom w:val="single" w:color="auto" w:sz="12" w:space="0"/>
              <w:right w:val="single" w:color="auto" w:sz="4" w:space="0"/>
            </w:tcBorders>
            <w:noWrap/>
            <w:vAlign w:val="center"/>
          </w:tcPr>
          <w:p>
            <w:pPr>
              <w:pStyle w:val="154"/>
              <w:adjustRightInd/>
              <w:snapToGrid w:val="0"/>
              <w:spacing w:before="0" w:after="0" w:line="300" w:lineRule="exact"/>
              <w:rPr>
                <w:sz w:val="21"/>
                <w:szCs w:val="21"/>
              </w:rPr>
            </w:pPr>
            <w:r>
              <w:rPr>
                <w:sz w:val="21"/>
                <w:szCs w:val="21"/>
              </w:rPr>
              <w:t>≤1</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pPr>
              <w:widowControl/>
              <w:jc w:val="left"/>
              <w:rPr>
                <w:kern w:val="0"/>
                <w:sz w:val="21"/>
                <w:szCs w:val="21"/>
              </w:rPr>
            </w:pPr>
          </w:p>
        </w:tc>
      </w:tr>
    </w:tbl>
    <w:p>
      <w:pPr>
        <w:pStyle w:val="96"/>
        <w:adjustRightInd/>
        <w:snapToGrid/>
        <w:spacing w:beforeLines="0" w:line="360" w:lineRule="auto"/>
        <w:rPr>
          <w:rFonts w:ascii="Times New Roman" w:hAnsi="Times New Roman" w:cs="Times New Roman"/>
        </w:rPr>
      </w:pPr>
      <w:r>
        <w:rPr>
          <w:rFonts w:ascii="Times New Roman" w:cs="Times New Roman" w:hAnsiTheme="minorEastAsia"/>
        </w:rPr>
        <w:t>表</w:t>
      </w:r>
      <w:r>
        <w:rPr>
          <w:rFonts w:ascii="Times New Roman" w:hAnsi="Times New Roman" w:cs="Times New Roman"/>
        </w:rPr>
        <w:t>2.4-</w:t>
      </w:r>
      <w:r>
        <w:rPr>
          <w:rFonts w:hint="eastAsia" w:ascii="Times New Roman" w:hAnsi="Times New Roman" w:cs="Times New Roman"/>
        </w:rPr>
        <w:t>8</w:t>
      </w:r>
      <w:r>
        <w:rPr>
          <w:rFonts w:ascii="Times New Roman" w:hAnsiTheme="minorEastAsia"/>
        </w:rPr>
        <w:t>煤炭</w:t>
      </w:r>
      <w:r>
        <w:rPr>
          <w:rFonts w:hint="eastAsia" w:ascii="Times New Roman" w:hAnsiTheme="minorEastAsia"/>
        </w:rPr>
        <w:t>洗选行业</w:t>
      </w:r>
      <w:r>
        <w:rPr>
          <w:rFonts w:ascii="Times New Roman" w:hAnsiTheme="minorEastAsia"/>
        </w:rPr>
        <w:t>污染物排放标准</w:t>
      </w:r>
      <w:r>
        <w:rPr>
          <w:rFonts w:ascii="Times New Roman" w:cs="Times New Roman" w:hAnsiTheme="minorEastAsia"/>
        </w:rPr>
        <w:t>（</w:t>
      </w:r>
      <w:r>
        <w:rPr>
          <w:rFonts w:hint="eastAsia" w:ascii="Times New Roman" w:hAnsi="Times New Roman" w:cs="Times New Roman"/>
        </w:rPr>
        <w:t>D</w:t>
      </w:r>
      <w:r>
        <w:rPr>
          <w:rFonts w:ascii="Times New Roman" w:hAnsi="Times New Roman" w:cs="Times New Roman"/>
        </w:rPr>
        <w:t>B</w:t>
      </w:r>
      <w:r>
        <w:rPr>
          <w:rFonts w:hint="eastAsia" w:ascii="Times New Roman" w:hAnsi="Times New Roman"/>
        </w:rPr>
        <w:t>14/2270</w:t>
      </w:r>
      <w:r>
        <w:rPr>
          <w:rFonts w:ascii="Times New Roman" w:hAnsi="Times New Roman"/>
        </w:rPr>
        <w:t>-20</w:t>
      </w:r>
      <w:r>
        <w:rPr>
          <w:rFonts w:hint="eastAsia" w:ascii="Times New Roman" w:hAnsi="Times New Roman"/>
        </w:rPr>
        <w:t>21</w:t>
      </w:r>
      <w:r>
        <w:rPr>
          <w:rFonts w:ascii="Times New Roman" w:cs="Times New Roman" w:hAnsiTheme="minorEastAsia"/>
        </w:rPr>
        <w:t>）</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7"/>
        <w:gridCol w:w="1801"/>
        <w:gridCol w:w="2877"/>
        <w:gridCol w:w="30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9" w:hRule="atLeast"/>
          <w:jc w:val="center"/>
        </w:trPr>
        <w:tc>
          <w:tcPr>
            <w:tcW w:w="822" w:type="pct"/>
            <w:vMerge w:val="restart"/>
            <w:vAlign w:val="center"/>
          </w:tcPr>
          <w:p>
            <w:pPr>
              <w:pStyle w:val="90"/>
              <w:rPr>
                <w:rFonts w:ascii="Times New Roman" w:hAnsi="Times New Roman" w:cs="Times New Roman"/>
              </w:rPr>
            </w:pPr>
            <w:r>
              <w:rPr>
                <w:rFonts w:ascii="Times New Roman" w:cs="Times New Roman" w:hAnsiTheme="minorEastAsia"/>
              </w:rPr>
              <w:t>类别</w:t>
            </w:r>
          </w:p>
        </w:tc>
        <w:tc>
          <w:tcPr>
            <w:tcW w:w="970" w:type="pct"/>
            <w:vMerge w:val="restart"/>
            <w:vAlign w:val="center"/>
          </w:tcPr>
          <w:p>
            <w:pPr>
              <w:pStyle w:val="90"/>
              <w:rPr>
                <w:rFonts w:ascii="Times New Roman" w:hAnsi="Times New Roman" w:cs="Times New Roman"/>
              </w:rPr>
            </w:pPr>
            <w:r>
              <w:rPr>
                <w:rFonts w:ascii="Times New Roman" w:cs="Times New Roman" w:hAnsiTheme="minorEastAsia"/>
              </w:rPr>
              <w:t>污染物</w:t>
            </w:r>
          </w:p>
        </w:tc>
        <w:tc>
          <w:tcPr>
            <w:tcW w:w="3208" w:type="pct"/>
            <w:gridSpan w:val="2"/>
            <w:vAlign w:val="center"/>
          </w:tcPr>
          <w:p>
            <w:pPr>
              <w:pStyle w:val="90"/>
              <w:rPr>
                <w:rFonts w:ascii="Times New Roman" w:hAnsi="Times New Roman" w:cs="Times New Roman"/>
              </w:rPr>
            </w:pPr>
            <w:r>
              <w:rPr>
                <w:rFonts w:hint="eastAsia" w:ascii="Times New Roman" w:hAnsi="Times New Roman" w:cs="Times New Roman"/>
              </w:rPr>
              <w:t>生产设备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9" w:hRule="atLeast"/>
          <w:jc w:val="center"/>
        </w:trPr>
        <w:tc>
          <w:tcPr>
            <w:tcW w:w="822" w:type="pct"/>
            <w:vMerge w:val="continue"/>
            <w:vAlign w:val="center"/>
          </w:tcPr>
          <w:p>
            <w:pPr>
              <w:pStyle w:val="90"/>
              <w:rPr>
                <w:rFonts w:ascii="Times New Roman" w:cs="Times New Roman" w:hAnsiTheme="minorEastAsia"/>
              </w:rPr>
            </w:pPr>
          </w:p>
        </w:tc>
        <w:tc>
          <w:tcPr>
            <w:tcW w:w="970" w:type="pct"/>
            <w:vMerge w:val="continue"/>
            <w:vAlign w:val="center"/>
          </w:tcPr>
          <w:p>
            <w:pPr>
              <w:pStyle w:val="90"/>
              <w:rPr>
                <w:rFonts w:ascii="Times New Roman" w:cs="Times New Roman" w:hAnsiTheme="minorEastAsia"/>
              </w:rPr>
            </w:pPr>
          </w:p>
        </w:tc>
        <w:tc>
          <w:tcPr>
            <w:tcW w:w="3208" w:type="pct"/>
            <w:gridSpan w:val="2"/>
            <w:vAlign w:val="center"/>
          </w:tcPr>
          <w:p>
            <w:pPr>
              <w:pStyle w:val="90"/>
              <w:rPr>
                <w:rFonts w:ascii="Times New Roman" w:cs="Times New Roman" w:hAnsiTheme="minorEastAsia"/>
              </w:rPr>
            </w:pPr>
            <w:r>
              <w:rPr>
                <w:rFonts w:ascii="Times New Roman" w:cs="Times New Roman" w:hAnsiTheme="minorEastAsia"/>
              </w:rPr>
              <w:t>原煤筛分、破碎、转载点等除尘设备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9" w:hRule="atLeast"/>
          <w:jc w:val="center"/>
        </w:trPr>
        <w:tc>
          <w:tcPr>
            <w:tcW w:w="822" w:type="pct"/>
            <w:vAlign w:val="center"/>
          </w:tcPr>
          <w:p>
            <w:pPr>
              <w:pStyle w:val="90"/>
              <w:rPr>
                <w:rFonts w:ascii="Times New Roman" w:hAnsi="Times New Roman" w:cs="Times New Roman"/>
              </w:rPr>
            </w:pPr>
            <w:r>
              <w:rPr>
                <w:rFonts w:hint="eastAsia" w:ascii="Times New Roman" w:cs="Times New Roman" w:hAnsiTheme="minorEastAsia"/>
              </w:rPr>
              <w:t>有组织大气污染物</w:t>
            </w:r>
          </w:p>
        </w:tc>
        <w:tc>
          <w:tcPr>
            <w:tcW w:w="970" w:type="pct"/>
            <w:vAlign w:val="center"/>
          </w:tcPr>
          <w:p>
            <w:pPr>
              <w:pStyle w:val="90"/>
              <w:rPr>
                <w:rFonts w:ascii="Times New Roman" w:hAnsi="Times New Roman" w:cs="Times New Roman"/>
              </w:rPr>
            </w:pPr>
            <w:r>
              <w:rPr>
                <w:rFonts w:ascii="Times New Roman" w:cs="Times New Roman" w:hAnsiTheme="minorEastAsia"/>
              </w:rPr>
              <w:t>颗粒物</w:t>
            </w:r>
          </w:p>
        </w:tc>
        <w:tc>
          <w:tcPr>
            <w:tcW w:w="3208" w:type="pct"/>
            <w:gridSpan w:val="2"/>
            <w:vAlign w:val="center"/>
          </w:tcPr>
          <w:p>
            <w:pPr>
              <w:pStyle w:val="90"/>
              <w:rPr>
                <w:rFonts w:ascii="Times New Roman" w:hAnsi="Times New Roman" w:cs="Times New Roman"/>
              </w:rPr>
            </w:pPr>
            <w:r>
              <w:rPr>
                <w:rFonts w:hint="eastAsia" w:ascii="Times New Roman" w:hAnsi="Times New Roman" w:cs="Times New Roman"/>
              </w:rPr>
              <w:t>20</w:t>
            </w:r>
            <w:r>
              <w:rPr>
                <w:rFonts w:ascii="Times New Roman" w:hAnsi="Times New Roman" w:cs="Times New Roman"/>
              </w:rPr>
              <w:t>mg/Nm</w:t>
            </w:r>
            <w:r>
              <w:rPr>
                <w:rFonts w:ascii="Times New Roman" w:hAnsi="Times New Roman" w:cs="Times New Roman"/>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9" w:hRule="atLeast"/>
          <w:jc w:val="center"/>
        </w:trPr>
        <w:tc>
          <w:tcPr>
            <w:tcW w:w="822" w:type="pct"/>
            <w:vAlign w:val="center"/>
          </w:tcPr>
          <w:p>
            <w:pPr>
              <w:pStyle w:val="90"/>
              <w:rPr>
                <w:rFonts w:ascii="Times New Roman" w:hAnsi="Times New Roman" w:cs="Times New Roman"/>
              </w:rPr>
            </w:pPr>
            <w:r>
              <w:rPr>
                <w:rFonts w:ascii="Times New Roman" w:cs="Times New Roman" w:hAnsiTheme="minorEastAsia"/>
              </w:rPr>
              <w:t>类别</w:t>
            </w:r>
          </w:p>
        </w:tc>
        <w:tc>
          <w:tcPr>
            <w:tcW w:w="970" w:type="pct"/>
            <w:vAlign w:val="center"/>
          </w:tcPr>
          <w:p>
            <w:pPr>
              <w:pStyle w:val="90"/>
              <w:rPr>
                <w:rFonts w:ascii="Times New Roman" w:hAnsi="Times New Roman" w:cs="Times New Roman"/>
              </w:rPr>
            </w:pPr>
            <w:r>
              <w:rPr>
                <w:rFonts w:ascii="Times New Roman" w:cs="Times New Roman" w:hAnsiTheme="minorEastAsia"/>
              </w:rPr>
              <w:t>污染物</w:t>
            </w:r>
          </w:p>
        </w:tc>
        <w:tc>
          <w:tcPr>
            <w:tcW w:w="1549" w:type="pct"/>
            <w:vAlign w:val="center"/>
          </w:tcPr>
          <w:p>
            <w:pPr>
              <w:pStyle w:val="90"/>
              <w:rPr>
                <w:rFonts w:ascii="Times New Roman" w:hAnsi="Times New Roman" w:cs="Times New Roman"/>
              </w:rPr>
            </w:pPr>
            <w:r>
              <w:rPr>
                <w:rFonts w:ascii="Times New Roman" w:cs="Times New Roman" w:hAnsiTheme="minorEastAsia"/>
              </w:rPr>
              <w:t>监控点</w:t>
            </w:r>
          </w:p>
        </w:tc>
        <w:tc>
          <w:tcPr>
            <w:tcW w:w="1659" w:type="pct"/>
            <w:vAlign w:val="center"/>
          </w:tcPr>
          <w:p>
            <w:pPr>
              <w:pStyle w:val="90"/>
              <w:rPr>
                <w:rFonts w:ascii="Times New Roman" w:cs="Times New Roman" w:hAnsiTheme="minorEastAsia"/>
              </w:rPr>
            </w:pPr>
            <w:r>
              <w:rPr>
                <w:rFonts w:hint="eastAsia" w:ascii="Times New Roman" w:cs="Times New Roman" w:hAnsiTheme="minorEastAsia"/>
              </w:rPr>
              <w:t>装卸场所、贮存场所</w:t>
            </w:r>
          </w:p>
          <w:p>
            <w:pPr>
              <w:pStyle w:val="90"/>
              <w:rPr>
                <w:rFonts w:ascii="Times New Roman" w:hAnsi="Times New Roman" w:cs="Times New Roman"/>
              </w:rPr>
            </w:pPr>
            <w:r>
              <w:rPr>
                <w:rFonts w:ascii="Times New Roman" w:cs="Times New Roman" w:hAnsiTheme="minorEastAsia"/>
              </w:rPr>
              <w:t>（监控点与参考点浓度差值）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9" w:hRule="atLeast"/>
          <w:jc w:val="center"/>
        </w:trPr>
        <w:tc>
          <w:tcPr>
            <w:tcW w:w="822" w:type="pct"/>
            <w:vAlign w:val="center"/>
          </w:tcPr>
          <w:p>
            <w:pPr>
              <w:jc w:val="center"/>
              <w:rPr>
                <w:rFonts w:eastAsiaTheme="minorEastAsia"/>
              </w:rPr>
            </w:pPr>
            <w:r>
              <w:rPr>
                <w:rFonts w:hint="eastAsia" w:eastAsiaTheme="minorEastAsia"/>
              </w:rPr>
              <w:t>无组织大气污染物</w:t>
            </w:r>
          </w:p>
        </w:tc>
        <w:tc>
          <w:tcPr>
            <w:tcW w:w="970" w:type="pct"/>
            <w:vAlign w:val="center"/>
          </w:tcPr>
          <w:p>
            <w:pPr>
              <w:jc w:val="center"/>
              <w:rPr>
                <w:rFonts w:eastAsiaTheme="minorEastAsia"/>
              </w:rPr>
            </w:pPr>
            <w:r>
              <w:rPr>
                <w:rFonts w:hint="eastAsia" w:eastAsiaTheme="minorEastAsia"/>
              </w:rPr>
              <w:t>颗粒物</w:t>
            </w:r>
          </w:p>
        </w:tc>
        <w:tc>
          <w:tcPr>
            <w:tcW w:w="1549" w:type="pct"/>
            <w:vAlign w:val="center"/>
          </w:tcPr>
          <w:p>
            <w:pPr>
              <w:pStyle w:val="90"/>
              <w:rPr>
                <w:rFonts w:ascii="Times New Roman" w:hAnsi="Times New Roman" w:cs="Times New Roman"/>
              </w:rPr>
            </w:pPr>
            <w:r>
              <w:rPr>
                <w:rFonts w:hint="eastAsia" w:ascii="Times New Roman" w:cs="Times New Roman" w:hAnsiTheme="minorEastAsia"/>
              </w:rPr>
              <w:t>周界外浓度任意点</w:t>
            </w:r>
          </w:p>
        </w:tc>
        <w:tc>
          <w:tcPr>
            <w:tcW w:w="1659" w:type="pct"/>
            <w:vAlign w:val="center"/>
          </w:tcPr>
          <w:p>
            <w:pPr>
              <w:pStyle w:val="90"/>
              <w:rPr>
                <w:rFonts w:ascii="Times New Roman" w:hAnsi="Times New Roman" w:cs="Times New Roman"/>
              </w:rPr>
            </w:pPr>
            <w:r>
              <w:rPr>
                <w:rFonts w:hint="eastAsia" w:ascii="Times New Roman" w:cs="Times New Roman" w:hAnsiTheme="minorEastAsia"/>
              </w:rPr>
              <w:t>1.0</w:t>
            </w:r>
          </w:p>
        </w:tc>
      </w:tr>
    </w:tbl>
    <w:p>
      <w:pPr>
        <w:spacing w:line="360" w:lineRule="auto"/>
        <w:ind w:firstLine="480" w:firstLineChars="200"/>
        <w:rPr>
          <w:rFonts w:hAnsiTheme="minorEastAsia" w:eastAsiaTheme="minorEastAsia"/>
          <w:spacing w:val="4"/>
          <w:sz w:val="24"/>
        </w:rPr>
      </w:pPr>
      <w:r>
        <w:rPr>
          <w:rFonts w:hAnsiTheme="minorEastAsia" w:eastAsiaTheme="minorEastAsia"/>
          <w:sz w:val="24"/>
        </w:rPr>
        <w:t>（</w:t>
      </w:r>
      <w:r>
        <w:rPr>
          <w:rFonts w:eastAsiaTheme="minorEastAsia"/>
          <w:sz w:val="24"/>
        </w:rPr>
        <w:t>2</w:t>
      </w:r>
      <w:r>
        <w:rPr>
          <w:rFonts w:hAnsiTheme="minorEastAsia" w:eastAsiaTheme="minorEastAsia"/>
          <w:sz w:val="24"/>
        </w:rPr>
        <w:t>）</w:t>
      </w:r>
      <w:r>
        <w:rPr>
          <w:rFonts w:hAnsiTheme="minorEastAsia" w:eastAsiaTheme="minorEastAsia"/>
          <w:spacing w:val="4"/>
          <w:sz w:val="24"/>
        </w:rPr>
        <w:t>噪声</w:t>
      </w:r>
    </w:p>
    <w:p>
      <w:pPr>
        <w:spacing w:line="360" w:lineRule="auto"/>
        <w:ind w:firstLine="496" w:firstLineChars="200"/>
        <w:rPr>
          <w:rFonts w:eastAsiaTheme="minorEastAsia"/>
          <w:bCs/>
          <w:spacing w:val="4"/>
          <w:sz w:val="24"/>
        </w:rPr>
      </w:pPr>
      <w:r>
        <w:rPr>
          <w:rFonts w:hint="eastAsia" w:hAnsiTheme="minorEastAsia" w:eastAsiaTheme="minorEastAsia"/>
          <w:bCs/>
          <w:spacing w:val="4"/>
          <w:sz w:val="24"/>
        </w:rPr>
        <w:t>工业场地</w:t>
      </w:r>
      <w:r>
        <w:rPr>
          <w:rFonts w:hAnsiTheme="minorEastAsia" w:eastAsiaTheme="minorEastAsia"/>
          <w:bCs/>
          <w:spacing w:val="4"/>
          <w:sz w:val="24"/>
        </w:rPr>
        <w:t>厂界噪声执行《工业企业厂界环境噪声排放标准》（</w:t>
      </w:r>
      <w:r>
        <w:rPr>
          <w:rFonts w:eastAsiaTheme="minorEastAsia"/>
          <w:bCs/>
          <w:spacing w:val="4"/>
          <w:sz w:val="24"/>
        </w:rPr>
        <w:t>GB12348-2008</w:t>
      </w:r>
      <w:r>
        <w:rPr>
          <w:rFonts w:hAnsiTheme="minorEastAsia" w:eastAsiaTheme="minorEastAsia"/>
          <w:bCs/>
          <w:spacing w:val="4"/>
          <w:sz w:val="24"/>
        </w:rPr>
        <w:t>）</w:t>
      </w:r>
      <w:r>
        <w:rPr>
          <w:rFonts w:eastAsiaTheme="minorEastAsia"/>
          <w:bCs/>
          <w:spacing w:val="4"/>
          <w:sz w:val="24"/>
        </w:rPr>
        <w:t>2</w:t>
      </w:r>
      <w:r>
        <w:rPr>
          <w:rFonts w:hAnsiTheme="minorEastAsia" w:eastAsiaTheme="minorEastAsia"/>
          <w:bCs/>
          <w:spacing w:val="4"/>
          <w:sz w:val="24"/>
        </w:rPr>
        <w:t>类标准，见下表</w:t>
      </w:r>
      <w:r>
        <w:rPr>
          <w:rFonts w:eastAsiaTheme="minorEastAsia"/>
          <w:bCs/>
          <w:spacing w:val="4"/>
          <w:sz w:val="24"/>
        </w:rPr>
        <w:t>2.4-</w:t>
      </w:r>
      <w:r>
        <w:rPr>
          <w:rFonts w:hint="eastAsia" w:eastAsiaTheme="minorEastAsia"/>
          <w:bCs/>
          <w:spacing w:val="4"/>
          <w:sz w:val="24"/>
        </w:rPr>
        <w:t>9；</w:t>
      </w:r>
      <w:r>
        <w:rPr>
          <w:rFonts w:hint="eastAsia"/>
          <w:sz w:val="24"/>
        </w:rPr>
        <w:t>施工期执行《建筑施工场界环境噪声排放标准》（</w:t>
      </w:r>
      <w:r>
        <w:rPr>
          <w:sz w:val="24"/>
        </w:rPr>
        <w:t>GB12523-2011</w:t>
      </w:r>
      <w:r>
        <w:rPr>
          <w:rFonts w:hint="eastAsia"/>
          <w:sz w:val="24"/>
        </w:rPr>
        <w:t>）</w:t>
      </w:r>
      <w:r>
        <w:rPr>
          <w:rFonts w:hint="eastAsia" w:eastAsiaTheme="minorEastAsia"/>
          <w:bCs/>
          <w:spacing w:val="4"/>
          <w:sz w:val="24"/>
        </w:rPr>
        <w:t>，见下表</w:t>
      </w:r>
      <w:r>
        <w:rPr>
          <w:rFonts w:eastAsiaTheme="minorEastAsia"/>
          <w:bCs/>
          <w:spacing w:val="4"/>
          <w:sz w:val="24"/>
        </w:rPr>
        <w:t>2.4-10</w:t>
      </w:r>
      <w:r>
        <w:rPr>
          <w:rFonts w:hint="eastAsia" w:eastAsiaTheme="minorEastAsia"/>
          <w:bCs/>
          <w:spacing w:val="4"/>
          <w:sz w:val="24"/>
        </w:rPr>
        <w:t>。</w:t>
      </w:r>
    </w:p>
    <w:p>
      <w:pPr>
        <w:pStyle w:val="96"/>
        <w:adjustRightInd/>
        <w:snapToGrid/>
        <w:spacing w:beforeLines="0" w:line="360" w:lineRule="auto"/>
        <w:rPr>
          <w:rFonts w:ascii="Times New Roman" w:cs="Times New Roman" w:hAnsiTheme="minorEastAsia"/>
        </w:rPr>
      </w:pPr>
    </w:p>
    <w:p>
      <w:pPr>
        <w:pStyle w:val="96"/>
        <w:adjustRightInd/>
        <w:snapToGrid/>
        <w:spacing w:beforeLines="0" w:line="360" w:lineRule="auto"/>
        <w:rPr>
          <w:rFonts w:ascii="Times New Roman" w:hAnsi="Times New Roman" w:cs="Times New Roman"/>
        </w:rPr>
      </w:pPr>
      <w:r>
        <w:rPr>
          <w:rFonts w:ascii="Times New Roman" w:cs="Times New Roman" w:hAnsiTheme="minorEastAsia"/>
        </w:rPr>
        <w:t>表</w:t>
      </w:r>
      <w:r>
        <w:rPr>
          <w:rFonts w:ascii="Times New Roman" w:hAnsi="Times New Roman" w:cs="Times New Roman"/>
        </w:rPr>
        <w:t>2.4-</w:t>
      </w:r>
      <w:r>
        <w:rPr>
          <w:rFonts w:hint="eastAsia" w:ascii="Times New Roman" w:hAnsi="Times New Roman" w:cs="Times New Roman"/>
        </w:rPr>
        <w:t xml:space="preserve">9 </w:t>
      </w:r>
      <w:r>
        <w:rPr>
          <w:rFonts w:ascii="Times New Roman" w:cs="Times New Roman" w:hAnsiTheme="minorEastAsia"/>
        </w:rPr>
        <w:t>工业企业厂界环境噪声排放标准（</w:t>
      </w:r>
      <w:r>
        <w:rPr>
          <w:rFonts w:ascii="Times New Roman" w:hAnsi="Times New Roman" w:cs="Times New Roman"/>
        </w:rPr>
        <w:t>GB12348-2008</w:t>
      </w:r>
      <w:r>
        <w:rPr>
          <w:rFonts w:ascii="Times New Roman" w:cs="Times New Roman" w:hAnsiTheme="minorEastAsia"/>
        </w:rPr>
        <w:t>）</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84"/>
        <w:gridCol w:w="3102"/>
        <w:gridCol w:w="31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661" w:type="pct"/>
            <w:tcBorders>
              <w:top w:val="single" w:color="auto" w:sz="12" w:space="0"/>
              <w:left w:val="single" w:color="auto" w:sz="12" w:space="0"/>
              <w:bottom w:val="single" w:color="auto" w:sz="6" w:space="0"/>
              <w:right w:val="single" w:color="auto" w:sz="6" w:space="0"/>
            </w:tcBorders>
            <w:vAlign w:val="center"/>
          </w:tcPr>
          <w:p>
            <w:pPr>
              <w:pStyle w:val="90"/>
              <w:rPr>
                <w:rFonts w:ascii="Times New Roman" w:hAnsi="Times New Roman" w:cs="Times New Roman"/>
              </w:rPr>
            </w:pPr>
            <w:r>
              <w:rPr>
                <w:rFonts w:ascii="Times New Roman" w:cs="Times New Roman" w:hAnsiTheme="minorEastAsia"/>
              </w:rPr>
              <w:t>类别</w:t>
            </w:r>
          </w:p>
        </w:tc>
        <w:tc>
          <w:tcPr>
            <w:tcW w:w="1670"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cs="Times New Roman" w:hAnsiTheme="minorEastAsia"/>
              </w:rPr>
              <w:t>昼间</w:t>
            </w:r>
          </w:p>
        </w:tc>
        <w:tc>
          <w:tcPr>
            <w:tcW w:w="1669" w:type="pct"/>
            <w:tcBorders>
              <w:top w:val="single" w:color="auto" w:sz="12"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cs="Times New Roman" w:hAnsiTheme="minorEastAsia"/>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661" w:type="pct"/>
            <w:tcBorders>
              <w:top w:val="single" w:color="auto" w:sz="6" w:space="0"/>
              <w:left w:val="single" w:color="auto" w:sz="12"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2</w:t>
            </w:r>
            <w:r>
              <w:rPr>
                <w:rFonts w:ascii="Times New Roman" w:cs="Times New Roman" w:hAnsiTheme="minorEastAsia"/>
              </w:rPr>
              <w:t>类</w:t>
            </w:r>
          </w:p>
        </w:tc>
        <w:tc>
          <w:tcPr>
            <w:tcW w:w="1670"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60dB</w:t>
            </w:r>
            <w:r>
              <w:rPr>
                <w:rFonts w:ascii="Times New Roman" w:cs="Times New Roman" w:hAnsiTheme="minorEastAsia"/>
              </w:rPr>
              <w:t>（</w:t>
            </w:r>
            <w:r>
              <w:rPr>
                <w:rFonts w:ascii="Times New Roman" w:hAnsi="Times New Roman" w:cs="Times New Roman"/>
              </w:rPr>
              <w:t>A</w:t>
            </w:r>
            <w:r>
              <w:rPr>
                <w:rFonts w:ascii="Times New Roman" w:cs="Times New Roman" w:hAnsiTheme="minorEastAsia"/>
              </w:rPr>
              <w:t>）</w:t>
            </w:r>
          </w:p>
        </w:tc>
        <w:tc>
          <w:tcPr>
            <w:tcW w:w="1669" w:type="pct"/>
            <w:tcBorders>
              <w:top w:val="single" w:color="auto" w:sz="6" w:space="0"/>
              <w:left w:val="single" w:color="auto" w:sz="6" w:space="0"/>
              <w:bottom w:val="single" w:color="auto" w:sz="12"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50dB</w:t>
            </w:r>
            <w:r>
              <w:rPr>
                <w:rFonts w:ascii="Times New Roman" w:cs="Times New Roman" w:hAnsiTheme="minorEastAsia"/>
              </w:rPr>
              <w:t>（</w:t>
            </w:r>
            <w:r>
              <w:rPr>
                <w:rFonts w:ascii="Times New Roman" w:hAnsi="Times New Roman" w:cs="Times New Roman"/>
              </w:rPr>
              <w:t>A</w:t>
            </w:r>
            <w:r>
              <w:rPr>
                <w:rFonts w:ascii="Times New Roman" w:cs="Times New Roman" w:hAnsiTheme="minorEastAsia"/>
              </w:rPr>
              <w:t>）</w:t>
            </w:r>
          </w:p>
        </w:tc>
      </w:tr>
    </w:tbl>
    <w:p>
      <w:pPr>
        <w:pStyle w:val="96"/>
        <w:adjustRightInd/>
        <w:snapToGrid/>
        <w:spacing w:beforeLines="0" w:line="360" w:lineRule="auto"/>
        <w:rPr>
          <w:rFonts w:ascii="Times New Roman" w:cs="Times New Roman" w:hAnsiTheme="minorEastAsia"/>
        </w:rPr>
      </w:pPr>
      <w:r>
        <w:rPr>
          <w:rFonts w:hint="eastAsia" w:ascii="Times New Roman" w:cs="Times New Roman" w:hAnsiTheme="minorEastAsia"/>
        </w:rPr>
        <w:t>表2.4-10 建筑施工场界环境噪声排放标准（</w:t>
      </w:r>
      <w:r>
        <w:rPr>
          <w:rFonts w:ascii="Times New Roman" w:cs="Times New Roman" w:hAnsiTheme="minorEastAsia"/>
        </w:rPr>
        <w:t>GB12523-2011</w:t>
      </w:r>
      <w:r>
        <w:rPr>
          <w:rFonts w:hint="eastAsia" w:ascii="Times New Roman" w:cs="Times New Roman" w:hAnsiTheme="minorEastAsia"/>
        </w:rPr>
        <w:t>）</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84"/>
        <w:gridCol w:w="3102"/>
        <w:gridCol w:w="31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4" w:hRule="atLeast"/>
          <w:jc w:val="center"/>
        </w:trPr>
        <w:tc>
          <w:tcPr>
            <w:tcW w:w="1661" w:type="pct"/>
            <w:tcBorders>
              <w:top w:val="single" w:color="auto" w:sz="12" w:space="0"/>
              <w:left w:val="single" w:color="auto" w:sz="12" w:space="0"/>
              <w:bottom w:val="single" w:color="auto" w:sz="6" w:space="0"/>
              <w:right w:val="single" w:color="auto" w:sz="6" w:space="0"/>
            </w:tcBorders>
            <w:vAlign w:val="center"/>
          </w:tcPr>
          <w:p>
            <w:pPr>
              <w:pStyle w:val="90"/>
              <w:rPr>
                <w:rFonts w:ascii="Times New Roman" w:hAnsi="Times New Roman" w:cs="Times New Roman"/>
              </w:rPr>
            </w:pPr>
            <w:r>
              <w:rPr>
                <w:rFonts w:hint="eastAsia" w:ascii="Times New Roman" w:cs="Times New Roman" w:hAnsiTheme="minorEastAsia"/>
              </w:rPr>
              <w:t>标准</w:t>
            </w:r>
          </w:p>
        </w:tc>
        <w:tc>
          <w:tcPr>
            <w:tcW w:w="1670"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cs="Times New Roman" w:hAnsiTheme="minorEastAsia"/>
              </w:rPr>
              <w:t>昼间</w:t>
            </w:r>
          </w:p>
        </w:tc>
        <w:tc>
          <w:tcPr>
            <w:tcW w:w="1669" w:type="pct"/>
            <w:tcBorders>
              <w:top w:val="single" w:color="auto" w:sz="12"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cs="Times New Roman" w:hAnsiTheme="minorEastAsia"/>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661" w:type="pct"/>
            <w:tcBorders>
              <w:top w:val="single" w:color="auto" w:sz="6" w:space="0"/>
              <w:left w:val="single" w:color="auto" w:sz="12" w:space="0"/>
              <w:bottom w:val="single" w:color="auto" w:sz="12" w:space="0"/>
              <w:right w:val="single" w:color="auto" w:sz="6" w:space="0"/>
            </w:tcBorders>
            <w:vAlign w:val="center"/>
          </w:tcPr>
          <w:p>
            <w:pPr>
              <w:pStyle w:val="90"/>
            </w:pPr>
            <w:r>
              <w:rPr>
                <w:rFonts w:hint="eastAsia"/>
              </w:rPr>
              <w:t>《建筑施工场界噪声限值》</w:t>
            </w:r>
          </w:p>
          <w:p>
            <w:pPr>
              <w:pStyle w:val="9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GB12523-</w:t>
            </w:r>
            <w:r>
              <w:rPr>
                <w:rFonts w:hint="eastAsia" w:ascii="Times New Roman" w:hAnsi="Times New Roman" w:cs="Times New Roman"/>
              </w:rPr>
              <w:t>2011）</w:t>
            </w:r>
          </w:p>
        </w:tc>
        <w:tc>
          <w:tcPr>
            <w:tcW w:w="1670"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0dB</w:t>
            </w:r>
            <w:r>
              <w:rPr>
                <w:rFonts w:ascii="Times New Roman" w:cs="Times New Roman" w:hAnsiTheme="minorEastAsia"/>
              </w:rPr>
              <w:t>（</w:t>
            </w:r>
            <w:r>
              <w:rPr>
                <w:rFonts w:ascii="Times New Roman" w:hAnsi="Times New Roman" w:cs="Times New Roman"/>
              </w:rPr>
              <w:t>A</w:t>
            </w:r>
            <w:r>
              <w:rPr>
                <w:rFonts w:ascii="Times New Roman" w:cs="Times New Roman" w:hAnsiTheme="minorEastAsia"/>
              </w:rPr>
              <w:t>）</w:t>
            </w:r>
          </w:p>
        </w:tc>
        <w:tc>
          <w:tcPr>
            <w:tcW w:w="1669" w:type="pct"/>
            <w:tcBorders>
              <w:top w:val="single" w:color="auto" w:sz="6" w:space="0"/>
              <w:left w:val="single" w:color="auto" w:sz="6" w:space="0"/>
              <w:bottom w:val="single" w:color="auto" w:sz="12"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5</w:t>
            </w:r>
            <w:r>
              <w:rPr>
                <w:rFonts w:ascii="Times New Roman" w:hAnsi="Times New Roman" w:cs="Times New Roman"/>
              </w:rPr>
              <w:t>dB</w:t>
            </w:r>
            <w:r>
              <w:rPr>
                <w:rFonts w:ascii="Times New Roman" w:cs="Times New Roman" w:hAnsiTheme="minorEastAsia"/>
              </w:rPr>
              <w:t>（</w:t>
            </w:r>
            <w:r>
              <w:rPr>
                <w:rFonts w:ascii="Times New Roman" w:hAnsi="Times New Roman" w:cs="Times New Roman"/>
              </w:rPr>
              <w:t>A</w:t>
            </w:r>
            <w:r>
              <w:rPr>
                <w:rFonts w:ascii="Times New Roman" w:cs="Times New Roman" w:hAnsiTheme="minorEastAsia"/>
              </w:rPr>
              <w:t>）</w:t>
            </w:r>
          </w:p>
        </w:tc>
      </w:tr>
    </w:tbl>
    <w:p>
      <w:pPr>
        <w:spacing w:line="360" w:lineRule="auto"/>
        <w:ind w:firstLine="480" w:firstLineChars="200"/>
        <w:rPr>
          <w:sz w:val="24"/>
        </w:rPr>
      </w:pPr>
      <w:r>
        <w:rPr>
          <w:rFonts w:hint="eastAsia"/>
          <w:sz w:val="24"/>
        </w:rPr>
        <w:t>（</w:t>
      </w:r>
      <w:r>
        <w:rPr>
          <w:sz w:val="24"/>
        </w:rPr>
        <w:t>3</w:t>
      </w:r>
      <w:r>
        <w:rPr>
          <w:rFonts w:hint="eastAsia"/>
          <w:sz w:val="24"/>
        </w:rPr>
        <w:t>）废水</w:t>
      </w:r>
    </w:p>
    <w:p>
      <w:pPr>
        <w:spacing w:line="360" w:lineRule="auto"/>
        <w:ind w:firstLine="480" w:firstLineChars="200"/>
        <w:rPr>
          <w:sz w:val="24"/>
        </w:rPr>
      </w:pPr>
      <w:r>
        <w:rPr>
          <w:rFonts w:hint="eastAsia"/>
          <w:sz w:val="24"/>
        </w:rPr>
        <w:t>①生活污水</w:t>
      </w:r>
    </w:p>
    <w:p>
      <w:pPr>
        <w:spacing w:line="360" w:lineRule="auto"/>
        <w:ind w:firstLine="480" w:firstLineChars="200"/>
        <w:rPr>
          <w:rFonts w:hAnsiTheme="minorEastAsia" w:eastAsiaTheme="minorEastAsia"/>
        </w:rPr>
      </w:pPr>
      <w:r>
        <w:rPr>
          <w:rFonts w:hint="eastAsia"/>
          <w:sz w:val="24"/>
        </w:rPr>
        <w:t>项目生活污水经处理后全部回用，不外排</w:t>
      </w:r>
      <w:r>
        <w:rPr>
          <w:rFonts w:hint="eastAsia"/>
          <w:spacing w:val="4"/>
          <w:sz w:val="24"/>
        </w:rPr>
        <w:t>，生活污水执行</w:t>
      </w:r>
      <w:r>
        <w:rPr>
          <w:rFonts w:hAnsiTheme="minorEastAsia" w:eastAsiaTheme="minorEastAsia"/>
          <w:sz w:val="24"/>
        </w:rPr>
        <w:t>《城市污水再生利用城市杂用水水质》（</w:t>
      </w:r>
      <w:r>
        <w:rPr>
          <w:rFonts w:eastAsiaTheme="minorEastAsia"/>
          <w:sz w:val="24"/>
        </w:rPr>
        <w:t>GB/T18920-2002</w:t>
      </w:r>
      <w:r>
        <w:rPr>
          <w:rFonts w:hAnsiTheme="minorEastAsia" w:eastAsiaTheme="minorEastAsia"/>
          <w:sz w:val="24"/>
        </w:rPr>
        <w:t>）中道路清扫、车辆冲洗、绿化用水、冲厕用水水质标准。</w:t>
      </w:r>
    </w:p>
    <w:p>
      <w:pPr>
        <w:spacing w:line="360" w:lineRule="auto"/>
        <w:ind w:firstLine="480" w:firstLineChars="200"/>
        <w:rPr>
          <w:rFonts w:eastAsiaTheme="minorEastAsia"/>
          <w:sz w:val="24"/>
        </w:rPr>
      </w:pPr>
      <w:r>
        <w:rPr>
          <w:rFonts w:hAnsiTheme="minorEastAsia" w:eastAsiaTheme="minorEastAsia"/>
          <w:sz w:val="24"/>
        </w:rPr>
        <w:t>②矿井水</w:t>
      </w:r>
    </w:p>
    <w:p>
      <w:pPr>
        <w:spacing w:line="360" w:lineRule="auto"/>
        <w:ind w:firstLine="480" w:firstLineChars="200"/>
        <w:rPr>
          <w:rFonts w:eastAsiaTheme="minorEastAsia"/>
          <w:sz w:val="24"/>
        </w:rPr>
      </w:pPr>
      <w:r>
        <w:rPr>
          <w:rFonts w:hint="eastAsia" w:hAnsiTheme="minorEastAsia" w:eastAsiaTheme="minorEastAsia"/>
          <w:bCs/>
          <w:sz w:val="24"/>
        </w:rPr>
        <w:t>矿井水经处</w:t>
      </w:r>
      <w:r>
        <w:rPr>
          <w:rFonts w:hint="eastAsia" w:hAnsiTheme="minorEastAsia" w:eastAsiaTheme="minorEastAsia"/>
          <w:sz w:val="24"/>
        </w:rPr>
        <w:t>理后回用于井下生产用水、洗车平台及锅炉补充水</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井下生产，除尘洒水执行《煤矿井下消防、洒水设计规范标准》（</w:t>
      </w:r>
      <w:r>
        <w:rPr>
          <w:rFonts w:eastAsiaTheme="minorEastAsia"/>
          <w:sz w:val="24"/>
        </w:rPr>
        <w:t>GB50383-2006</w:t>
      </w:r>
      <w:r>
        <w:rPr>
          <w:rFonts w:hAnsiTheme="minorEastAsia" w:eastAsiaTheme="minorEastAsia"/>
          <w:sz w:val="24"/>
        </w:rPr>
        <w:t>）中井下消防洒水水质要求；</w:t>
      </w:r>
    </w:p>
    <w:p>
      <w:pPr>
        <w:spacing w:line="360" w:lineRule="auto"/>
        <w:ind w:firstLine="480" w:firstLineChars="200"/>
        <w:rPr>
          <w:rFonts w:eastAsiaTheme="minorEastAsia"/>
          <w:sz w:val="24"/>
        </w:rPr>
      </w:pPr>
      <w:r>
        <w:rPr>
          <w:rFonts w:hAnsiTheme="minorEastAsia" w:eastAsiaTheme="minorEastAsia"/>
          <w:sz w:val="24"/>
        </w:rPr>
        <w:t>回用于洗车用水执行《城市污水再生利用城市杂用水水质》（</w:t>
      </w:r>
      <w:r>
        <w:rPr>
          <w:rFonts w:eastAsiaTheme="minorEastAsia"/>
          <w:sz w:val="24"/>
        </w:rPr>
        <w:t>GB/T18920-2002</w:t>
      </w:r>
      <w:r>
        <w:rPr>
          <w:rFonts w:hAnsiTheme="minorEastAsia" w:eastAsiaTheme="minorEastAsia"/>
          <w:sz w:val="24"/>
        </w:rPr>
        <w:t>）中车辆冲洗用水水质标准。</w:t>
      </w:r>
      <w:r>
        <w:rPr>
          <w:rFonts w:hint="eastAsia" w:hAnsiTheme="minorEastAsia" w:eastAsiaTheme="minorEastAsia"/>
          <w:sz w:val="24"/>
        </w:rPr>
        <w:t>锅炉用水</w:t>
      </w:r>
      <w:r>
        <w:rPr>
          <w:rFonts w:hAnsiTheme="minorEastAsia" w:eastAsiaTheme="minorEastAsia"/>
          <w:sz w:val="24"/>
        </w:rPr>
        <w:t>《</w:t>
      </w:r>
      <w:r>
        <w:rPr>
          <w:rFonts w:hint="eastAsia" w:hAnsiTheme="minorEastAsia" w:eastAsiaTheme="minorEastAsia"/>
          <w:sz w:val="24"/>
        </w:rPr>
        <w:t>工业锅炉</w:t>
      </w:r>
      <w:r>
        <w:rPr>
          <w:rFonts w:hAnsiTheme="minorEastAsia" w:eastAsiaTheme="minorEastAsia"/>
          <w:sz w:val="24"/>
        </w:rPr>
        <w:t>水质》（</w:t>
      </w:r>
      <w:r>
        <w:rPr>
          <w:rFonts w:eastAsiaTheme="minorEastAsia"/>
          <w:sz w:val="24"/>
        </w:rPr>
        <w:t>GB/T1</w:t>
      </w:r>
      <w:r>
        <w:rPr>
          <w:rFonts w:hint="eastAsia" w:eastAsiaTheme="minorEastAsia"/>
          <w:sz w:val="24"/>
        </w:rPr>
        <w:t>576</w:t>
      </w:r>
      <w:r>
        <w:rPr>
          <w:rFonts w:eastAsiaTheme="minorEastAsia"/>
          <w:sz w:val="24"/>
        </w:rPr>
        <w:t>-20</w:t>
      </w:r>
      <w:r>
        <w:rPr>
          <w:rFonts w:hint="eastAsia" w:eastAsiaTheme="minorEastAsia"/>
          <w:sz w:val="24"/>
        </w:rPr>
        <w:t>18</w:t>
      </w:r>
      <w:r>
        <w:rPr>
          <w:rFonts w:hAnsiTheme="minorEastAsia" w:eastAsiaTheme="minorEastAsia"/>
          <w:sz w:val="24"/>
        </w:rPr>
        <w:t>）中</w:t>
      </w:r>
      <w:r>
        <w:rPr>
          <w:rFonts w:hint="eastAsia" w:hAnsiTheme="minorEastAsia" w:eastAsiaTheme="minorEastAsia"/>
          <w:sz w:val="24"/>
        </w:rPr>
        <w:t>表1</w:t>
      </w:r>
      <w:r>
        <w:rPr>
          <w:rFonts w:hAnsiTheme="minorEastAsia" w:eastAsiaTheme="minorEastAsia"/>
          <w:sz w:val="24"/>
        </w:rPr>
        <w:t>水质标准</w:t>
      </w:r>
      <w:r>
        <w:rPr>
          <w:rFonts w:hint="eastAsia" w:hAnsiTheme="minorEastAsia" w:eastAsiaTheme="minorEastAsia"/>
          <w:sz w:val="24"/>
        </w:rPr>
        <w:t>。</w:t>
      </w:r>
    </w:p>
    <w:p>
      <w:pPr>
        <w:spacing w:line="360" w:lineRule="auto"/>
        <w:jc w:val="center"/>
        <w:rPr>
          <w:rFonts w:eastAsiaTheme="minorEastAsia"/>
          <w:b/>
          <w:bCs/>
          <w:szCs w:val="21"/>
        </w:rPr>
      </w:pPr>
      <w:r>
        <w:rPr>
          <w:rFonts w:hint="eastAsia" w:hAnsiTheme="minorEastAsia" w:eastAsiaTheme="minorEastAsia"/>
          <w:b/>
          <w:bCs/>
          <w:szCs w:val="21"/>
        </w:rPr>
        <w:t>表2.4-11 废水</w:t>
      </w:r>
      <w:r>
        <w:rPr>
          <w:rFonts w:hAnsiTheme="minorEastAsia" w:eastAsiaTheme="minorEastAsia"/>
          <w:b/>
          <w:bCs/>
          <w:szCs w:val="21"/>
        </w:rPr>
        <w:t>污染物排放标准</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0"/>
        <w:gridCol w:w="1075"/>
        <w:gridCol w:w="1016"/>
        <w:gridCol w:w="1034"/>
        <w:gridCol w:w="1090"/>
        <w:gridCol w:w="1419"/>
        <w:gridCol w:w="15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47" w:type="pct"/>
            <w:vAlign w:val="center"/>
          </w:tcPr>
          <w:p>
            <w:pPr>
              <w:ind w:left="-113" w:right="-113"/>
              <w:jc w:val="center"/>
              <w:rPr>
                <w:rFonts w:hAnsiTheme="minorEastAsia" w:eastAsiaTheme="minorEastAsia"/>
                <w:szCs w:val="21"/>
              </w:rPr>
            </w:pPr>
            <w:r>
              <w:rPr>
                <w:rFonts w:hAnsiTheme="minorEastAsia" w:eastAsiaTheme="minorEastAsia"/>
                <w:szCs w:val="21"/>
              </w:rPr>
              <w:t>标准名称</w:t>
            </w:r>
          </w:p>
          <w:p>
            <w:pPr>
              <w:ind w:left="-113" w:right="-113"/>
              <w:jc w:val="center"/>
              <w:rPr>
                <w:rFonts w:eastAsiaTheme="minorEastAsia"/>
                <w:szCs w:val="21"/>
              </w:rPr>
            </w:pPr>
            <w:r>
              <w:rPr>
                <w:rFonts w:hAnsiTheme="minorEastAsia" w:eastAsiaTheme="minorEastAsia"/>
                <w:szCs w:val="21"/>
              </w:rPr>
              <w:t>及级（类）别</w:t>
            </w:r>
          </w:p>
        </w:tc>
        <w:tc>
          <w:tcPr>
            <w:tcW w:w="3853" w:type="pct"/>
            <w:gridSpan w:val="6"/>
            <w:vAlign w:val="center"/>
          </w:tcPr>
          <w:p>
            <w:pPr>
              <w:jc w:val="center"/>
              <w:rPr>
                <w:rFonts w:eastAsiaTheme="minorEastAsia"/>
                <w:szCs w:val="21"/>
              </w:rPr>
            </w:pPr>
            <w:r>
              <w:rPr>
                <w:rFonts w:hAnsiTheme="minorEastAsia" w:eastAsiaTheme="minorEastAsia"/>
                <w:szCs w:val="21"/>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47" w:type="pct"/>
            <w:vMerge w:val="restart"/>
            <w:vAlign w:val="center"/>
          </w:tcPr>
          <w:p>
            <w:pPr>
              <w:jc w:val="center"/>
              <w:rPr>
                <w:rFonts w:eastAsiaTheme="minorEastAsia"/>
                <w:szCs w:val="21"/>
              </w:rPr>
            </w:pPr>
            <w:r>
              <w:rPr>
                <w:rFonts w:hAnsiTheme="minorEastAsia" w:eastAsiaTheme="minorEastAsia"/>
                <w:szCs w:val="21"/>
              </w:rPr>
              <w:t>《城市污水再生利用城市杂用水水质》（</w:t>
            </w:r>
            <w:r>
              <w:rPr>
                <w:rFonts w:eastAsiaTheme="minorEastAsia"/>
                <w:szCs w:val="21"/>
              </w:rPr>
              <w:t>GB/T18920-2002</w:t>
            </w:r>
            <w:r>
              <w:rPr>
                <w:rFonts w:hAnsiTheme="minorEastAsia" w:eastAsiaTheme="minorEastAsia"/>
                <w:szCs w:val="21"/>
              </w:rPr>
              <w:t>）（</w:t>
            </w:r>
            <w:r>
              <w:rPr>
                <w:rFonts w:eastAsiaTheme="minorEastAsia"/>
                <w:szCs w:val="21"/>
              </w:rPr>
              <w:t>mg/L</w:t>
            </w:r>
            <w:r>
              <w:rPr>
                <w:rFonts w:hAnsiTheme="minorEastAsia" w:eastAsiaTheme="minorEastAsia"/>
                <w:szCs w:val="21"/>
              </w:rPr>
              <w:t>）</w:t>
            </w:r>
          </w:p>
        </w:tc>
        <w:tc>
          <w:tcPr>
            <w:tcW w:w="579" w:type="pct"/>
            <w:vMerge w:val="restart"/>
            <w:vAlign w:val="center"/>
          </w:tcPr>
          <w:p>
            <w:pPr>
              <w:jc w:val="center"/>
              <w:rPr>
                <w:rFonts w:eastAsiaTheme="minorEastAsia"/>
                <w:szCs w:val="21"/>
              </w:rPr>
            </w:pPr>
            <w:r>
              <w:rPr>
                <w:rFonts w:hAnsiTheme="minorEastAsia" w:eastAsiaTheme="minorEastAsia"/>
                <w:szCs w:val="21"/>
              </w:rPr>
              <w:t>绿化用水标准</w:t>
            </w:r>
          </w:p>
        </w:tc>
        <w:tc>
          <w:tcPr>
            <w:tcW w:w="547" w:type="pct"/>
            <w:vAlign w:val="center"/>
          </w:tcPr>
          <w:p>
            <w:pPr>
              <w:jc w:val="center"/>
              <w:rPr>
                <w:rFonts w:eastAsiaTheme="minorEastAsia"/>
                <w:szCs w:val="21"/>
              </w:rPr>
            </w:pPr>
            <w:r>
              <w:rPr>
                <w:rFonts w:eastAsiaTheme="minorEastAsia"/>
                <w:szCs w:val="21"/>
              </w:rPr>
              <w:t>PH</w:t>
            </w:r>
          </w:p>
        </w:tc>
        <w:tc>
          <w:tcPr>
            <w:tcW w:w="557" w:type="pct"/>
            <w:vAlign w:val="center"/>
          </w:tcPr>
          <w:p>
            <w:pPr>
              <w:jc w:val="center"/>
              <w:rPr>
                <w:rFonts w:eastAsiaTheme="minorEastAsia"/>
                <w:szCs w:val="21"/>
              </w:rPr>
            </w:pPr>
            <w:r>
              <w:rPr>
                <w:rFonts w:eastAsiaTheme="minorEastAsia"/>
                <w:szCs w:val="21"/>
              </w:rPr>
              <w:t>BOD</w:t>
            </w:r>
            <w:r>
              <w:rPr>
                <w:rFonts w:eastAsiaTheme="minorEastAsia"/>
                <w:szCs w:val="21"/>
                <w:vertAlign w:val="subscript"/>
              </w:rPr>
              <w:t>5</w:t>
            </w:r>
          </w:p>
        </w:tc>
        <w:tc>
          <w:tcPr>
            <w:tcW w:w="587" w:type="pct"/>
            <w:vAlign w:val="center"/>
          </w:tcPr>
          <w:p>
            <w:pPr>
              <w:jc w:val="center"/>
              <w:rPr>
                <w:rFonts w:eastAsiaTheme="minorEastAsia"/>
                <w:szCs w:val="21"/>
              </w:rPr>
            </w:pPr>
            <w:r>
              <w:rPr>
                <w:rFonts w:hAnsiTheme="minorEastAsia" w:eastAsiaTheme="minorEastAsia"/>
                <w:szCs w:val="21"/>
              </w:rPr>
              <w:t>氨氮</w:t>
            </w:r>
          </w:p>
        </w:tc>
        <w:tc>
          <w:tcPr>
            <w:tcW w:w="764" w:type="pct"/>
            <w:vAlign w:val="center"/>
          </w:tcPr>
          <w:p>
            <w:pPr>
              <w:jc w:val="center"/>
              <w:rPr>
                <w:rFonts w:eastAsiaTheme="minorEastAsia"/>
                <w:szCs w:val="21"/>
              </w:rPr>
            </w:pPr>
            <w:r>
              <w:rPr>
                <w:rFonts w:hAnsiTheme="minorEastAsia" w:eastAsiaTheme="minorEastAsia"/>
                <w:szCs w:val="21"/>
              </w:rPr>
              <w:t>阴离子表面活性剂</w:t>
            </w:r>
          </w:p>
        </w:tc>
        <w:tc>
          <w:tcPr>
            <w:tcW w:w="819" w:type="pct"/>
            <w:vAlign w:val="center"/>
          </w:tcPr>
          <w:p>
            <w:pPr>
              <w:jc w:val="center"/>
              <w:rPr>
                <w:rFonts w:eastAsiaTheme="minorEastAsia"/>
                <w:szCs w:val="21"/>
              </w:rPr>
            </w:pPr>
            <w:r>
              <w:rPr>
                <w:rFonts w:hAnsiTheme="minorEastAsia" w:eastAsiaTheme="minorEastAsia"/>
                <w:szCs w:val="21"/>
              </w:rPr>
              <w:t>总大肠菌群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47" w:type="pct"/>
            <w:vMerge w:val="continue"/>
            <w:vAlign w:val="center"/>
          </w:tcPr>
          <w:p>
            <w:pPr>
              <w:widowControl/>
              <w:jc w:val="left"/>
              <w:rPr>
                <w:rFonts w:eastAsiaTheme="minorEastAsia"/>
                <w:szCs w:val="21"/>
              </w:rPr>
            </w:pPr>
          </w:p>
        </w:tc>
        <w:tc>
          <w:tcPr>
            <w:tcW w:w="579" w:type="pct"/>
            <w:vMerge w:val="continue"/>
            <w:vAlign w:val="center"/>
          </w:tcPr>
          <w:p>
            <w:pPr>
              <w:widowControl/>
              <w:jc w:val="left"/>
              <w:rPr>
                <w:rFonts w:eastAsiaTheme="minorEastAsia"/>
                <w:szCs w:val="21"/>
              </w:rPr>
            </w:pPr>
          </w:p>
        </w:tc>
        <w:tc>
          <w:tcPr>
            <w:tcW w:w="547" w:type="pct"/>
            <w:vAlign w:val="center"/>
          </w:tcPr>
          <w:p>
            <w:pPr>
              <w:jc w:val="center"/>
              <w:rPr>
                <w:rFonts w:eastAsiaTheme="minorEastAsia"/>
                <w:szCs w:val="21"/>
              </w:rPr>
            </w:pPr>
            <w:r>
              <w:rPr>
                <w:rFonts w:eastAsiaTheme="minorEastAsia"/>
                <w:szCs w:val="21"/>
              </w:rPr>
              <w:t>6-9</w:t>
            </w:r>
          </w:p>
        </w:tc>
        <w:tc>
          <w:tcPr>
            <w:tcW w:w="557" w:type="pct"/>
            <w:vAlign w:val="center"/>
          </w:tcPr>
          <w:p>
            <w:pPr>
              <w:jc w:val="center"/>
              <w:rPr>
                <w:rFonts w:eastAsiaTheme="minorEastAsia"/>
                <w:szCs w:val="21"/>
              </w:rPr>
            </w:pPr>
            <w:r>
              <w:rPr>
                <w:rFonts w:eastAsiaTheme="minorEastAsia"/>
                <w:szCs w:val="21"/>
              </w:rPr>
              <w:t>20</w:t>
            </w:r>
          </w:p>
        </w:tc>
        <w:tc>
          <w:tcPr>
            <w:tcW w:w="587" w:type="pct"/>
            <w:vAlign w:val="center"/>
          </w:tcPr>
          <w:p>
            <w:pPr>
              <w:jc w:val="center"/>
              <w:rPr>
                <w:rFonts w:eastAsiaTheme="minorEastAsia"/>
                <w:szCs w:val="21"/>
              </w:rPr>
            </w:pPr>
            <w:r>
              <w:rPr>
                <w:rFonts w:eastAsiaTheme="minorEastAsia"/>
                <w:szCs w:val="21"/>
              </w:rPr>
              <w:t>20</w:t>
            </w:r>
          </w:p>
        </w:tc>
        <w:tc>
          <w:tcPr>
            <w:tcW w:w="764" w:type="pct"/>
            <w:vAlign w:val="center"/>
          </w:tcPr>
          <w:p>
            <w:pPr>
              <w:jc w:val="center"/>
              <w:rPr>
                <w:rFonts w:eastAsiaTheme="minorEastAsia"/>
                <w:szCs w:val="21"/>
              </w:rPr>
            </w:pPr>
            <w:r>
              <w:rPr>
                <w:rFonts w:eastAsiaTheme="minorEastAsia"/>
                <w:szCs w:val="21"/>
              </w:rPr>
              <w:t>1.0</w:t>
            </w:r>
          </w:p>
        </w:tc>
        <w:tc>
          <w:tcPr>
            <w:tcW w:w="819" w:type="pct"/>
            <w:vAlign w:val="center"/>
          </w:tcPr>
          <w:p>
            <w:pPr>
              <w:jc w:val="center"/>
              <w:rPr>
                <w:rFonts w:eastAsiaTheme="minorEastAsia"/>
                <w:szCs w:val="21"/>
              </w:rPr>
            </w:pPr>
            <w:r>
              <w:rPr>
                <w:rFonts w:eastAsiaTheme="minorEastAsia"/>
                <w:szCs w:val="21"/>
              </w:rPr>
              <w:t>3</w:t>
            </w:r>
            <w:r>
              <w:rPr>
                <w:rFonts w:hAnsiTheme="minorEastAsia" w:eastAsiaTheme="minorEastAsia"/>
                <w:szCs w:val="21"/>
              </w:rPr>
              <w:t>个</w:t>
            </w:r>
            <w:r>
              <w:rPr>
                <w:rFonts w:eastAsiaTheme="minorEastAsia"/>
                <w:szCs w:val="21"/>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47" w:type="pct"/>
            <w:vMerge w:val="continue"/>
            <w:vAlign w:val="center"/>
          </w:tcPr>
          <w:p>
            <w:pPr>
              <w:widowControl/>
              <w:jc w:val="left"/>
              <w:rPr>
                <w:rFonts w:eastAsiaTheme="minorEastAsia"/>
                <w:szCs w:val="21"/>
              </w:rPr>
            </w:pPr>
          </w:p>
        </w:tc>
        <w:tc>
          <w:tcPr>
            <w:tcW w:w="579" w:type="pct"/>
            <w:vAlign w:val="center"/>
          </w:tcPr>
          <w:p>
            <w:pPr>
              <w:jc w:val="center"/>
              <w:rPr>
                <w:rFonts w:eastAsiaTheme="minorEastAsia"/>
                <w:szCs w:val="21"/>
              </w:rPr>
            </w:pPr>
            <w:r>
              <w:rPr>
                <w:rFonts w:hAnsiTheme="minorEastAsia" w:eastAsiaTheme="minorEastAsia"/>
                <w:szCs w:val="21"/>
              </w:rPr>
              <w:t>道路清扫标准</w:t>
            </w:r>
          </w:p>
        </w:tc>
        <w:tc>
          <w:tcPr>
            <w:tcW w:w="547" w:type="pct"/>
            <w:vAlign w:val="center"/>
          </w:tcPr>
          <w:p>
            <w:pPr>
              <w:jc w:val="center"/>
              <w:rPr>
                <w:rFonts w:eastAsiaTheme="minorEastAsia"/>
                <w:szCs w:val="21"/>
              </w:rPr>
            </w:pPr>
            <w:r>
              <w:rPr>
                <w:rFonts w:eastAsiaTheme="minorEastAsia"/>
                <w:szCs w:val="21"/>
              </w:rPr>
              <w:t>6-9</w:t>
            </w:r>
          </w:p>
        </w:tc>
        <w:tc>
          <w:tcPr>
            <w:tcW w:w="557" w:type="pct"/>
            <w:vAlign w:val="center"/>
          </w:tcPr>
          <w:p>
            <w:pPr>
              <w:jc w:val="center"/>
              <w:rPr>
                <w:rFonts w:eastAsiaTheme="minorEastAsia"/>
                <w:szCs w:val="21"/>
              </w:rPr>
            </w:pPr>
            <w:r>
              <w:rPr>
                <w:rFonts w:eastAsiaTheme="minorEastAsia"/>
                <w:szCs w:val="21"/>
              </w:rPr>
              <w:t>15</w:t>
            </w:r>
          </w:p>
        </w:tc>
        <w:tc>
          <w:tcPr>
            <w:tcW w:w="587" w:type="pct"/>
            <w:vAlign w:val="center"/>
          </w:tcPr>
          <w:p>
            <w:pPr>
              <w:jc w:val="center"/>
              <w:rPr>
                <w:rFonts w:eastAsiaTheme="minorEastAsia"/>
                <w:szCs w:val="21"/>
              </w:rPr>
            </w:pPr>
            <w:r>
              <w:rPr>
                <w:rFonts w:eastAsiaTheme="minorEastAsia"/>
                <w:szCs w:val="21"/>
              </w:rPr>
              <w:t>10</w:t>
            </w:r>
          </w:p>
        </w:tc>
        <w:tc>
          <w:tcPr>
            <w:tcW w:w="764" w:type="pct"/>
            <w:vAlign w:val="center"/>
          </w:tcPr>
          <w:p>
            <w:pPr>
              <w:jc w:val="center"/>
              <w:rPr>
                <w:rFonts w:eastAsiaTheme="minorEastAsia"/>
                <w:szCs w:val="21"/>
              </w:rPr>
            </w:pPr>
            <w:r>
              <w:rPr>
                <w:rFonts w:eastAsiaTheme="minorEastAsia"/>
                <w:szCs w:val="21"/>
              </w:rPr>
              <w:t>1.0</w:t>
            </w:r>
          </w:p>
        </w:tc>
        <w:tc>
          <w:tcPr>
            <w:tcW w:w="819" w:type="pct"/>
            <w:vAlign w:val="center"/>
          </w:tcPr>
          <w:p>
            <w:pPr>
              <w:jc w:val="center"/>
              <w:rPr>
                <w:rFonts w:eastAsiaTheme="minorEastAsia"/>
                <w:szCs w:val="21"/>
              </w:rPr>
            </w:pPr>
            <w:r>
              <w:rPr>
                <w:rFonts w:eastAsiaTheme="minorEastAsia"/>
                <w:szCs w:val="21"/>
              </w:rPr>
              <w:t>3</w:t>
            </w:r>
            <w:r>
              <w:rPr>
                <w:rFonts w:hAnsiTheme="minorEastAsia" w:eastAsiaTheme="minorEastAsia"/>
                <w:szCs w:val="21"/>
              </w:rPr>
              <w:t>个</w:t>
            </w:r>
            <w:r>
              <w:rPr>
                <w:rFonts w:eastAsiaTheme="minorEastAsia"/>
                <w:szCs w:val="21"/>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47" w:type="pct"/>
            <w:vMerge w:val="continue"/>
            <w:vAlign w:val="center"/>
          </w:tcPr>
          <w:p>
            <w:pPr>
              <w:widowControl/>
              <w:jc w:val="left"/>
              <w:rPr>
                <w:rFonts w:eastAsiaTheme="minorEastAsia"/>
                <w:szCs w:val="21"/>
              </w:rPr>
            </w:pPr>
          </w:p>
        </w:tc>
        <w:tc>
          <w:tcPr>
            <w:tcW w:w="579" w:type="pct"/>
            <w:vAlign w:val="center"/>
          </w:tcPr>
          <w:p>
            <w:pPr>
              <w:jc w:val="center"/>
              <w:rPr>
                <w:rFonts w:eastAsiaTheme="minorEastAsia"/>
                <w:szCs w:val="21"/>
              </w:rPr>
            </w:pPr>
            <w:r>
              <w:rPr>
                <w:rFonts w:hAnsiTheme="minorEastAsia" w:eastAsiaTheme="minorEastAsia"/>
                <w:szCs w:val="21"/>
              </w:rPr>
              <w:t>冲厕用水标准</w:t>
            </w:r>
          </w:p>
        </w:tc>
        <w:tc>
          <w:tcPr>
            <w:tcW w:w="547" w:type="pct"/>
            <w:vAlign w:val="center"/>
          </w:tcPr>
          <w:p>
            <w:pPr>
              <w:jc w:val="center"/>
              <w:rPr>
                <w:rFonts w:eastAsiaTheme="minorEastAsia"/>
                <w:szCs w:val="21"/>
              </w:rPr>
            </w:pPr>
            <w:r>
              <w:rPr>
                <w:rFonts w:eastAsiaTheme="minorEastAsia"/>
                <w:szCs w:val="21"/>
              </w:rPr>
              <w:t>6-9</w:t>
            </w:r>
          </w:p>
        </w:tc>
        <w:tc>
          <w:tcPr>
            <w:tcW w:w="557" w:type="pct"/>
            <w:vAlign w:val="center"/>
          </w:tcPr>
          <w:p>
            <w:pPr>
              <w:jc w:val="center"/>
              <w:rPr>
                <w:rFonts w:eastAsiaTheme="minorEastAsia"/>
                <w:szCs w:val="21"/>
              </w:rPr>
            </w:pPr>
            <w:r>
              <w:rPr>
                <w:rFonts w:eastAsiaTheme="minorEastAsia"/>
                <w:szCs w:val="21"/>
              </w:rPr>
              <w:t>10</w:t>
            </w:r>
          </w:p>
        </w:tc>
        <w:tc>
          <w:tcPr>
            <w:tcW w:w="587" w:type="pct"/>
            <w:vAlign w:val="center"/>
          </w:tcPr>
          <w:p>
            <w:pPr>
              <w:jc w:val="center"/>
              <w:rPr>
                <w:rFonts w:eastAsiaTheme="minorEastAsia"/>
                <w:szCs w:val="21"/>
              </w:rPr>
            </w:pPr>
            <w:r>
              <w:rPr>
                <w:rFonts w:eastAsiaTheme="minorEastAsia"/>
                <w:szCs w:val="21"/>
              </w:rPr>
              <w:t>10</w:t>
            </w:r>
          </w:p>
        </w:tc>
        <w:tc>
          <w:tcPr>
            <w:tcW w:w="764" w:type="pct"/>
            <w:vAlign w:val="center"/>
          </w:tcPr>
          <w:p>
            <w:pPr>
              <w:jc w:val="center"/>
              <w:rPr>
                <w:rFonts w:eastAsiaTheme="minorEastAsia"/>
                <w:szCs w:val="21"/>
              </w:rPr>
            </w:pPr>
            <w:r>
              <w:rPr>
                <w:rFonts w:eastAsiaTheme="minorEastAsia"/>
                <w:szCs w:val="21"/>
              </w:rPr>
              <w:t>1.0</w:t>
            </w:r>
          </w:p>
        </w:tc>
        <w:tc>
          <w:tcPr>
            <w:tcW w:w="819" w:type="pct"/>
            <w:vAlign w:val="center"/>
          </w:tcPr>
          <w:p>
            <w:pPr>
              <w:jc w:val="center"/>
              <w:rPr>
                <w:rFonts w:eastAsiaTheme="minorEastAsia"/>
                <w:szCs w:val="21"/>
              </w:rPr>
            </w:pPr>
            <w:r>
              <w:rPr>
                <w:rFonts w:eastAsiaTheme="minorEastAsia"/>
                <w:szCs w:val="21"/>
              </w:rPr>
              <w:t>3</w:t>
            </w:r>
            <w:r>
              <w:rPr>
                <w:rFonts w:hAnsiTheme="minorEastAsia" w:eastAsiaTheme="minorEastAsia"/>
                <w:szCs w:val="21"/>
              </w:rPr>
              <w:t>个</w:t>
            </w:r>
            <w:r>
              <w:rPr>
                <w:rFonts w:eastAsiaTheme="minorEastAsia"/>
                <w:szCs w:val="21"/>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47" w:type="pct"/>
            <w:vMerge w:val="continue"/>
            <w:vAlign w:val="center"/>
          </w:tcPr>
          <w:p>
            <w:pPr>
              <w:widowControl/>
              <w:jc w:val="left"/>
              <w:rPr>
                <w:rFonts w:eastAsiaTheme="minorEastAsia"/>
                <w:szCs w:val="21"/>
              </w:rPr>
            </w:pPr>
          </w:p>
        </w:tc>
        <w:tc>
          <w:tcPr>
            <w:tcW w:w="579" w:type="pct"/>
            <w:vAlign w:val="center"/>
          </w:tcPr>
          <w:p>
            <w:pPr>
              <w:jc w:val="center"/>
              <w:rPr>
                <w:rFonts w:eastAsiaTheme="minorEastAsia"/>
                <w:szCs w:val="21"/>
              </w:rPr>
            </w:pPr>
            <w:r>
              <w:rPr>
                <w:rFonts w:hAnsiTheme="minorEastAsia" w:eastAsiaTheme="minorEastAsia"/>
                <w:szCs w:val="21"/>
              </w:rPr>
              <w:t>车辆冲洗标准</w:t>
            </w:r>
          </w:p>
        </w:tc>
        <w:tc>
          <w:tcPr>
            <w:tcW w:w="547" w:type="pct"/>
            <w:vAlign w:val="center"/>
          </w:tcPr>
          <w:p>
            <w:pPr>
              <w:jc w:val="center"/>
              <w:rPr>
                <w:rFonts w:eastAsiaTheme="minorEastAsia"/>
                <w:szCs w:val="21"/>
              </w:rPr>
            </w:pPr>
            <w:r>
              <w:rPr>
                <w:rFonts w:eastAsiaTheme="minorEastAsia"/>
                <w:szCs w:val="21"/>
              </w:rPr>
              <w:t>6-9</w:t>
            </w:r>
          </w:p>
        </w:tc>
        <w:tc>
          <w:tcPr>
            <w:tcW w:w="557" w:type="pct"/>
            <w:vAlign w:val="center"/>
          </w:tcPr>
          <w:p>
            <w:pPr>
              <w:jc w:val="center"/>
              <w:rPr>
                <w:rFonts w:eastAsiaTheme="minorEastAsia"/>
                <w:szCs w:val="21"/>
              </w:rPr>
            </w:pPr>
            <w:r>
              <w:rPr>
                <w:rFonts w:eastAsiaTheme="minorEastAsia"/>
                <w:szCs w:val="21"/>
              </w:rPr>
              <w:t>10</w:t>
            </w:r>
          </w:p>
        </w:tc>
        <w:tc>
          <w:tcPr>
            <w:tcW w:w="587" w:type="pct"/>
            <w:vAlign w:val="center"/>
          </w:tcPr>
          <w:p>
            <w:pPr>
              <w:jc w:val="center"/>
              <w:rPr>
                <w:rFonts w:eastAsiaTheme="minorEastAsia"/>
                <w:szCs w:val="21"/>
              </w:rPr>
            </w:pPr>
            <w:r>
              <w:rPr>
                <w:rFonts w:eastAsiaTheme="minorEastAsia"/>
                <w:szCs w:val="21"/>
              </w:rPr>
              <w:t>10</w:t>
            </w:r>
          </w:p>
        </w:tc>
        <w:tc>
          <w:tcPr>
            <w:tcW w:w="764" w:type="pct"/>
            <w:vAlign w:val="center"/>
          </w:tcPr>
          <w:p>
            <w:pPr>
              <w:jc w:val="center"/>
              <w:rPr>
                <w:rFonts w:eastAsiaTheme="minorEastAsia"/>
                <w:szCs w:val="21"/>
              </w:rPr>
            </w:pPr>
            <w:r>
              <w:rPr>
                <w:rFonts w:eastAsiaTheme="minorEastAsia"/>
                <w:szCs w:val="21"/>
              </w:rPr>
              <w:t>1.0</w:t>
            </w:r>
          </w:p>
        </w:tc>
        <w:tc>
          <w:tcPr>
            <w:tcW w:w="819" w:type="pct"/>
            <w:vAlign w:val="center"/>
          </w:tcPr>
          <w:p>
            <w:pPr>
              <w:jc w:val="center"/>
              <w:rPr>
                <w:rFonts w:eastAsiaTheme="minorEastAsia"/>
                <w:szCs w:val="21"/>
              </w:rPr>
            </w:pPr>
            <w:r>
              <w:rPr>
                <w:rFonts w:eastAsiaTheme="minorEastAsia"/>
                <w:szCs w:val="21"/>
              </w:rPr>
              <w:t>3</w:t>
            </w:r>
            <w:r>
              <w:rPr>
                <w:rFonts w:hAnsiTheme="minorEastAsia" w:eastAsiaTheme="minorEastAsia"/>
                <w:szCs w:val="21"/>
              </w:rPr>
              <w:t>个</w:t>
            </w:r>
            <w:r>
              <w:rPr>
                <w:rFonts w:eastAsiaTheme="minorEastAsia"/>
                <w:szCs w:val="21"/>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47" w:type="pct"/>
            <w:vMerge w:val="restart"/>
            <w:vAlign w:val="center"/>
          </w:tcPr>
          <w:p>
            <w:pPr>
              <w:jc w:val="center"/>
              <w:rPr>
                <w:rFonts w:eastAsiaTheme="minorEastAsia"/>
                <w:szCs w:val="21"/>
              </w:rPr>
            </w:pPr>
            <w:r>
              <w:rPr>
                <w:rFonts w:hAnsiTheme="minorEastAsia" w:eastAsiaTheme="minorEastAsia"/>
                <w:szCs w:val="21"/>
              </w:rPr>
              <w:t>《城市污水再生利用工业用水水质标准》（</w:t>
            </w:r>
            <w:r>
              <w:rPr>
                <w:rFonts w:eastAsiaTheme="minorEastAsia"/>
                <w:szCs w:val="21"/>
              </w:rPr>
              <w:t>GB/T 18923-2002</w:t>
            </w:r>
            <w:r>
              <w:rPr>
                <w:rFonts w:hAnsiTheme="minorEastAsia" w:eastAsiaTheme="minorEastAsia"/>
                <w:szCs w:val="21"/>
              </w:rPr>
              <w:t>）</w:t>
            </w:r>
          </w:p>
        </w:tc>
        <w:tc>
          <w:tcPr>
            <w:tcW w:w="579" w:type="pct"/>
            <w:vMerge w:val="restart"/>
            <w:vAlign w:val="center"/>
          </w:tcPr>
          <w:p>
            <w:pPr>
              <w:jc w:val="center"/>
              <w:rPr>
                <w:rFonts w:eastAsiaTheme="minorEastAsia"/>
                <w:szCs w:val="21"/>
              </w:rPr>
            </w:pPr>
            <w:r>
              <w:rPr>
                <w:rFonts w:hAnsiTheme="minorEastAsia" w:eastAsiaTheme="minorEastAsia"/>
                <w:szCs w:val="21"/>
              </w:rPr>
              <w:t>工艺与产品用水</w:t>
            </w:r>
          </w:p>
        </w:tc>
        <w:tc>
          <w:tcPr>
            <w:tcW w:w="547" w:type="pct"/>
            <w:vAlign w:val="center"/>
          </w:tcPr>
          <w:p>
            <w:pPr>
              <w:jc w:val="center"/>
              <w:rPr>
                <w:rFonts w:eastAsiaTheme="minorEastAsia"/>
                <w:szCs w:val="21"/>
              </w:rPr>
            </w:pPr>
            <w:r>
              <w:rPr>
                <w:rFonts w:eastAsiaTheme="minorEastAsia"/>
                <w:szCs w:val="21"/>
              </w:rPr>
              <w:t>PH</w:t>
            </w:r>
          </w:p>
        </w:tc>
        <w:tc>
          <w:tcPr>
            <w:tcW w:w="557" w:type="pct"/>
            <w:vAlign w:val="center"/>
          </w:tcPr>
          <w:p>
            <w:pPr>
              <w:jc w:val="center"/>
              <w:rPr>
                <w:rFonts w:eastAsiaTheme="minorEastAsia"/>
                <w:szCs w:val="21"/>
              </w:rPr>
            </w:pPr>
            <w:r>
              <w:rPr>
                <w:rFonts w:eastAsiaTheme="minorEastAsia"/>
                <w:szCs w:val="21"/>
              </w:rPr>
              <w:t>BOD</w:t>
            </w:r>
            <w:r>
              <w:rPr>
                <w:rFonts w:eastAsiaTheme="minorEastAsia"/>
                <w:szCs w:val="21"/>
                <w:vertAlign w:val="subscript"/>
              </w:rPr>
              <w:t>5</w:t>
            </w:r>
          </w:p>
        </w:tc>
        <w:tc>
          <w:tcPr>
            <w:tcW w:w="587" w:type="pct"/>
            <w:vAlign w:val="center"/>
          </w:tcPr>
          <w:p>
            <w:pPr>
              <w:jc w:val="center"/>
              <w:rPr>
                <w:rFonts w:eastAsiaTheme="minorEastAsia"/>
                <w:szCs w:val="21"/>
              </w:rPr>
            </w:pPr>
            <w:r>
              <w:rPr>
                <w:rFonts w:eastAsiaTheme="minorEastAsia"/>
                <w:szCs w:val="21"/>
              </w:rPr>
              <w:t>COD</w:t>
            </w:r>
          </w:p>
        </w:tc>
        <w:tc>
          <w:tcPr>
            <w:tcW w:w="764" w:type="pct"/>
            <w:vAlign w:val="center"/>
          </w:tcPr>
          <w:p>
            <w:pPr>
              <w:jc w:val="center"/>
              <w:rPr>
                <w:rFonts w:eastAsiaTheme="minorEastAsia"/>
                <w:szCs w:val="21"/>
              </w:rPr>
            </w:pPr>
            <w:r>
              <w:rPr>
                <w:rFonts w:hAnsiTheme="minorEastAsia" w:eastAsiaTheme="minorEastAsia"/>
                <w:szCs w:val="21"/>
              </w:rPr>
              <w:t>阴离子表面活性剂</w:t>
            </w:r>
          </w:p>
        </w:tc>
        <w:tc>
          <w:tcPr>
            <w:tcW w:w="819" w:type="pct"/>
            <w:vAlign w:val="center"/>
          </w:tcPr>
          <w:p>
            <w:pPr>
              <w:jc w:val="center"/>
              <w:rPr>
                <w:rFonts w:eastAsiaTheme="minorEastAsia"/>
                <w:szCs w:val="21"/>
              </w:rPr>
            </w:pPr>
            <w:r>
              <w:rPr>
                <w:rFonts w:hAnsiTheme="minorEastAsia" w:eastAsiaTheme="minorEastAsia"/>
                <w:szCs w:val="21"/>
              </w:rPr>
              <w:t>粪大肠菌群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47" w:type="pct"/>
            <w:vMerge w:val="continue"/>
            <w:vAlign w:val="center"/>
          </w:tcPr>
          <w:p>
            <w:pPr>
              <w:widowControl/>
              <w:jc w:val="left"/>
              <w:rPr>
                <w:rFonts w:eastAsiaTheme="minorEastAsia"/>
                <w:szCs w:val="21"/>
              </w:rPr>
            </w:pPr>
          </w:p>
        </w:tc>
        <w:tc>
          <w:tcPr>
            <w:tcW w:w="579" w:type="pct"/>
            <w:vMerge w:val="continue"/>
            <w:vAlign w:val="center"/>
          </w:tcPr>
          <w:p>
            <w:pPr>
              <w:widowControl/>
              <w:jc w:val="left"/>
              <w:rPr>
                <w:rFonts w:eastAsiaTheme="minorEastAsia"/>
                <w:szCs w:val="21"/>
              </w:rPr>
            </w:pPr>
          </w:p>
        </w:tc>
        <w:tc>
          <w:tcPr>
            <w:tcW w:w="547" w:type="pct"/>
            <w:vAlign w:val="center"/>
          </w:tcPr>
          <w:p>
            <w:pPr>
              <w:jc w:val="center"/>
              <w:rPr>
                <w:rFonts w:eastAsiaTheme="minorEastAsia"/>
                <w:szCs w:val="21"/>
              </w:rPr>
            </w:pPr>
            <w:r>
              <w:rPr>
                <w:rFonts w:eastAsiaTheme="minorEastAsia"/>
                <w:szCs w:val="21"/>
              </w:rPr>
              <w:t>6.5~8.5</w:t>
            </w:r>
          </w:p>
        </w:tc>
        <w:tc>
          <w:tcPr>
            <w:tcW w:w="557" w:type="pct"/>
            <w:vAlign w:val="center"/>
          </w:tcPr>
          <w:p>
            <w:pPr>
              <w:jc w:val="center"/>
              <w:rPr>
                <w:rFonts w:eastAsiaTheme="minorEastAsia"/>
                <w:szCs w:val="21"/>
              </w:rPr>
            </w:pPr>
            <w:r>
              <w:rPr>
                <w:rFonts w:eastAsiaTheme="minorEastAsia"/>
                <w:szCs w:val="21"/>
              </w:rPr>
              <w:t>10</w:t>
            </w:r>
          </w:p>
        </w:tc>
        <w:tc>
          <w:tcPr>
            <w:tcW w:w="587" w:type="pct"/>
            <w:vAlign w:val="center"/>
          </w:tcPr>
          <w:p>
            <w:pPr>
              <w:jc w:val="center"/>
              <w:rPr>
                <w:rFonts w:eastAsiaTheme="minorEastAsia"/>
                <w:szCs w:val="21"/>
              </w:rPr>
            </w:pPr>
            <w:r>
              <w:rPr>
                <w:rFonts w:eastAsiaTheme="minorEastAsia"/>
                <w:szCs w:val="21"/>
              </w:rPr>
              <w:t>60</w:t>
            </w:r>
          </w:p>
        </w:tc>
        <w:tc>
          <w:tcPr>
            <w:tcW w:w="764" w:type="pct"/>
            <w:vAlign w:val="center"/>
          </w:tcPr>
          <w:p>
            <w:pPr>
              <w:jc w:val="center"/>
              <w:rPr>
                <w:rFonts w:eastAsiaTheme="minorEastAsia"/>
                <w:szCs w:val="21"/>
              </w:rPr>
            </w:pPr>
            <w:r>
              <w:rPr>
                <w:rFonts w:eastAsiaTheme="minorEastAsia"/>
                <w:szCs w:val="21"/>
              </w:rPr>
              <w:t>0.5</w:t>
            </w:r>
          </w:p>
        </w:tc>
        <w:tc>
          <w:tcPr>
            <w:tcW w:w="819" w:type="pct"/>
            <w:vAlign w:val="center"/>
          </w:tcPr>
          <w:p>
            <w:pPr>
              <w:jc w:val="center"/>
              <w:rPr>
                <w:rFonts w:eastAsiaTheme="minorEastAsia"/>
                <w:szCs w:val="21"/>
              </w:rPr>
            </w:pPr>
            <w:r>
              <w:rPr>
                <w:rFonts w:eastAsiaTheme="minorEastAsia"/>
                <w:szCs w:val="21"/>
              </w:rPr>
              <w:t>2000</w:t>
            </w:r>
            <w:r>
              <w:rPr>
                <w:rFonts w:hAnsiTheme="minorEastAsia" w:eastAsiaTheme="minorEastAsia"/>
                <w:szCs w:val="21"/>
              </w:rPr>
              <w:t>个</w:t>
            </w:r>
            <w:r>
              <w:rPr>
                <w:rFonts w:eastAsiaTheme="minorEastAsia"/>
                <w:szCs w:val="21"/>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26" w:type="pct"/>
            <w:gridSpan w:val="2"/>
            <w:vMerge w:val="restart"/>
            <w:vAlign w:val="center"/>
          </w:tcPr>
          <w:p>
            <w:pPr>
              <w:jc w:val="center"/>
              <w:rPr>
                <w:rFonts w:eastAsiaTheme="minorEastAsia"/>
                <w:szCs w:val="21"/>
              </w:rPr>
            </w:pPr>
            <w:r>
              <w:rPr>
                <w:rFonts w:hAnsiTheme="minorEastAsia" w:eastAsiaTheme="minorEastAsia"/>
                <w:szCs w:val="21"/>
              </w:rPr>
              <w:t>《煤矿井下消防、洒水设计规范》（</w:t>
            </w:r>
            <w:r>
              <w:rPr>
                <w:rFonts w:eastAsiaTheme="minorEastAsia"/>
                <w:szCs w:val="21"/>
              </w:rPr>
              <w:t>GB50383-2006</w:t>
            </w:r>
            <w:r>
              <w:rPr>
                <w:rFonts w:hAnsiTheme="minorEastAsia" w:eastAsiaTheme="minorEastAsia"/>
                <w:szCs w:val="21"/>
              </w:rPr>
              <w:t>）井下消防洒水水质</w:t>
            </w:r>
          </w:p>
        </w:tc>
        <w:tc>
          <w:tcPr>
            <w:tcW w:w="547" w:type="pct"/>
            <w:vAlign w:val="center"/>
          </w:tcPr>
          <w:p>
            <w:pPr>
              <w:jc w:val="center"/>
              <w:rPr>
                <w:rFonts w:eastAsiaTheme="minorEastAsia"/>
                <w:szCs w:val="21"/>
              </w:rPr>
            </w:pPr>
            <w:r>
              <w:rPr>
                <w:rFonts w:eastAsiaTheme="minorEastAsia"/>
                <w:szCs w:val="21"/>
              </w:rPr>
              <w:t>PH</w:t>
            </w:r>
          </w:p>
        </w:tc>
        <w:tc>
          <w:tcPr>
            <w:tcW w:w="1144" w:type="pct"/>
            <w:gridSpan w:val="2"/>
            <w:vAlign w:val="center"/>
          </w:tcPr>
          <w:p>
            <w:pPr>
              <w:jc w:val="center"/>
              <w:rPr>
                <w:rFonts w:eastAsiaTheme="minorEastAsia"/>
                <w:szCs w:val="21"/>
              </w:rPr>
            </w:pPr>
            <w:r>
              <w:rPr>
                <w:rFonts w:eastAsiaTheme="minorEastAsia"/>
                <w:szCs w:val="21"/>
              </w:rPr>
              <w:t>SS</w:t>
            </w:r>
          </w:p>
        </w:tc>
        <w:tc>
          <w:tcPr>
            <w:tcW w:w="764" w:type="pct"/>
            <w:vAlign w:val="center"/>
          </w:tcPr>
          <w:p>
            <w:pPr>
              <w:jc w:val="center"/>
              <w:rPr>
                <w:rFonts w:eastAsiaTheme="minorEastAsia"/>
                <w:szCs w:val="21"/>
              </w:rPr>
            </w:pPr>
            <w:r>
              <w:rPr>
                <w:rFonts w:eastAsiaTheme="minorEastAsia"/>
                <w:szCs w:val="21"/>
              </w:rPr>
              <w:t>SS</w:t>
            </w:r>
            <w:r>
              <w:rPr>
                <w:rFonts w:hAnsiTheme="minorEastAsia" w:eastAsiaTheme="minorEastAsia"/>
                <w:szCs w:val="21"/>
              </w:rPr>
              <w:t>粒度</w:t>
            </w:r>
          </w:p>
        </w:tc>
        <w:tc>
          <w:tcPr>
            <w:tcW w:w="819" w:type="pct"/>
            <w:vAlign w:val="center"/>
          </w:tcPr>
          <w:p>
            <w:pPr>
              <w:jc w:val="center"/>
              <w:rPr>
                <w:rFonts w:eastAsiaTheme="minorEastAsia"/>
                <w:szCs w:val="21"/>
              </w:rPr>
            </w:pPr>
            <w:r>
              <w:rPr>
                <w:rFonts w:hAnsiTheme="minorEastAsia" w:eastAsiaTheme="minorEastAsia"/>
                <w:szCs w:val="21"/>
              </w:rPr>
              <w:t>总大肠菌群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26" w:type="pct"/>
            <w:gridSpan w:val="2"/>
            <w:vMerge w:val="continue"/>
            <w:vAlign w:val="center"/>
          </w:tcPr>
          <w:p>
            <w:pPr>
              <w:widowControl/>
              <w:jc w:val="left"/>
              <w:rPr>
                <w:rFonts w:eastAsiaTheme="minorEastAsia"/>
                <w:szCs w:val="21"/>
              </w:rPr>
            </w:pPr>
          </w:p>
        </w:tc>
        <w:tc>
          <w:tcPr>
            <w:tcW w:w="547" w:type="pct"/>
            <w:vAlign w:val="center"/>
          </w:tcPr>
          <w:p>
            <w:pPr>
              <w:jc w:val="center"/>
              <w:rPr>
                <w:rFonts w:eastAsiaTheme="minorEastAsia"/>
                <w:szCs w:val="21"/>
              </w:rPr>
            </w:pPr>
            <w:r>
              <w:rPr>
                <w:rFonts w:eastAsiaTheme="minorEastAsia"/>
                <w:szCs w:val="21"/>
              </w:rPr>
              <w:t>6-9</w:t>
            </w:r>
          </w:p>
        </w:tc>
        <w:tc>
          <w:tcPr>
            <w:tcW w:w="1144" w:type="pct"/>
            <w:gridSpan w:val="2"/>
            <w:vAlign w:val="center"/>
          </w:tcPr>
          <w:p>
            <w:pPr>
              <w:jc w:val="center"/>
              <w:rPr>
                <w:rFonts w:eastAsiaTheme="minorEastAsia"/>
                <w:szCs w:val="21"/>
              </w:rPr>
            </w:pPr>
            <w:r>
              <w:rPr>
                <w:rFonts w:eastAsiaTheme="minorEastAsia"/>
                <w:szCs w:val="21"/>
              </w:rPr>
              <w:t>30mg/L</w:t>
            </w:r>
          </w:p>
        </w:tc>
        <w:tc>
          <w:tcPr>
            <w:tcW w:w="764" w:type="pct"/>
            <w:vAlign w:val="center"/>
          </w:tcPr>
          <w:p>
            <w:pPr>
              <w:jc w:val="center"/>
              <w:rPr>
                <w:rFonts w:eastAsiaTheme="minorEastAsia"/>
                <w:szCs w:val="21"/>
              </w:rPr>
            </w:pPr>
            <w:r>
              <w:rPr>
                <w:rFonts w:hAnsiTheme="minorEastAsia" w:eastAsiaTheme="minorEastAsia"/>
                <w:szCs w:val="21"/>
              </w:rPr>
              <w:t>＜</w:t>
            </w:r>
            <w:r>
              <w:rPr>
                <w:rFonts w:eastAsiaTheme="minorEastAsia"/>
                <w:szCs w:val="21"/>
              </w:rPr>
              <w:t>0.3mm</w:t>
            </w:r>
          </w:p>
        </w:tc>
        <w:tc>
          <w:tcPr>
            <w:tcW w:w="819" w:type="pct"/>
            <w:vAlign w:val="center"/>
          </w:tcPr>
          <w:p>
            <w:pPr>
              <w:jc w:val="center"/>
              <w:rPr>
                <w:rFonts w:eastAsiaTheme="minorEastAsia"/>
                <w:szCs w:val="21"/>
              </w:rPr>
            </w:pPr>
            <w:r>
              <w:rPr>
                <w:rFonts w:hAnsiTheme="minorEastAsia" w:eastAsiaTheme="minorEastAsia"/>
                <w:szCs w:val="21"/>
              </w:rPr>
              <w:t>＜</w:t>
            </w:r>
            <w:r>
              <w:rPr>
                <w:rFonts w:eastAsiaTheme="minorEastAsia"/>
                <w:szCs w:val="21"/>
              </w:rPr>
              <w:t>3</w:t>
            </w:r>
            <w:r>
              <w:rPr>
                <w:rFonts w:hAnsiTheme="minorEastAsia" w:eastAsiaTheme="minorEastAsia"/>
                <w:szCs w:val="21"/>
              </w:rPr>
              <w:t>个</w:t>
            </w:r>
            <w:r>
              <w:rPr>
                <w:rFonts w:eastAsiaTheme="minorEastAsia"/>
                <w:szCs w:val="21"/>
              </w:rPr>
              <w:t>/L</w:t>
            </w:r>
          </w:p>
        </w:tc>
      </w:tr>
    </w:tbl>
    <w:p>
      <w:pPr>
        <w:spacing w:line="360" w:lineRule="auto"/>
        <w:jc w:val="center"/>
        <w:rPr>
          <w:rFonts w:hAnsiTheme="minorEastAsia" w:eastAsiaTheme="minorEastAsia"/>
          <w:b/>
          <w:bCs/>
          <w:szCs w:val="21"/>
        </w:rPr>
      </w:pPr>
      <w:r>
        <w:rPr>
          <w:rFonts w:hint="eastAsia" w:hAnsiTheme="minorEastAsia" w:eastAsiaTheme="minorEastAsia"/>
          <w:b/>
          <w:bCs/>
          <w:szCs w:val="21"/>
        </w:rPr>
        <w:t>表2.4-12 锅炉用水水质</w:t>
      </w:r>
      <w:r>
        <w:rPr>
          <w:rFonts w:hAnsiTheme="minorEastAsia" w:eastAsiaTheme="minorEastAsia"/>
          <w:b/>
          <w:bCs/>
          <w:szCs w:val="21"/>
        </w:rPr>
        <w:t>标准</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201"/>
        <w:gridCol w:w="854"/>
        <w:gridCol w:w="854"/>
        <w:gridCol w:w="997"/>
        <w:gridCol w:w="997"/>
        <w:gridCol w:w="997"/>
        <w:gridCol w:w="997"/>
        <w:gridCol w:w="997"/>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 w:type="pct"/>
            <w:vMerge w:val="restar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水样</w:t>
            </w:r>
          </w:p>
        </w:tc>
        <w:tc>
          <w:tcPr>
            <w:tcW w:w="773"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额定蒸汽压力</w:t>
            </w:r>
          </w:p>
        </w:tc>
        <w:tc>
          <w:tcPr>
            <w:tcW w:w="997" w:type="pct"/>
            <w:gridSpan w:val="2"/>
            <w:vAlign w:val="center"/>
          </w:tcPr>
          <w:p>
            <w:pPr>
              <w:spacing w:line="288" w:lineRule="auto"/>
              <w:jc w:val="center"/>
              <w:rPr>
                <w:rFonts w:eastAsiaTheme="minorEastAsia"/>
                <w:bCs/>
                <w:kern w:val="0"/>
                <w:sz w:val="18"/>
                <w:szCs w:val="18"/>
              </w:rPr>
            </w:pPr>
            <w:r>
              <w:rPr>
                <w:rFonts w:eastAsiaTheme="minorEastAsia"/>
                <w:bCs/>
                <w:kern w:val="0"/>
                <w:sz w:val="18"/>
                <w:szCs w:val="18"/>
              </w:rPr>
              <w:t>P≤1.0</w:t>
            </w:r>
          </w:p>
        </w:tc>
        <w:tc>
          <w:tcPr>
            <w:tcW w:w="998" w:type="pct"/>
            <w:gridSpan w:val="2"/>
            <w:vAlign w:val="center"/>
          </w:tcPr>
          <w:p>
            <w:pPr>
              <w:spacing w:line="288" w:lineRule="auto"/>
              <w:jc w:val="center"/>
              <w:rPr>
                <w:rFonts w:eastAsiaTheme="minorEastAsia"/>
                <w:bCs/>
                <w:kern w:val="0"/>
                <w:sz w:val="18"/>
                <w:szCs w:val="18"/>
              </w:rPr>
            </w:pPr>
            <w:r>
              <w:rPr>
                <w:rFonts w:eastAsiaTheme="minorEastAsia"/>
                <w:bCs/>
                <w:kern w:val="0"/>
                <w:sz w:val="18"/>
                <w:szCs w:val="18"/>
              </w:rPr>
              <w:t>1.0&lt;P≤1.6</w:t>
            </w:r>
          </w:p>
        </w:tc>
        <w:tc>
          <w:tcPr>
            <w:tcW w:w="959" w:type="pct"/>
            <w:gridSpan w:val="2"/>
            <w:vAlign w:val="center"/>
          </w:tcPr>
          <w:p>
            <w:pPr>
              <w:spacing w:line="288" w:lineRule="auto"/>
              <w:jc w:val="center"/>
              <w:rPr>
                <w:rFonts w:eastAsiaTheme="minorEastAsia"/>
                <w:bCs/>
                <w:kern w:val="0"/>
                <w:sz w:val="18"/>
                <w:szCs w:val="18"/>
              </w:rPr>
            </w:pPr>
            <w:r>
              <w:rPr>
                <w:rFonts w:eastAsiaTheme="minorEastAsia"/>
                <w:bCs/>
                <w:kern w:val="0"/>
                <w:sz w:val="18"/>
                <w:szCs w:val="18"/>
              </w:rPr>
              <w:t>1.6&lt;P≤2.5</w:t>
            </w:r>
          </w:p>
        </w:tc>
        <w:tc>
          <w:tcPr>
            <w:tcW w:w="1047" w:type="pct"/>
            <w:gridSpan w:val="2"/>
            <w:vAlign w:val="center"/>
          </w:tcPr>
          <w:p>
            <w:pPr>
              <w:spacing w:line="288" w:lineRule="auto"/>
              <w:jc w:val="center"/>
              <w:rPr>
                <w:rFonts w:eastAsiaTheme="minorEastAsia"/>
                <w:bCs/>
                <w:kern w:val="0"/>
                <w:sz w:val="18"/>
                <w:szCs w:val="18"/>
              </w:rPr>
            </w:pPr>
            <w:r>
              <w:rPr>
                <w:rFonts w:eastAsiaTheme="minorEastAsia"/>
                <w:bCs/>
                <w:kern w:val="0"/>
                <w:sz w:val="18"/>
                <w:szCs w:val="18"/>
              </w:rPr>
              <w:t>2.5&lt;P≤3.8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 w:type="pct"/>
            <w:vMerge w:val="continue"/>
            <w:vAlign w:val="center"/>
          </w:tcPr>
          <w:p>
            <w:pPr>
              <w:spacing w:line="288" w:lineRule="auto"/>
              <w:jc w:val="center"/>
              <w:rPr>
                <w:rFonts w:eastAsiaTheme="minorEastAsia"/>
                <w:bCs/>
                <w:kern w:val="0"/>
                <w:sz w:val="18"/>
                <w:szCs w:val="18"/>
              </w:rPr>
            </w:pPr>
          </w:p>
        </w:tc>
        <w:tc>
          <w:tcPr>
            <w:tcW w:w="773"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补给水类型</w:t>
            </w:r>
          </w:p>
        </w:tc>
        <w:tc>
          <w:tcPr>
            <w:tcW w:w="499"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软化水</w:t>
            </w:r>
          </w:p>
        </w:tc>
        <w:tc>
          <w:tcPr>
            <w:tcW w:w="499"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除盐水</w:t>
            </w:r>
          </w:p>
        </w:tc>
        <w:tc>
          <w:tcPr>
            <w:tcW w:w="499"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软化水</w:t>
            </w:r>
          </w:p>
        </w:tc>
        <w:tc>
          <w:tcPr>
            <w:tcW w:w="499"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除盐水</w:t>
            </w:r>
          </w:p>
        </w:tc>
        <w:tc>
          <w:tcPr>
            <w:tcW w:w="499"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软化水</w:t>
            </w:r>
          </w:p>
        </w:tc>
        <w:tc>
          <w:tcPr>
            <w:tcW w:w="460"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除盐水</w:t>
            </w:r>
          </w:p>
        </w:tc>
        <w:tc>
          <w:tcPr>
            <w:tcW w:w="460"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软化水</w:t>
            </w:r>
          </w:p>
        </w:tc>
        <w:tc>
          <w:tcPr>
            <w:tcW w:w="587" w:type="pct"/>
            <w:vAlign w:val="center"/>
          </w:tcPr>
          <w:p>
            <w:pPr>
              <w:spacing w:line="288" w:lineRule="auto"/>
              <w:jc w:val="center"/>
              <w:rPr>
                <w:rFonts w:eastAsiaTheme="minorEastAsia"/>
                <w:bCs/>
                <w:kern w:val="0"/>
                <w:sz w:val="18"/>
                <w:szCs w:val="18"/>
              </w:rPr>
            </w:pPr>
            <w:r>
              <w:rPr>
                <w:rFonts w:hAnsiTheme="minorEastAsia" w:eastAsiaTheme="minorEastAsia"/>
                <w:bCs/>
                <w:kern w:val="0"/>
                <w:sz w:val="18"/>
                <w:szCs w:val="18"/>
              </w:rPr>
              <w:t>除盐水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 w:type="pct"/>
            <w:vMerge w:val="restar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给水</w:t>
            </w:r>
          </w:p>
        </w:tc>
        <w:tc>
          <w:tcPr>
            <w:tcW w:w="773"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浊度/FTU</w:t>
            </w:r>
          </w:p>
        </w:tc>
        <w:tc>
          <w:tcPr>
            <w:tcW w:w="4002" w:type="pct"/>
            <w:gridSpan w:val="8"/>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 w:type="pct"/>
            <w:vMerge w:val="continue"/>
            <w:vAlign w:val="center"/>
          </w:tcPr>
          <w:p>
            <w:pPr>
              <w:spacing w:line="288" w:lineRule="auto"/>
              <w:jc w:val="center"/>
              <w:rPr>
                <w:rFonts w:eastAsiaTheme="minorEastAsia"/>
                <w:bCs/>
                <w:kern w:val="0"/>
                <w:sz w:val="18"/>
                <w:szCs w:val="18"/>
              </w:rPr>
            </w:pPr>
          </w:p>
        </w:tc>
        <w:tc>
          <w:tcPr>
            <w:tcW w:w="773"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硬度/（mmol/L）</w:t>
            </w:r>
          </w:p>
        </w:tc>
        <w:tc>
          <w:tcPr>
            <w:tcW w:w="3414" w:type="pct"/>
            <w:gridSpan w:val="7"/>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0.03</w:t>
            </w:r>
          </w:p>
        </w:tc>
        <w:tc>
          <w:tcPr>
            <w:tcW w:w="587" w:type="pct"/>
            <w:vAlign w:val="center"/>
          </w:tcPr>
          <w:p>
            <w:pPr>
              <w:spacing w:line="288" w:lineRule="auto"/>
              <w:jc w:val="center"/>
              <w:rPr>
                <w:rFonts w:eastAsiaTheme="minorEastAsia"/>
                <w:bCs/>
                <w:kern w:val="0"/>
                <w:sz w:val="18"/>
                <w:szCs w:val="18"/>
                <w:vertAlign w:val="superscript"/>
              </w:rPr>
            </w:pPr>
            <w:r>
              <w:rPr>
                <w:rFonts w:eastAsiaTheme="minorEastAsia"/>
                <w:bCs/>
                <w:kern w:val="0"/>
                <w:sz w:val="18"/>
                <w:szCs w:val="18"/>
              </w:rPr>
              <w:t>≤</w:t>
            </w:r>
            <w:r>
              <w:rPr>
                <w:rFonts w:hint="eastAsia" w:eastAsiaTheme="minorEastAsia"/>
                <w:bCs/>
                <w:kern w:val="0"/>
                <w:sz w:val="18"/>
                <w:szCs w:val="18"/>
              </w:rPr>
              <w:t>5.0×10</w:t>
            </w:r>
            <w:r>
              <w:rPr>
                <w:rFonts w:hint="eastAsia" w:eastAsiaTheme="minorEastAsia"/>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 w:type="pct"/>
            <w:vMerge w:val="continue"/>
            <w:vAlign w:val="center"/>
          </w:tcPr>
          <w:p>
            <w:pPr>
              <w:spacing w:line="288" w:lineRule="auto"/>
              <w:jc w:val="center"/>
              <w:rPr>
                <w:rFonts w:eastAsiaTheme="minorEastAsia"/>
                <w:bCs/>
                <w:kern w:val="0"/>
                <w:sz w:val="18"/>
                <w:szCs w:val="18"/>
              </w:rPr>
            </w:pPr>
          </w:p>
        </w:tc>
        <w:tc>
          <w:tcPr>
            <w:tcW w:w="773"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pH（25℃）</w:t>
            </w:r>
          </w:p>
        </w:tc>
        <w:tc>
          <w:tcPr>
            <w:tcW w:w="499"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7.0~10.5</w:t>
            </w:r>
          </w:p>
        </w:tc>
        <w:tc>
          <w:tcPr>
            <w:tcW w:w="499"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8.5~10.5</w:t>
            </w:r>
          </w:p>
        </w:tc>
        <w:tc>
          <w:tcPr>
            <w:tcW w:w="499"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7.0~10.5</w:t>
            </w:r>
          </w:p>
        </w:tc>
        <w:tc>
          <w:tcPr>
            <w:tcW w:w="499"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8.5~10.5</w:t>
            </w:r>
          </w:p>
        </w:tc>
        <w:tc>
          <w:tcPr>
            <w:tcW w:w="499"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7.0~10.5</w:t>
            </w:r>
          </w:p>
        </w:tc>
        <w:tc>
          <w:tcPr>
            <w:tcW w:w="460"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8.5~10.5</w:t>
            </w:r>
          </w:p>
        </w:tc>
        <w:tc>
          <w:tcPr>
            <w:tcW w:w="460"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7.0~10.5</w:t>
            </w:r>
          </w:p>
        </w:tc>
        <w:tc>
          <w:tcPr>
            <w:tcW w:w="587"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8.5~10.5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 w:type="pct"/>
            <w:vMerge w:val="continue"/>
            <w:vAlign w:val="center"/>
          </w:tcPr>
          <w:p>
            <w:pPr>
              <w:spacing w:line="288" w:lineRule="auto"/>
              <w:jc w:val="center"/>
              <w:rPr>
                <w:rFonts w:eastAsiaTheme="minorEastAsia"/>
                <w:bCs/>
                <w:kern w:val="0"/>
                <w:sz w:val="18"/>
                <w:szCs w:val="18"/>
              </w:rPr>
            </w:pPr>
          </w:p>
        </w:tc>
        <w:tc>
          <w:tcPr>
            <w:tcW w:w="773"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电导率</w:t>
            </w:r>
          </w:p>
        </w:tc>
        <w:tc>
          <w:tcPr>
            <w:tcW w:w="997" w:type="pct"/>
            <w:gridSpan w:val="2"/>
            <w:vAlign w:val="center"/>
          </w:tcPr>
          <w:p>
            <w:pPr>
              <w:spacing w:line="288" w:lineRule="auto"/>
              <w:jc w:val="center"/>
              <w:rPr>
                <w:rFonts w:eastAsiaTheme="minorEastAsia"/>
                <w:bCs/>
                <w:kern w:val="0"/>
                <w:sz w:val="18"/>
                <w:szCs w:val="18"/>
              </w:rPr>
            </w:pPr>
            <w:r>
              <w:rPr>
                <w:rFonts w:hint="eastAsia" w:eastAsiaTheme="minorEastAsia"/>
                <w:bCs/>
                <w:kern w:val="0"/>
                <w:sz w:val="18"/>
                <w:szCs w:val="18"/>
              </w:rPr>
              <w:t>--</w:t>
            </w:r>
          </w:p>
        </w:tc>
        <w:tc>
          <w:tcPr>
            <w:tcW w:w="499" w:type="pct"/>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5.5×10</w:t>
            </w:r>
            <w:r>
              <w:rPr>
                <w:rFonts w:hint="eastAsia" w:eastAsiaTheme="minorEastAsia"/>
                <w:bCs/>
                <w:kern w:val="0"/>
                <w:sz w:val="18"/>
                <w:szCs w:val="18"/>
                <w:vertAlign w:val="superscript"/>
              </w:rPr>
              <w:t>-3</w:t>
            </w:r>
          </w:p>
        </w:tc>
        <w:tc>
          <w:tcPr>
            <w:tcW w:w="499" w:type="pct"/>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1.1×10</w:t>
            </w:r>
            <w:r>
              <w:rPr>
                <w:rFonts w:hint="eastAsia" w:eastAsiaTheme="minorEastAsia"/>
                <w:bCs/>
                <w:kern w:val="0"/>
                <w:sz w:val="18"/>
                <w:szCs w:val="18"/>
                <w:vertAlign w:val="superscript"/>
              </w:rPr>
              <w:t>-3</w:t>
            </w:r>
          </w:p>
        </w:tc>
        <w:tc>
          <w:tcPr>
            <w:tcW w:w="499" w:type="pct"/>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5.0×10</w:t>
            </w:r>
            <w:r>
              <w:rPr>
                <w:rFonts w:hint="eastAsia" w:eastAsiaTheme="minorEastAsia"/>
                <w:bCs/>
                <w:kern w:val="0"/>
                <w:sz w:val="18"/>
                <w:szCs w:val="18"/>
                <w:vertAlign w:val="superscript"/>
              </w:rPr>
              <w:t>-3</w:t>
            </w:r>
          </w:p>
        </w:tc>
        <w:tc>
          <w:tcPr>
            <w:tcW w:w="460" w:type="pct"/>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1.0×10</w:t>
            </w:r>
            <w:r>
              <w:rPr>
                <w:rFonts w:hint="eastAsia" w:eastAsiaTheme="minorEastAsia"/>
                <w:bCs/>
                <w:kern w:val="0"/>
                <w:sz w:val="18"/>
                <w:szCs w:val="18"/>
                <w:vertAlign w:val="superscript"/>
              </w:rPr>
              <w:t>-3</w:t>
            </w:r>
          </w:p>
        </w:tc>
        <w:tc>
          <w:tcPr>
            <w:tcW w:w="460" w:type="pct"/>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3.5×10</w:t>
            </w:r>
            <w:r>
              <w:rPr>
                <w:rFonts w:hint="eastAsia" w:eastAsiaTheme="minorEastAsia"/>
                <w:bCs/>
                <w:kern w:val="0"/>
                <w:sz w:val="18"/>
                <w:szCs w:val="18"/>
                <w:vertAlign w:val="superscript"/>
              </w:rPr>
              <w:t>-3</w:t>
            </w:r>
          </w:p>
        </w:tc>
        <w:tc>
          <w:tcPr>
            <w:tcW w:w="587" w:type="pct"/>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 w:type="pct"/>
            <w:vMerge w:val="continue"/>
            <w:vAlign w:val="center"/>
          </w:tcPr>
          <w:p>
            <w:pPr>
              <w:spacing w:line="288" w:lineRule="auto"/>
              <w:jc w:val="center"/>
              <w:rPr>
                <w:rFonts w:eastAsiaTheme="minorEastAsia"/>
                <w:bCs/>
                <w:kern w:val="0"/>
                <w:sz w:val="18"/>
                <w:szCs w:val="18"/>
              </w:rPr>
            </w:pPr>
          </w:p>
        </w:tc>
        <w:tc>
          <w:tcPr>
            <w:tcW w:w="773"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溶解氧/（mg/L）</w:t>
            </w:r>
          </w:p>
        </w:tc>
        <w:tc>
          <w:tcPr>
            <w:tcW w:w="1496" w:type="pct"/>
            <w:gridSpan w:val="3"/>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0.10</w:t>
            </w:r>
          </w:p>
        </w:tc>
        <w:tc>
          <w:tcPr>
            <w:tcW w:w="2505" w:type="pct"/>
            <w:gridSpan w:val="5"/>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 w:type="pct"/>
            <w:vMerge w:val="continue"/>
            <w:vAlign w:val="center"/>
          </w:tcPr>
          <w:p>
            <w:pPr>
              <w:spacing w:line="288" w:lineRule="auto"/>
              <w:jc w:val="center"/>
              <w:rPr>
                <w:rFonts w:eastAsiaTheme="minorEastAsia"/>
                <w:bCs/>
                <w:kern w:val="0"/>
                <w:sz w:val="18"/>
                <w:szCs w:val="18"/>
              </w:rPr>
            </w:pPr>
          </w:p>
        </w:tc>
        <w:tc>
          <w:tcPr>
            <w:tcW w:w="773"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油/（mg /L）</w:t>
            </w:r>
          </w:p>
        </w:tc>
        <w:tc>
          <w:tcPr>
            <w:tcW w:w="4002" w:type="pct"/>
            <w:gridSpan w:val="8"/>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 w:type="pct"/>
            <w:vMerge w:val="continue"/>
            <w:vAlign w:val="center"/>
          </w:tcPr>
          <w:p>
            <w:pPr>
              <w:spacing w:line="288" w:lineRule="auto"/>
              <w:jc w:val="center"/>
              <w:rPr>
                <w:rFonts w:eastAsiaTheme="minorEastAsia"/>
                <w:bCs/>
                <w:kern w:val="0"/>
                <w:sz w:val="18"/>
                <w:szCs w:val="18"/>
              </w:rPr>
            </w:pPr>
          </w:p>
        </w:tc>
        <w:tc>
          <w:tcPr>
            <w:tcW w:w="773" w:type="pct"/>
            <w:vAlign w:val="center"/>
          </w:tcPr>
          <w:p>
            <w:pPr>
              <w:spacing w:line="288" w:lineRule="auto"/>
              <w:jc w:val="center"/>
              <w:rPr>
                <w:rFonts w:eastAsiaTheme="minorEastAsia"/>
                <w:bCs/>
                <w:kern w:val="0"/>
                <w:sz w:val="18"/>
                <w:szCs w:val="18"/>
              </w:rPr>
            </w:pPr>
            <w:r>
              <w:rPr>
                <w:rFonts w:hint="eastAsia" w:eastAsiaTheme="minorEastAsia"/>
                <w:bCs/>
                <w:kern w:val="0"/>
                <w:sz w:val="18"/>
                <w:szCs w:val="18"/>
              </w:rPr>
              <w:t>铁/（mg /L）</w:t>
            </w:r>
          </w:p>
        </w:tc>
        <w:tc>
          <w:tcPr>
            <w:tcW w:w="2495" w:type="pct"/>
            <w:gridSpan w:val="5"/>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0.30</w:t>
            </w:r>
          </w:p>
        </w:tc>
        <w:tc>
          <w:tcPr>
            <w:tcW w:w="1507" w:type="pct"/>
            <w:gridSpan w:val="3"/>
            <w:vAlign w:val="center"/>
          </w:tcPr>
          <w:p>
            <w:pPr>
              <w:spacing w:line="288" w:lineRule="auto"/>
              <w:jc w:val="center"/>
              <w:rPr>
                <w:rFonts w:eastAsiaTheme="minorEastAsia"/>
                <w:bCs/>
                <w:kern w:val="0"/>
                <w:sz w:val="18"/>
                <w:szCs w:val="18"/>
              </w:rPr>
            </w:pPr>
            <w:r>
              <w:rPr>
                <w:rFonts w:eastAsiaTheme="minorEastAsia"/>
                <w:bCs/>
                <w:kern w:val="0"/>
                <w:sz w:val="18"/>
                <w:szCs w:val="18"/>
              </w:rPr>
              <w:t>≤</w:t>
            </w:r>
            <w:r>
              <w:rPr>
                <w:rFonts w:hint="eastAsia" w:eastAsiaTheme="minorEastAsia"/>
                <w:bCs/>
                <w:kern w:val="0"/>
                <w:sz w:val="18"/>
                <w:szCs w:val="18"/>
              </w:rPr>
              <w:t>0.10</w:t>
            </w:r>
          </w:p>
        </w:tc>
      </w:tr>
    </w:tbl>
    <w:p>
      <w:pPr>
        <w:pStyle w:val="39"/>
        <w:rPr>
          <w:rFonts w:ascii="Times New Roman" w:hAnsi="Times New Roman" w:eastAsiaTheme="minorEastAsia"/>
        </w:rPr>
      </w:pPr>
      <w:r>
        <w:rPr>
          <w:rFonts w:ascii="Times New Roman" w:hAnsiTheme="minorEastAsia" w:eastAsiaTheme="minorEastAsia"/>
        </w:rPr>
        <w:t>（</w:t>
      </w:r>
      <w:r>
        <w:rPr>
          <w:rFonts w:hint="eastAsia" w:ascii="Times New Roman" w:hAnsi="Times New Roman" w:eastAsiaTheme="minorEastAsia"/>
        </w:rPr>
        <w:t>4</w:t>
      </w:r>
      <w:r>
        <w:rPr>
          <w:rFonts w:ascii="Times New Roman" w:hAnsiTheme="minorEastAsia" w:eastAsiaTheme="minorEastAsia"/>
        </w:rPr>
        <w:t>）固体废物处置</w:t>
      </w:r>
    </w:p>
    <w:p>
      <w:pPr>
        <w:pStyle w:val="39"/>
        <w:rPr>
          <w:rFonts w:ascii="Times New Roman" w:hAnsi="Times New Roman" w:eastAsiaTheme="minorEastAsia"/>
        </w:rPr>
      </w:pPr>
      <w:r>
        <w:rPr>
          <w:rFonts w:ascii="Times New Roman" w:hAnsi="Times New Roman" w:eastAsiaTheme="minorEastAsia"/>
        </w:rPr>
        <w:t>固体废物处置应执行《一般工业固体废物贮存、处置场污染控制标准》（GB 18599—2001）及其修改单中规定</w:t>
      </w:r>
      <w:r>
        <w:rPr>
          <w:rFonts w:ascii="Times New Roman" w:hAnsiTheme="minorEastAsia" w:eastAsiaTheme="minorEastAsia"/>
        </w:rPr>
        <w:t>和《煤炭工业污染物排放标准》（</w:t>
      </w:r>
      <w:r>
        <w:rPr>
          <w:rFonts w:ascii="Times New Roman" w:hAnsi="Times New Roman" w:eastAsiaTheme="minorEastAsia"/>
        </w:rPr>
        <w:t>GB20426-2006</w:t>
      </w:r>
      <w:r>
        <w:rPr>
          <w:rFonts w:ascii="Times New Roman" w:hAnsiTheme="minorEastAsia" w:eastAsiaTheme="minorEastAsia"/>
        </w:rPr>
        <w:t>）中有关规定。</w:t>
      </w:r>
    </w:p>
    <w:p>
      <w:pPr>
        <w:pStyle w:val="39"/>
        <w:rPr>
          <w:rFonts w:ascii="Times New Roman" w:hAnsi="Times New Roman" w:eastAsiaTheme="minorEastAsia"/>
        </w:rPr>
      </w:pPr>
      <w:r>
        <w:rPr>
          <w:rFonts w:ascii="Times New Roman" w:hAnsiTheme="minorEastAsia" w:eastAsiaTheme="minorEastAsia"/>
        </w:rPr>
        <w:t>涉及危险废物的按照国家危险废物名录执行《危险废物贮存污染控制标准》</w:t>
      </w:r>
      <w:r>
        <w:rPr>
          <w:rFonts w:ascii="Times New Roman" w:hAnsi="Times New Roman" w:eastAsiaTheme="minorEastAsia"/>
        </w:rPr>
        <w:t>(GB18597-2001)</w:t>
      </w:r>
      <w:r>
        <w:rPr>
          <w:rFonts w:ascii="Times New Roman" w:hAnsiTheme="minorEastAsia" w:eastAsiaTheme="minorEastAsia"/>
        </w:rPr>
        <w:t>和《危险废物鉴别标准》中的要求。</w:t>
      </w:r>
    </w:p>
    <w:p>
      <w:pPr>
        <w:pStyle w:val="3"/>
        <w:spacing w:before="0" w:after="0" w:line="360" w:lineRule="auto"/>
        <w:rPr>
          <w:rFonts w:ascii="Times New Roman" w:hAnsi="Times New Roman" w:eastAsiaTheme="minorEastAsia"/>
          <w:bCs w:val="0"/>
          <w:sz w:val="28"/>
        </w:rPr>
      </w:pPr>
      <w:bookmarkStart w:id="90" w:name="_Toc71551924"/>
      <w:r>
        <w:rPr>
          <w:rFonts w:ascii="Times New Roman" w:hAnsi="Times New Roman" w:eastAsiaTheme="minorEastAsia"/>
          <w:bCs w:val="0"/>
          <w:sz w:val="28"/>
        </w:rPr>
        <w:t>2.5</w:t>
      </w:r>
      <w:r>
        <w:rPr>
          <w:rFonts w:ascii="Times New Roman" w:hAnsiTheme="minorEastAsia" w:eastAsiaTheme="minorEastAsia"/>
          <w:bCs w:val="0"/>
          <w:sz w:val="28"/>
        </w:rPr>
        <w:t>评价</w:t>
      </w:r>
      <w:bookmarkEnd w:id="81"/>
      <w:bookmarkEnd w:id="82"/>
      <w:bookmarkEnd w:id="83"/>
      <w:bookmarkEnd w:id="84"/>
      <w:bookmarkEnd w:id="85"/>
      <w:bookmarkEnd w:id="86"/>
      <w:bookmarkEnd w:id="87"/>
      <w:r>
        <w:rPr>
          <w:rFonts w:ascii="Times New Roman" w:hAnsiTheme="minorEastAsia" w:eastAsiaTheme="minorEastAsia"/>
          <w:bCs w:val="0"/>
          <w:sz w:val="28"/>
        </w:rPr>
        <w:t>工作等级</w:t>
      </w:r>
      <w:bookmarkEnd w:id="90"/>
    </w:p>
    <w:p>
      <w:pPr>
        <w:pStyle w:val="39"/>
        <w:rPr>
          <w:rFonts w:ascii="Times New Roman" w:hAnsi="Times New Roman" w:eastAsiaTheme="minorEastAsia"/>
        </w:rPr>
      </w:pPr>
      <w:r>
        <w:rPr>
          <w:rFonts w:ascii="Times New Roman" w:hAnsiTheme="minorEastAsia" w:eastAsiaTheme="minorEastAsia"/>
        </w:rPr>
        <w:t>根据《环境影响评价技术导则</w:t>
      </w:r>
      <w:r>
        <w:rPr>
          <w:rFonts w:ascii="Times New Roman" w:hAnsi="Times New Roman" w:eastAsiaTheme="minorEastAsia"/>
        </w:rPr>
        <w:t xml:space="preserve"> </w:t>
      </w:r>
      <w:r>
        <w:rPr>
          <w:rFonts w:ascii="Times New Roman" w:hAnsiTheme="minorEastAsia" w:eastAsiaTheme="minorEastAsia"/>
        </w:rPr>
        <w:t>总纲》（</w:t>
      </w:r>
      <w:r>
        <w:rPr>
          <w:rFonts w:ascii="Times New Roman" w:hAnsi="Times New Roman" w:eastAsiaTheme="minorEastAsia"/>
        </w:rPr>
        <w:t>HJ/T 2.1-2016</w:t>
      </w:r>
      <w:r>
        <w:rPr>
          <w:rFonts w:ascii="Times New Roman" w:hAnsiTheme="minorEastAsia" w:eastAsiaTheme="minorEastAsia"/>
        </w:rPr>
        <w:t>）、《环境影响评价技术导则</w:t>
      </w:r>
      <w:r>
        <w:rPr>
          <w:rFonts w:ascii="Times New Roman" w:hAnsi="Times New Roman" w:eastAsiaTheme="minorEastAsia"/>
        </w:rPr>
        <w:t xml:space="preserve"> </w:t>
      </w:r>
      <w:r>
        <w:rPr>
          <w:rFonts w:ascii="Times New Roman" w:hAnsiTheme="minorEastAsia" w:eastAsiaTheme="minorEastAsia"/>
        </w:rPr>
        <w:t>大气环境》（</w:t>
      </w:r>
      <w:r>
        <w:rPr>
          <w:rFonts w:ascii="Times New Roman" w:hAnsi="Times New Roman" w:eastAsiaTheme="minorEastAsia"/>
        </w:rPr>
        <w:t>HJ 2.2-20</w:t>
      </w:r>
      <w:r>
        <w:rPr>
          <w:rFonts w:hint="eastAsia" w:ascii="Times New Roman" w:hAnsi="Times New Roman" w:eastAsiaTheme="minorEastAsia"/>
        </w:rPr>
        <w:t>1</w:t>
      </w:r>
      <w:r>
        <w:rPr>
          <w:rFonts w:ascii="Times New Roman" w:hAnsi="Times New Roman" w:eastAsiaTheme="minorEastAsia"/>
        </w:rPr>
        <w:t>8</w:t>
      </w:r>
      <w:r>
        <w:rPr>
          <w:rFonts w:ascii="Times New Roman" w:hAnsiTheme="minorEastAsia" w:eastAsiaTheme="minorEastAsia"/>
        </w:rPr>
        <w:t>）、《</w:t>
      </w:r>
      <w:r>
        <w:fldChar w:fldCharType="begin"/>
      </w:r>
      <w:r>
        <w:instrText xml:space="preserve"> HYPERLINK "http://www.zhb.gov.cn/info/bgw/bgg/200901/W020090105333761405183.pdf" </w:instrText>
      </w:r>
      <w:r>
        <w:fldChar w:fldCharType="separate"/>
      </w:r>
      <w:r>
        <w:rPr>
          <w:rFonts w:ascii="Times New Roman" w:hAnsiTheme="minorEastAsia" w:eastAsiaTheme="minorEastAsia"/>
        </w:rPr>
        <w:t>环境影响评价技术导则</w:t>
      </w:r>
      <w:r>
        <w:rPr>
          <w:rFonts w:ascii="Times New Roman" w:hAnsi="Times New Roman" w:eastAsiaTheme="minorEastAsia"/>
        </w:rPr>
        <w:t xml:space="preserve"> </w:t>
      </w:r>
      <w:r>
        <w:rPr>
          <w:rFonts w:ascii="Times New Roman" w:hAnsiTheme="minorEastAsia" w:eastAsiaTheme="minorEastAsia"/>
        </w:rPr>
        <w:t>地</w:t>
      </w:r>
      <w:r>
        <w:rPr>
          <w:rFonts w:hint="eastAsia" w:ascii="Times New Roman" w:hAnsiTheme="minorEastAsia" w:eastAsiaTheme="minorEastAsia"/>
        </w:rPr>
        <w:t>表</w:t>
      </w:r>
      <w:r>
        <w:rPr>
          <w:rFonts w:ascii="Times New Roman" w:hAnsiTheme="minorEastAsia" w:eastAsiaTheme="minorEastAsia"/>
        </w:rPr>
        <w:t>水环境》（</w:t>
      </w:r>
      <w:r>
        <w:rPr>
          <w:rFonts w:ascii="Times New Roman" w:hAnsi="Times New Roman" w:eastAsiaTheme="minorEastAsia"/>
        </w:rPr>
        <w:t>HJ 2.3-</w:t>
      </w:r>
      <w:r>
        <w:rPr>
          <w:rFonts w:hint="eastAsia" w:ascii="Times New Roman" w:hAnsi="Times New Roman" w:eastAsiaTheme="minorEastAsia"/>
        </w:rPr>
        <w:t>2018</w:t>
      </w:r>
      <w:r>
        <w:rPr>
          <w:rFonts w:ascii="Times New Roman" w:hAnsiTheme="minorEastAsia" w:eastAsiaTheme="minorEastAsia"/>
        </w:rPr>
        <w:t>）</w:t>
      </w:r>
      <w:r>
        <w:rPr>
          <w:rFonts w:ascii="Times New Roman" w:hAnsiTheme="minorEastAsia" w:eastAsiaTheme="minorEastAsia"/>
        </w:rPr>
        <w:fldChar w:fldCharType="end"/>
      </w:r>
      <w:r>
        <w:rPr>
          <w:rFonts w:ascii="Times New Roman" w:hAnsiTheme="minorEastAsia" w:eastAsiaTheme="minorEastAsia"/>
        </w:rPr>
        <w:t>、《环境影响评价技术导则  地下水环境》（HJ610-2016）、《环境影响评价技术导则</w:t>
      </w:r>
      <w:r>
        <w:rPr>
          <w:rFonts w:ascii="Times New Roman" w:hAnsi="Times New Roman" w:eastAsiaTheme="minorEastAsia"/>
        </w:rPr>
        <w:t xml:space="preserve"> </w:t>
      </w:r>
      <w:r>
        <w:rPr>
          <w:rFonts w:ascii="Times New Roman" w:hAnsiTheme="minorEastAsia" w:eastAsiaTheme="minorEastAsia"/>
        </w:rPr>
        <w:t>声环境》（</w:t>
      </w:r>
      <w:r>
        <w:rPr>
          <w:rFonts w:ascii="Times New Roman" w:hAnsi="Times New Roman" w:eastAsiaTheme="minorEastAsia"/>
        </w:rPr>
        <w:t>HJ 2.4-2009</w:t>
      </w:r>
      <w:r>
        <w:rPr>
          <w:rFonts w:ascii="Times New Roman" w:hAnsiTheme="minorEastAsia" w:eastAsiaTheme="minorEastAsia"/>
        </w:rPr>
        <w:t>）、《环境影响评价技术导则</w:t>
      </w:r>
      <w:r>
        <w:rPr>
          <w:rFonts w:ascii="Times New Roman" w:hAnsi="Times New Roman" w:eastAsiaTheme="minorEastAsia"/>
        </w:rPr>
        <w:t xml:space="preserve"> </w:t>
      </w:r>
      <w:r>
        <w:rPr>
          <w:rFonts w:ascii="Times New Roman" w:hAnsiTheme="minorEastAsia" w:eastAsiaTheme="minorEastAsia"/>
        </w:rPr>
        <w:t>生态影响》（</w:t>
      </w:r>
      <w:r>
        <w:rPr>
          <w:rFonts w:ascii="Times New Roman" w:hAnsi="Times New Roman" w:eastAsiaTheme="minorEastAsia"/>
        </w:rPr>
        <w:t>HJ/T 19-2011</w:t>
      </w:r>
      <w:r>
        <w:rPr>
          <w:rFonts w:ascii="Times New Roman" w:hAnsiTheme="minorEastAsia" w:eastAsiaTheme="minorEastAsia"/>
        </w:rPr>
        <w:t>）、《环境影响评价技术导则</w:t>
      </w:r>
      <w:r>
        <w:rPr>
          <w:rFonts w:ascii="Times New Roman" w:hAnsi="Times New Roman" w:eastAsiaTheme="minorEastAsia"/>
        </w:rPr>
        <w:t xml:space="preserve"> </w:t>
      </w:r>
      <w:r>
        <w:rPr>
          <w:rFonts w:ascii="Times New Roman" w:hAnsiTheme="minorEastAsia" w:eastAsiaTheme="minorEastAsia"/>
        </w:rPr>
        <w:t>土壤环境</w:t>
      </w:r>
      <w:r>
        <w:rPr>
          <w:rFonts w:hint="eastAsia" w:ascii="Times New Roman" w:hAnsiTheme="minorEastAsia" w:eastAsiaTheme="minorEastAsia"/>
        </w:rPr>
        <w:t>（试行）</w:t>
      </w:r>
      <w:r>
        <w:rPr>
          <w:rFonts w:ascii="Times New Roman" w:hAnsiTheme="minorEastAsia" w:eastAsiaTheme="minorEastAsia"/>
        </w:rPr>
        <w:t>》（</w:t>
      </w:r>
      <w:r>
        <w:rPr>
          <w:rFonts w:ascii="Times New Roman" w:hAnsi="Times New Roman" w:eastAsiaTheme="minorEastAsia"/>
        </w:rPr>
        <w:t>HJ</w:t>
      </w:r>
      <w:r>
        <w:rPr>
          <w:rFonts w:hint="eastAsia" w:ascii="Times New Roman" w:hAnsi="Times New Roman" w:eastAsiaTheme="minorEastAsia"/>
        </w:rPr>
        <w:t xml:space="preserve"> </w:t>
      </w:r>
      <w:r>
        <w:rPr>
          <w:rFonts w:ascii="Times New Roman" w:hAnsi="Times New Roman" w:eastAsiaTheme="minorEastAsia"/>
        </w:rPr>
        <w:t>964-2018</w:t>
      </w:r>
      <w:r>
        <w:rPr>
          <w:rFonts w:ascii="Times New Roman" w:hAnsiTheme="minorEastAsia" w:eastAsiaTheme="minorEastAsia"/>
        </w:rPr>
        <w:t>）中评价等级的分级方法确定评价等级。</w:t>
      </w:r>
    </w:p>
    <w:p>
      <w:pPr>
        <w:spacing w:line="360" w:lineRule="auto"/>
        <w:outlineLvl w:val="2"/>
        <w:rPr>
          <w:rFonts w:eastAsiaTheme="minorEastAsia"/>
          <w:b/>
          <w:sz w:val="24"/>
        </w:rPr>
      </w:pPr>
      <w:r>
        <w:rPr>
          <w:rFonts w:eastAsiaTheme="minorEastAsia"/>
          <w:b/>
          <w:sz w:val="24"/>
        </w:rPr>
        <w:t>2.5.1</w:t>
      </w:r>
      <w:r>
        <w:rPr>
          <w:rFonts w:hAnsiTheme="minorEastAsia" w:eastAsiaTheme="minorEastAsia"/>
          <w:b/>
          <w:sz w:val="24"/>
        </w:rPr>
        <w:t>大气环境</w:t>
      </w:r>
    </w:p>
    <w:p>
      <w:pPr>
        <w:spacing w:line="360" w:lineRule="auto"/>
        <w:ind w:firstLine="480" w:firstLineChars="200"/>
        <w:jc w:val="left"/>
        <w:rPr>
          <w:rFonts w:eastAsiaTheme="minorEastAsia"/>
          <w:sz w:val="24"/>
        </w:rPr>
      </w:pPr>
      <w:r>
        <w:rPr>
          <w:rFonts w:hAnsiTheme="minorEastAsia" w:eastAsiaTheme="minorEastAsia"/>
          <w:bCs/>
          <w:sz w:val="24"/>
        </w:rPr>
        <w:t>根据《环境影响评价技术导则</w:t>
      </w:r>
      <w:r>
        <w:rPr>
          <w:rFonts w:eastAsiaTheme="minorEastAsia"/>
          <w:bCs/>
          <w:sz w:val="24"/>
        </w:rPr>
        <w:t xml:space="preserve"> </w:t>
      </w:r>
      <w:r>
        <w:rPr>
          <w:rFonts w:hAnsiTheme="minorEastAsia" w:eastAsiaTheme="minorEastAsia"/>
          <w:bCs/>
          <w:sz w:val="24"/>
        </w:rPr>
        <w:t>大气环境》（</w:t>
      </w:r>
      <w:r>
        <w:rPr>
          <w:rFonts w:eastAsiaTheme="minorEastAsia"/>
          <w:bCs/>
          <w:sz w:val="24"/>
        </w:rPr>
        <w:t>HJ2.2-2018</w:t>
      </w:r>
      <w:r>
        <w:rPr>
          <w:rFonts w:hAnsiTheme="minorEastAsia" w:eastAsiaTheme="minorEastAsia"/>
          <w:bCs/>
          <w:sz w:val="24"/>
        </w:rPr>
        <w:t>），本项目采用大气环境影响估算模型对项目的大气环境影响评价工作进行分级。根据本项目工程分析结果，选择主要污染物</w:t>
      </w:r>
      <w:r>
        <w:rPr>
          <w:rFonts w:hint="eastAsia" w:eastAsiaTheme="minorEastAsia"/>
          <w:bCs/>
          <w:sz w:val="24"/>
        </w:rPr>
        <w:t>TSP</w:t>
      </w:r>
      <w:r>
        <w:rPr>
          <w:rFonts w:hAnsiTheme="minorEastAsia" w:eastAsiaTheme="minorEastAsia"/>
          <w:bCs/>
          <w:sz w:val="24"/>
        </w:rPr>
        <w:t>为等级计算因子，采用导则推荐模型中的估算模型，分别计算各污染物在简单平坦地形、全气象组合情况条件下，每一种污染物的最大地面质量浓度占标率</w:t>
      </w:r>
      <w:r>
        <w:rPr>
          <w:rFonts w:eastAsiaTheme="minorEastAsia"/>
          <w:bCs/>
          <w:sz w:val="24"/>
        </w:rPr>
        <w:t>Pi</w:t>
      </w:r>
      <w:r>
        <w:rPr>
          <w:rFonts w:hAnsiTheme="minorEastAsia" w:eastAsiaTheme="minorEastAsia"/>
          <w:bCs/>
          <w:sz w:val="24"/>
        </w:rPr>
        <w:t>（第</w:t>
      </w:r>
      <w:r>
        <w:rPr>
          <w:rFonts w:eastAsiaTheme="minorEastAsia"/>
          <w:bCs/>
          <w:sz w:val="24"/>
        </w:rPr>
        <w:t>i</w:t>
      </w:r>
      <w:r>
        <w:rPr>
          <w:rFonts w:hAnsiTheme="minorEastAsia" w:eastAsiaTheme="minorEastAsia"/>
          <w:bCs/>
          <w:sz w:val="24"/>
        </w:rPr>
        <w:t>个污染物），及第</w:t>
      </w:r>
      <w:r>
        <w:rPr>
          <w:rFonts w:eastAsiaTheme="minorEastAsia"/>
          <w:bCs/>
          <w:sz w:val="24"/>
        </w:rPr>
        <w:t>i</w:t>
      </w:r>
      <w:r>
        <w:rPr>
          <w:rFonts w:hAnsiTheme="minorEastAsia" w:eastAsiaTheme="minorEastAsia"/>
          <w:bCs/>
          <w:sz w:val="24"/>
        </w:rPr>
        <w:t>个污染物的地面质量浓度达标准值</w:t>
      </w:r>
      <w:r>
        <w:rPr>
          <w:rFonts w:eastAsiaTheme="minorEastAsia"/>
          <w:bCs/>
          <w:sz w:val="24"/>
        </w:rPr>
        <w:t xml:space="preserve"> </w:t>
      </w:r>
      <w:r>
        <w:rPr>
          <w:rFonts w:hAnsiTheme="minorEastAsia" w:eastAsiaTheme="minorEastAsia"/>
          <w:bCs/>
          <w:sz w:val="24"/>
        </w:rPr>
        <w:t>的</w:t>
      </w:r>
      <w:r>
        <w:rPr>
          <w:rFonts w:eastAsiaTheme="minorEastAsia"/>
          <w:bCs/>
          <w:sz w:val="24"/>
        </w:rPr>
        <w:t>10%</w:t>
      </w:r>
      <w:r>
        <w:rPr>
          <w:rFonts w:hAnsiTheme="minorEastAsia" w:eastAsiaTheme="minorEastAsia"/>
          <w:bCs/>
          <w:sz w:val="24"/>
        </w:rPr>
        <w:t>时所对应的最远距离</w:t>
      </w:r>
      <w:bookmarkStart w:id="91" w:name="OLE_LINK285"/>
      <w:bookmarkStart w:id="92" w:name="OLE_LINK286"/>
      <w:r>
        <w:rPr>
          <w:rFonts w:eastAsiaTheme="minorEastAsia"/>
          <w:bCs/>
          <w:sz w:val="24"/>
        </w:rPr>
        <w:t>D</w:t>
      </w:r>
      <w:r>
        <w:rPr>
          <w:rFonts w:eastAsiaTheme="minorEastAsia"/>
          <w:bCs/>
          <w:sz w:val="24"/>
          <w:vertAlign w:val="subscript"/>
        </w:rPr>
        <w:t>10%</w:t>
      </w:r>
      <w:bookmarkEnd w:id="91"/>
      <w:bookmarkEnd w:id="92"/>
      <w:r>
        <w:rPr>
          <w:rFonts w:hAnsiTheme="minorEastAsia" w:eastAsiaTheme="minorEastAsia"/>
          <w:bCs/>
          <w:sz w:val="24"/>
        </w:rPr>
        <w:t>。其</w:t>
      </w:r>
      <w:r>
        <w:rPr>
          <w:rFonts w:eastAsiaTheme="minorEastAsia"/>
          <w:sz w:val="24"/>
        </w:rPr>
        <w:t>P</w:t>
      </w:r>
      <w:r>
        <w:rPr>
          <w:rFonts w:eastAsiaTheme="minorEastAsia"/>
          <w:i/>
          <w:sz w:val="24"/>
        </w:rPr>
        <w:t>i</w:t>
      </w:r>
      <w:r>
        <w:rPr>
          <w:rFonts w:hAnsiTheme="minorEastAsia" w:eastAsiaTheme="minorEastAsia"/>
          <w:sz w:val="24"/>
        </w:rPr>
        <w:t>定义如下：</w:t>
      </w:r>
    </w:p>
    <w:p>
      <w:pPr>
        <w:spacing w:line="360" w:lineRule="auto"/>
        <w:ind w:firstLine="422" w:firstLineChars="176"/>
        <w:jc w:val="center"/>
        <w:rPr>
          <w:rFonts w:eastAsiaTheme="minorEastAsia"/>
          <w:sz w:val="24"/>
        </w:rPr>
      </w:pPr>
      <w:r>
        <w:rPr>
          <w:bCs/>
          <w:snapToGrid w:val="0"/>
          <w:kern w:val="0"/>
          <w:sz w:val="24"/>
        </w:rPr>
        <w:t>P</w:t>
      </w:r>
      <w:r>
        <w:rPr>
          <w:bCs/>
          <w:snapToGrid w:val="0"/>
          <w:kern w:val="0"/>
          <w:sz w:val="24"/>
          <w:vertAlign w:val="subscript"/>
        </w:rPr>
        <w:t>i</w:t>
      </w:r>
      <w:r>
        <w:rPr>
          <w:bCs/>
          <w:snapToGrid w:val="0"/>
          <w:kern w:val="0"/>
          <w:sz w:val="24"/>
        </w:rPr>
        <w:t>= C</w:t>
      </w:r>
      <w:r>
        <w:rPr>
          <w:bCs/>
          <w:snapToGrid w:val="0"/>
          <w:kern w:val="0"/>
          <w:sz w:val="24"/>
          <w:vertAlign w:val="subscript"/>
        </w:rPr>
        <w:t>i</w:t>
      </w:r>
      <w:r>
        <w:rPr>
          <w:bCs/>
          <w:snapToGrid w:val="0"/>
          <w:kern w:val="0"/>
          <w:sz w:val="24"/>
        </w:rPr>
        <w:t xml:space="preserve"> / C</w:t>
      </w:r>
      <w:r>
        <w:rPr>
          <w:bCs/>
          <w:snapToGrid w:val="0"/>
          <w:kern w:val="0"/>
          <w:sz w:val="24"/>
          <w:vertAlign w:val="subscript"/>
        </w:rPr>
        <w:t xml:space="preserve">oi </w:t>
      </w:r>
      <w:r>
        <w:rPr>
          <w:bCs/>
          <w:snapToGrid w:val="0"/>
          <w:kern w:val="0"/>
          <w:sz w:val="24"/>
        </w:rPr>
        <w:t>×100%</w:t>
      </w:r>
    </w:p>
    <w:p>
      <w:pPr>
        <w:spacing w:line="360" w:lineRule="auto"/>
        <w:ind w:firstLine="422" w:firstLineChars="176"/>
        <w:jc w:val="left"/>
        <w:rPr>
          <w:rFonts w:eastAsiaTheme="minorEastAsia"/>
          <w:sz w:val="24"/>
        </w:rPr>
      </w:pPr>
      <w:r>
        <w:rPr>
          <w:rFonts w:hAnsiTheme="minorEastAsia" w:eastAsiaTheme="minorEastAsia"/>
          <w:sz w:val="24"/>
        </w:rPr>
        <w:t>式中</w:t>
      </w:r>
      <w:r>
        <w:rPr>
          <w:rFonts w:eastAsiaTheme="minorEastAsia"/>
          <w:sz w:val="24"/>
        </w:rPr>
        <w:t>P</w:t>
      </w:r>
      <w:r>
        <w:rPr>
          <w:rFonts w:eastAsiaTheme="minorEastAsia"/>
          <w:sz w:val="24"/>
          <w:vertAlign w:val="subscript"/>
        </w:rPr>
        <w:t>i</w:t>
      </w:r>
      <w:r>
        <w:rPr>
          <w:rFonts w:eastAsiaTheme="minorEastAsia"/>
          <w:sz w:val="24"/>
        </w:rPr>
        <w:t xml:space="preserve"> ——</w:t>
      </w:r>
      <w:r>
        <w:rPr>
          <w:rFonts w:hAnsiTheme="minorEastAsia" w:eastAsiaTheme="minorEastAsia"/>
          <w:sz w:val="24"/>
        </w:rPr>
        <w:t>第</w:t>
      </w:r>
      <w:r>
        <w:rPr>
          <w:rFonts w:eastAsiaTheme="minorEastAsia"/>
          <w:sz w:val="24"/>
        </w:rPr>
        <w:t>i</w:t>
      </w:r>
      <w:r>
        <w:rPr>
          <w:rFonts w:hAnsiTheme="minorEastAsia" w:eastAsiaTheme="minorEastAsia"/>
          <w:sz w:val="24"/>
        </w:rPr>
        <w:t>个污染物的最大地面空气质量浓度</w:t>
      </w:r>
      <w:r>
        <w:rPr>
          <w:rFonts w:eastAsiaTheme="minorEastAsia"/>
          <w:sz w:val="24"/>
        </w:rPr>
        <w:t xml:space="preserve"> </w:t>
      </w:r>
      <w:r>
        <w:rPr>
          <w:rFonts w:hAnsiTheme="minorEastAsia" w:eastAsiaTheme="minorEastAsia"/>
          <w:sz w:val="24"/>
        </w:rPr>
        <w:t>占标率，</w:t>
      </w:r>
      <w:r>
        <w:rPr>
          <w:rFonts w:eastAsiaTheme="minorEastAsia"/>
          <w:sz w:val="24"/>
        </w:rPr>
        <w:t>%</w:t>
      </w:r>
      <w:r>
        <w:rPr>
          <w:rFonts w:hAnsiTheme="minorEastAsia" w:eastAsiaTheme="minorEastAsia"/>
          <w:sz w:val="24"/>
        </w:rPr>
        <w:t>；</w:t>
      </w:r>
    </w:p>
    <w:p>
      <w:pPr>
        <w:spacing w:line="360" w:lineRule="auto"/>
        <w:ind w:firstLine="900" w:firstLineChars="375"/>
        <w:jc w:val="left"/>
        <w:rPr>
          <w:rFonts w:eastAsiaTheme="minorEastAsia"/>
          <w:sz w:val="24"/>
        </w:rPr>
      </w:pPr>
      <w:r>
        <w:rPr>
          <w:rFonts w:eastAsiaTheme="minorEastAsia"/>
          <w:sz w:val="24"/>
        </w:rPr>
        <w:t>C</w:t>
      </w:r>
      <w:r>
        <w:rPr>
          <w:rFonts w:eastAsiaTheme="minorEastAsia"/>
          <w:sz w:val="24"/>
          <w:vertAlign w:val="subscript"/>
        </w:rPr>
        <w:t>i</w:t>
      </w:r>
      <w:r>
        <w:rPr>
          <w:rFonts w:eastAsiaTheme="minorEastAsia"/>
          <w:sz w:val="24"/>
        </w:rPr>
        <w:t>——</w:t>
      </w:r>
      <w:r>
        <w:rPr>
          <w:rFonts w:hAnsiTheme="minorEastAsia" w:eastAsiaTheme="minorEastAsia"/>
          <w:sz w:val="24"/>
        </w:rPr>
        <w:t>采用估算模型计算出的第</w:t>
      </w:r>
      <w:r>
        <w:rPr>
          <w:rFonts w:eastAsiaTheme="minorEastAsia"/>
          <w:sz w:val="24"/>
        </w:rPr>
        <w:t>i</w:t>
      </w:r>
      <w:r>
        <w:rPr>
          <w:rFonts w:hAnsiTheme="minorEastAsia" w:eastAsiaTheme="minorEastAsia"/>
          <w:sz w:val="24"/>
        </w:rPr>
        <w:t>个污染物的最大</w:t>
      </w:r>
      <w:r>
        <w:rPr>
          <w:rFonts w:eastAsiaTheme="minorEastAsia"/>
          <w:sz w:val="24"/>
        </w:rPr>
        <w:t>1h</w:t>
      </w:r>
      <w:r>
        <w:rPr>
          <w:rFonts w:hAnsiTheme="minorEastAsia" w:eastAsiaTheme="minorEastAsia"/>
          <w:sz w:val="24"/>
        </w:rPr>
        <w:t>地面空气质量浓度，</w:t>
      </w:r>
      <w:r>
        <w:rPr>
          <w:rFonts w:eastAsiaTheme="minorEastAsia"/>
          <w:sz w:val="24"/>
        </w:rPr>
        <w:t>mg/m</w:t>
      </w:r>
      <w:r>
        <w:rPr>
          <w:rFonts w:eastAsiaTheme="minorEastAsia"/>
          <w:sz w:val="24"/>
          <w:vertAlign w:val="superscript"/>
        </w:rPr>
        <w:t>3</w:t>
      </w:r>
      <w:r>
        <w:rPr>
          <w:rFonts w:eastAsiaTheme="minorEastAsia"/>
          <w:sz w:val="24"/>
        </w:rPr>
        <w:t xml:space="preserve"> </w:t>
      </w:r>
      <w:r>
        <w:rPr>
          <w:rFonts w:hAnsiTheme="minorEastAsia" w:eastAsiaTheme="minorEastAsia"/>
          <w:sz w:val="24"/>
        </w:rPr>
        <w:t>；</w:t>
      </w:r>
      <w:r>
        <w:rPr>
          <w:rFonts w:eastAsiaTheme="minorEastAsia"/>
          <w:sz w:val="24"/>
        </w:rPr>
        <w:t xml:space="preserve"> </w:t>
      </w:r>
    </w:p>
    <w:p>
      <w:pPr>
        <w:spacing w:line="360" w:lineRule="auto"/>
        <w:ind w:firstLine="900" w:firstLineChars="375"/>
        <w:jc w:val="left"/>
        <w:rPr>
          <w:rFonts w:eastAsiaTheme="minorEastAsia"/>
          <w:sz w:val="24"/>
        </w:rPr>
      </w:pPr>
      <w:r>
        <w:rPr>
          <w:rFonts w:eastAsiaTheme="minorEastAsia"/>
          <w:sz w:val="24"/>
        </w:rPr>
        <w:t>C</w:t>
      </w:r>
      <w:r>
        <w:rPr>
          <w:rFonts w:eastAsiaTheme="minorEastAsia"/>
          <w:sz w:val="24"/>
          <w:vertAlign w:val="subscript"/>
        </w:rPr>
        <w:t>oi</w:t>
      </w:r>
      <w:r>
        <w:rPr>
          <w:rFonts w:eastAsiaTheme="minorEastAsia"/>
          <w:sz w:val="24"/>
        </w:rPr>
        <w:t>——</w:t>
      </w:r>
      <w:r>
        <w:rPr>
          <w:rFonts w:hAnsiTheme="minorEastAsia" w:eastAsiaTheme="minorEastAsia"/>
          <w:sz w:val="24"/>
        </w:rPr>
        <w:t>第</w:t>
      </w:r>
      <w:r>
        <w:rPr>
          <w:rFonts w:eastAsiaTheme="minorEastAsia"/>
          <w:sz w:val="24"/>
        </w:rPr>
        <w:t>i</w:t>
      </w:r>
      <w:r>
        <w:rPr>
          <w:rFonts w:hAnsiTheme="minorEastAsia" w:eastAsiaTheme="minorEastAsia"/>
          <w:sz w:val="24"/>
        </w:rPr>
        <w:t>个污染物的环境空气质量浓度标准，</w:t>
      </w:r>
      <w:r>
        <w:rPr>
          <w:rFonts w:eastAsiaTheme="minorEastAsia"/>
          <w:sz w:val="24"/>
        </w:rPr>
        <w:t>mg/m</w:t>
      </w:r>
      <w:r>
        <w:rPr>
          <w:rFonts w:eastAsiaTheme="minorEastAsia"/>
          <w:sz w:val="24"/>
          <w:vertAlign w:val="superscript"/>
        </w:rPr>
        <w:t>3</w:t>
      </w:r>
      <w:r>
        <w:rPr>
          <w:rFonts w:eastAsiaTheme="minorEastAsia"/>
          <w:sz w:val="24"/>
        </w:rPr>
        <w:t xml:space="preserve"> </w:t>
      </w:r>
      <w:r>
        <w:rPr>
          <w:rFonts w:hAnsiTheme="minorEastAsia" w:eastAsiaTheme="minorEastAsia"/>
          <w:sz w:val="24"/>
        </w:rPr>
        <w:t>。</w:t>
      </w:r>
    </w:p>
    <w:p>
      <w:pPr>
        <w:spacing w:line="360" w:lineRule="auto"/>
        <w:ind w:firstLine="422" w:firstLineChars="176"/>
        <w:jc w:val="left"/>
        <w:rPr>
          <w:rFonts w:eastAsiaTheme="minorEastAsia"/>
          <w:sz w:val="24"/>
        </w:rPr>
      </w:pPr>
      <w:r>
        <w:rPr>
          <w:rFonts w:hAnsiTheme="minorEastAsia" w:eastAsiaTheme="minorEastAsia"/>
          <w:sz w:val="24"/>
        </w:rPr>
        <w:t>据估算模型计算各污染物的</w:t>
      </w:r>
      <w:r>
        <w:rPr>
          <w:rFonts w:eastAsiaTheme="minorEastAsia"/>
          <w:sz w:val="24"/>
        </w:rPr>
        <w:t>P</w:t>
      </w:r>
      <w:r>
        <w:rPr>
          <w:rFonts w:eastAsiaTheme="minorEastAsia"/>
          <w:sz w:val="24"/>
          <w:vertAlign w:val="subscript"/>
        </w:rPr>
        <w:t>i</w:t>
      </w:r>
      <w:r>
        <w:rPr>
          <w:rFonts w:hAnsiTheme="minorEastAsia" w:eastAsiaTheme="minorEastAsia"/>
          <w:sz w:val="24"/>
        </w:rPr>
        <w:t>值，结果见表</w:t>
      </w:r>
      <w:r>
        <w:rPr>
          <w:rFonts w:eastAsiaTheme="minorEastAsia"/>
          <w:sz w:val="24"/>
        </w:rPr>
        <w:t>2.5-1</w:t>
      </w:r>
      <w:r>
        <w:rPr>
          <w:rFonts w:hAnsiTheme="minorEastAsia" w:eastAsiaTheme="minorEastAsia"/>
          <w:sz w:val="24"/>
        </w:rPr>
        <w:t>。</w:t>
      </w:r>
    </w:p>
    <w:p>
      <w:pPr>
        <w:pStyle w:val="13"/>
        <w:tabs>
          <w:tab w:val="left" w:pos="1365"/>
          <w:tab w:val="left" w:pos="3240"/>
        </w:tabs>
        <w:spacing w:line="360" w:lineRule="auto"/>
        <w:jc w:val="center"/>
        <w:rPr>
          <w:rFonts w:ascii="Times New Roman" w:hAnsiTheme="minorEastAsia" w:eastAsiaTheme="minorEastAsia"/>
          <w:b/>
          <w:szCs w:val="21"/>
        </w:rPr>
      </w:pPr>
      <w:r>
        <w:rPr>
          <w:rFonts w:ascii="Times New Roman" w:hAnsiTheme="minorEastAsia" w:eastAsiaTheme="minorEastAsia"/>
          <w:b/>
          <w:szCs w:val="21"/>
        </w:rPr>
        <w:t>表</w:t>
      </w:r>
      <w:r>
        <w:rPr>
          <w:rFonts w:ascii="Times New Roman" w:hAnsi="Times New Roman" w:eastAsiaTheme="minorEastAsia"/>
          <w:b/>
          <w:szCs w:val="21"/>
        </w:rPr>
        <w:t xml:space="preserve">2.5-1 </w:t>
      </w:r>
      <w:r>
        <w:rPr>
          <w:rFonts w:ascii="Times New Roman" w:hAnsiTheme="minorEastAsia" w:eastAsiaTheme="minorEastAsia"/>
          <w:b/>
          <w:szCs w:val="21"/>
        </w:rPr>
        <w:t>本项目环境空气评价等级计算结果表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0"/>
        <w:gridCol w:w="1428"/>
        <w:gridCol w:w="852"/>
        <w:gridCol w:w="1185"/>
        <w:gridCol w:w="1070"/>
        <w:gridCol w:w="1181"/>
        <w:gridCol w:w="1135"/>
        <w:gridCol w:w="9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tcBorders>
              <w:right w:val="single" w:color="auto" w:sz="12" w:space="0"/>
            </w:tcBorders>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污染源</w:t>
            </w:r>
          </w:p>
        </w:tc>
        <w:tc>
          <w:tcPr>
            <w:tcW w:w="769" w:type="pct"/>
            <w:tcBorders>
              <w:left w:val="single" w:color="auto" w:sz="12" w:space="0"/>
            </w:tcBorders>
            <w:vAlign w:val="center"/>
          </w:tcPr>
          <w:p>
            <w:pPr>
              <w:spacing w:line="288" w:lineRule="auto"/>
              <w:jc w:val="center"/>
              <w:rPr>
                <w:rFonts w:eastAsiaTheme="minorEastAsia"/>
                <w:kern w:val="0"/>
                <w:sz w:val="18"/>
                <w:szCs w:val="18"/>
              </w:rPr>
            </w:pPr>
            <w:r>
              <w:rPr>
                <w:rFonts w:hint="eastAsia" w:eastAsiaTheme="minorEastAsia"/>
                <w:kern w:val="0"/>
                <w:sz w:val="18"/>
                <w:szCs w:val="18"/>
              </w:rPr>
              <w:t>运行时段</w:t>
            </w:r>
          </w:p>
        </w:tc>
        <w:tc>
          <w:tcPr>
            <w:tcW w:w="459"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污染物名称</w:t>
            </w:r>
          </w:p>
        </w:tc>
        <w:tc>
          <w:tcPr>
            <w:tcW w:w="638"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最大落地浓度（</w:t>
            </w:r>
            <w:r>
              <w:rPr>
                <w:rFonts w:eastAsiaTheme="minorEastAsia"/>
                <w:kern w:val="0"/>
                <w:sz w:val="18"/>
                <w:szCs w:val="18"/>
              </w:rPr>
              <w:t>u</w:t>
            </w:r>
            <w:r>
              <w:rPr>
                <w:rFonts w:eastAsiaTheme="minorEastAsia"/>
                <w:bCs/>
                <w:kern w:val="0"/>
                <w:sz w:val="18"/>
                <w:szCs w:val="18"/>
              </w:rPr>
              <w:t>g/m</w:t>
            </w:r>
            <w:r>
              <w:rPr>
                <w:rFonts w:eastAsiaTheme="minorEastAsia"/>
                <w:bCs/>
                <w:kern w:val="0"/>
                <w:sz w:val="18"/>
                <w:szCs w:val="18"/>
                <w:vertAlign w:val="superscript"/>
              </w:rPr>
              <w:t>3</w:t>
            </w:r>
            <w:r>
              <w:rPr>
                <w:rFonts w:hAnsiTheme="minorEastAsia" w:eastAsiaTheme="minorEastAsia"/>
                <w:kern w:val="0"/>
                <w:sz w:val="18"/>
                <w:szCs w:val="18"/>
              </w:rPr>
              <w:t>）</w:t>
            </w:r>
          </w:p>
        </w:tc>
        <w:tc>
          <w:tcPr>
            <w:tcW w:w="576"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最大浓度落地点（</w:t>
            </w:r>
            <w:r>
              <w:rPr>
                <w:rFonts w:eastAsiaTheme="minorEastAsia"/>
                <w:kern w:val="0"/>
                <w:sz w:val="18"/>
                <w:szCs w:val="18"/>
              </w:rPr>
              <w:t>m</w:t>
            </w:r>
            <w:r>
              <w:rPr>
                <w:rFonts w:hAnsiTheme="minorEastAsia" w:eastAsiaTheme="minorEastAsia"/>
                <w:kern w:val="0"/>
                <w:sz w:val="18"/>
                <w:szCs w:val="18"/>
              </w:rPr>
              <w:t>）</w:t>
            </w:r>
          </w:p>
        </w:tc>
        <w:tc>
          <w:tcPr>
            <w:tcW w:w="636"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最大地面浓度占标率（</w:t>
            </w:r>
            <w:r>
              <w:rPr>
                <w:rFonts w:eastAsiaTheme="minorEastAsia"/>
                <w:kern w:val="0"/>
                <w:sz w:val="18"/>
                <w:szCs w:val="18"/>
              </w:rPr>
              <w:t>%</w:t>
            </w:r>
            <w:r>
              <w:rPr>
                <w:rFonts w:hAnsiTheme="minorEastAsia" w:eastAsiaTheme="minorEastAsia"/>
                <w:kern w:val="0"/>
                <w:sz w:val="18"/>
                <w:szCs w:val="18"/>
              </w:rPr>
              <w:t>）</w:t>
            </w:r>
          </w:p>
        </w:tc>
        <w:tc>
          <w:tcPr>
            <w:tcW w:w="611"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评价标准（</w:t>
            </w:r>
            <w:r>
              <w:rPr>
                <w:rFonts w:eastAsiaTheme="minorEastAsia"/>
                <w:kern w:val="0"/>
                <w:sz w:val="18"/>
                <w:szCs w:val="18"/>
              </w:rPr>
              <w:t>u</w:t>
            </w:r>
            <w:r>
              <w:rPr>
                <w:rFonts w:eastAsiaTheme="minorEastAsia"/>
                <w:bCs/>
                <w:kern w:val="0"/>
                <w:sz w:val="18"/>
                <w:szCs w:val="18"/>
              </w:rPr>
              <w:t>g/m</w:t>
            </w:r>
            <w:r>
              <w:rPr>
                <w:rFonts w:eastAsiaTheme="minorEastAsia"/>
                <w:bCs/>
                <w:kern w:val="0"/>
                <w:sz w:val="18"/>
                <w:szCs w:val="18"/>
                <w:vertAlign w:val="superscript"/>
              </w:rPr>
              <w:t>3</w:t>
            </w:r>
            <w:r>
              <w:rPr>
                <w:rFonts w:hAnsiTheme="minorEastAsia" w:eastAsiaTheme="minorEastAsia"/>
                <w:kern w:val="0"/>
                <w:sz w:val="18"/>
                <w:szCs w:val="18"/>
              </w:rPr>
              <w:t>）</w:t>
            </w:r>
          </w:p>
        </w:tc>
        <w:tc>
          <w:tcPr>
            <w:tcW w:w="525"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推荐评价等级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restart"/>
            <w:tcBorders>
              <w:righ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1#锅炉</w:t>
            </w:r>
          </w:p>
        </w:tc>
        <w:tc>
          <w:tcPr>
            <w:tcW w:w="769" w:type="pct"/>
            <w:vMerge w:val="restart"/>
            <w:tcBorders>
              <w:lef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采暖期</w:t>
            </w:r>
          </w:p>
        </w:tc>
        <w:tc>
          <w:tcPr>
            <w:tcW w:w="459" w:type="pct"/>
            <w:vAlign w:val="center"/>
          </w:tcPr>
          <w:p>
            <w:pPr>
              <w:spacing w:line="288" w:lineRule="auto"/>
              <w:jc w:val="center"/>
              <w:rPr>
                <w:rFonts w:eastAsiaTheme="minorEastAsia"/>
                <w:kern w:val="0"/>
                <w:sz w:val="18"/>
                <w:szCs w:val="18"/>
              </w:rPr>
            </w:pPr>
            <w:r>
              <w:rPr>
                <w:rFonts w:hint="eastAsia" w:eastAsiaTheme="minorEastAsia"/>
                <w:kern w:val="0"/>
                <w:sz w:val="18"/>
                <w:szCs w:val="18"/>
              </w:rPr>
              <w:t>颗粒物</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0.68</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0.15</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0.45</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SO</w:t>
            </w:r>
            <w:r>
              <w:rPr>
                <w:rFonts w:hint="eastAsia" w:eastAsiaTheme="minorEastAsia"/>
                <w:kern w:val="0"/>
                <w:sz w:val="18"/>
                <w:szCs w:val="18"/>
                <w:vertAlign w:val="subscript"/>
              </w:rPr>
              <w:t>2</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4.72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0.94</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0.50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NO</w:t>
            </w:r>
            <w:r>
              <w:rPr>
                <w:rFonts w:hint="eastAsia" w:eastAsiaTheme="minorEastAsia"/>
                <w:kern w:val="0"/>
                <w:sz w:val="18"/>
                <w:szCs w:val="18"/>
                <w:vertAlign w:val="subscript"/>
              </w:rPr>
              <w:t>x</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6.72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3.36</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0.20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restart"/>
            <w:tcBorders>
              <w:lef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非采暖期</w:t>
            </w:r>
          </w:p>
        </w:tc>
        <w:tc>
          <w:tcPr>
            <w:tcW w:w="459" w:type="pct"/>
            <w:vAlign w:val="center"/>
          </w:tcPr>
          <w:p>
            <w:pPr>
              <w:spacing w:line="288" w:lineRule="auto"/>
              <w:jc w:val="center"/>
              <w:rPr>
                <w:rFonts w:eastAsiaTheme="minorEastAsia"/>
                <w:kern w:val="0"/>
                <w:sz w:val="18"/>
                <w:szCs w:val="18"/>
              </w:rPr>
            </w:pPr>
            <w:r>
              <w:rPr>
                <w:rFonts w:hint="eastAsia" w:eastAsiaTheme="minorEastAsia"/>
                <w:kern w:val="0"/>
                <w:sz w:val="18"/>
                <w:szCs w:val="18"/>
              </w:rPr>
              <w:t>颗粒物</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1.20</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59</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0.27</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0.45</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SO</w:t>
            </w:r>
            <w:r>
              <w:rPr>
                <w:rFonts w:hint="eastAsia" w:eastAsiaTheme="minorEastAsia"/>
                <w:kern w:val="0"/>
                <w:sz w:val="18"/>
                <w:szCs w:val="18"/>
                <w:vertAlign w:val="subscript"/>
              </w:rPr>
              <w:t>2</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8.42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59</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1.68</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0.50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NO</w:t>
            </w:r>
            <w:r>
              <w:rPr>
                <w:rFonts w:hint="eastAsia" w:eastAsiaTheme="minorEastAsia"/>
                <w:kern w:val="0"/>
                <w:sz w:val="18"/>
                <w:szCs w:val="18"/>
                <w:vertAlign w:val="subscript"/>
              </w:rPr>
              <w:t>x</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12.0</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59</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5.99</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0.20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restart"/>
            <w:tcBorders>
              <w:righ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2#锅炉</w:t>
            </w:r>
          </w:p>
        </w:tc>
        <w:tc>
          <w:tcPr>
            <w:tcW w:w="769" w:type="pct"/>
            <w:vMerge w:val="restart"/>
            <w:tcBorders>
              <w:lef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采暖期</w:t>
            </w:r>
          </w:p>
        </w:tc>
        <w:tc>
          <w:tcPr>
            <w:tcW w:w="459" w:type="pct"/>
            <w:vAlign w:val="center"/>
          </w:tcPr>
          <w:p>
            <w:pPr>
              <w:spacing w:line="288" w:lineRule="auto"/>
              <w:jc w:val="center"/>
              <w:rPr>
                <w:rFonts w:eastAsiaTheme="minorEastAsia"/>
                <w:kern w:val="0"/>
                <w:sz w:val="18"/>
                <w:szCs w:val="18"/>
              </w:rPr>
            </w:pPr>
            <w:r>
              <w:rPr>
                <w:rFonts w:hint="eastAsia" w:eastAsiaTheme="minorEastAsia"/>
                <w:kern w:val="0"/>
                <w:sz w:val="18"/>
                <w:szCs w:val="18"/>
              </w:rPr>
              <w:t>颗粒物</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0.68</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0.15</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0.45</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SO</w:t>
            </w:r>
            <w:r>
              <w:rPr>
                <w:rFonts w:hint="eastAsia" w:eastAsiaTheme="minorEastAsia"/>
                <w:kern w:val="0"/>
                <w:sz w:val="18"/>
                <w:szCs w:val="18"/>
                <w:vertAlign w:val="subscript"/>
              </w:rPr>
              <w:t>2</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4.72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0.94</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0.50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NO</w:t>
            </w:r>
            <w:r>
              <w:rPr>
                <w:rFonts w:hint="eastAsia" w:eastAsiaTheme="minorEastAsia"/>
                <w:kern w:val="0"/>
                <w:sz w:val="18"/>
                <w:szCs w:val="18"/>
                <w:vertAlign w:val="subscript"/>
              </w:rPr>
              <w:t>x</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6.72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3.36</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0.20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二</w:t>
            </w:r>
          </w:p>
        </w:tc>
      </w:tr>
    </w:tbl>
    <w:p>
      <w:pPr>
        <w:pStyle w:val="13"/>
        <w:tabs>
          <w:tab w:val="left" w:pos="1365"/>
          <w:tab w:val="left" w:pos="3240"/>
        </w:tabs>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由表</w:t>
      </w:r>
      <w:r>
        <w:rPr>
          <w:rFonts w:ascii="Times New Roman" w:hAnsi="Times New Roman" w:eastAsiaTheme="minorEastAsia"/>
          <w:sz w:val="24"/>
          <w:szCs w:val="24"/>
        </w:rPr>
        <w:t>2.5-1</w:t>
      </w:r>
      <w:r>
        <w:rPr>
          <w:rFonts w:ascii="Times New Roman" w:hAnsiTheme="minorEastAsia" w:eastAsiaTheme="minorEastAsia"/>
          <w:sz w:val="24"/>
          <w:szCs w:val="24"/>
        </w:rPr>
        <w:t>的计算结果可以看出，本项目产生污染物的最大地面浓度占标率</w:t>
      </w:r>
      <w:r>
        <w:rPr>
          <w:rFonts w:ascii="Times New Roman" w:hAnsi="Times New Roman" w:eastAsiaTheme="minorEastAsia"/>
          <w:sz w:val="24"/>
          <w:szCs w:val="24"/>
        </w:rPr>
        <w:t>Pmax=</w:t>
      </w:r>
      <w:r>
        <w:rPr>
          <w:rFonts w:hint="eastAsia" w:ascii="Times New Roman" w:hAnsi="Times New Roman" w:eastAsiaTheme="minorEastAsia"/>
          <w:sz w:val="24"/>
          <w:szCs w:val="24"/>
        </w:rPr>
        <w:t>5.99</w:t>
      </w:r>
      <w:r>
        <w:rPr>
          <w:rFonts w:ascii="Times New Roman" w:hAnsi="Times New Roman" w:eastAsiaTheme="minorEastAsia"/>
          <w:sz w:val="24"/>
          <w:szCs w:val="24"/>
        </w:rPr>
        <w:t>%</w:t>
      </w:r>
      <w:r>
        <w:rPr>
          <w:rFonts w:ascii="Times New Roman" w:hAnsiTheme="minorEastAsia" w:eastAsiaTheme="minorEastAsia"/>
          <w:sz w:val="24"/>
          <w:szCs w:val="24"/>
        </w:rPr>
        <w:t>＜</w:t>
      </w:r>
      <w:r>
        <w:rPr>
          <w:rFonts w:ascii="Times New Roman" w:hAnsi="Times New Roman" w:eastAsiaTheme="minorEastAsia"/>
          <w:sz w:val="24"/>
          <w:szCs w:val="24"/>
        </w:rPr>
        <w:t>10%</w:t>
      </w:r>
      <w:r>
        <w:rPr>
          <w:rFonts w:ascii="Times New Roman" w:hAnsiTheme="minorEastAsia" w:eastAsiaTheme="minorEastAsia"/>
          <w:sz w:val="24"/>
          <w:szCs w:val="24"/>
        </w:rPr>
        <w:t>。因此，根据评价等级判断标准，确定本工程的大气环境影响评价等级为二级。</w:t>
      </w:r>
    </w:p>
    <w:p>
      <w:pPr>
        <w:spacing w:line="360" w:lineRule="auto"/>
        <w:outlineLvl w:val="2"/>
        <w:rPr>
          <w:rFonts w:eastAsiaTheme="minorEastAsia"/>
          <w:b/>
          <w:sz w:val="24"/>
        </w:rPr>
      </w:pPr>
      <w:r>
        <w:rPr>
          <w:rFonts w:eastAsiaTheme="minorEastAsia"/>
          <w:b/>
          <w:sz w:val="24"/>
        </w:rPr>
        <w:t>2.5.2</w:t>
      </w:r>
      <w:r>
        <w:rPr>
          <w:rFonts w:hAnsiTheme="minorEastAsia" w:eastAsiaTheme="minorEastAsia"/>
          <w:b/>
          <w:sz w:val="24"/>
        </w:rPr>
        <w:t>地表水环境</w:t>
      </w:r>
    </w:p>
    <w:p>
      <w:pPr>
        <w:spacing w:line="360" w:lineRule="auto"/>
        <w:ind w:firstLine="480" w:firstLineChars="200"/>
        <w:rPr>
          <w:rFonts w:eastAsiaTheme="minorEastAsia"/>
          <w:sz w:val="24"/>
        </w:rPr>
      </w:pPr>
      <w:r>
        <w:rPr>
          <w:rFonts w:hAnsiTheme="minorEastAsia" w:eastAsiaTheme="minorEastAsia"/>
          <w:sz w:val="24"/>
        </w:rPr>
        <w:t>根据《环境影响评价技术导则</w:t>
      </w:r>
      <w:r>
        <w:rPr>
          <w:rFonts w:eastAsiaTheme="minorEastAsia"/>
          <w:sz w:val="24"/>
        </w:rPr>
        <w:t xml:space="preserve"> </w:t>
      </w:r>
      <w:r>
        <w:rPr>
          <w:rFonts w:hAnsiTheme="minorEastAsia" w:eastAsiaTheme="minorEastAsia"/>
          <w:sz w:val="24"/>
        </w:rPr>
        <w:t>地</w:t>
      </w:r>
      <w:r>
        <w:rPr>
          <w:rFonts w:hint="eastAsia" w:hAnsiTheme="minorEastAsia" w:eastAsiaTheme="minorEastAsia"/>
          <w:sz w:val="24"/>
        </w:rPr>
        <w:t>表</w:t>
      </w:r>
      <w:r>
        <w:rPr>
          <w:rFonts w:hAnsiTheme="minorEastAsia" w:eastAsiaTheme="minorEastAsia"/>
          <w:sz w:val="24"/>
        </w:rPr>
        <w:t>水环境》（</w:t>
      </w:r>
      <w:r>
        <w:rPr>
          <w:rFonts w:eastAsiaTheme="minorEastAsia"/>
          <w:sz w:val="24"/>
        </w:rPr>
        <w:t>HJ2.3—2018</w:t>
      </w:r>
      <w:r>
        <w:rPr>
          <w:rFonts w:hAnsiTheme="minorEastAsia" w:eastAsiaTheme="minorEastAsia"/>
          <w:sz w:val="24"/>
        </w:rPr>
        <w:t>），地面水环境影响评价工作级别的划分的依据。</w:t>
      </w:r>
    </w:p>
    <w:p>
      <w:pPr>
        <w:spacing w:line="360" w:lineRule="auto"/>
        <w:ind w:firstLine="422" w:firstLineChars="176"/>
        <w:jc w:val="left"/>
        <w:rPr>
          <w:rFonts w:eastAsiaTheme="minorEastAsia"/>
          <w:sz w:val="24"/>
        </w:rPr>
      </w:pPr>
      <w:r>
        <w:rPr>
          <w:rFonts w:eastAsiaTheme="minorEastAsia"/>
          <w:sz w:val="24"/>
        </w:rPr>
        <w:t>A</w:t>
      </w:r>
      <w:r>
        <w:rPr>
          <w:rFonts w:hAnsiTheme="minorEastAsia" w:eastAsiaTheme="minorEastAsia"/>
          <w:sz w:val="24"/>
        </w:rPr>
        <w:t>、评价等级判别表</w:t>
      </w:r>
    </w:p>
    <w:p>
      <w:pPr>
        <w:spacing w:line="360" w:lineRule="auto"/>
        <w:ind w:firstLine="422" w:firstLineChars="176"/>
        <w:jc w:val="left"/>
        <w:rPr>
          <w:rFonts w:eastAsiaTheme="minorEastAsia"/>
          <w:sz w:val="24"/>
        </w:rPr>
      </w:pPr>
      <w:r>
        <w:rPr>
          <w:rFonts w:hAnsiTheme="minorEastAsia" w:eastAsiaTheme="minorEastAsia"/>
          <w:sz w:val="24"/>
        </w:rPr>
        <w:t>评价等级按下表的分级判据进行划分。</w:t>
      </w:r>
    </w:p>
    <w:p>
      <w:pPr>
        <w:spacing w:line="360" w:lineRule="auto"/>
        <w:ind w:firstLine="371" w:firstLineChars="176"/>
        <w:jc w:val="center"/>
        <w:rPr>
          <w:rFonts w:eastAsiaTheme="minorEastAsia"/>
          <w:b/>
          <w:szCs w:val="21"/>
        </w:rPr>
      </w:pPr>
      <w:r>
        <w:rPr>
          <w:rFonts w:hAnsiTheme="minorEastAsia" w:eastAsiaTheme="minorEastAsia"/>
          <w:b/>
          <w:szCs w:val="21"/>
        </w:rPr>
        <w:t>表</w:t>
      </w:r>
      <w:r>
        <w:rPr>
          <w:rFonts w:eastAsiaTheme="minorEastAsia"/>
          <w:b/>
          <w:szCs w:val="21"/>
        </w:rPr>
        <w:t>2.5-2</w:t>
      </w:r>
      <w:r>
        <w:rPr>
          <w:rFonts w:hAnsiTheme="minorEastAsia" w:eastAsiaTheme="minorEastAsia"/>
          <w:b/>
          <w:szCs w:val="21"/>
        </w:rPr>
        <w:t>污染型建设项目分级判据</w:t>
      </w:r>
    </w:p>
    <w:tbl>
      <w:tblPr>
        <w:tblStyle w:val="24"/>
        <w:tblW w:w="496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64"/>
        <w:gridCol w:w="3098"/>
        <w:gridCol w:w="30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1" w:type="pct"/>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Theme="minorEastAsia"/>
                <w:szCs w:val="21"/>
              </w:rPr>
            </w:pPr>
            <w:r>
              <w:rPr>
                <w:rFonts w:hAnsiTheme="minorEastAsia" w:eastAsiaTheme="minorEastAsia"/>
                <w:szCs w:val="21"/>
              </w:rPr>
              <w:t>评价等级</w:t>
            </w:r>
          </w:p>
        </w:tc>
        <w:tc>
          <w:tcPr>
            <w:tcW w:w="3339" w:type="pct"/>
            <w:gridSpan w:val="2"/>
            <w:tcBorders>
              <w:top w:val="single" w:color="auto" w:sz="12" w:space="0"/>
              <w:left w:val="single" w:color="auto" w:sz="6" w:space="0"/>
              <w:bottom w:val="single" w:color="auto" w:sz="6" w:space="0"/>
              <w:right w:val="single" w:color="auto" w:sz="12" w:space="0"/>
            </w:tcBorders>
            <w:vAlign w:val="center"/>
          </w:tcPr>
          <w:p>
            <w:pPr>
              <w:jc w:val="center"/>
              <w:rPr>
                <w:rFonts w:eastAsiaTheme="minorEastAsia"/>
                <w:szCs w:val="21"/>
              </w:rPr>
            </w:pPr>
            <w:r>
              <w:rPr>
                <w:rFonts w:hAnsiTheme="minorEastAsia" w:eastAsiaTheme="minorEastAsia"/>
                <w:szCs w:val="21"/>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vMerge w:val="continue"/>
            <w:tcBorders>
              <w:top w:val="single" w:color="auto" w:sz="12" w:space="0"/>
              <w:left w:val="single" w:color="auto" w:sz="12" w:space="0"/>
              <w:bottom w:val="single" w:color="auto" w:sz="6" w:space="0"/>
              <w:right w:val="single" w:color="auto" w:sz="6" w:space="0"/>
            </w:tcBorders>
            <w:vAlign w:val="center"/>
          </w:tcPr>
          <w:p>
            <w:pPr>
              <w:widowControl/>
              <w:jc w:val="left"/>
              <w:rPr>
                <w:rFonts w:eastAsiaTheme="minorEastAsia"/>
                <w:szCs w:val="21"/>
              </w:rPr>
            </w:pPr>
          </w:p>
        </w:tc>
        <w:tc>
          <w:tcPr>
            <w:tcW w:w="1679" w:type="pct"/>
            <w:tcBorders>
              <w:top w:val="single" w:color="auto" w:sz="6" w:space="0"/>
              <w:left w:val="single" w:color="auto" w:sz="6" w:space="0"/>
              <w:bottom w:val="single" w:color="auto" w:sz="6" w:space="0"/>
              <w:right w:val="single" w:color="auto" w:sz="4" w:space="0"/>
            </w:tcBorders>
            <w:vAlign w:val="center"/>
          </w:tcPr>
          <w:p>
            <w:pPr>
              <w:jc w:val="center"/>
              <w:rPr>
                <w:rFonts w:eastAsiaTheme="minorEastAsia"/>
                <w:szCs w:val="21"/>
              </w:rPr>
            </w:pPr>
            <w:r>
              <w:rPr>
                <w:rFonts w:hAnsiTheme="minorEastAsia" w:eastAsiaTheme="minorEastAsia"/>
                <w:szCs w:val="21"/>
              </w:rPr>
              <w:t>排放方式</w:t>
            </w:r>
          </w:p>
        </w:tc>
        <w:tc>
          <w:tcPr>
            <w:tcW w:w="1660" w:type="pct"/>
            <w:tcBorders>
              <w:top w:val="single" w:color="auto" w:sz="6" w:space="0"/>
              <w:left w:val="single" w:color="auto" w:sz="4" w:space="0"/>
              <w:bottom w:val="single" w:color="auto" w:sz="6" w:space="0"/>
              <w:right w:val="single" w:color="auto" w:sz="12" w:space="0"/>
            </w:tcBorders>
            <w:vAlign w:val="center"/>
          </w:tcPr>
          <w:p>
            <w:pPr>
              <w:jc w:val="center"/>
              <w:rPr>
                <w:rFonts w:eastAsiaTheme="minorEastAsia"/>
                <w:szCs w:val="21"/>
              </w:rPr>
            </w:pPr>
            <w:r>
              <w:rPr>
                <w:rFonts w:hAnsiTheme="minorEastAsia" w:eastAsiaTheme="minorEastAsia"/>
                <w:szCs w:val="21"/>
              </w:rPr>
              <w:t>废水排放量</w:t>
            </w:r>
            <w:r>
              <w:rPr>
                <w:rFonts w:eastAsiaTheme="minorEastAsia"/>
                <w:szCs w:val="21"/>
              </w:rPr>
              <w:t>Q/</w:t>
            </w:r>
            <w:r>
              <w:rPr>
                <w:rFonts w:hAnsiTheme="minorEastAsia" w:eastAsiaTheme="minorEastAsia"/>
                <w:szCs w:val="21"/>
              </w:rPr>
              <w:t>（</w:t>
            </w:r>
            <w:r>
              <w:rPr>
                <w:rFonts w:eastAsiaTheme="minorEastAsia"/>
                <w:szCs w:val="21"/>
              </w:rPr>
              <w:t>m</w:t>
            </w:r>
            <w:r>
              <w:rPr>
                <w:rFonts w:eastAsiaTheme="minorEastAsia"/>
                <w:szCs w:val="21"/>
                <w:vertAlign w:val="superscript"/>
              </w:rPr>
              <w:t>3</w:t>
            </w:r>
            <w:r>
              <w:rPr>
                <w:rFonts w:eastAsiaTheme="minorEastAsia"/>
                <w:szCs w:val="21"/>
              </w:rPr>
              <w:t>/d</w:t>
            </w:r>
            <w:r>
              <w:rPr>
                <w:rFonts w:hAnsiTheme="minorEastAsia" w:eastAsiaTheme="minorEastAsia"/>
                <w:szCs w:val="21"/>
              </w:rPr>
              <w:t>）；</w:t>
            </w:r>
          </w:p>
          <w:p>
            <w:pPr>
              <w:jc w:val="center"/>
              <w:rPr>
                <w:rFonts w:eastAsiaTheme="minorEastAsia"/>
                <w:szCs w:val="21"/>
              </w:rPr>
            </w:pPr>
            <w:r>
              <w:rPr>
                <w:rFonts w:hAnsiTheme="minorEastAsia" w:eastAsiaTheme="minorEastAsia"/>
                <w:szCs w:val="21"/>
              </w:rPr>
              <w:t>水污染物当量数</w:t>
            </w:r>
            <w:r>
              <w:rPr>
                <w:rFonts w:eastAsiaTheme="minorEastAsia"/>
                <w:szCs w:val="21"/>
              </w:rPr>
              <w:t>W/</w:t>
            </w:r>
            <w:r>
              <w:rPr>
                <w:rFonts w:hAnsiTheme="minorEastAsia" w:eastAsiaTheme="minorEastAsia"/>
                <w:szCs w:val="21"/>
              </w:rPr>
              <w:t>（量纲一）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61" w:type="pct"/>
            <w:tcBorders>
              <w:top w:val="single" w:color="auto" w:sz="6" w:space="0"/>
              <w:left w:val="single" w:color="auto" w:sz="12" w:space="0"/>
              <w:bottom w:val="single" w:color="auto" w:sz="6" w:space="0"/>
              <w:right w:val="single" w:color="auto" w:sz="6" w:space="0"/>
            </w:tcBorders>
            <w:vAlign w:val="center"/>
          </w:tcPr>
          <w:p>
            <w:pPr>
              <w:jc w:val="center"/>
              <w:rPr>
                <w:rFonts w:eastAsiaTheme="minorEastAsia"/>
                <w:szCs w:val="21"/>
              </w:rPr>
            </w:pPr>
            <w:r>
              <w:rPr>
                <w:rFonts w:hAnsiTheme="minorEastAsia" w:eastAsiaTheme="minorEastAsia"/>
                <w:szCs w:val="21"/>
              </w:rPr>
              <w:t>一级</w:t>
            </w:r>
          </w:p>
        </w:tc>
        <w:tc>
          <w:tcPr>
            <w:tcW w:w="1679" w:type="pct"/>
            <w:tcBorders>
              <w:top w:val="single" w:color="auto" w:sz="6" w:space="0"/>
              <w:left w:val="single" w:color="auto" w:sz="6" w:space="0"/>
              <w:bottom w:val="single" w:color="auto" w:sz="6" w:space="0"/>
              <w:right w:val="single" w:color="auto" w:sz="4" w:space="0"/>
            </w:tcBorders>
            <w:vAlign w:val="center"/>
          </w:tcPr>
          <w:p>
            <w:pPr>
              <w:jc w:val="center"/>
              <w:rPr>
                <w:rFonts w:eastAsiaTheme="minorEastAsia"/>
                <w:szCs w:val="21"/>
              </w:rPr>
            </w:pPr>
            <w:r>
              <w:rPr>
                <w:rFonts w:hAnsiTheme="minorEastAsia" w:eastAsiaTheme="minorEastAsia"/>
                <w:szCs w:val="21"/>
              </w:rPr>
              <w:t>直接排放</w:t>
            </w:r>
          </w:p>
        </w:tc>
        <w:tc>
          <w:tcPr>
            <w:tcW w:w="1660" w:type="pct"/>
            <w:tcBorders>
              <w:top w:val="single" w:color="auto" w:sz="6" w:space="0"/>
              <w:left w:val="single" w:color="auto" w:sz="4" w:space="0"/>
              <w:bottom w:val="single" w:color="auto" w:sz="6" w:space="0"/>
              <w:right w:val="single" w:color="auto" w:sz="12" w:space="0"/>
            </w:tcBorders>
            <w:vAlign w:val="center"/>
          </w:tcPr>
          <w:p>
            <w:pPr>
              <w:jc w:val="center"/>
              <w:rPr>
                <w:rFonts w:eastAsiaTheme="minorEastAsia"/>
                <w:szCs w:val="21"/>
              </w:rPr>
            </w:pPr>
            <w:r>
              <w:rPr>
                <w:rFonts w:eastAsiaTheme="minorEastAsia"/>
                <w:szCs w:val="21"/>
              </w:rPr>
              <w:t>Q≥20000</w:t>
            </w:r>
            <w:r>
              <w:rPr>
                <w:rFonts w:hAnsiTheme="minorEastAsia" w:eastAsiaTheme="minorEastAsia"/>
                <w:szCs w:val="21"/>
              </w:rPr>
              <w:t>或</w:t>
            </w:r>
            <w:r>
              <w:rPr>
                <w:rFonts w:eastAsiaTheme="minorEastAsia"/>
                <w:szCs w:val="21"/>
              </w:rPr>
              <w:t>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1" w:type="pct"/>
            <w:tcBorders>
              <w:top w:val="single" w:color="auto" w:sz="6" w:space="0"/>
              <w:left w:val="single" w:color="auto" w:sz="12" w:space="0"/>
              <w:bottom w:val="single" w:color="auto" w:sz="6" w:space="0"/>
              <w:right w:val="single" w:color="auto" w:sz="6" w:space="0"/>
            </w:tcBorders>
            <w:vAlign w:val="center"/>
          </w:tcPr>
          <w:p>
            <w:pPr>
              <w:jc w:val="center"/>
              <w:rPr>
                <w:rFonts w:eastAsiaTheme="minorEastAsia"/>
                <w:szCs w:val="21"/>
              </w:rPr>
            </w:pPr>
            <w:r>
              <w:rPr>
                <w:rFonts w:hAnsiTheme="minorEastAsia" w:eastAsiaTheme="minorEastAsia"/>
                <w:szCs w:val="21"/>
              </w:rPr>
              <w:t>二级</w:t>
            </w:r>
          </w:p>
        </w:tc>
        <w:tc>
          <w:tcPr>
            <w:tcW w:w="1679" w:type="pct"/>
            <w:tcBorders>
              <w:top w:val="single" w:color="auto" w:sz="6" w:space="0"/>
              <w:left w:val="single" w:color="auto" w:sz="6" w:space="0"/>
              <w:bottom w:val="single" w:color="auto" w:sz="6" w:space="0"/>
              <w:right w:val="single" w:color="auto" w:sz="4" w:space="0"/>
            </w:tcBorders>
            <w:vAlign w:val="center"/>
          </w:tcPr>
          <w:p>
            <w:pPr>
              <w:jc w:val="center"/>
              <w:rPr>
                <w:rFonts w:eastAsiaTheme="minorEastAsia"/>
                <w:szCs w:val="21"/>
              </w:rPr>
            </w:pPr>
            <w:r>
              <w:rPr>
                <w:rFonts w:hAnsiTheme="minorEastAsia" w:eastAsiaTheme="minorEastAsia"/>
                <w:szCs w:val="21"/>
              </w:rPr>
              <w:t>直接排放</w:t>
            </w:r>
          </w:p>
        </w:tc>
        <w:tc>
          <w:tcPr>
            <w:tcW w:w="1660" w:type="pct"/>
            <w:tcBorders>
              <w:top w:val="single" w:color="auto" w:sz="6" w:space="0"/>
              <w:left w:val="single" w:color="auto" w:sz="4" w:space="0"/>
              <w:bottom w:val="single" w:color="auto" w:sz="6" w:space="0"/>
              <w:right w:val="single" w:color="auto" w:sz="12" w:space="0"/>
            </w:tcBorders>
            <w:vAlign w:val="center"/>
          </w:tcPr>
          <w:p>
            <w:pPr>
              <w:jc w:val="center"/>
              <w:rPr>
                <w:rFonts w:eastAsiaTheme="minorEastAsia"/>
                <w:szCs w:val="21"/>
              </w:rPr>
            </w:pPr>
            <w:r>
              <w:rPr>
                <w:rFonts w:hAnsiTheme="minorEastAsia" w:eastAsiaTheme="minorEastAsia"/>
                <w:szCs w:val="21"/>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1" w:type="pct"/>
            <w:tcBorders>
              <w:top w:val="single" w:color="auto" w:sz="6" w:space="0"/>
              <w:left w:val="single" w:color="auto" w:sz="12" w:space="0"/>
              <w:bottom w:val="single" w:color="auto" w:sz="6" w:space="0"/>
              <w:right w:val="single" w:color="auto" w:sz="6" w:space="0"/>
            </w:tcBorders>
            <w:vAlign w:val="center"/>
          </w:tcPr>
          <w:p>
            <w:pPr>
              <w:jc w:val="center"/>
              <w:rPr>
                <w:rFonts w:eastAsiaTheme="minorEastAsia"/>
                <w:szCs w:val="21"/>
              </w:rPr>
            </w:pPr>
            <w:r>
              <w:rPr>
                <w:rFonts w:hAnsiTheme="minorEastAsia" w:eastAsiaTheme="minorEastAsia"/>
                <w:szCs w:val="21"/>
              </w:rPr>
              <w:t>三级</w:t>
            </w:r>
            <w:r>
              <w:rPr>
                <w:rFonts w:eastAsiaTheme="minorEastAsia"/>
                <w:szCs w:val="21"/>
              </w:rPr>
              <w:t xml:space="preserve">A </w:t>
            </w:r>
          </w:p>
        </w:tc>
        <w:tc>
          <w:tcPr>
            <w:tcW w:w="1679" w:type="pct"/>
            <w:tcBorders>
              <w:top w:val="single" w:color="auto" w:sz="6" w:space="0"/>
              <w:left w:val="single" w:color="auto" w:sz="6" w:space="0"/>
              <w:bottom w:val="single" w:color="auto" w:sz="6" w:space="0"/>
              <w:right w:val="single" w:color="auto" w:sz="4" w:space="0"/>
            </w:tcBorders>
            <w:vAlign w:val="center"/>
          </w:tcPr>
          <w:p>
            <w:pPr>
              <w:jc w:val="center"/>
              <w:rPr>
                <w:rFonts w:eastAsiaTheme="minorEastAsia"/>
                <w:szCs w:val="21"/>
              </w:rPr>
            </w:pPr>
            <w:r>
              <w:rPr>
                <w:rFonts w:hAnsiTheme="minorEastAsia" w:eastAsiaTheme="minorEastAsia"/>
                <w:szCs w:val="21"/>
              </w:rPr>
              <w:t>直接排放</w:t>
            </w:r>
          </w:p>
        </w:tc>
        <w:tc>
          <w:tcPr>
            <w:tcW w:w="1660" w:type="pct"/>
            <w:tcBorders>
              <w:top w:val="single" w:color="auto" w:sz="6" w:space="0"/>
              <w:left w:val="single" w:color="auto" w:sz="4" w:space="0"/>
              <w:bottom w:val="single" w:color="auto" w:sz="6" w:space="0"/>
              <w:right w:val="single" w:color="auto" w:sz="12" w:space="0"/>
            </w:tcBorders>
            <w:vAlign w:val="center"/>
          </w:tcPr>
          <w:p>
            <w:pPr>
              <w:jc w:val="center"/>
              <w:rPr>
                <w:rFonts w:eastAsiaTheme="minorEastAsia"/>
                <w:szCs w:val="21"/>
              </w:rPr>
            </w:pPr>
            <w:r>
              <w:rPr>
                <w:rFonts w:eastAsiaTheme="minorEastAsia"/>
                <w:szCs w:val="21"/>
              </w:rPr>
              <w:t>Q&lt;200</w:t>
            </w:r>
            <w:r>
              <w:rPr>
                <w:rFonts w:hAnsiTheme="minorEastAsia" w:eastAsiaTheme="minorEastAsia"/>
                <w:szCs w:val="21"/>
              </w:rPr>
              <w:t>且</w:t>
            </w:r>
            <w:r>
              <w:rPr>
                <w:rFonts w:eastAsiaTheme="minorEastAsia"/>
                <w:szCs w:val="21"/>
              </w:rPr>
              <w:t>W&lt;6000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1" w:type="pct"/>
            <w:tcBorders>
              <w:top w:val="single" w:color="auto" w:sz="6" w:space="0"/>
              <w:left w:val="single" w:color="auto" w:sz="12" w:space="0"/>
              <w:bottom w:val="single" w:color="auto" w:sz="12" w:space="0"/>
              <w:right w:val="single" w:color="auto" w:sz="6" w:space="0"/>
            </w:tcBorders>
            <w:vAlign w:val="center"/>
          </w:tcPr>
          <w:p>
            <w:pPr>
              <w:jc w:val="center"/>
              <w:rPr>
                <w:rFonts w:eastAsiaTheme="minorEastAsia"/>
                <w:szCs w:val="21"/>
              </w:rPr>
            </w:pPr>
            <w:r>
              <w:rPr>
                <w:rFonts w:hAnsiTheme="minorEastAsia" w:eastAsiaTheme="minorEastAsia"/>
                <w:szCs w:val="21"/>
              </w:rPr>
              <w:t>三级</w:t>
            </w:r>
            <w:r>
              <w:rPr>
                <w:rFonts w:eastAsiaTheme="minorEastAsia"/>
                <w:szCs w:val="21"/>
              </w:rPr>
              <w:t>B</w:t>
            </w:r>
          </w:p>
        </w:tc>
        <w:tc>
          <w:tcPr>
            <w:tcW w:w="1679" w:type="pct"/>
            <w:tcBorders>
              <w:top w:val="single" w:color="auto" w:sz="6" w:space="0"/>
              <w:left w:val="single" w:color="auto" w:sz="6" w:space="0"/>
              <w:bottom w:val="single" w:color="auto" w:sz="12" w:space="0"/>
              <w:right w:val="single" w:color="auto" w:sz="4" w:space="0"/>
            </w:tcBorders>
            <w:vAlign w:val="center"/>
          </w:tcPr>
          <w:p>
            <w:pPr>
              <w:jc w:val="center"/>
              <w:rPr>
                <w:rFonts w:eastAsiaTheme="minorEastAsia"/>
                <w:szCs w:val="21"/>
              </w:rPr>
            </w:pPr>
            <w:r>
              <w:rPr>
                <w:rFonts w:hAnsiTheme="minorEastAsia" w:eastAsiaTheme="minorEastAsia"/>
                <w:szCs w:val="21"/>
              </w:rPr>
              <w:t>间接排放</w:t>
            </w:r>
          </w:p>
        </w:tc>
        <w:tc>
          <w:tcPr>
            <w:tcW w:w="1660" w:type="pct"/>
            <w:tcBorders>
              <w:top w:val="single" w:color="auto" w:sz="6" w:space="0"/>
              <w:left w:val="single" w:color="auto" w:sz="4" w:space="0"/>
              <w:bottom w:val="single" w:color="auto" w:sz="12" w:space="0"/>
              <w:right w:val="single" w:color="auto" w:sz="12" w:space="0"/>
            </w:tcBorders>
            <w:vAlign w:val="center"/>
          </w:tcPr>
          <w:p>
            <w:pPr>
              <w:jc w:val="center"/>
              <w:rPr>
                <w:rFonts w:eastAsiaTheme="minorEastAsia"/>
                <w:szCs w:val="21"/>
              </w:rPr>
            </w:pPr>
            <w:r>
              <w:rPr>
                <w:rFonts w:eastAsiaTheme="minorEastAsia"/>
                <w:szCs w:val="21"/>
              </w:rPr>
              <w:t>-</w:t>
            </w:r>
          </w:p>
        </w:tc>
      </w:tr>
    </w:tbl>
    <w:p>
      <w:pPr>
        <w:pStyle w:val="39"/>
        <w:ind w:firstLine="496"/>
        <w:rPr>
          <w:rFonts w:ascii="Times New Roman" w:hAnsi="Times New Roman" w:eastAsiaTheme="minorEastAsia"/>
          <w:spacing w:val="4"/>
        </w:rPr>
      </w:pPr>
      <w:r>
        <w:rPr>
          <w:rFonts w:ascii="Times New Roman" w:eastAsiaTheme="minorEastAsia"/>
          <w:spacing w:val="4"/>
        </w:rPr>
        <w:t>本项目</w:t>
      </w:r>
      <w:r>
        <w:rPr>
          <w:rFonts w:hint="eastAsia" w:ascii="Times New Roman" w:eastAsiaTheme="minorEastAsia"/>
          <w:spacing w:val="4"/>
        </w:rPr>
        <w:t>矿井水和</w:t>
      </w:r>
      <w:r>
        <w:rPr>
          <w:rFonts w:ascii="Times New Roman" w:eastAsiaTheme="minorEastAsia"/>
          <w:spacing w:val="4"/>
        </w:rPr>
        <w:t>生活污水经处理后全部回用，</w:t>
      </w:r>
      <w:r>
        <w:rPr>
          <w:rFonts w:hint="eastAsia" w:ascii="Times New Roman" w:eastAsiaTheme="minorEastAsia"/>
          <w:spacing w:val="4"/>
        </w:rPr>
        <w:t>不</w:t>
      </w:r>
      <w:r>
        <w:rPr>
          <w:rFonts w:ascii="Times New Roman" w:eastAsiaTheme="minorEastAsia"/>
          <w:spacing w:val="4"/>
        </w:rPr>
        <w:t>外排，根据《环境影响评价技术导则</w:t>
      </w:r>
      <w:r>
        <w:rPr>
          <w:rFonts w:hint="eastAsia" w:ascii="Times New Roman" w:hAnsi="Times New Roman" w:eastAsiaTheme="minorEastAsia"/>
          <w:spacing w:val="4"/>
        </w:rPr>
        <w:t xml:space="preserve"> </w:t>
      </w:r>
      <w:r>
        <w:rPr>
          <w:rFonts w:ascii="Times New Roman" w:eastAsiaTheme="minorEastAsia"/>
          <w:spacing w:val="4"/>
        </w:rPr>
        <w:t>地表水环境》</w:t>
      </w:r>
      <w:r>
        <w:rPr>
          <w:rFonts w:ascii="Times New Roman" w:hAnsi="Times New Roman" w:eastAsiaTheme="minorEastAsia"/>
          <w:spacing w:val="4"/>
        </w:rPr>
        <w:t>(HJ2.3-2018)</w:t>
      </w:r>
      <w:r>
        <w:rPr>
          <w:rFonts w:ascii="Times New Roman" w:eastAsiaTheme="minorEastAsia"/>
          <w:spacing w:val="4"/>
        </w:rPr>
        <w:t>评价等级判定表，本项目地表水评价等级为三级</w:t>
      </w:r>
      <w:r>
        <w:rPr>
          <w:rFonts w:ascii="Times New Roman" w:hAnsi="Times New Roman" w:eastAsiaTheme="minorEastAsia"/>
          <w:spacing w:val="4"/>
        </w:rPr>
        <w:t>B</w:t>
      </w:r>
      <w:r>
        <w:rPr>
          <w:rFonts w:ascii="Times New Roman" w:eastAsiaTheme="minorEastAsia"/>
          <w:spacing w:val="4"/>
        </w:rPr>
        <w:t>。</w:t>
      </w:r>
    </w:p>
    <w:p>
      <w:pPr>
        <w:spacing w:line="360" w:lineRule="auto"/>
        <w:outlineLvl w:val="2"/>
        <w:rPr>
          <w:rFonts w:eastAsiaTheme="minorEastAsia"/>
          <w:b/>
          <w:sz w:val="24"/>
        </w:rPr>
      </w:pPr>
      <w:r>
        <w:rPr>
          <w:rFonts w:eastAsiaTheme="minorEastAsia"/>
          <w:b/>
          <w:sz w:val="24"/>
        </w:rPr>
        <w:t>2.5.3</w:t>
      </w:r>
      <w:r>
        <w:rPr>
          <w:rFonts w:hAnsiTheme="minorEastAsia" w:eastAsiaTheme="minorEastAsia"/>
          <w:b/>
          <w:sz w:val="24"/>
        </w:rPr>
        <w:t>地下水环境</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）项目行业类别</w:t>
      </w:r>
    </w:p>
    <w:p>
      <w:pPr>
        <w:spacing w:line="360" w:lineRule="auto"/>
        <w:ind w:firstLine="480" w:firstLineChars="200"/>
        <w:rPr>
          <w:rFonts w:eastAsiaTheme="minorEastAsia"/>
          <w:sz w:val="24"/>
        </w:rPr>
      </w:pPr>
      <w:r>
        <w:rPr>
          <w:rFonts w:hAnsiTheme="minorEastAsia" w:eastAsiaTheme="minorEastAsia"/>
          <w:sz w:val="24"/>
        </w:rPr>
        <w:t>根据《环境影响评价技术导则</w:t>
      </w:r>
      <w:r>
        <w:rPr>
          <w:rFonts w:eastAsiaTheme="minorEastAsia"/>
          <w:sz w:val="24"/>
        </w:rPr>
        <w:t xml:space="preserve">  </w:t>
      </w:r>
      <w:r>
        <w:rPr>
          <w:rFonts w:hAnsiTheme="minorEastAsia" w:eastAsiaTheme="minorEastAsia"/>
          <w:sz w:val="24"/>
        </w:rPr>
        <w:t>地下水环境》（</w:t>
      </w:r>
      <w:r>
        <w:rPr>
          <w:rFonts w:eastAsiaTheme="minorEastAsia"/>
          <w:sz w:val="24"/>
        </w:rPr>
        <w:t>HJ610-2016</w:t>
      </w:r>
      <w:r>
        <w:rPr>
          <w:rFonts w:hAnsiTheme="minorEastAsia" w:eastAsiaTheme="minorEastAsia"/>
          <w:sz w:val="24"/>
        </w:rPr>
        <w:t>）附录</w:t>
      </w:r>
      <w:r>
        <w:rPr>
          <w:rFonts w:eastAsiaTheme="minorEastAsia"/>
          <w:sz w:val="24"/>
        </w:rPr>
        <w:t>A</w:t>
      </w:r>
      <w:r>
        <w:rPr>
          <w:rFonts w:hAnsiTheme="minorEastAsia" w:eastAsiaTheme="minorEastAsia"/>
          <w:sz w:val="24"/>
        </w:rPr>
        <w:t>地下水环境影响评价行业分类表，确定本项目行业类别属于</w:t>
      </w:r>
      <w:r>
        <w:rPr>
          <w:rFonts w:eastAsiaTheme="minorEastAsia"/>
          <w:sz w:val="24"/>
        </w:rPr>
        <w:t>D</w:t>
      </w:r>
      <w:r>
        <w:rPr>
          <w:rFonts w:hAnsiTheme="minorEastAsia" w:eastAsiaTheme="minorEastAsia"/>
          <w:sz w:val="24"/>
        </w:rPr>
        <w:t>煤矿</w:t>
      </w:r>
      <w:r>
        <w:rPr>
          <w:rFonts w:eastAsiaTheme="minorEastAsia"/>
          <w:sz w:val="24"/>
        </w:rPr>
        <w:t>-26</w:t>
      </w:r>
      <w:r>
        <w:rPr>
          <w:rFonts w:hAnsiTheme="minorEastAsia" w:eastAsiaTheme="minorEastAsia"/>
          <w:sz w:val="24"/>
        </w:rPr>
        <w:t>、煤炭开采，矸石场地为Ⅱ类，工业场地及其它为Ⅲ类。</w:t>
      </w:r>
    </w:p>
    <w:p>
      <w:pPr>
        <w:pStyle w:val="101"/>
        <w:spacing w:line="360" w:lineRule="auto"/>
        <w:ind w:firstLine="480" w:firstLineChars="200"/>
        <w:rPr>
          <w:rFonts w:eastAsiaTheme="minorEastAsia"/>
        </w:rPr>
      </w:pPr>
      <w:r>
        <w:rPr>
          <w:rFonts w:eastAsiaTheme="minorEastAsia"/>
        </w:rPr>
        <w:t>2</w:t>
      </w:r>
      <w:r>
        <w:rPr>
          <w:rFonts w:hAnsiTheme="minorEastAsia" w:eastAsiaTheme="minorEastAsia"/>
        </w:rPr>
        <w:t>）地下水环境敏感程度</w:t>
      </w:r>
    </w:p>
    <w:p>
      <w:pPr>
        <w:pStyle w:val="101"/>
        <w:spacing w:line="360" w:lineRule="auto"/>
        <w:ind w:firstLine="480" w:firstLineChars="200"/>
        <w:rPr>
          <w:rFonts w:eastAsiaTheme="minorEastAsia"/>
        </w:rPr>
      </w:pPr>
      <w:r>
        <w:rPr>
          <w:rFonts w:hAnsiTheme="minorEastAsia" w:eastAsiaTheme="minorEastAsia"/>
        </w:rPr>
        <w:t>建设项目地下水环境敏感程度可分为敏感、较敏感、不敏感三级，具体分级标准见表</w:t>
      </w:r>
      <w:r>
        <w:rPr>
          <w:rFonts w:eastAsiaTheme="minorEastAsia"/>
        </w:rPr>
        <w:t>2.5-3</w:t>
      </w:r>
      <w:r>
        <w:rPr>
          <w:rFonts w:hAnsiTheme="minorEastAsia" w:eastAsiaTheme="minorEastAsia"/>
        </w:rPr>
        <w:t>。</w:t>
      </w:r>
    </w:p>
    <w:p>
      <w:pPr>
        <w:pStyle w:val="98"/>
        <w:snapToGrid/>
        <w:spacing w:line="360" w:lineRule="auto"/>
        <w:rPr>
          <w:rFonts w:ascii="Times New Roman" w:hAnsi="Times New Roman" w:cs="Times New Roman" w:eastAsiaTheme="minorEastAsia"/>
          <w:spacing w:val="0"/>
          <w:kern w:val="2"/>
          <w:szCs w:val="21"/>
        </w:rPr>
      </w:pPr>
      <w:r>
        <w:rPr>
          <w:rFonts w:ascii="Times New Roman" w:cs="Times New Roman" w:hAnsiTheme="minorEastAsia" w:eastAsiaTheme="minorEastAsia"/>
          <w:spacing w:val="0"/>
          <w:kern w:val="2"/>
          <w:szCs w:val="21"/>
        </w:rPr>
        <w:t>表</w:t>
      </w:r>
      <w:r>
        <w:rPr>
          <w:rFonts w:ascii="Times New Roman" w:hAnsi="Times New Roman" w:cs="Times New Roman" w:eastAsiaTheme="minorEastAsia"/>
          <w:spacing w:val="0"/>
          <w:kern w:val="2"/>
          <w:szCs w:val="21"/>
        </w:rPr>
        <w:t xml:space="preserve">2.5-3 </w:t>
      </w:r>
      <w:r>
        <w:rPr>
          <w:rFonts w:ascii="Times New Roman" w:cs="Times New Roman" w:hAnsiTheme="minorEastAsia" w:eastAsiaTheme="minorEastAsia"/>
          <w:spacing w:val="0"/>
          <w:kern w:val="2"/>
          <w:szCs w:val="21"/>
        </w:rPr>
        <w:t>地下水环境敏感程度分级表</w:t>
      </w:r>
    </w:p>
    <w:tbl>
      <w:tblPr>
        <w:tblStyle w:val="24"/>
        <w:tblW w:w="501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99"/>
        <w:gridCol w:w="80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697" w:type="pct"/>
            <w:vAlign w:val="center"/>
          </w:tcPr>
          <w:p>
            <w:pPr>
              <w:pStyle w:val="99"/>
              <w:adjustRightInd/>
              <w:spacing w:line="288" w:lineRule="auto"/>
              <w:jc w:val="center"/>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敏感程度</w:t>
            </w:r>
          </w:p>
        </w:tc>
        <w:tc>
          <w:tcPr>
            <w:tcW w:w="4303" w:type="pct"/>
            <w:vAlign w:val="center"/>
          </w:tcPr>
          <w:p>
            <w:pPr>
              <w:pStyle w:val="99"/>
              <w:adjustRightInd/>
              <w:spacing w:line="288" w:lineRule="auto"/>
              <w:jc w:val="center"/>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697" w:type="pct"/>
            <w:vAlign w:val="center"/>
          </w:tcPr>
          <w:p>
            <w:pPr>
              <w:spacing w:line="288" w:lineRule="auto"/>
              <w:jc w:val="center"/>
              <w:rPr>
                <w:rFonts w:eastAsiaTheme="minorEastAsia"/>
                <w:szCs w:val="21"/>
              </w:rPr>
            </w:pPr>
            <w:r>
              <w:rPr>
                <w:rFonts w:hAnsiTheme="minorEastAsia" w:eastAsiaTheme="minorEastAsia"/>
                <w:szCs w:val="21"/>
              </w:rPr>
              <w:t>敏感</w:t>
            </w:r>
          </w:p>
        </w:tc>
        <w:tc>
          <w:tcPr>
            <w:tcW w:w="4303" w:type="pct"/>
            <w:vAlign w:val="center"/>
          </w:tcPr>
          <w:p>
            <w:pPr>
              <w:pStyle w:val="99"/>
              <w:adjustRightInd/>
              <w:spacing w:line="288" w:lineRule="auto"/>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697" w:type="pct"/>
            <w:vAlign w:val="center"/>
          </w:tcPr>
          <w:p>
            <w:pPr>
              <w:spacing w:line="288" w:lineRule="auto"/>
              <w:jc w:val="center"/>
              <w:rPr>
                <w:rFonts w:eastAsiaTheme="minorEastAsia"/>
                <w:szCs w:val="21"/>
              </w:rPr>
            </w:pPr>
            <w:r>
              <w:rPr>
                <w:rFonts w:hAnsiTheme="minorEastAsia" w:eastAsiaTheme="minorEastAsia"/>
                <w:szCs w:val="21"/>
              </w:rPr>
              <w:t>较敏感</w:t>
            </w:r>
          </w:p>
        </w:tc>
        <w:tc>
          <w:tcPr>
            <w:tcW w:w="4303" w:type="pct"/>
            <w:vAlign w:val="center"/>
          </w:tcPr>
          <w:p>
            <w:pPr>
              <w:pStyle w:val="99"/>
              <w:adjustRightInd/>
              <w:spacing w:line="288" w:lineRule="auto"/>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ascii="Times New Roman" w:hAnsi="Times New Roman" w:cs="Times New Roman" w:eastAsiaTheme="minorEastAsia"/>
                <w:color w:val="auto"/>
                <w:kern w:val="2"/>
                <w:sz w:val="21"/>
                <w:szCs w:val="21"/>
                <w:vertAlign w:val="superscript"/>
              </w:rPr>
              <w:t>a</w:t>
            </w:r>
            <w:r>
              <w:rPr>
                <w:rFonts w:ascii="Times New Roman" w:cs="Times New Roman" w:hAnsiTheme="minorEastAsia" w:eastAsiaTheme="minorEastAsia"/>
                <w:color w:val="auto"/>
                <w:kern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697" w:type="pct"/>
            <w:vAlign w:val="center"/>
          </w:tcPr>
          <w:p>
            <w:pPr>
              <w:spacing w:line="288" w:lineRule="auto"/>
              <w:jc w:val="center"/>
              <w:rPr>
                <w:rFonts w:eastAsiaTheme="minorEastAsia"/>
                <w:szCs w:val="21"/>
              </w:rPr>
            </w:pPr>
            <w:r>
              <w:rPr>
                <w:rFonts w:hAnsiTheme="minorEastAsia" w:eastAsiaTheme="minorEastAsia"/>
                <w:szCs w:val="21"/>
              </w:rPr>
              <w:t>不敏感</w:t>
            </w:r>
          </w:p>
        </w:tc>
        <w:tc>
          <w:tcPr>
            <w:tcW w:w="4303" w:type="pct"/>
            <w:vAlign w:val="center"/>
          </w:tcPr>
          <w:p>
            <w:pPr>
              <w:pStyle w:val="99"/>
              <w:adjustRightInd/>
              <w:spacing w:line="288" w:lineRule="auto"/>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上述地区之外的其它地区。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5000" w:type="pct"/>
            <w:gridSpan w:val="2"/>
            <w:vAlign w:val="center"/>
          </w:tcPr>
          <w:p>
            <w:pPr>
              <w:pStyle w:val="99"/>
              <w:adjustRightInd/>
              <w:spacing w:line="288" w:lineRule="auto"/>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注：</w:t>
            </w:r>
            <w:r>
              <w:rPr>
                <w:rFonts w:ascii="Times New Roman" w:hAnsi="Times New Roman" w:cs="Times New Roman" w:eastAsiaTheme="minorEastAsia"/>
                <w:color w:val="auto"/>
                <w:kern w:val="2"/>
                <w:sz w:val="21"/>
                <w:szCs w:val="21"/>
              </w:rPr>
              <w:t>“</w:t>
            </w:r>
            <w:r>
              <w:rPr>
                <w:rFonts w:ascii="Times New Roman" w:cs="Times New Roman" w:hAnsiTheme="minorEastAsia" w:eastAsiaTheme="minorEastAsia"/>
                <w:color w:val="auto"/>
                <w:kern w:val="2"/>
                <w:sz w:val="21"/>
                <w:szCs w:val="21"/>
              </w:rPr>
              <w:t>环境敏感区</w:t>
            </w:r>
            <w:r>
              <w:rPr>
                <w:rFonts w:ascii="Times New Roman" w:hAnsi="Times New Roman" w:cs="Times New Roman" w:eastAsiaTheme="minorEastAsia"/>
                <w:color w:val="auto"/>
                <w:kern w:val="2"/>
                <w:sz w:val="21"/>
                <w:szCs w:val="21"/>
              </w:rPr>
              <w:t>”</w:t>
            </w:r>
            <w:r>
              <w:rPr>
                <w:rFonts w:ascii="Times New Roman" w:cs="Times New Roman" w:hAnsiTheme="minorEastAsia" w:eastAsiaTheme="minorEastAsia"/>
                <w:color w:val="auto"/>
                <w:kern w:val="2"/>
                <w:sz w:val="21"/>
                <w:szCs w:val="21"/>
              </w:rPr>
              <w:t>指《建设项目环境影响评价分类管理名录》中所界定的涉及地下水的环境敏感区。</w:t>
            </w:r>
          </w:p>
        </w:tc>
      </w:tr>
    </w:tbl>
    <w:p>
      <w:pPr>
        <w:pStyle w:val="101"/>
        <w:spacing w:line="360" w:lineRule="auto"/>
        <w:ind w:firstLine="480" w:firstLineChars="200"/>
        <w:rPr>
          <w:rFonts w:hAnsiTheme="minorEastAsia" w:eastAsiaTheme="minorEastAsia"/>
        </w:rPr>
      </w:pPr>
      <w:r>
        <w:rPr>
          <w:rFonts w:hint="eastAsia" w:hAnsiTheme="minorEastAsia" w:eastAsiaTheme="minorEastAsia"/>
        </w:rPr>
        <w:t>本项目井田内有分散式饮用水水源地，</w:t>
      </w:r>
      <w:r>
        <w:rPr>
          <w:rFonts w:hAnsiTheme="minorEastAsia" w:eastAsiaTheme="minorEastAsia"/>
        </w:rPr>
        <w:t>故</w:t>
      </w:r>
      <w:r>
        <w:rPr>
          <w:rFonts w:hint="eastAsia" w:hAnsiTheme="minorEastAsia" w:eastAsiaTheme="minorEastAsia"/>
        </w:rPr>
        <w:t>煤矿开采</w:t>
      </w:r>
      <w:r>
        <w:rPr>
          <w:rFonts w:hAnsiTheme="minorEastAsia" w:eastAsiaTheme="minorEastAsia"/>
        </w:rPr>
        <w:t>环境敏感程度确定为</w:t>
      </w:r>
      <w:r>
        <w:rPr>
          <w:rFonts w:hint="eastAsia" w:eastAsiaTheme="minorEastAsia"/>
        </w:rPr>
        <w:t>“较</w:t>
      </w:r>
      <w:r>
        <w:rPr>
          <w:rFonts w:hAnsiTheme="minorEastAsia" w:eastAsiaTheme="minorEastAsia"/>
        </w:rPr>
        <w:t>敏感</w:t>
      </w:r>
      <w:r>
        <w:rPr>
          <w:rFonts w:hint="eastAsia" w:eastAsiaTheme="minorEastAsia"/>
        </w:rPr>
        <w:t>”</w:t>
      </w:r>
      <w:r>
        <w:rPr>
          <w:rFonts w:hint="eastAsia" w:hAnsiTheme="minorEastAsia" w:eastAsiaTheme="minorEastAsia"/>
        </w:rPr>
        <w:t>，矸石场内无敏感目标，故矸石场环境敏感程度确定为“不敏感”</w:t>
      </w:r>
      <w:r>
        <w:rPr>
          <w:rFonts w:hAnsiTheme="minorEastAsia" w:eastAsiaTheme="minorEastAsia"/>
        </w:rPr>
        <w:t>。</w:t>
      </w:r>
    </w:p>
    <w:p>
      <w:pPr>
        <w:pStyle w:val="101"/>
        <w:spacing w:line="360" w:lineRule="auto"/>
        <w:ind w:firstLine="480" w:firstLineChars="200"/>
        <w:rPr>
          <w:rFonts w:eastAsiaTheme="minorEastAsia"/>
        </w:rPr>
      </w:pPr>
      <w:r>
        <w:rPr>
          <w:rFonts w:eastAsiaTheme="minorEastAsia"/>
        </w:rPr>
        <w:t>3</w:t>
      </w:r>
      <w:r>
        <w:rPr>
          <w:rFonts w:hAnsiTheme="minorEastAsia" w:eastAsiaTheme="minorEastAsia"/>
        </w:rPr>
        <w:t>）评价工作等级划分</w:t>
      </w:r>
    </w:p>
    <w:p>
      <w:pPr>
        <w:spacing w:line="360" w:lineRule="auto"/>
        <w:ind w:firstLine="480" w:firstLineChars="200"/>
        <w:rPr>
          <w:rFonts w:eastAsiaTheme="minorEastAsia"/>
          <w:sz w:val="24"/>
        </w:rPr>
      </w:pPr>
      <w:r>
        <w:rPr>
          <w:rFonts w:hAnsiTheme="minorEastAsia" w:eastAsiaTheme="minorEastAsia"/>
          <w:sz w:val="24"/>
        </w:rPr>
        <w:t>本矿井</w:t>
      </w:r>
      <w:r>
        <w:rPr>
          <w:rFonts w:hint="eastAsia" w:hAnsiTheme="minorEastAsia" w:eastAsiaTheme="minorEastAsia"/>
          <w:sz w:val="24"/>
        </w:rPr>
        <w:t>排矸场</w:t>
      </w:r>
      <w:r>
        <w:rPr>
          <w:rFonts w:hAnsiTheme="minorEastAsia" w:eastAsiaTheme="minorEastAsia"/>
          <w:sz w:val="24"/>
        </w:rPr>
        <w:t>已进行了环境影响评价且已批复，本次</w:t>
      </w:r>
      <w:r>
        <w:rPr>
          <w:rFonts w:hint="eastAsia" w:hAnsiTheme="minorEastAsia" w:eastAsiaTheme="minorEastAsia"/>
          <w:sz w:val="24"/>
        </w:rPr>
        <w:t>变更</w:t>
      </w:r>
      <w:r>
        <w:rPr>
          <w:rFonts w:hAnsiTheme="minorEastAsia" w:eastAsiaTheme="minorEastAsia"/>
          <w:sz w:val="24"/>
        </w:rPr>
        <w:t>可依托</w:t>
      </w:r>
      <w:r>
        <w:rPr>
          <w:rFonts w:hint="eastAsia" w:hAnsiTheme="minorEastAsia" w:eastAsiaTheme="minorEastAsia"/>
          <w:sz w:val="24"/>
        </w:rPr>
        <w:t>已批复的矸石场</w:t>
      </w:r>
      <w:r>
        <w:rPr>
          <w:rFonts w:hAnsiTheme="minorEastAsia" w:eastAsiaTheme="minorEastAsia"/>
          <w:sz w:val="24"/>
        </w:rPr>
        <w:t>，故本项目地下水评价等级的划分不考虑矸石场。</w:t>
      </w:r>
    </w:p>
    <w:p>
      <w:pPr>
        <w:pStyle w:val="101"/>
        <w:spacing w:line="360" w:lineRule="auto"/>
        <w:ind w:firstLine="480" w:firstLineChars="200"/>
        <w:rPr>
          <w:rFonts w:eastAsiaTheme="minorEastAsia"/>
        </w:rPr>
      </w:pPr>
      <w:r>
        <w:rPr>
          <w:rFonts w:hAnsiTheme="minorEastAsia" w:eastAsiaTheme="minorEastAsia"/>
        </w:rPr>
        <w:t>根据项目类别划分和地下水环境敏感程度分级，确定</w:t>
      </w:r>
      <w:r>
        <w:rPr>
          <w:rFonts w:hint="eastAsia" w:hAnsiTheme="minorEastAsia" w:eastAsiaTheme="minorEastAsia"/>
        </w:rPr>
        <w:t>各</w:t>
      </w:r>
      <w:r>
        <w:rPr>
          <w:rFonts w:hAnsiTheme="minorEastAsia" w:eastAsiaTheme="minorEastAsia"/>
        </w:rPr>
        <w:t>工业场地及其它评价工作等级为。评价工作等级划分依据见表</w:t>
      </w:r>
      <w:r>
        <w:rPr>
          <w:rFonts w:eastAsiaTheme="minorEastAsia"/>
        </w:rPr>
        <w:t>2.5-4</w:t>
      </w:r>
      <w:r>
        <w:rPr>
          <w:rFonts w:hint="eastAsia" w:eastAsiaTheme="minorEastAsia"/>
        </w:rPr>
        <w:t>，本项目地下水评价工作等级表，详见表</w:t>
      </w:r>
      <w:r>
        <w:rPr>
          <w:rFonts w:eastAsiaTheme="minorEastAsia"/>
        </w:rPr>
        <w:t>2.5-5</w:t>
      </w:r>
      <w:r>
        <w:rPr>
          <w:rFonts w:hAnsiTheme="minorEastAsia" w:eastAsiaTheme="minorEastAsia"/>
        </w:rPr>
        <w:t>。</w:t>
      </w:r>
    </w:p>
    <w:p>
      <w:pPr>
        <w:pStyle w:val="98"/>
        <w:snapToGrid/>
        <w:spacing w:line="360" w:lineRule="auto"/>
        <w:rPr>
          <w:rFonts w:ascii="Times New Roman" w:cs="Times New Roman" w:hAnsiTheme="minorEastAsia" w:eastAsiaTheme="minorEastAsia"/>
          <w:spacing w:val="0"/>
          <w:kern w:val="2"/>
          <w:szCs w:val="21"/>
        </w:rPr>
      </w:pPr>
      <w:r>
        <w:rPr>
          <w:rFonts w:ascii="Times New Roman" w:cs="Times New Roman" w:hAnsiTheme="minorEastAsia" w:eastAsiaTheme="minorEastAsia"/>
          <w:spacing w:val="0"/>
          <w:kern w:val="2"/>
          <w:szCs w:val="21"/>
        </w:rPr>
        <w:t>表2.5-4 评价工作等级分级表</w:t>
      </w:r>
    </w:p>
    <w:tbl>
      <w:tblPr>
        <w:tblStyle w:val="24"/>
        <w:tblW w:w="50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11"/>
        <w:gridCol w:w="2274"/>
        <w:gridCol w:w="2275"/>
        <w:gridCol w:w="1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510" w:type="pct"/>
            <w:tcBorders>
              <w:tl2br w:val="single" w:color="auto" w:sz="4" w:space="0"/>
            </w:tcBorders>
            <w:vAlign w:val="center"/>
          </w:tcPr>
          <w:p>
            <w:pPr>
              <w:jc w:val="center"/>
              <w:rPr>
                <w:rFonts w:eastAsiaTheme="minorEastAsia"/>
                <w:szCs w:val="21"/>
              </w:rPr>
            </w:pPr>
            <w:r>
              <w:rPr>
                <w:rFonts w:eastAsiaTheme="minorEastAsia"/>
                <w:szCs w:val="21"/>
              </w:rPr>
              <w:t xml:space="preserve">              </w:t>
            </w:r>
            <w:r>
              <w:rPr>
                <w:rFonts w:hAnsiTheme="minorEastAsia" w:eastAsiaTheme="minorEastAsia"/>
                <w:szCs w:val="21"/>
              </w:rPr>
              <w:t>项目类别</w:t>
            </w:r>
          </w:p>
          <w:p>
            <w:pPr>
              <w:rPr>
                <w:rFonts w:eastAsiaTheme="minorEastAsia"/>
                <w:szCs w:val="21"/>
              </w:rPr>
            </w:pPr>
            <w:r>
              <w:rPr>
                <w:rFonts w:hAnsiTheme="minorEastAsia" w:eastAsiaTheme="minorEastAsia"/>
                <w:szCs w:val="21"/>
              </w:rPr>
              <w:t>环境敏感程度</w:t>
            </w:r>
          </w:p>
        </w:tc>
        <w:tc>
          <w:tcPr>
            <w:tcW w:w="1221" w:type="pct"/>
            <w:vAlign w:val="center"/>
          </w:tcPr>
          <w:p>
            <w:pPr>
              <w:jc w:val="center"/>
              <w:rPr>
                <w:rFonts w:eastAsiaTheme="minorEastAsia"/>
                <w:szCs w:val="21"/>
              </w:rPr>
            </w:pPr>
            <w:r>
              <w:rPr>
                <w:rFonts w:eastAsiaTheme="minorEastAsia"/>
                <w:szCs w:val="21"/>
              </w:rPr>
              <w:t>I</w:t>
            </w:r>
            <w:r>
              <w:rPr>
                <w:rFonts w:hAnsiTheme="minorEastAsia" w:eastAsiaTheme="minorEastAsia"/>
                <w:szCs w:val="21"/>
              </w:rPr>
              <w:t>类</w:t>
            </w:r>
          </w:p>
        </w:tc>
        <w:tc>
          <w:tcPr>
            <w:tcW w:w="1222" w:type="pct"/>
            <w:vAlign w:val="center"/>
          </w:tcPr>
          <w:p>
            <w:pPr>
              <w:jc w:val="center"/>
              <w:rPr>
                <w:rFonts w:eastAsiaTheme="minorEastAsia"/>
                <w:szCs w:val="21"/>
              </w:rPr>
            </w:pPr>
            <w:r>
              <w:rPr>
                <w:rFonts w:eastAsiaTheme="minorEastAsia"/>
                <w:szCs w:val="21"/>
              </w:rPr>
              <w:t>II</w:t>
            </w:r>
            <w:r>
              <w:rPr>
                <w:rFonts w:hAnsiTheme="minorEastAsia" w:eastAsiaTheme="minorEastAsia"/>
                <w:szCs w:val="21"/>
              </w:rPr>
              <w:t>类</w:t>
            </w:r>
          </w:p>
        </w:tc>
        <w:tc>
          <w:tcPr>
            <w:tcW w:w="1048" w:type="pct"/>
            <w:vAlign w:val="center"/>
          </w:tcPr>
          <w:p>
            <w:pPr>
              <w:jc w:val="center"/>
              <w:rPr>
                <w:rFonts w:eastAsiaTheme="minorEastAsia"/>
                <w:szCs w:val="21"/>
              </w:rPr>
            </w:pPr>
            <w:r>
              <w:rPr>
                <w:rFonts w:hAnsiTheme="minorEastAsia" w:eastAsiaTheme="minorEastAsia"/>
                <w:szCs w:val="21"/>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510" w:type="pct"/>
            <w:vAlign w:val="center"/>
          </w:tcPr>
          <w:p>
            <w:pPr>
              <w:jc w:val="center"/>
              <w:rPr>
                <w:rFonts w:eastAsiaTheme="minorEastAsia"/>
                <w:szCs w:val="21"/>
              </w:rPr>
            </w:pPr>
            <w:r>
              <w:rPr>
                <w:rFonts w:hAnsiTheme="minorEastAsia" w:eastAsiaTheme="minorEastAsia"/>
                <w:szCs w:val="21"/>
              </w:rPr>
              <w:t>敏感</w:t>
            </w:r>
          </w:p>
        </w:tc>
        <w:tc>
          <w:tcPr>
            <w:tcW w:w="1221" w:type="pct"/>
            <w:vAlign w:val="center"/>
          </w:tcPr>
          <w:p>
            <w:pPr>
              <w:jc w:val="center"/>
              <w:rPr>
                <w:rFonts w:eastAsiaTheme="minorEastAsia"/>
                <w:szCs w:val="21"/>
              </w:rPr>
            </w:pPr>
            <w:r>
              <w:rPr>
                <w:rFonts w:hAnsiTheme="minorEastAsia" w:eastAsiaTheme="minorEastAsia"/>
                <w:szCs w:val="21"/>
              </w:rPr>
              <w:t>一</w:t>
            </w:r>
          </w:p>
        </w:tc>
        <w:tc>
          <w:tcPr>
            <w:tcW w:w="1222" w:type="pct"/>
            <w:vAlign w:val="center"/>
          </w:tcPr>
          <w:p>
            <w:pPr>
              <w:jc w:val="center"/>
              <w:rPr>
                <w:rFonts w:eastAsiaTheme="minorEastAsia"/>
                <w:szCs w:val="21"/>
              </w:rPr>
            </w:pPr>
            <w:r>
              <w:rPr>
                <w:rFonts w:hAnsiTheme="minorEastAsia" w:eastAsiaTheme="minorEastAsia"/>
                <w:szCs w:val="21"/>
              </w:rPr>
              <w:t>一</w:t>
            </w:r>
          </w:p>
        </w:tc>
        <w:tc>
          <w:tcPr>
            <w:tcW w:w="1048" w:type="pct"/>
            <w:vAlign w:val="center"/>
          </w:tcPr>
          <w:p>
            <w:pPr>
              <w:jc w:val="center"/>
              <w:rPr>
                <w:rFonts w:eastAsiaTheme="minorEastAsia"/>
                <w:szCs w:val="21"/>
              </w:rPr>
            </w:pPr>
            <w:r>
              <w:rPr>
                <w:rFonts w:hAnsiTheme="minorEastAsia" w:eastAsiaTheme="minorEastAsia"/>
                <w:szCs w:val="21"/>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510" w:type="pct"/>
            <w:vAlign w:val="center"/>
          </w:tcPr>
          <w:p>
            <w:pPr>
              <w:jc w:val="center"/>
              <w:rPr>
                <w:rFonts w:eastAsiaTheme="minorEastAsia"/>
                <w:szCs w:val="21"/>
              </w:rPr>
            </w:pPr>
            <w:r>
              <w:rPr>
                <w:rFonts w:hAnsiTheme="minorEastAsia" w:eastAsiaTheme="minorEastAsia"/>
                <w:szCs w:val="21"/>
              </w:rPr>
              <w:t>较敏感</w:t>
            </w:r>
          </w:p>
        </w:tc>
        <w:tc>
          <w:tcPr>
            <w:tcW w:w="1221" w:type="pct"/>
            <w:vAlign w:val="center"/>
          </w:tcPr>
          <w:p>
            <w:pPr>
              <w:jc w:val="center"/>
              <w:rPr>
                <w:rFonts w:eastAsiaTheme="minorEastAsia"/>
                <w:szCs w:val="21"/>
              </w:rPr>
            </w:pPr>
            <w:r>
              <w:rPr>
                <w:rFonts w:hAnsiTheme="minorEastAsia" w:eastAsiaTheme="minorEastAsia"/>
                <w:szCs w:val="21"/>
              </w:rPr>
              <w:t>一</w:t>
            </w:r>
          </w:p>
        </w:tc>
        <w:tc>
          <w:tcPr>
            <w:tcW w:w="1222" w:type="pct"/>
            <w:vAlign w:val="center"/>
          </w:tcPr>
          <w:p>
            <w:pPr>
              <w:jc w:val="center"/>
              <w:rPr>
                <w:rFonts w:eastAsiaTheme="minorEastAsia"/>
                <w:szCs w:val="21"/>
              </w:rPr>
            </w:pPr>
            <w:r>
              <w:rPr>
                <w:rFonts w:hAnsiTheme="minorEastAsia" w:eastAsiaTheme="minorEastAsia"/>
                <w:szCs w:val="21"/>
              </w:rPr>
              <w:t>二</w:t>
            </w:r>
          </w:p>
        </w:tc>
        <w:tc>
          <w:tcPr>
            <w:tcW w:w="1048" w:type="pct"/>
            <w:vAlign w:val="center"/>
          </w:tcPr>
          <w:p>
            <w:pPr>
              <w:jc w:val="center"/>
              <w:rPr>
                <w:rFonts w:eastAsiaTheme="minorEastAsia"/>
                <w:szCs w:val="21"/>
              </w:rPr>
            </w:pPr>
            <w:r>
              <w:rPr>
                <w:rFonts w:hAnsiTheme="minorEastAsia" w:eastAsiaTheme="minorEastAsia"/>
                <w:szCs w:val="21"/>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510" w:type="pct"/>
            <w:vAlign w:val="center"/>
          </w:tcPr>
          <w:p>
            <w:pPr>
              <w:jc w:val="center"/>
              <w:rPr>
                <w:rFonts w:eastAsiaTheme="minorEastAsia"/>
                <w:szCs w:val="21"/>
              </w:rPr>
            </w:pPr>
            <w:r>
              <w:rPr>
                <w:rFonts w:hAnsiTheme="minorEastAsia" w:eastAsiaTheme="minorEastAsia"/>
                <w:szCs w:val="21"/>
              </w:rPr>
              <w:t>不敏感</w:t>
            </w:r>
          </w:p>
        </w:tc>
        <w:tc>
          <w:tcPr>
            <w:tcW w:w="1221" w:type="pct"/>
            <w:vAlign w:val="center"/>
          </w:tcPr>
          <w:p>
            <w:pPr>
              <w:jc w:val="center"/>
              <w:rPr>
                <w:rFonts w:eastAsiaTheme="minorEastAsia"/>
                <w:szCs w:val="21"/>
              </w:rPr>
            </w:pPr>
            <w:r>
              <w:rPr>
                <w:rFonts w:hAnsiTheme="minorEastAsia" w:eastAsiaTheme="minorEastAsia"/>
                <w:szCs w:val="21"/>
              </w:rPr>
              <w:t>二</w:t>
            </w:r>
          </w:p>
        </w:tc>
        <w:tc>
          <w:tcPr>
            <w:tcW w:w="1222" w:type="pct"/>
            <w:vAlign w:val="center"/>
          </w:tcPr>
          <w:p>
            <w:pPr>
              <w:jc w:val="center"/>
              <w:rPr>
                <w:rFonts w:eastAsiaTheme="minorEastAsia"/>
                <w:szCs w:val="21"/>
              </w:rPr>
            </w:pPr>
            <w:r>
              <w:rPr>
                <w:rFonts w:hAnsiTheme="minorEastAsia" w:eastAsiaTheme="minorEastAsia"/>
                <w:szCs w:val="21"/>
              </w:rPr>
              <w:t>三</w:t>
            </w:r>
          </w:p>
        </w:tc>
        <w:tc>
          <w:tcPr>
            <w:tcW w:w="1048" w:type="pct"/>
            <w:vAlign w:val="center"/>
          </w:tcPr>
          <w:p>
            <w:pPr>
              <w:jc w:val="center"/>
              <w:rPr>
                <w:rFonts w:eastAsiaTheme="minorEastAsia"/>
                <w:szCs w:val="21"/>
              </w:rPr>
            </w:pPr>
            <w:r>
              <w:rPr>
                <w:rFonts w:hAnsiTheme="minorEastAsia" w:eastAsiaTheme="minorEastAsia"/>
                <w:szCs w:val="21"/>
              </w:rPr>
              <w:t>三</w:t>
            </w:r>
          </w:p>
        </w:tc>
      </w:tr>
    </w:tbl>
    <w:p>
      <w:pPr>
        <w:pStyle w:val="98"/>
        <w:snapToGrid/>
        <w:spacing w:line="360" w:lineRule="auto"/>
        <w:rPr>
          <w:rFonts w:ascii="Times New Roman" w:cs="Times New Roman" w:hAnsiTheme="minorEastAsia" w:eastAsiaTheme="minorEastAsia"/>
          <w:spacing w:val="0"/>
          <w:kern w:val="2"/>
          <w:szCs w:val="21"/>
        </w:rPr>
      </w:pPr>
      <w:r>
        <w:rPr>
          <w:rFonts w:ascii="Times New Roman" w:cs="Times New Roman" w:hAnsiTheme="minorEastAsia" w:eastAsiaTheme="minorEastAsia"/>
          <w:spacing w:val="0"/>
          <w:kern w:val="2"/>
          <w:szCs w:val="21"/>
        </w:rPr>
        <w:t>表2.5-5 本项目地下水评价等级表</w:t>
      </w:r>
    </w:p>
    <w:tbl>
      <w:tblPr>
        <w:tblStyle w:val="24"/>
        <w:tblW w:w="502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57"/>
        <w:gridCol w:w="1756"/>
        <w:gridCol w:w="2456"/>
        <w:gridCol w:w="19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1693" w:type="pct"/>
            <w:vAlign w:val="center"/>
          </w:tcPr>
          <w:p>
            <w:pPr>
              <w:jc w:val="center"/>
              <w:rPr>
                <w:rFonts w:eastAsiaTheme="minorEastAsia"/>
                <w:snapToGrid w:val="0"/>
                <w:szCs w:val="21"/>
              </w:rPr>
            </w:pPr>
            <w:r>
              <w:rPr>
                <w:rFonts w:hAnsiTheme="minorEastAsia" w:eastAsiaTheme="minorEastAsia"/>
                <w:snapToGrid w:val="0"/>
                <w:szCs w:val="21"/>
              </w:rPr>
              <w:t>污染场地</w:t>
            </w:r>
          </w:p>
        </w:tc>
        <w:tc>
          <w:tcPr>
            <w:tcW w:w="942" w:type="pct"/>
            <w:vAlign w:val="center"/>
          </w:tcPr>
          <w:p>
            <w:pPr>
              <w:jc w:val="center"/>
              <w:rPr>
                <w:rFonts w:eastAsiaTheme="minorEastAsia"/>
                <w:snapToGrid w:val="0"/>
                <w:szCs w:val="21"/>
              </w:rPr>
            </w:pPr>
            <w:r>
              <w:rPr>
                <w:rFonts w:hAnsiTheme="minorEastAsia" w:eastAsiaTheme="minorEastAsia"/>
                <w:snapToGrid w:val="0"/>
                <w:szCs w:val="21"/>
              </w:rPr>
              <w:t>项目类别</w:t>
            </w:r>
          </w:p>
        </w:tc>
        <w:tc>
          <w:tcPr>
            <w:tcW w:w="1317" w:type="pct"/>
            <w:vAlign w:val="center"/>
          </w:tcPr>
          <w:p>
            <w:pPr>
              <w:jc w:val="center"/>
              <w:rPr>
                <w:rFonts w:eastAsiaTheme="minorEastAsia"/>
                <w:snapToGrid w:val="0"/>
                <w:szCs w:val="21"/>
              </w:rPr>
            </w:pPr>
            <w:r>
              <w:rPr>
                <w:rFonts w:hAnsiTheme="minorEastAsia" w:eastAsiaTheme="minorEastAsia"/>
                <w:snapToGrid w:val="0"/>
                <w:szCs w:val="21"/>
              </w:rPr>
              <w:t>环境敏感程度</w:t>
            </w:r>
          </w:p>
        </w:tc>
        <w:tc>
          <w:tcPr>
            <w:tcW w:w="1048" w:type="pct"/>
            <w:vAlign w:val="center"/>
          </w:tcPr>
          <w:p>
            <w:pPr>
              <w:jc w:val="center"/>
              <w:rPr>
                <w:rFonts w:eastAsiaTheme="minorEastAsia"/>
                <w:snapToGrid w:val="0"/>
                <w:szCs w:val="21"/>
              </w:rPr>
            </w:pPr>
            <w:r>
              <w:rPr>
                <w:rFonts w:hAnsiTheme="minorEastAsia" w:eastAsiaTheme="minorEastAsia"/>
                <w:snapToGrid w:val="0"/>
                <w:szCs w:val="21"/>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1693" w:type="pct"/>
            <w:vAlign w:val="center"/>
          </w:tcPr>
          <w:p>
            <w:pPr>
              <w:jc w:val="center"/>
              <w:rPr>
                <w:rFonts w:eastAsiaTheme="minorEastAsia"/>
                <w:snapToGrid w:val="0"/>
                <w:szCs w:val="21"/>
              </w:rPr>
            </w:pPr>
            <w:r>
              <w:rPr>
                <w:rFonts w:hint="eastAsia" w:hAnsiTheme="minorEastAsia" w:eastAsiaTheme="minorEastAsia"/>
                <w:snapToGrid w:val="0"/>
                <w:szCs w:val="21"/>
              </w:rPr>
              <w:t>煤炭开采</w:t>
            </w:r>
          </w:p>
        </w:tc>
        <w:tc>
          <w:tcPr>
            <w:tcW w:w="942" w:type="pct"/>
            <w:vAlign w:val="center"/>
          </w:tcPr>
          <w:p>
            <w:pPr>
              <w:jc w:val="center"/>
              <w:rPr>
                <w:rFonts w:eastAsiaTheme="minorEastAsia"/>
                <w:snapToGrid w:val="0"/>
                <w:szCs w:val="21"/>
              </w:rPr>
            </w:pPr>
            <w:r>
              <w:rPr>
                <w:rFonts w:hAnsiTheme="minorEastAsia" w:eastAsiaTheme="minorEastAsia"/>
                <w:snapToGrid w:val="0"/>
                <w:szCs w:val="21"/>
              </w:rPr>
              <w:t>Ⅲ</w:t>
            </w:r>
          </w:p>
        </w:tc>
        <w:tc>
          <w:tcPr>
            <w:tcW w:w="1317" w:type="pct"/>
            <w:vAlign w:val="center"/>
          </w:tcPr>
          <w:p>
            <w:pPr>
              <w:jc w:val="center"/>
              <w:rPr>
                <w:rFonts w:eastAsiaTheme="minorEastAsia"/>
                <w:snapToGrid w:val="0"/>
                <w:szCs w:val="21"/>
              </w:rPr>
            </w:pPr>
            <w:r>
              <w:rPr>
                <w:rFonts w:hint="eastAsia" w:hAnsiTheme="minorEastAsia" w:eastAsiaTheme="minorEastAsia"/>
                <w:snapToGrid w:val="0"/>
                <w:szCs w:val="21"/>
              </w:rPr>
              <w:t>较</w:t>
            </w:r>
            <w:r>
              <w:rPr>
                <w:rFonts w:hAnsiTheme="minorEastAsia" w:eastAsiaTheme="minorEastAsia"/>
                <w:snapToGrid w:val="0"/>
                <w:szCs w:val="21"/>
              </w:rPr>
              <w:t>敏感</w:t>
            </w:r>
          </w:p>
        </w:tc>
        <w:tc>
          <w:tcPr>
            <w:tcW w:w="1048" w:type="pct"/>
            <w:vAlign w:val="center"/>
          </w:tcPr>
          <w:p>
            <w:pPr>
              <w:jc w:val="center"/>
              <w:rPr>
                <w:rFonts w:eastAsiaTheme="minorEastAsia"/>
                <w:snapToGrid w:val="0"/>
                <w:szCs w:val="21"/>
              </w:rPr>
            </w:pPr>
            <w:r>
              <w:rPr>
                <w:rFonts w:hint="eastAsia" w:hAnsiTheme="minorEastAsia" w:eastAsiaTheme="minorEastAsia"/>
                <w:snapToGrid w:val="0"/>
                <w:szCs w:val="21"/>
              </w:rPr>
              <w:t>三</w:t>
            </w:r>
            <w:r>
              <w:rPr>
                <w:rFonts w:hAnsiTheme="minorEastAsia" w:eastAsiaTheme="minorEastAsia"/>
                <w:snapToGrid w:val="0"/>
                <w:szCs w:val="21"/>
              </w:rPr>
              <w:t>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1693" w:type="pct"/>
            <w:vAlign w:val="center"/>
          </w:tcPr>
          <w:p>
            <w:pPr>
              <w:jc w:val="center"/>
              <w:rPr>
                <w:rFonts w:hAnsiTheme="minorEastAsia" w:eastAsiaTheme="minorEastAsia"/>
                <w:snapToGrid w:val="0"/>
                <w:szCs w:val="21"/>
              </w:rPr>
            </w:pPr>
            <w:r>
              <w:rPr>
                <w:rFonts w:hint="eastAsia" w:hAnsiTheme="minorEastAsia" w:eastAsiaTheme="minorEastAsia"/>
                <w:snapToGrid w:val="0"/>
                <w:szCs w:val="21"/>
              </w:rPr>
              <w:t>风井场地</w:t>
            </w:r>
          </w:p>
        </w:tc>
        <w:tc>
          <w:tcPr>
            <w:tcW w:w="942" w:type="pct"/>
            <w:vAlign w:val="center"/>
          </w:tcPr>
          <w:p>
            <w:pPr>
              <w:jc w:val="center"/>
              <w:rPr>
                <w:rFonts w:hAnsiTheme="minorEastAsia" w:eastAsiaTheme="minorEastAsia"/>
                <w:snapToGrid w:val="0"/>
                <w:szCs w:val="21"/>
              </w:rPr>
            </w:pPr>
            <w:r>
              <w:rPr>
                <w:rFonts w:hAnsiTheme="minorEastAsia" w:eastAsiaTheme="minorEastAsia"/>
                <w:snapToGrid w:val="0"/>
                <w:szCs w:val="21"/>
              </w:rPr>
              <w:t>Ⅲ</w:t>
            </w:r>
          </w:p>
        </w:tc>
        <w:tc>
          <w:tcPr>
            <w:tcW w:w="1317" w:type="pct"/>
            <w:vAlign w:val="center"/>
          </w:tcPr>
          <w:p>
            <w:pPr>
              <w:jc w:val="center"/>
              <w:rPr>
                <w:rFonts w:eastAsiaTheme="minorEastAsia"/>
                <w:snapToGrid w:val="0"/>
                <w:szCs w:val="21"/>
              </w:rPr>
            </w:pPr>
            <w:r>
              <w:rPr>
                <w:rFonts w:hint="eastAsia" w:hAnsiTheme="minorEastAsia" w:eastAsiaTheme="minorEastAsia"/>
                <w:snapToGrid w:val="0"/>
                <w:szCs w:val="21"/>
              </w:rPr>
              <w:t>不</w:t>
            </w:r>
            <w:r>
              <w:rPr>
                <w:rFonts w:hAnsiTheme="minorEastAsia" w:eastAsiaTheme="minorEastAsia"/>
                <w:snapToGrid w:val="0"/>
                <w:szCs w:val="21"/>
              </w:rPr>
              <w:t>敏感</w:t>
            </w:r>
          </w:p>
        </w:tc>
        <w:tc>
          <w:tcPr>
            <w:tcW w:w="1048" w:type="pct"/>
            <w:vAlign w:val="center"/>
          </w:tcPr>
          <w:p>
            <w:pPr>
              <w:jc w:val="center"/>
              <w:rPr>
                <w:rFonts w:eastAsiaTheme="minorEastAsia"/>
                <w:snapToGrid w:val="0"/>
                <w:szCs w:val="21"/>
              </w:rPr>
            </w:pPr>
            <w:r>
              <w:rPr>
                <w:rFonts w:hint="eastAsia" w:hAnsiTheme="minorEastAsia" w:eastAsiaTheme="minorEastAsia"/>
                <w:snapToGrid w:val="0"/>
                <w:szCs w:val="21"/>
              </w:rPr>
              <w:t>三</w:t>
            </w:r>
            <w:r>
              <w:rPr>
                <w:rFonts w:hAnsiTheme="minorEastAsia" w:eastAsiaTheme="minorEastAsia"/>
                <w:snapToGrid w:val="0"/>
                <w:szCs w:val="21"/>
              </w:rPr>
              <w:t>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1693" w:type="pct"/>
            <w:vAlign w:val="center"/>
          </w:tcPr>
          <w:p>
            <w:pPr>
              <w:jc w:val="center"/>
              <w:rPr>
                <w:rFonts w:hAnsiTheme="minorEastAsia" w:eastAsiaTheme="minorEastAsia"/>
                <w:snapToGrid w:val="0"/>
                <w:szCs w:val="21"/>
              </w:rPr>
            </w:pPr>
            <w:r>
              <w:rPr>
                <w:rFonts w:hint="eastAsia" w:hAnsiTheme="minorEastAsia" w:eastAsiaTheme="minorEastAsia"/>
                <w:snapToGrid w:val="0"/>
                <w:szCs w:val="21"/>
              </w:rPr>
              <w:t>矸石场</w:t>
            </w:r>
          </w:p>
        </w:tc>
        <w:tc>
          <w:tcPr>
            <w:tcW w:w="942" w:type="pct"/>
            <w:vAlign w:val="center"/>
          </w:tcPr>
          <w:p>
            <w:pPr>
              <w:jc w:val="center"/>
              <w:rPr>
                <w:rFonts w:eastAsiaTheme="minorEastAsia"/>
                <w:snapToGrid w:val="0"/>
                <w:szCs w:val="21"/>
              </w:rPr>
            </w:pPr>
            <w:r>
              <w:rPr>
                <w:rFonts w:hint="eastAsia" w:hAnsiTheme="minorEastAsia" w:eastAsiaTheme="minorEastAsia"/>
                <w:snapToGrid w:val="0"/>
                <w:szCs w:val="21"/>
              </w:rPr>
              <w:t>Ⅱ</w:t>
            </w:r>
          </w:p>
        </w:tc>
        <w:tc>
          <w:tcPr>
            <w:tcW w:w="1317" w:type="pct"/>
            <w:vAlign w:val="center"/>
          </w:tcPr>
          <w:p>
            <w:pPr>
              <w:jc w:val="center"/>
              <w:rPr>
                <w:rFonts w:eastAsiaTheme="minorEastAsia"/>
                <w:snapToGrid w:val="0"/>
                <w:szCs w:val="21"/>
              </w:rPr>
            </w:pPr>
            <w:r>
              <w:rPr>
                <w:rFonts w:hint="eastAsia" w:hAnsiTheme="minorEastAsia" w:eastAsiaTheme="minorEastAsia"/>
                <w:snapToGrid w:val="0"/>
                <w:szCs w:val="21"/>
              </w:rPr>
              <w:t>不</w:t>
            </w:r>
            <w:r>
              <w:rPr>
                <w:rFonts w:hAnsiTheme="minorEastAsia" w:eastAsiaTheme="minorEastAsia"/>
                <w:snapToGrid w:val="0"/>
                <w:szCs w:val="21"/>
              </w:rPr>
              <w:t>敏感</w:t>
            </w:r>
          </w:p>
        </w:tc>
        <w:tc>
          <w:tcPr>
            <w:tcW w:w="1048" w:type="pct"/>
            <w:vAlign w:val="center"/>
          </w:tcPr>
          <w:p>
            <w:pPr>
              <w:jc w:val="center"/>
              <w:rPr>
                <w:rFonts w:eastAsiaTheme="minorEastAsia"/>
                <w:snapToGrid w:val="0"/>
                <w:szCs w:val="21"/>
              </w:rPr>
            </w:pPr>
            <w:r>
              <w:rPr>
                <w:rFonts w:hint="eastAsia" w:hAnsiTheme="minorEastAsia" w:eastAsiaTheme="minorEastAsia"/>
                <w:snapToGrid w:val="0"/>
                <w:szCs w:val="21"/>
              </w:rPr>
              <w:t>三</w:t>
            </w:r>
            <w:r>
              <w:rPr>
                <w:rFonts w:hAnsiTheme="minorEastAsia" w:eastAsiaTheme="minorEastAsia"/>
                <w:snapToGrid w:val="0"/>
                <w:szCs w:val="21"/>
              </w:rPr>
              <w:t>级</w:t>
            </w:r>
          </w:p>
        </w:tc>
      </w:tr>
    </w:tbl>
    <w:p>
      <w:pPr>
        <w:spacing w:line="360" w:lineRule="auto"/>
        <w:outlineLvl w:val="2"/>
        <w:rPr>
          <w:rFonts w:eastAsiaTheme="minorEastAsia"/>
          <w:b/>
          <w:sz w:val="24"/>
        </w:rPr>
      </w:pPr>
      <w:r>
        <w:rPr>
          <w:rFonts w:eastAsiaTheme="minorEastAsia"/>
          <w:b/>
          <w:sz w:val="24"/>
        </w:rPr>
        <w:t>2.5.4</w:t>
      </w:r>
      <w:r>
        <w:rPr>
          <w:rFonts w:hAnsiTheme="minorEastAsia" w:eastAsiaTheme="minorEastAsia"/>
          <w:b/>
          <w:sz w:val="24"/>
        </w:rPr>
        <w:t>声环境</w:t>
      </w:r>
    </w:p>
    <w:p>
      <w:pPr>
        <w:pStyle w:val="39"/>
        <w:ind w:firstLine="496"/>
        <w:rPr>
          <w:rFonts w:ascii="Times New Roman" w:hAnsiTheme="minorEastAsia" w:eastAsiaTheme="minorEastAsia"/>
          <w:bCs/>
          <w:spacing w:val="4"/>
        </w:rPr>
      </w:pPr>
      <w:r>
        <w:rPr>
          <w:rFonts w:ascii="Times New Roman" w:hAnsiTheme="minorEastAsia" w:eastAsiaTheme="minorEastAsia"/>
          <w:bCs/>
          <w:spacing w:val="4"/>
        </w:rPr>
        <w:t>评价主要以厂界噪声、敏感点为评价对象</w:t>
      </w:r>
      <w:r>
        <w:rPr>
          <w:rFonts w:hint="eastAsia" w:ascii="Times New Roman" w:hAnsiTheme="minorEastAsia" w:eastAsiaTheme="minorEastAsia"/>
          <w:bCs/>
          <w:spacing w:val="4"/>
        </w:rPr>
        <w:t>。</w:t>
      </w:r>
    </w:p>
    <w:p>
      <w:pPr>
        <w:pStyle w:val="39"/>
        <w:ind w:firstLine="496"/>
        <w:rPr>
          <w:rFonts w:ascii="Times New Roman" w:hAnsi="Times New Roman" w:eastAsiaTheme="minorEastAsia"/>
          <w:bCs/>
          <w:spacing w:val="4"/>
        </w:rPr>
      </w:pPr>
      <w:r>
        <w:rPr>
          <w:rFonts w:ascii="Times New Roman" w:hAnsiTheme="minorEastAsia" w:eastAsiaTheme="minorEastAsia"/>
          <w:bCs/>
          <w:spacing w:val="4"/>
        </w:rPr>
        <w:t>根据《环境影响评价技术导则</w:t>
      </w:r>
      <w:r>
        <w:rPr>
          <w:rFonts w:ascii="Times New Roman" w:hAnsi="Times New Roman" w:eastAsiaTheme="minorEastAsia"/>
          <w:bCs/>
          <w:spacing w:val="4"/>
        </w:rPr>
        <w:t xml:space="preserve"> </w:t>
      </w:r>
      <w:r>
        <w:rPr>
          <w:rFonts w:ascii="Times New Roman" w:hAnsiTheme="minorEastAsia" w:eastAsiaTheme="minorEastAsia"/>
          <w:bCs/>
          <w:spacing w:val="4"/>
        </w:rPr>
        <w:t>声环境》</w:t>
      </w:r>
      <w:r>
        <w:rPr>
          <w:rFonts w:ascii="Times New Roman" w:hAnsi="Times New Roman" w:eastAsiaTheme="minorEastAsia"/>
          <w:bCs/>
          <w:spacing w:val="4"/>
        </w:rPr>
        <w:t xml:space="preserve">(HJ2.4-2009) </w:t>
      </w:r>
      <w:r>
        <w:rPr>
          <w:rFonts w:ascii="Times New Roman" w:hAnsiTheme="minorEastAsia" w:eastAsiaTheme="minorEastAsia"/>
          <w:bCs/>
          <w:spacing w:val="4"/>
        </w:rPr>
        <w:t>声环境影响评价工作级别划分主要依据是：</w:t>
      </w:r>
      <w:r>
        <w:rPr>
          <w:rFonts w:hint="eastAsia"/>
        </w:rPr>
        <w:t>建设项目所在区域声环境功能区类别、建设前后所在区域声环境质量变化程度、受建设项目影响人口的数量。</w:t>
      </w:r>
      <w:r>
        <w:rPr>
          <w:rFonts w:ascii="Times New Roman" w:hAnsiTheme="minorEastAsia" w:eastAsiaTheme="minorEastAsia"/>
          <w:bCs/>
          <w:spacing w:val="4"/>
        </w:rPr>
        <w:t>本项目所处的声环境功能区位于</w:t>
      </w:r>
      <w:r>
        <w:rPr>
          <w:rFonts w:ascii="Times New Roman" w:hAnsi="Times New Roman" w:eastAsiaTheme="minorEastAsia"/>
          <w:bCs/>
          <w:spacing w:val="4"/>
        </w:rPr>
        <w:t>GB3096</w:t>
      </w:r>
      <w:r>
        <w:rPr>
          <w:rFonts w:ascii="Times New Roman" w:hAnsiTheme="minorEastAsia" w:eastAsiaTheme="minorEastAsia"/>
          <w:bCs/>
          <w:spacing w:val="4"/>
        </w:rPr>
        <w:t>规定的</w:t>
      </w:r>
      <w:r>
        <w:rPr>
          <w:rFonts w:ascii="Times New Roman" w:hAnsi="Times New Roman" w:eastAsiaTheme="minorEastAsia"/>
          <w:bCs/>
          <w:spacing w:val="4"/>
        </w:rPr>
        <w:t>1</w:t>
      </w:r>
      <w:r>
        <w:rPr>
          <w:rFonts w:ascii="Times New Roman" w:hAnsiTheme="minorEastAsia" w:eastAsiaTheme="minorEastAsia"/>
          <w:bCs/>
          <w:spacing w:val="4"/>
        </w:rPr>
        <w:t>类、</w:t>
      </w:r>
      <w:r>
        <w:rPr>
          <w:rFonts w:ascii="Times New Roman" w:hAnsi="Times New Roman" w:eastAsiaTheme="minorEastAsia"/>
          <w:bCs/>
          <w:spacing w:val="4"/>
        </w:rPr>
        <w:t>2</w:t>
      </w:r>
      <w:r>
        <w:rPr>
          <w:rFonts w:ascii="Times New Roman" w:hAnsiTheme="minorEastAsia" w:eastAsiaTheme="minorEastAsia"/>
          <w:bCs/>
          <w:spacing w:val="4"/>
        </w:rPr>
        <w:t>类地区，</w:t>
      </w:r>
      <w:r>
        <w:rPr>
          <w:rFonts w:hint="eastAsia"/>
        </w:rPr>
        <w:t>项目建设前后评价范围内敏感目标噪声级增高量</w:t>
      </w:r>
      <w:r>
        <w:rPr>
          <w:rFonts w:ascii="Times New Roman" w:hAnsiTheme="minorEastAsia" w:eastAsiaTheme="minorEastAsia"/>
          <w:bCs/>
          <w:spacing w:val="4"/>
        </w:rPr>
        <w:t>在</w:t>
      </w:r>
      <w:r>
        <w:rPr>
          <w:rFonts w:ascii="Times New Roman" w:hAnsi="Times New Roman" w:eastAsiaTheme="minorEastAsia"/>
          <w:bCs/>
          <w:spacing w:val="4"/>
        </w:rPr>
        <w:t>3dB</w:t>
      </w:r>
      <w:r>
        <w:rPr>
          <w:rFonts w:ascii="Times New Roman" w:hAnsiTheme="minorEastAsia" w:eastAsiaTheme="minorEastAsia"/>
          <w:bCs/>
          <w:spacing w:val="4"/>
        </w:rPr>
        <w:t>（</w:t>
      </w:r>
      <w:r>
        <w:rPr>
          <w:rFonts w:ascii="Times New Roman" w:hAnsi="Times New Roman" w:eastAsiaTheme="minorEastAsia"/>
          <w:bCs/>
          <w:spacing w:val="4"/>
        </w:rPr>
        <w:t>A</w:t>
      </w:r>
      <w:r>
        <w:rPr>
          <w:rFonts w:ascii="Times New Roman" w:hAnsiTheme="minorEastAsia" w:eastAsiaTheme="minorEastAsia"/>
          <w:bCs/>
          <w:spacing w:val="4"/>
        </w:rPr>
        <w:t>）以内，</w:t>
      </w:r>
      <w:r>
        <w:rPr>
          <w:rFonts w:hint="eastAsia"/>
        </w:rPr>
        <w:t>且受影响人口变化不大。</w:t>
      </w:r>
      <w:r>
        <w:rPr>
          <w:rFonts w:ascii="Times New Roman" w:hAnsiTheme="minorEastAsia" w:eastAsiaTheme="minorEastAsia"/>
          <w:bCs/>
          <w:spacing w:val="4"/>
        </w:rPr>
        <w:t>因此声环境评价级别为二级。</w:t>
      </w:r>
    </w:p>
    <w:p>
      <w:pPr>
        <w:spacing w:line="360" w:lineRule="auto"/>
        <w:outlineLvl w:val="2"/>
        <w:rPr>
          <w:rFonts w:eastAsiaTheme="minorEastAsia"/>
          <w:b/>
          <w:sz w:val="24"/>
        </w:rPr>
      </w:pPr>
      <w:r>
        <w:rPr>
          <w:rFonts w:eastAsiaTheme="minorEastAsia"/>
          <w:b/>
          <w:sz w:val="24"/>
        </w:rPr>
        <w:t>2.5.5</w:t>
      </w:r>
      <w:r>
        <w:rPr>
          <w:rFonts w:hAnsiTheme="minorEastAsia" w:eastAsiaTheme="minorEastAsia"/>
          <w:b/>
          <w:sz w:val="24"/>
        </w:rPr>
        <w:t>生态环境</w:t>
      </w:r>
    </w:p>
    <w:p>
      <w:pPr>
        <w:spacing w:line="360" w:lineRule="auto"/>
        <w:ind w:firstLine="480" w:firstLineChars="200"/>
        <w:rPr>
          <w:rFonts w:eastAsiaTheme="minorEastAsia"/>
          <w:sz w:val="24"/>
        </w:rPr>
      </w:pPr>
      <w:r>
        <w:rPr>
          <w:rFonts w:hAnsiTheme="minorEastAsia" w:eastAsiaTheme="minorEastAsia"/>
          <w:sz w:val="24"/>
        </w:rPr>
        <w:t>根据《环境影响评价技术导则生态影响》（</w:t>
      </w:r>
      <w:r>
        <w:rPr>
          <w:rFonts w:eastAsiaTheme="minorEastAsia"/>
          <w:sz w:val="24"/>
        </w:rPr>
        <w:t>HJ19-2011</w:t>
      </w:r>
      <w:r>
        <w:rPr>
          <w:rFonts w:hAnsiTheme="minorEastAsia" w:eastAsiaTheme="minorEastAsia"/>
          <w:sz w:val="24"/>
        </w:rPr>
        <w:t>）中生态环境影响等级的规定：本项目井田面积为</w:t>
      </w:r>
      <w:r>
        <w:rPr>
          <w:rFonts w:hint="eastAsia" w:eastAsiaTheme="minorEastAsia"/>
          <w:sz w:val="24"/>
        </w:rPr>
        <w:t>5.4518</w:t>
      </w:r>
      <w:r>
        <w:rPr>
          <w:rFonts w:eastAsiaTheme="minorEastAsia"/>
          <w:sz w:val="24"/>
        </w:rPr>
        <w:t>km</w:t>
      </w:r>
      <w:r>
        <w:rPr>
          <w:rFonts w:eastAsiaTheme="minorEastAsia"/>
          <w:sz w:val="24"/>
          <w:vertAlign w:val="superscript"/>
        </w:rPr>
        <w:t>2</w:t>
      </w:r>
      <w:r>
        <w:rPr>
          <w:rFonts w:hAnsiTheme="minorEastAsia" w:eastAsiaTheme="minorEastAsia"/>
          <w:sz w:val="24"/>
        </w:rPr>
        <w:t>，</w:t>
      </w:r>
      <w:r>
        <w:rPr>
          <w:rFonts w:hAnsiTheme="minorEastAsia" w:eastAsiaTheme="minorEastAsia"/>
          <w:bCs/>
          <w:spacing w:val="-4"/>
          <w:sz w:val="24"/>
        </w:rPr>
        <w:t>属于一般区域。</w:t>
      </w:r>
      <w:r>
        <w:rPr>
          <w:rFonts w:hAnsiTheme="minorEastAsia" w:eastAsiaTheme="minorEastAsia"/>
          <w:sz w:val="24"/>
        </w:rPr>
        <w:t>结合本项目区域环境现状，本次生态环境影响评价等级确定为</w:t>
      </w:r>
      <w:r>
        <w:rPr>
          <w:rFonts w:hint="eastAsia" w:hAnsiTheme="minorEastAsia" w:eastAsiaTheme="minorEastAsia"/>
          <w:sz w:val="24"/>
        </w:rPr>
        <w:t>三</w:t>
      </w:r>
      <w:r>
        <w:rPr>
          <w:rFonts w:hAnsiTheme="minorEastAsia" w:eastAsiaTheme="minorEastAsia"/>
          <w:sz w:val="24"/>
        </w:rPr>
        <w:t>级，评价等级划分依据见表</w:t>
      </w:r>
      <w:r>
        <w:rPr>
          <w:rFonts w:eastAsiaTheme="minorEastAsia"/>
          <w:sz w:val="24"/>
        </w:rPr>
        <w:t>2.5-6</w:t>
      </w:r>
      <w:r>
        <w:rPr>
          <w:rFonts w:hAnsiTheme="minorEastAsia" w:eastAsiaTheme="minorEastAsia"/>
          <w:sz w:val="24"/>
        </w:rPr>
        <w:t>。</w:t>
      </w:r>
    </w:p>
    <w:p>
      <w:pPr>
        <w:pStyle w:val="98"/>
        <w:snapToGrid/>
        <w:spacing w:line="360" w:lineRule="auto"/>
        <w:rPr>
          <w:rFonts w:ascii="Times New Roman" w:cs="Times New Roman" w:hAnsiTheme="minorEastAsia" w:eastAsiaTheme="minorEastAsia"/>
          <w:spacing w:val="0"/>
          <w:kern w:val="2"/>
          <w:szCs w:val="21"/>
        </w:rPr>
      </w:pPr>
      <w:r>
        <w:rPr>
          <w:rFonts w:ascii="Times New Roman" w:cs="Times New Roman" w:hAnsiTheme="minorEastAsia" w:eastAsiaTheme="minorEastAsia"/>
          <w:spacing w:val="0"/>
          <w:kern w:val="2"/>
          <w:szCs w:val="21"/>
        </w:rPr>
        <w:t>表2.5-6评价等级划分依据</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3"/>
        <w:gridCol w:w="1844"/>
        <w:gridCol w:w="1993"/>
        <w:gridCol w:w="1993"/>
        <w:gridCol w:w="19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788" w:type="pct"/>
            <w:vMerge w:val="restart"/>
            <w:vAlign w:val="center"/>
          </w:tcPr>
          <w:p>
            <w:pPr>
              <w:pStyle w:val="90"/>
              <w:rPr>
                <w:rFonts w:ascii="Times New Roman" w:hAnsi="Times New Roman" w:cs="Times New Roman"/>
              </w:rPr>
            </w:pPr>
            <w:r>
              <w:rPr>
                <w:rFonts w:ascii="Times New Roman" w:cs="Times New Roman" w:hAnsiTheme="minorEastAsia"/>
              </w:rPr>
              <w:t>项目</w:t>
            </w:r>
          </w:p>
        </w:tc>
        <w:tc>
          <w:tcPr>
            <w:tcW w:w="993" w:type="pct"/>
            <w:vMerge w:val="restart"/>
            <w:vAlign w:val="center"/>
          </w:tcPr>
          <w:p>
            <w:pPr>
              <w:pStyle w:val="90"/>
              <w:rPr>
                <w:rFonts w:ascii="Times New Roman" w:hAnsi="Times New Roman" w:cs="Times New Roman"/>
              </w:rPr>
            </w:pPr>
            <w:r>
              <w:rPr>
                <w:rFonts w:ascii="Times New Roman" w:cs="Times New Roman" w:hAnsiTheme="minorEastAsia"/>
              </w:rPr>
              <w:t>影响区域生态</w:t>
            </w:r>
          </w:p>
          <w:p>
            <w:pPr>
              <w:pStyle w:val="90"/>
              <w:rPr>
                <w:rFonts w:ascii="Times New Roman" w:hAnsi="Times New Roman" w:cs="Times New Roman"/>
              </w:rPr>
            </w:pPr>
            <w:r>
              <w:rPr>
                <w:rFonts w:ascii="Times New Roman" w:cs="Times New Roman" w:hAnsiTheme="minorEastAsia"/>
              </w:rPr>
              <w:t>敏感性</w:t>
            </w:r>
          </w:p>
        </w:tc>
        <w:tc>
          <w:tcPr>
            <w:tcW w:w="3219" w:type="pct"/>
            <w:gridSpan w:val="3"/>
            <w:vAlign w:val="center"/>
          </w:tcPr>
          <w:p>
            <w:pPr>
              <w:pStyle w:val="90"/>
              <w:rPr>
                <w:rFonts w:ascii="Times New Roman" w:hAnsi="Times New Roman" w:cs="Times New Roman"/>
              </w:rPr>
            </w:pPr>
            <w:r>
              <w:rPr>
                <w:rFonts w:ascii="Times New Roman" w:cs="Times New Roman" w:hAnsiTheme="minorEastAsia"/>
              </w:rPr>
              <w:t>工程占地范围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788" w:type="pct"/>
            <w:vMerge w:val="continue"/>
            <w:vAlign w:val="center"/>
          </w:tcPr>
          <w:p>
            <w:pPr>
              <w:widowControl/>
              <w:jc w:val="left"/>
              <w:rPr>
                <w:rFonts w:eastAsiaTheme="minorEastAsia"/>
              </w:rPr>
            </w:pPr>
          </w:p>
        </w:tc>
        <w:tc>
          <w:tcPr>
            <w:tcW w:w="993" w:type="pct"/>
            <w:vMerge w:val="continue"/>
            <w:vAlign w:val="center"/>
          </w:tcPr>
          <w:p>
            <w:pPr>
              <w:widowControl/>
              <w:jc w:val="left"/>
              <w:rPr>
                <w:rFonts w:eastAsiaTheme="minorEastAsia"/>
              </w:rPr>
            </w:pPr>
          </w:p>
        </w:tc>
        <w:tc>
          <w:tcPr>
            <w:tcW w:w="1073" w:type="pct"/>
            <w:vAlign w:val="center"/>
          </w:tcPr>
          <w:p>
            <w:pPr>
              <w:pStyle w:val="90"/>
              <w:rPr>
                <w:rFonts w:ascii="Times New Roman" w:hAnsi="Times New Roman" w:cs="Times New Roman"/>
              </w:rPr>
            </w:pPr>
            <w:r>
              <w:rPr>
                <w:rFonts w:ascii="Times New Roman" w:cs="Times New Roman" w:hAnsiTheme="minorEastAsia"/>
              </w:rPr>
              <w:t>面积</w:t>
            </w:r>
            <w:r>
              <w:rPr>
                <w:rFonts w:ascii="Times New Roman" w:hAnsi="Times New Roman" w:cs="Times New Roman"/>
              </w:rPr>
              <w:t>≥20km</w:t>
            </w:r>
            <w:r>
              <w:rPr>
                <w:rFonts w:ascii="Times New Roman" w:hAnsi="Times New Roman" w:cs="Times New Roman"/>
                <w:vertAlign w:val="superscript"/>
              </w:rPr>
              <w:t>2</w:t>
            </w:r>
          </w:p>
        </w:tc>
        <w:tc>
          <w:tcPr>
            <w:tcW w:w="1073" w:type="pct"/>
            <w:vAlign w:val="center"/>
          </w:tcPr>
          <w:p>
            <w:pPr>
              <w:pStyle w:val="90"/>
              <w:rPr>
                <w:rFonts w:ascii="Times New Roman" w:hAnsi="Times New Roman" w:cs="Times New Roman"/>
              </w:rPr>
            </w:pPr>
            <w:r>
              <w:rPr>
                <w:rFonts w:ascii="Times New Roman" w:cs="Times New Roman" w:hAnsiTheme="minorEastAsia"/>
              </w:rPr>
              <w:t>面积</w:t>
            </w:r>
            <w:r>
              <w:rPr>
                <w:rFonts w:ascii="Times New Roman" w:hAnsi="Times New Roman" w:cs="Times New Roman"/>
              </w:rPr>
              <w:t>2km</w:t>
            </w:r>
            <w:r>
              <w:rPr>
                <w:rFonts w:ascii="Times New Roman" w:hAnsi="Times New Roman" w:cs="Times New Roman"/>
                <w:vertAlign w:val="superscript"/>
              </w:rPr>
              <w:t>2</w:t>
            </w:r>
            <w:r>
              <w:rPr>
                <w:rFonts w:ascii="Times New Roman" w:cs="Times New Roman" w:hAnsiTheme="minorEastAsia"/>
              </w:rPr>
              <w:t>～</w:t>
            </w:r>
            <w:r>
              <w:rPr>
                <w:rFonts w:ascii="Times New Roman" w:hAnsi="Times New Roman" w:cs="Times New Roman"/>
              </w:rPr>
              <w:t>20km</w:t>
            </w:r>
            <w:r>
              <w:rPr>
                <w:rFonts w:ascii="Times New Roman" w:hAnsi="Times New Roman" w:cs="Times New Roman"/>
                <w:vertAlign w:val="superscript"/>
              </w:rPr>
              <w:t>2</w:t>
            </w:r>
          </w:p>
        </w:tc>
        <w:tc>
          <w:tcPr>
            <w:tcW w:w="1073" w:type="pct"/>
            <w:vAlign w:val="center"/>
          </w:tcPr>
          <w:p>
            <w:pPr>
              <w:pStyle w:val="90"/>
              <w:rPr>
                <w:rFonts w:ascii="Times New Roman" w:hAnsi="Times New Roman" w:cs="Times New Roman"/>
              </w:rPr>
            </w:pPr>
            <w:r>
              <w:rPr>
                <w:rFonts w:ascii="Times New Roman" w:cs="Times New Roman" w:hAnsiTheme="minorEastAsia"/>
              </w:rPr>
              <w:t>面积</w:t>
            </w:r>
            <w:r>
              <w:rPr>
                <w:rFonts w:ascii="Times New Roman" w:hAnsi="Times New Roman" w:cs="Times New Roman"/>
              </w:rPr>
              <w:t>≤2km</w:t>
            </w:r>
            <w:r>
              <w:rPr>
                <w:rFonts w:ascii="Times New Roman" w:hAnsi="Times New Roman" w:cs="Times New Roman"/>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788" w:type="pct"/>
            <w:vMerge w:val="restart"/>
            <w:vAlign w:val="center"/>
          </w:tcPr>
          <w:p>
            <w:pPr>
              <w:pStyle w:val="90"/>
              <w:rPr>
                <w:rFonts w:ascii="Times New Roman" w:hAnsi="Times New Roman" w:cs="Times New Roman"/>
              </w:rPr>
            </w:pPr>
            <w:r>
              <w:rPr>
                <w:rFonts w:ascii="Times New Roman" w:cs="Times New Roman" w:hAnsiTheme="minorEastAsia"/>
              </w:rPr>
              <w:t>导则</w:t>
            </w:r>
          </w:p>
        </w:tc>
        <w:tc>
          <w:tcPr>
            <w:tcW w:w="993" w:type="pct"/>
            <w:vAlign w:val="center"/>
          </w:tcPr>
          <w:p>
            <w:pPr>
              <w:pStyle w:val="90"/>
              <w:rPr>
                <w:rFonts w:ascii="Times New Roman" w:hAnsi="Times New Roman" w:cs="Times New Roman"/>
              </w:rPr>
            </w:pPr>
            <w:r>
              <w:rPr>
                <w:rFonts w:ascii="Times New Roman" w:cs="Times New Roman" w:hAnsiTheme="minorEastAsia"/>
              </w:rPr>
              <w:t>特殊生态敏感区</w:t>
            </w:r>
          </w:p>
        </w:tc>
        <w:tc>
          <w:tcPr>
            <w:tcW w:w="1073" w:type="pct"/>
            <w:vAlign w:val="center"/>
          </w:tcPr>
          <w:p>
            <w:pPr>
              <w:pStyle w:val="90"/>
              <w:rPr>
                <w:rFonts w:ascii="Times New Roman" w:hAnsi="Times New Roman" w:cs="Times New Roman"/>
              </w:rPr>
            </w:pPr>
            <w:r>
              <w:rPr>
                <w:rFonts w:ascii="Times New Roman" w:cs="Times New Roman" w:hAnsiTheme="minorEastAsia"/>
              </w:rPr>
              <w:t>一级</w:t>
            </w:r>
          </w:p>
        </w:tc>
        <w:tc>
          <w:tcPr>
            <w:tcW w:w="1073" w:type="pct"/>
            <w:vAlign w:val="center"/>
          </w:tcPr>
          <w:p>
            <w:pPr>
              <w:pStyle w:val="90"/>
              <w:rPr>
                <w:rFonts w:ascii="Times New Roman" w:hAnsi="Times New Roman" w:cs="Times New Roman"/>
              </w:rPr>
            </w:pPr>
            <w:r>
              <w:rPr>
                <w:rFonts w:ascii="Times New Roman" w:cs="Times New Roman" w:hAnsiTheme="minorEastAsia"/>
              </w:rPr>
              <w:t>一级</w:t>
            </w:r>
          </w:p>
        </w:tc>
        <w:tc>
          <w:tcPr>
            <w:tcW w:w="1073" w:type="pct"/>
            <w:vAlign w:val="center"/>
          </w:tcPr>
          <w:p>
            <w:pPr>
              <w:pStyle w:val="90"/>
              <w:rPr>
                <w:rFonts w:ascii="Times New Roman" w:hAnsi="Times New Roman" w:cs="Times New Roman"/>
              </w:rPr>
            </w:pPr>
            <w:r>
              <w:rPr>
                <w:rFonts w:ascii="Times New Roman" w:cs="Times New Roman" w:hAnsiTheme="minorEastAsia"/>
              </w:rPr>
              <w:t>一级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788" w:type="pct"/>
            <w:vMerge w:val="continue"/>
            <w:vAlign w:val="center"/>
          </w:tcPr>
          <w:p>
            <w:pPr>
              <w:widowControl/>
              <w:jc w:val="left"/>
              <w:rPr>
                <w:rFonts w:eastAsiaTheme="minorEastAsia"/>
              </w:rPr>
            </w:pPr>
          </w:p>
        </w:tc>
        <w:tc>
          <w:tcPr>
            <w:tcW w:w="993" w:type="pct"/>
            <w:vAlign w:val="center"/>
          </w:tcPr>
          <w:p>
            <w:pPr>
              <w:pStyle w:val="90"/>
              <w:rPr>
                <w:rFonts w:ascii="Times New Roman" w:hAnsi="Times New Roman" w:cs="Times New Roman"/>
              </w:rPr>
            </w:pPr>
            <w:r>
              <w:rPr>
                <w:rFonts w:ascii="Times New Roman" w:cs="Times New Roman" w:hAnsiTheme="minorEastAsia"/>
              </w:rPr>
              <w:t>重要生态敏感区</w:t>
            </w:r>
          </w:p>
        </w:tc>
        <w:tc>
          <w:tcPr>
            <w:tcW w:w="1073" w:type="pct"/>
            <w:vAlign w:val="center"/>
          </w:tcPr>
          <w:p>
            <w:pPr>
              <w:pStyle w:val="90"/>
              <w:rPr>
                <w:rFonts w:ascii="Times New Roman" w:hAnsi="Times New Roman" w:cs="Times New Roman"/>
              </w:rPr>
            </w:pPr>
            <w:r>
              <w:rPr>
                <w:rFonts w:ascii="Times New Roman" w:cs="Times New Roman" w:hAnsiTheme="minorEastAsia"/>
              </w:rPr>
              <w:t>一级</w:t>
            </w:r>
          </w:p>
        </w:tc>
        <w:tc>
          <w:tcPr>
            <w:tcW w:w="1073" w:type="pct"/>
            <w:vAlign w:val="center"/>
          </w:tcPr>
          <w:p>
            <w:pPr>
              <w:pStyle w:val="90"/>
              <w:rPr>
                <w:rFonts w:ascii="Times New Roman" w:hAnsi="Times New Roman" w:cs="Times New Roman"/>
              </w:rPr>
            </w:pPr>
            <w:r>
              <w:rPr>
                <w:rFonts w:ascii="Times New Roman" w:cs="Times New Roman" w:hAnsiTheme="minorEastAsia"/>
              </w:rPr>
              <w:t>二级</w:t>
            </w:r>
          </w:p>
        </w:tc>
        <w:tc>
          <w:tcPr>
            <w:tcW w:w="1073" w:type="pct"/>
            <w:vAlign w:val="center"/>
          </w:tcPr>
          <w:p>
            <w:pPr>
              <w:pStyle w:val="90"/>
              <w:rPr>
                <w:rFonts w:ascii="Times New Roman" w:hAnsi="Times New Roman" w:cs="Times New Roman"/>
              </w:rPr>
            </w:pPr>
            <w:r>
              <w:rPr>
                <w:rFonts w:ascii="Times New Roman" w:cs="Times New Roman" w:hAnsiTheme="minorEastAsia"/>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788" w:type="pct"/>
            <w:vMerge w:val="continue"/>
            <w:vAlign w:val="center"/>
          </w:tcPr>
          <w:p>
            <w:pPr>
              <w:widowControl/>
              <w:jc w:val="left"/>
              <w:rPr>
                <w:rFonts w:eastAsiaTheme="minorEastAsia"/>
              </w:rPr>
            </w:pPr>
          </w:p>
        </w:tc>
        <w:tc>
          <w:tcPr>
            <w:tcW w:w="993" w:type="pct"/>
            <w:vAlign w:val="center"/>
          </w:tcPr>
          <w:p>
            <w:pPr>
              <w:pStyle w:val="90"/>
              <w:rPr>
                <w:rFonts w:ascii="Times New Roman" w:hAnsi="Times New Roman" w:cs="Times New Roman"/>
              </w:rPr>
            </w:pPr>
            <w:r>
              <w:rPr>
                <w:rFonts w:ascii="Times New Roman" w:cs="Times New Roman" w:hAnsiTheme="minorEastAsia"/>
              </w:rPr>
              <w:t>一般区域</w:t>
            </w:r>
          </w:p>
        </w:tc>
        <w:tc>
          <w:tcPr>
            <w:tcW w:w="1073" w:type="pct"/>
            <w:vAlign w:val="center"/>
          </w:tcPr>
          <w:p>
            <w:pPr>
              <w:pStyle w:val="90"/>
              <w:rPr>
                <w:rFonts w:ascii="Times New Roman" w:hAnsi="Times New Roman" w:cs="Times New Roman"/>
              </w:rPr>
            </w:pPr>
            <w:r>
              <w:rPr>
                <w:rFonts w:ascii="Times New Roman" w:cs="Times New Roman" w:hAnsiTheme="minorEastAsia"/>
              </w:rPr>
              <w:t>二级</w:t>
            </w:r>
          </w:p>
        </w:tc>
        <w:tc>
          <w:tcPr>
            <w:tcW w:w="1073" w:type="pct"/>
            <w:vAlign w:val="center"/>
          </w:tcPr>
          <w:p>
            <w:pPr>
              <w:pStyle w:val="90"/>
              <w:rPr>
                <w:rFonts w:ascii="Times New Roman" w:hAnsi="Times New Roman" w:cs="Times New Roman"/>
                <w:b/>
              </w:rPr>
            </w:pPr>
            <w:r>
              <w:rPr>
                <w:rFonts w:ascii="Times New Roman" w:cs="Times New Roman" w:hAnsiTheme="minorEastAsia"/>
                <w:b/>
              </w:rPr>
              <w:t>三级</w:t>
            </w:r>
          </w:p>
        </w:tc>
        <w:tc>
          <w:tcPr>
            <w:tcW w:w="1073" w:type="pct"/>
            <w:vAlign w:val="center"/>
          </w:tcPr>
          <w:p>
            <w:pPr>
              <w:pStyle w:val="90"/>
              <w:rPr>
                <w:rFonts w:ascii="Times New Roman" w:hAnsi="Times New Roman" w:cs="Times New Roman"/>
              </w:rPr>
            </w:pPr>
            <w:r>
              <w:rPr>
                <w:rFonts w:ascii="Times New Roman" w:cs="Times New Roman" w:hAnsiTheme="minorEastAsia"/>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788" w:type="pct"/>
            <w:vAlign w:val="center"/>
          </w:tcPr>
          <w:p>
            <w:pPr>
              <w:pStyle w:val="90"/>
              <w:rPr>
                <w:rFonts w:ascii="Times New Roman" w:hAnsi="Times New Roman" w:cs="Times New Roman"/>
              </w:rPr>
            </w:pPr>
            <w:r>
              <w:rPr>
                <w:rFonts w:ascii="Times New Roman" w:cs="Times New Roman" w:hAnsiTheme="minorEastAsia"/>
              </w:rPr>
              <w:t>本项目</w:t>
            </w:r>
          </w:p>
        </w:tc>
        <w:tc>
          <w:tcPr>
            <w:tcW w:w="993" w:type="pct"/>
            <w:vAlign w:val="center"/>
          </w:tcPr>
          <w:p>
            <w:pPr>
              <w:pStyle w:val="90"/>
              <w:rPr>
                <w:rFonts w:ascii="Times New Roman" w:hAnsi="Times New Roman" w:cs="Times New Roman"/>
              </w:rPr>
            </w:pPr>
            <w:r>
              <w:rPr>
                <w:rFonts w:ascii="Times New Roman" w:cs="Times New Roman" w:hAnsiTheme="minorEastAsia"/>
              </w:rPr>
              <w:t>一般区域</w:t>
            </w:r>
          </w:p>
        </w:tc>
        <w:tc>
          <w:tcPr>
            <w:tcW w:w="1073" w:type="pct"/>
            <w:vAlign w:val="center"/>
          </w:tcPr>
          <w:p>
            <w:pPr>
              <w:pStyle w:val="90"/>
              <w:rPr>
                <w:rFonts w:ascii="Times New Roman" w:hAnsi="Times New Roman" w:cs="Times New Roman"/>
              </w:rPr>
            </w:pPr>
          </w:p>
        </w:tc>
        <w:tc>
          <w:tcPr>
            <w:tcW w:w="1073" w:type="pct"/>
            <w:vAlign w:val="center"/>
          </w:tcPr>
          <w:p>
            <w:pPr>
              <w:pStyle w:val="90"/>
              <w:rPr>
                <w:rFonts w:ascii="Times New Roman" w:hAnsi="Times New Roman" w:cs="Times New Roman"/>
              </w:rPr>
            </w:pPr>
            <w:r>
              <w:rPr>
                <w:rFonts w:hint="eastAsia" w:ascii="Times New Roman" w:hAnsi="Times New Roman" w:cs="Times New Roman"/>
              </w:rPr>
              <w:t>5.4518</w:t>
            </w:r>
            <w:r>
              <w:rPr>
                <w:rFonts w:ascii="Times New Roman" w:hAnsi="Times New Roman" w:cs="Times New Roman"/>
              </w:rPr>
              <w:t>km</w:t>
            </w:r>
            <w:r>
              <w:rPr>
                <w:rFonts w:ascii="Times New Roman" w:hAnsi="Times New Roman" w:cs="Times New Roman"/>
                <w:vertAlign w:val="superscript"/>
              </w:rPr>
              <w:t>2</w:t>
            </w:r>
          </w:p>
        </w:tc>
        <w:tc>
          <w:tcPr>
            <w:tcW w:w="1073" w:type="pct"/>
            <w:vAlign w:val="center"/>
          </w:tcPr>
          <w:p>
            <w:pPr>
              <w:pStyle w:val="90"/>
              <w:rPr>
                <w:rFonts w:ascii="Times New Roman" w:hAnsi="Times New Roman" w:cs="Times New Roman"/>
              </w:rPr>
            </w:pPr>
          </w:p>
        </w:tc>
      </w:tr>
    </w:tbl>
    <w:p>
      <w:pPr>
        <w:spacing w:line="360" w:lineRule="auto"/>
        <w:outlineLvl w:val="2"/>
        <w:rPr>
          <w:rFonts w:eastAsiaTheme="minorEastAsia"/>
          <w:b/>
          <w:sz w:val="24"/>
        </w:rPr>
      </w:pPr>
      <w:r>
        <w:rPr>
          <w:rFonts w:eastAsiaTheme="minorEastAsia"/>
          <w:b/>
          <w:sz w:val="24"/>
        </w:rPr>
        <w:t>2.5.6</w:t>
      </w:r>
      <w:r>
        <w:rPr>
          <w:rFonts w:hAnsiTheme="minorEastAsia" w:eastAsiaTheme="minorEastAsia"/>
          <w:b/>
          <w:sz w:val="24"/>
        </w:rPr>
        <w:t>土壤环境</w:t>
      </w:r>
    </w:p>
    <w:p>
      <w:pPr>
        <w:pStyle w:val="128"/>
        <w:adjustRightInd/>
        <w:spacing w:line="360" w:lineRule="auto"/>
        <w:ind w:firstLine="480"/>
        <w:contextualSpacing w:val="0"/>
        <w:rPr>
          <w:rFonts w:ascii="Times New Roman" w:hAnsi="Times New Roman" w:cs="Times New Roman"/>
        </w:rPr>
      </w:pPr>
      <w:r>
        <w:rPr>
          <w:rFonts w:ascii="Times New Roman" w:hAnsi="Times New Roman" w:cs="Times New Roman"/>
        </w:rPr>
        <w:t>根据《环境影响评价技术导则-土壤环境（试行）》（HJ964-2018），本项目对土壤环境属于</w:t>
      </w:r>
      <w:r>
        <w:rPr>
          <w:rFonts w:hint="eastAsia" w:ascii="Times New Roman" w:hAnsi="Times New Roman" w:cs="Times New Roman"/>
        </w:rPr>
        <w:t>生态影响型和</w:t>
      </w:r>
      <w:r>
        <w:rPr>
          <w:rFonts w:ascii="Times New Roman" w:hAnsi="Times New Roman" w:cs="Times New Roman"/>
        </w:rPr>
        <w:t>污染</w:t>
      </w:r>
      <w:r>
        <w:rPr>
          <w:rFonts w:hint="eastAsia" w:ascii="Times New Roman" w:hAnsi="Times New Roman" w:cs="Times New Roman"/>
        </w:rPr>
        <w:t>影响</w:t>
      </w:r>
      <w:r>
        <w:rPr>
          <w:rFonts w:ascii="Times New Roman" w:hAnsi="Times New Roman" w:cs="Times New Roman"/>
        </w:rPr>
        <w:t>型</w:t>
      </w:r>
      <w:r>
        <w:rPr>
          <w:rFonts w:hint="eastAsia" w:ascii="Times New Roman" w:hAnsi="Times New Roman" w:cs="Times New Roman"/>
        </w:rPr>
        <w:t>两种影响类型的</w:t>
      </w:r>
      <w:r>
        <w:rPr>
          <w:rFonts w:ascii="Times New Roman" w:hAnsi="Times New Roman" w:cs="Times New Roman"/>
        </w:rPr>
        <w:t>项目</w:t>
      </w:r>
      <w:r>
        <w:rPr>
          <w:rFonts w:hint="eastAsia" w:ascii="Times New Roman" w:hAnsi="Times New Roman" w:cs="Times New Roman"/>
        </w:rPr>
        <w:t>。</w:t>
      </w:r>
    </w:p>
    <w:p>
      <w:pPr>
        <w:spacing w:line="360" w:lineRule="auto"/>
        <w:ind w:firstLine="482" w:firstLineChars="200"/>
        <w:rPr>
          <w:rFonts w:eastAsiaTheme="minorEastAsia"/>
          <w:sz w:val="24"/>
        </w:rPr>
      </w:pPr>
      <w:r>
        <w:rPr>
          <w:rFonts w:hint="eastAsia"/>
          <w:b/>
          <w:sz w:val="24"/>
        </w:rPr>
        <w:t>污染影响型评价等级</w:t>
      </w:r>
      <w:r>
        <w:rPr>
          <w:rFonts w:hint="eastAsia"/>
          <w:sz w:val="24"/>
        </w:rPr>
        <w:t>：</w:t>
      </w:r>
      <w:r>
        <w:rPr>
          <w:sz w:val="24"/>
        </w:rPr>
        <w:t>对照附录A“土壤环境影响评价项目分类”，本项目为“煤矿采选项目”，为</w:t>
      </w:r>
      <w:r>
        <w:rPr>
          <w:rFonts w:hint="eastAsia" w:ascii="宋体" w:hAnsi="宋体" w:cs="宋体"/>
          <w:sz w:val="24"/>
        </w:rPr>
        <w:t>Ⅱ</w:t>
      </w:r>
      <w:r>
        <w:rPr>
          <w:sz w:val="24"/>
        </w:rPr>
        <w:t>类项目；项目占地</w:t>
      </w:r>
      <w:r>
        <w:rPr>
          <w:rFonts w:hint="eastAsia"/>
          <w:sz w:val="24"/>
        </w:rPr>
        <w:t>5.4518</w:t>
      </w:r>
      <w:r>
        <w:rPr>
          <w:sz w:val="24"/>
        </w:rPr>
        <w:t>km</w:t>
      </w:r>
      <w:r>
        <w:rPr>
          <w:sz w:val="24"/>
          <w:vertAlign w:val="superscript"/>
        </w:rPr>
        <w:t>2</w:t>
      </w:r>
      <w:r>
        <w:rPr>
          <w:sz w:val="24"/>
        </w:rPr>
        <w:t>，属于</w:t>
      </w:r>
      <w:r>
        <w:rPr>
          <w:rFonts w:hint="eastAsia"/>
          <w:sz w:val="24"/>
        </w:rPr>
        <w:t>中</w:t>
      </w:r>
      <w:r>
        <w:rPr>
          <w:sz w:val="24"/>
        </w:rPr>
        <w:t>型；</w:t>
      </w:r>
      <w:r>
        <w:rPr>
          <w:bCs/>
          <w:spacing w:val="-4"/>
          <w:sz w:val="24"/>
        </w:rPr>
        <w:t>井田周边存在耕地土壤环境敏感目标，</w:t>
      </w:r>
      <w:r>
        <w:rPr>
          <w:sz w:val="24"/>
        </w:rPr>
        <w:t>根据</w:t>
      </w:r>
      <w:r>
        <w:rPr>
          <w:rFonts w:hint="eastAsia"/>
          <w:sz w:val="24"/>
        </w:rPr>
        <w:t>污染影响型</w:t>
      </w:r>
      <w:r>
        <w:rPr>
          <w:sz w:val="24"/>
        </w:rPr>
        <w:t>评价项目类别、占地规模与敏感程度划分评价工作等级，本项目</w:t>
      </w:r>
      <w:r>
        <w:rPr>
          <w:rFonts w:hint="eastAsia"/>
          <w:sz w:val="24"/>
        </w:rPr>
        <w:t>污染</w:t>
      </w:r>
      <w:r>
        <w:rPr>
          <w:sz w:val="24"/>
        </w:rPr>
        <w:t>影响评价等级属于</w:t>
      </w:r>
      <w:r>
        <w:rPr>
          <w:rFonts w:hint="eastAsia"/>
          <w:sz w:val="24"/>
        </w:rPr>
        <w:t>二</w:t>
      </w:r>
      <w:r>
        <w:rPr>
          <w:sz w:val="24"/>
        </w:rPr>
        <w:t>级。污染影响型</w:t>
      </w:r>
      <w:r>
        <w:rPr>
          <w:rFonts w:hint="eastAsia"/>
          <w:sz w:val="24"/>
        </w:rPr>
        <w:t>土壤</w:t>
      </w:r>
      <w:r>
        <w:rPr>
          <w:rFonts w:hAnsiTheme="minorEastAsia" w:eastAsiaTheme="minorEastAsia"/>
          <w:sz w:val="24"/>
        </w:rPr>
        <w:t>评价等级划分依据见表</w:t>
      </w:r>
      <w:r>
        <w:rPr>
          <w:rFonts w:eastAsiaTheme="minorEastAsia"/>
          <w:sz w:val="24"/>
        </w:rPr>
        <w:t>2.5-7</w:t>
      </w:r>
      <w:r>
        <w:rPr>
          <w:rFonts w:hAnsiTheme="minorEastAsia" w:eastAsiaTheme="minorEastAsia"/>
          <w:sz w:val="24"/>
        </w:rPr>
        <w:t>。</w:t>
      </w:r>
    </w:p>
    <w:p>
      <w:pPr>
        <w:spacing w:line="360" w:lineRule="auto"/>
        <w:jc w:val="center"/>
        <w:rPr>
          <w:rFonts w:hAnsiTheme="minorEastAsia" w:eastAsiaTheme="minorEastAsia"/>
          <w:b/>
          <w:szCs w:val="21"/>
        </w:rPr>
      </w:pPr>
    </w:p>
    <w:p>
      <w:pPr>
        <w:spacing w:line="360" w:lineRule="auto"/>
        <w:jc w:val="center"/>
        <w:rPr>
          <w:rFonts w:eastAsiaTheme="minorEastAsia"/>
          <w:b/>
          <w:szCs w:val="21"/>
        </w:rPr>
      </w:pPr>
      <w:r>
        <w:rPr>
          <w:rFonts w:eastAsiaTheme="minorEastAsia"/>
          <w:szCs w:val="21"/>
        </w:rPr>
        <w:pict>
          <v:rect id="_x0000_s55987" o:spid="_x0000_s55987" o:spt="1" style="position:absolute;left:0pt;margin-left:17pt;margin-top:19.8pt;height:18.95pt;width:51.9pt;z-index:251694080;mso-width-relative:page;mso-height-relative:page;" filled="f" stroked="f" coordsize="21600,21600">
            <v:path/>
            <v:fill on="f" focussize="0,0"/>
            <v:stroke on="f"/>
            <v:imagedata o:title=""/>
            <o:lock v:ext="edit"/>
            <v:textbox>
              <w:txbxContent>
                <w:p>
                  <w:pPr>
                    <w:rPr>
                      <w:sz w:val="18"/>
                      <w:szCs w:val="18"/>
                    </w:rPr>
                  </w:pPr>
                  <w:r>
                    <w:rPr>
                      <w:rFonts w:hint="eastAsia"/>
                      <w:sz w:val="18"/>
                      <w:szCs w:val="18"/>
                    </w:rPr>
                    <w:t>占地规模</w:t>
                  </w:r>
                </w:p>
              </w:txbxContent>
            </v:textbox>
          </v:rect>
        </w:pict>
      </w:r>
      <w:r>
        <w:rPr>
          <w:rFonts w:hAnsiTheme="minorEastAsia" w:eastAsiaTheme="minorEastAsia"/>
          <w:b/>
          <w:szCs w:val="21"/>
        </w:rPr>
        <w:t>表</w:t>
      </w:r>
      <w:r>
        <w:rPr>
          <w:rFonts w:eastAsiaTheme="minorEastAsia"/>
          <w:b/>
          <w:szCs w:val="21"/>
        </w:rPr>
        <w:t>2.5-7</w:t>
      </w:r>
      <w:r>
        <w:rPr>
          <w:rFonts w:hAnsiTheme="minorEastAsia" w:eastAsiaTheme="minorEastAsia"/>
          <w:b/>
          <w:szCs w:val="21"/>
        </w:rPr>
        <w:t>污染影响型</w:t>
      </w:r>
      <w:r>
        <w:rPr>
          <w:rFonts w:hint="eastAsia" w:hAnsiTheme="minorEastAsia" w:eastAsiaTheme="minorEastAsia"/>
          <w:b/>
          <w:szCs w:val="21"/>
        </w:rPr>
        <w:t>土壤</w:t>
      </w:r>
      <w:r>
        <w:rPr>
          <w:rFonts w:hAnsiTheme="minorEastAsia" w:eastAsiaTheme="minorEastAsia"/>
          <w:b/>
          <w:szCs w:val="21"/>
        </w:rPr>
        <w:t>评价工作等级划分表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2"/>
        <w:gridCol w:w="884"/>
        <w:gridCol w:w="884"/>
        <w:gridCol w:w="884"/>
        <w:gridCol w:w="886"/>
        <w:gridCol w:w="886"/>
        <w:gridCol w:w="886"/>
        <w:gridCol w:w="886"/>
        <w:gridCol w:w="886"/>
        <w:gridCol w:w="8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712" w:type="pct"/>
            <w:vMerge w:val="restart"/>
            <w:vAlign w:val="center"/>
          </w:tcPr>
          <w:p>
            <w:pPr>
              <w:spacing w:line="288" w:lineRule="auto"/>
              <w:jc w:val="center"/>
              <w:rPr>
                <w:rFonts w:eastAsiaTheme="minorEastAsia"/>
                <w:b/>
                <w:kern w:val="0"/>
                <w:sz w:val="20"/>
                <w:szCs w:val="21"/>
              </w:rPr>
            </w:pPr>
            <w:r>
              <w:rPr>
                <w:rFonts w:eastAsiaTheme="minorEastAsia"/>
                <w:kern w:val="0"/>
                <w:sz w:val="20"/>
                <w:szCs w:val="21"/>
              </w:rPr>
              <w:pict>
                <v:shape id="_x0000_s55990" o:spid="_x0000_s55990" o:spt="32" type="#_x0000_t32" style="position:absolute;left:0pt;margin-left:15.2pt;margin-top:-1.25pt;height:53.25pt;width:45.25pt;z-index:251697152;mso-width-relative:page;mso-height-relative:page;" o:connectortype="straight" filled="f" coordsize="21600,21600">
                  <v:path arrowok="t"/>
                  <v:fill on="f" focussize="0,0"/>
                  <v:stroke/>
                  <v:imagedata o:title=""/>
                  <o:lock v:ext="edit"/>
                </v:shape>
              </w:pict>
            </w:r>
            <w:r>
              <w:rPr>
                <w:rFonts w:eastAsiaTheme="minorEastAsia"/>
                <w:kern w:val="0"/>
                <w:sz w:val="20"/>
                <w:szCs w:val="21"/>
              </w:rPr>
              <w:pict>
                <v:shape id="_x0000_s55991" o:spid="_x0000_s55991" o:spt="32" type="#_x0000_t32" style="position:absolute;left:0pt;flip:x y;margin-left:-6.75pt;margin-top:24.6pt;height:27.4pt;width:66.85pt;z-index:251698176;mso-width-relative:page;mso-height-relative:page;" o:connectortype="straight" filled="f" coordsize="21600,21600">
                  <v:path arrowok="t"/>
                  <v:fill on="f" focussize="0,0"/>
                  <v:stroke/>
                  <v:imagedata o:title=""/>
                  <o:lock v:ext="edit"/>
                </v:shape>
              </w:pict>
            </w:r>
            <w:r>
              <w:rPr>
                <w:rFonts w:eastAsiaTheme="minorEastAsia"/>
                <w:kern w:val="0"/>
                <w:sz w:val="20"/>
                <w:szCs w:val="21"/>
              </w:rPr>
              <w:pict>
                <v:rect id="_x0000_s55988" o:spid="_x0000_s55988" o:spt="1" style="position:absolute;left:0pt;margin-left:-9.45pt;margin-top:13.8pt;height:18.95pt;width:72.4pt;z-index:251695104;mso-width-relative:page;mso-height-relative:page;" filled="f" stroked="f" coordsize="21600,21600">
                  <v:path/>
                  <v:fill on="f" focussize="0,0"/>
                  <v:stroke on="f"/>
                  <v:imagedata o:title=""/>
                  <o:lock v:ext="edit"/>
                  <v:textbox>
                    <w:txbxContent>
                      <w:p>
                        <w:pPr>
                          <w:rPr>
                            <w:sz w:val="18"/>
                            <w:szCs w:val="18"/>
                          </w:rPr>
                        </w:pPr>
                        <w:r>
                          <w:rPr>
                            <w:rFonts w:hint="eastAsia"/>
                            <w:sz w:val="18"/>
                            <w:szCs w:val="18"/>
                          </w:rPr>
                          <w:t>评价工作等级</w:t>
                        </w:r>
                      </w:p>
                    </w:txbxContent>
                  </v:textbox>
                </v:rect>
              </w:pict>
            </w:r>
            <w:r>
              <w:rPr>
                <w:rFonts w:eastAsiaTheme="minorEastAsia"/>
                <w:b/>
                <w:kern w:val="0"/>
                <w:sz w:val="20"/>
                <w:szCs w:val="21"/>
              </w:rPr>
              <w:pict>
                <v:rect id="_x0000_s55989" o:spid="_x0000_s55989" o:spt="1" style="position:absolute;left:0pt;margin-left:-10.5pt;margin-top:30.45pt;height:21.3pt;width:57.2pt;z-index:251696128;mso-width-relative:page;mso-height-relative:page;" filled="f" stroked="f" coordsize="21600,21600">
                  <v:path/>
                  <v:fill on="f" focussize="0,0"/>
                  <v:stroke on="f"/>
                  <v:imagedata o:title=""/>
                  <o:lock v:ext="edit"/>
                  <v:textbox>
                    <w:txbxContent>
                      <w:p>
                        <w:pPr>
                          <w:rPr>
                            <w:sz w:val="18"/>
                            <w:szCs w:val="18"/>
                          </w:rPr>
                        </w:pPr>
                        <w:r>
                          <w:rPr>
                            <w:rFonts w:hint="eastAsia"/>
                            <w:sz w:val="18"/>
                            <w:szCs w:val="18"/>
                          </w:rPr>
                          <w:t>敏感程度</w:t>
                        </w:r>
                      </w:p>
                    </w:txbxContent>
                  </v:textbox>
                </v:rect>
              </w:pict>
            </w:r>
          </w:p>
        </w:tc>
        <w:tc>
          <w:tcPr>
            <w:tcW w:w="1428" w:type="pct"/>
            <w:gridSpan w:val="3"/>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Ⅰ类</w:t>
            </w:r>
          </w:p>
        </w:tc>
        <w:tc>
          <w:tcPr>
            <w:tcW w:w="1431" w:type="pct"/>
            <w:gridSpan w:val="3"/>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Ⅱ类</w:t>
            </w:r>
          </w:p>
        </w:tc>
        <w:tc>
          <w:tcPr>
            <w:tcW w:w="1429" w:type="pct"/>
            <w:gridSpan w:val="3"/>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 w:hRule="atLeast"/>
        </w:trPr>
        <w:tc>
          <w:tcPr>
            <w:tcW w:w="712" w:type="pct"/>
            <w:vMerge w:val="continue"/>
            <w:vAlign w:val="center"/>
          </w:tcPr>
          <w:p>
            <w:pPr>
              <w:spacing w:line="288" w:lineRule="auto"/>
              <w:jc w:val="center"/>
              <w:rPr>
                <w:rFonts w:eastAsiaTheme="minorEastAsia"/>
                <w:b/>
                <w:kern w:val="0"/>
                <w:sz w:val="20"/>
                <w:szCs w:val="21"/>
              </w:rPr>
            </w:pP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大</w:t>
            </w:r>
          </w:p>
          <w:p>
            <w:pPr>
              <w:spacing w:line="288" w:lineRule="auto"/>
              <w:rPr>
                <w:rFonts w:eastAsiaTheme="minorEastAsia"/>
                <w:kern w:val="0"/>
                <w:sz w:val="20"/>
                <w:szCs w:val="21"/>
              </w:rPr>
            </w:pP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中</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小</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中</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小</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中</w:t>
            </w:r>
          </w:p>
        </w:tc>
        <w:tc>
          <w:tcPr>
            <w:tcW w:w="475"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2"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敏感</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一级</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一级</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一级</w:t>
            </w:r>
          </w:p>
        </w:tc>
        <w:tc>
          <w:tcPr>
            <w:tcW w:w="477" w:type="pct"/>
            <w:vAlign w:val="center"/>
          </w:tcPr>
          <w:p>
            <w:pPr>
              <w:spacing w:line="288" w:lineRule="auto"/>
              <w:jc w:val="center"/>
              <w:rPr>
                <w:rFonts w:eastAsiaTheme="minorEastAsia"/>
                <w:b/>
                <w:kern w:val="0"/>
                <w:sz w:val="20"/>
                <w:szCs w:val="21"/>
              </w:rPr>
            </w:pPr>
            <w:r>
              <w:rPr>
                <w:rFonts w:hAnsiTheme="minorEastAsia" w:eastAsiaTheme="minorEastAsia"/>
                <w:b/>
                <w:kern w:val="0"/>
                <w:sz w:val="20"/>
                <w:szCs w:val="21"/>
              </w:rPr>
              <w:t>二级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c>
          <w:tcPr>
            <w:tcW w:w="475"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2"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较敏感</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一级</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一级</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c>
          <w:tcPr>
            <w:tcW w:w="475" w:type="pct"/>
            <w:vAlign w:val="center"/>
          </w:tcPr>
          <w:p>
            <w:pPr>
              <w:spacing w:line="288" w:lineRule="auto"/>
              <w:jc w:val="center"/>
              <w:rPr>
                <w:rFonts w:eastAsiaTheme="minorEastAsia"/>
                <w:kern w:val="0"/>
                <w:sz w:val="20"/>
                <w:szCs w:val="21"/>
              </w:rPr>
            </w:pPr>
            <w:r>
              <w:rPr>
                <w:rFonts w:eastAsiaTheme="minorEastAsia"/>
                <w:kern w:val="0"/>
                <w:sz w:val="2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2"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不敏感</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一级</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476"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c>
          <w:tcPr>
            <w:tcW w:w="477"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c>
          <w:tcPr>
            <w:tcW w:w="477" w:type="pct"/>
            <w:vAlign w:val="center"/>
          </w:tcPr>
          <w:p>
            <w:pPr>
              <w:spacing w:line="288" w:lineRule="auto"/>
              <w:jc w:val="center"/>
              <w:rPr>
                <w:rFonts w:eastAsiaTheme="minorEastAsia"/>
                <w:kern w:val="0"/>
                <w:sz w:val="20"/>
                <w:szCs w:val="21"/>
              </w:rPr>
            </w:pPr>
            <w:r>
              <w:rPr>
                <w:rFonts w:eastAsiaTheme="minorEastAsia"/>
                <w:kern w:val="0"/>
                <w:sz w:val="20"/>
                <w:szCs w:val="21"/>
              </w:rPr>
              <w:t>-</w:t>
            </w:r>
          </w:p>
        </w:tc>
        <w:tc>
          <w:tcPr>
            <w:tcW w:w="475" w:type="pct"/>
            <w:vAlign w:val="center"/>
          </w:tcPr>
          <w:p>
            <w:pPr>
              <w:spacing w:line="288" w:lineRule="auto"/>
              <w:jc w:val="center"/>
              <w:rPr>
                <w:rFonts w:eastAsiaTheme="minorEastAsia"/>
                <w:kern w:val="0"/>
                <w:sz w:val="20"/>
                <w:szCs w:val="21"/>
              </w:rPr>
            </w:pPr>
            <w:r>
              <w:rPr>
                <w:rFonts w:eastAsiaTheme="minorEastAsia"/>
                <w:kern w:val="0"/>
                <w:sz w:val="2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10"/>
            <w:vAlign w:val="center"/>
          </w:tcPr>
          <w:p>
            <w:pPr>
              <w:spacing w:line="288" w:lineRule="auto"/>
              <w:jc w:val="left"/>
              <w:rPr>
                <w:rFonts w:eastAsiaTheme="minorEastAsia"/>
                <w:kern w:val="0"/>
                <w:sz w:val="20"/>
                <w:szCs w:val="21"/>
              </w:rPr>
            </w:pPr>
            <w:r>
              <w:rPr>
                <w:rFonts w:hAnsiTheme="minorEastAsia" w:eastAsiaTheme="minorEastAsia"/>
                <w:kern w:val="0"/>
                <w:sz w:val="20"/>
                <w:szCs w:val="21"/>
              </w:rPr>
              <w:t>注：</w:t>
            </w:r>
            <w:r>
              <w:rPr>
                <w:rFonts w:eastAsiaTheme="minorEastAsia"/>
                <w:kern w:val="0"/>
                <w:sz w:val="20"/>
                <w:szCs w:val="21"/>
              </w:rPr>
              <w:t>“-”</w:t>
            </w:r>
            <w:r>
              <w:rPr>
                <w:rFonts w:hAnsiTheme="minorEastAsia" w:eastAsiaTheme="minorEastAsia"/>
                <w:kern w:val="0"/>
                <w:sz w:val="20"/>
                <w:szCs w:val="21"/>
              </w:rPr>
              <w:t>表示可不开展土壤环境影响评价工作。</w:t>
            </w:r>
          </w:p>
        </w:tc>
      </w:tr>
    </w:tbl>
    <w:p>
      <w:pPr>
        <w:pStyle w:val="128"/>
        <w:adjustRightInd/>
        <w:spacing w:line="360" w:lineRule="auto"/>
        <w:ind w:firstLine="482"/>
        <w:contextualSpacing w:val="0"/>
        <w:rPr>
          <w:rFonts w:ascii="Times New Roman" w:hAnsi="Times New Roman" w:cs="Times New Roman"/>
        </w:rPr>
      </w:pPr>
      <w:r>
        <w:rPr>
          <w:rFonts w:ascii="Times New Roman" w:hAnsi="Times New Roman" w:cs="Times New Roman"/>
          <w:b/>
        </w:rPr>
        <w:t>生态影响型评价等级</w:t>
      </w:r>
      <w:r>
        <w:rPr>
          <w:rFonts w:ascii="Times New Roman" w:hAnsi="Times New Roman" w:cs="Times New Roman"/>
        </w:rPr>
        <w:t>：对照附录A“土壤环境影响评价项目分类”，本项目为“煤矿采选项目”，为</w:t>
      </w:r>
      <w:r>
        <w:rPr>
          <w:rFonts w:ascii="Times New Roman" w:hAnsi="宋体" w:eastAsia="宋体" w:cs="Times New Roman"/>
        </w:rPr>
        <w:t>Ⅱ</w:t>
      </w:r>
      <w:r>
        <w:rPr>
          <w:rFonts w:ascii="Times New Roman" w:hAnsi="Times New Roman" w:cs="Times New Roman"/>
        </w:rPr>
        <w:t>类项目；土壤含盐量≤</w:t>
      </w:r>
      <w:r>
        <w:rPr>
          <w:rFonts w:hint="eastAsia" w:ascii="Times New Roman" w:hAnsi="Times New Roman" w:cs="Times New Roman"/>
        </w:rPr>
        <w:t>2</w:t>
      </w:r>
      <w:r>
        <w:rPr>
          <w:rFonts w:ascii="Times New Roman" w:hAnsi="Times New Roman" w:cs="Times New Roman"/>
        </w:rPr>
        <w:t>g/kg</w:t>
      </w:r>
      <w:r>
        <w:rPr>
          <w:rFonts w:hint="eastAsia" w:ascii="Times New Roman" w:hAnsi="Times New Roman" w:cs="Times New Roman"/>
        </w:rPr>
        <w:t>，</w:t>
      </w:r>
      <w:r>
        <w:rPr>
          <w:rFonts w:ascii="Times New Roman" w:hAnsi="Times New Roman" w:cs="Times New Roman"/>
        </w:rPr>
        <w:t>5.5</w:t>
      </w:r>
      <w:r>
        <w:rPr>
          <w:rFonts w:ascii="Times New Roman" w:hAnsi="Times New Roman" w:cs="Times New Roman"/>
          <w:bCs/>
          <w:spacing w:val="-4"/>
        </w:rPr>
        <w:t>≤pH</w:t>
      </w:r>
      <w:r>
        <w:rPr>
          <w:rFonts w:ascii="Times New Roman" w:hAnsi="Times New Roman" w:cs="Times New Roman"/>
        </w:rPr>
        <w:t>&lt;8.5</w:t>
      </w:r>
      <w:r>
        <w:rPr>
          <w:rFonts w:ascii="Times New Roman" w:hAnsi="Times New Roman" w:cs="Times New Roman"/>
          <w:bCs/>
          <w:spacing w:val="-4"/>
        </w:rPr>
        <w:t>，敏感程度为不敏感。</w:t>
      </w:r>
      <w:r>
        <w:rPr>
          <w:rFonts w:ascii="Times New Roman" w:hAnsi="Times New Roman" w:cs="Times New Roman"/>
        </w:rPr>
        <w:t>根据生态影响型评价项目类别和敏感程度划分评价工作等级，本项目生态影响型土壤评价等级属于</w:t>
      </w:r>
      <w:r>
        <w:rPr>
          <w:rFonts w:hint="eastAsia" w:ascii="Times New Roman" w:hAnsi="Times New Roman" w:cs="Times New Roman"/>
        </w:rPr>
        <w:t>三</w:t>
      </w:r>
      <w:r>
        <w:rPr>
          <w:rFonts w:ascii="Times New Roman" w:hAnsi="Times New Roman" w:cs="Times New Roman"/>
        </w:rPr>
        <w:t>级，</w:t>
      </w:r>
      <w:r>
        <w:rPr>
          <w:rFonts w:hint="eastAsia" w:ascii="Times New Roman" w:cs="Times New Roman"/>
        </w:rPr>
        <w:t>生态</w:t>
      </w:r>
      <w:r>
        <w:rPr>
          <w:rFonts w:ascii="Times New Roman" w:cs="Times New Roman"/>
        </w:rPr>
        <w:t>影响型土壤评价等级划分依据见表</w:t>
      </w:r>
      <w:r>
        <w:rPr>
          <w:rFonts w:ascii="Times New Roman" w:hAnsi="Times New Roman" w:cs="Times New Roman"/>
        </w:rPr>
        <w:t>2.5-</w:t>
      </w:r>
      <w:r>
        <w:rPr>
          <w:rFonts w:hint="eastAsia" w:ascii="Times New Roman" w:hAnsi="Times New Roman" w:cs="Times New Roman"/>
        </w:rPr>
        <w:t>8</w:t>
      </w:r>
      <w:r>
        <w:rPr>
          <w:rFonts w:ascii="Times New Roman" w:cs="Times New Roman"/>
        </w:rPr>
        <w:t>。</w:t>
      </w:r>
    </w:p>
    <w:p>
      <w:pPr>
        <w:spacing w:line="360" w:lineRule="auto"/>
        <w:jc w:val="center"/>
        <w:rPr>
          <w:rFonts w:hAnsiTheme="minorEastAsia" w:eastAsiaTheme="minorEastAsia"/>
          <w:b/>
          <w:szCs w:val="21"/>
        </w:rPr>
      </w:pPr>
      <w:r>
        <w:rPr>
          <w:rFonts w:hAnsiTheme="minorEastAsia" w:eastAsiaTheme="minorEastAsia"/>
          <w:b/>
          <w:szCs w:val="21"/>
        </w:rPr>
        <w:t>表</w:t>
      </w:r>
      <w:r>
        <w:rPr>
          <w:rFonts w:eastAsiaTheme="minorEastAsia"/>
          <w:b/>
          <w:szCs w:val="21"/>
        </w:rPr>
        <w:t>2.5-</w:t>
      </w:r>
      <w:r>
        <w:rPr>
          <w:rFonts w:hint="eastAsia" w:eastAsiaTheme="minorEastAsia"/>
          <w:b/>
          <w:szCs w:val="21"/>
        </w:rPr>
        <w:t>8</w:t>
      </w:r>
      <w:r>
        <w:rPr>
          <w:rFonts w:hint="eastAsia" w:hAnsiTheme="minorEastAsia" w:eastAsiaTheme="minorEastAsia"/>
          <w:b/>
          <w:szCs w:val="21"/>
        </w:rPr>
        <w:t>生态</w:t>
      </w:r>
      <w:r>
        <w:rPr>
          <w:rFonts w:hAnsiTheme="minorEastAsia" w:eastAsiaTheme="minorEastAsia"/>
          <w:b/>
          <w:szCs w:val="21"/>
        </w:rPr>
        <w:t>影响型</w:t>
      </w:r>
      <w:r>
        <w:rPr>
          <w:rFonts w:hint="eastAsia" w:hAnsiTheme="minorEastAsia" w:eastAsiaTheme="minorEastAsia"/>
          <w:b/>
          <w:szCs w:val="21"/>
        </w:rPr>
        <w:t>土壤</w:t>
      </w:r>
      <w:r>
        <w:rPr>
          <w:rFonts w:hAnsiTheme="minorEastAsia" w:eastAsiaTheme="minorEastAsia"/>
          <w:b/>
          <w:szCs w:val="21"/>
        </w:rPr>
        <w:t>评价工作等级划分表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2"/>
        <w:gridCol w:w="2652"/>
        <w:gridCol w:w="2658"/>
        <w:gridCol w:w="26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3" w:hRule="atLeast"/>
        </w:trPr>
        <w:tc>
          <w:tcPr>
            <w:tcW w:w="712" w:type="pct"/>
            <w:vAlign w:val="center"/>
          </w:tcPr>
          <w:p>
            <w:pPr>
              <w:spacing w:line="288" w:lineRule="auto"/>
              <w:jc w:val="center"/>
              <w:rPr>
                <w:rFonts w:eastAsiaTheme="minorEastAsia"/>
                <w:b/>
                <w:kern w:val="0"/>
                <w:sz w:val="20"/>
                <w:szCs w:val="21"/>
              </w:rPr>
            </w:pPr>
            <w:r>
              <w:rPr>
                <w:rFonts w:eastAsiaTheme="minorEastAsia"/>
                <w:kern w:val="0"/>
                <w:sz w:val="20"/>
                <w:szCs w:val="21"/>
              </w:rPr>
              <w:pict>
                <v:rect id="_x0000_s56012" o:spid="_x0000_s56012" o:spt="1" style="position:absolute;left:0pt;margin-left:14.3pt;margin-top:-0.9pt;height:18.95pt;width:51.9pt;z-index:251703296;mso-width-relative:page;mso-height-relative:page;" filled="f" stroked="f" coordsize="21600,21600">
                  <v:path/>
                  <v:fill on="f" focussize="0,0"/>
                  <v:stroke on="f"/>
                  <v:imagedata o:title=""/>
                  <o:lock v:ext="edit"/>
                  <v:textbox>
                    <w:txbxContent>
                      <w:p>
                        <w:pPr>
                          <w:rPr>
                            <w:sz w:val="18"/>
                            <w:szCs w:val="18"/>
                          </w:rPr>
                        </w:pPr>
                        <w:r>
                          <w:rPr>
                            <w:rFonts w:hint="eastAsia"/>
                            <w:sz w:val="18"/>
                            <w:szCs w:val="18"/>
                          </w:rPr>
                          <w:t>项目类别</w:t>
                        </w:r>
                      </w:p>
                    </w:txbxContent>
                  </v:textbox>
                </v:rect>
              </w:pict>
            </w:r>
            <w:r>
              <w:rPr>
                <w:rFonts w:eastAsiaTheme="minorEastAsia"/>
                <w:kern w:val="0"/>
                <w:sz w:val="20"/>
                <w:szCs w:val="21"/>
              </w:rPr>
              <w:pict>
                <v:shape id="_x0000_s56010" o:spid="_x0000_s56010" o:spt="32" type="#_x0000_t32" style="position:absolute;left:0pt;margin-left:15.2pt;margin-top:-1.25pt;height:53.25pt;width:45.25pt;z-index:251701248;mso-width-relative:page;mso-height-relative:page;" o:connectortype="straight" filled="f" coordsize="21600,21600">
                  <v:path arrowok="t"/>
                  <v:fill on="f" focussize="0,0"/>
                  <v:stroke/>
                  <v:imagedata o:title=""/>
                  <o:lock v:ext="edit"/>
                </v:shape>
              </w:pict>
            </w:r>
            <w:r>
              <w:rPr>
                <w:rFonts w:eastAsiaTheme="minorEastAsia"/>
                <w:kern w:val="0"/>
                <w:sz w:val="20"/>
                <w:szCs w:val="21"/>
              </w:rPr>
              <w:pict>
                <v:shape id="_x0000_s56011" o:spid="_x0000_s56011" o:spt="32" type="#_x0000_t32" style="position:absolute;left:0pt;flip:x y;margin-left:-6.75pt;margin-top:24.6pt;height:27.4pt;width:66.85pt;z-index:251702272;mso-width-relative:page;mso-height-relative:page;" o:connectortype="straight" filled="f" coordsize="21600,21600">
                  <v:path arrowok="t"/>
                  <v:fill on="f" focussize="0,0"/>
                  <v:stroke/>
                  <v:imagedata o:title=""/>
                  <o:lock v:ext="edit"/>
                </v:shape>
              </w:pict>
            </w:r>
            <w:r>
              <w:rPr>
                <w:rFonts w:eastAsiaTheme="minorEastAsia"/>
                <w:kern w:val="0"/>
                <w:sz w:val="20"/>
                <w:szCs w:val="21"/>
              </w:rPr>
              <w:pict>
                <v:rect id="_x0000_s56008" o:spid="_x0000_s56008" o:spt="1" style="position:absolute;left:0pt;margin-left:-9.45pt;margin-top:13.8pt;height:18.95pt;width:72.4pt;z-index:251699200;mso-width-relative:page;mso-height-relative:page;" filled="f" stroked="f" coordsize="21600,21600">
                  <v:path/>
                  <v:fill on="f" focussize="0,0"/>
                  <v:stroke on="f"/>
                  <v:imagedata o:title=""/>
                  <o:lock v:ext="edit"/>
                  <v:textbox>
                    <w:txbxContent>
                      <w:p>
                        <w:pPr>
                          <w:rPr>
                            <w:sz w:val="18"/>
                            <w:szCs w:val="18"/>
                          </w:rPr>
                        </w:pPr>
                        <w:r>
                          <w:rPr>
                            <w:rFonts w:hint="eastAsia"/>
                            <w:sz w:val="18"/>
                            <w:szCs w:val="18"/>
                          </w:rPr>
                          <w:t>评价工作等级</w:t>
                        </w:r>
                      </w:p>
                    </w:txbxContent>
                  </v:textbox>
                </v:rect>
              </w:pict>
            </w:r>
            <w:r>
              <w:rPr>
                <w:rFonts w:eastAsiaTheme="minorEastAsia"/>
                <w:b/>
                <w:kern w:val="0"/>
                <w:sz w:val="20"/>
                <w:szCs w:val="21"/>
              </w:rPr>
              <w:pict>
                <v:rect id="_x0000_s56009" o:spid="_x0000_s56009" o:spt="1" style="position:absolute;left:0pt;margin-left:-10.5pt;margin-top:30.45pt;height:21.3pt;width:57.2pt;z-index:251700224;mso-width-relative:page;mso-height-relative:page;" filled="f" stroked="f" coordsize="21600,21600">
                  <v:path/>
                  <v:fill on="f" focussize="0,0"/>
                  <v:stroke on="f"/>
                  <v:imagedata o:title=""/>
                  <o:lock v:ext="edit"/>
                  <v:textbox>
                    <w:txbxContent>
                      <w:p>
                        <w:pPr>
                          <w:rPr>
                            <w:sz w:val="18"/>
                            <w:szCs w:val="18"/>
                          </w:rPr>
                        </w:pPr>
                        <w:r>
                          <w:rPr>
                            <w:rFonts w:hint="eastAsia"/>
                            <w:sz w:val="18"/>
                            <w:szCs w:val="18"/>
                          </w:rPr>
                          <w:t>敏感程度</w:t>
                        </w:r>
                      </w:p>
                    </w:txbxContent>
                  </v:textbox>
                </v:rect>
              </w:pict>
            </w:r>
          </w:p>
        </w:tc>
        <w:tc>
          <w:tcPr>
            <w:tcW w:w="1428"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Ⅰ类</w:t>
            </w:r>
          </w:p>
        </w:tc>
        <w:tc>
          <w:tcPr>
            <w:tcW w:w="1431"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Ⅱ类</w:t>
            </w:r>
          </w:p>
        </w:tc>
        <w:tc>
          <w:tcPr>
            <w:tcW w:w="1429"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2"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敏感</w:t>
            </w:r>
          </w:p>
        </w:tc>
        <w:tc>
          <w:tcPr>
            <w:tcW w:w="1428"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一级</w:t>
            </w:r>
          </w:p>
        </w:tc>
        <w:tc>
          <w:tcPr>
            <w:tcW w:w="1431"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1429"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2"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较敏感</w:t>
            </w:r>
          </w:p>
        </w:tc>
        <w:tc>
          <w:tcPr>
            <w:tcW w:w="1428" w:type="pct"/>
            <w:vAlign w:val="center"/>
          </w:tcPr>
          <w:p>
            <w:pPr>
              <w:spacing w:line="288" w:lineRule="auto"/>
              <w:jc w:val="center"/>
              <w:rPr>
                <w:rFonts w:eastAsiaTheme="minorEastAsia"/>
                <w:kern w:val="0"/>
                <w:sz w:val="20"/>
                <w:szCs w:val="21"/>
              </w:rPr>
            </w:pPr>
            <w:r>
              <w:rPr>
                <w:rFonts w:hint="eastAsia" w:hAnsiTheme="minorEastAsia" w:eastAsiaTheme="minorEastAsia"/>
                <w:kern w:val="0"/>
                <w:sz w:val="20"/>
                <w:szCs w:val="21"/>
              </w:rPr>
              <w:t>二</w:t>
            </w:r>
            <w:r>
              <w:rPr>
                <w:rFonts w:hAnsiTheme="minorEastAsia" w:eastAsiaTheme="minorEastAsia"/>
                <w:kern w:val="0"/>
                <w:sz w:val="20"/>
                <w:szCs w:val="21"/>
              </w:rPr>
              <w:t>级</w:t>
            </w:r>
          </w:p>
        </w:tc>
        <w:tc>
          <w:tcPr>
            <w:tcW w:w="1431"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1429"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2"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不敏感</w:t>
            </w:r>
          </w:p>
        </w:tc>
        <w:tc>
          <w:tcPr>
            <w:tcW w:w="1428" w:type="pct"/>
            <w:vAlign w:val="center"/>
          </w:tcPr>
          <w:p>
            <w:pPr>
              <w:spacing w:line="288" w:lineRule="auto"/>
              <w:jc w:val="center"/>
              <w:rPr>
                <w:rFonts w:eastAsiaTheme="minorEastAsia"/>
                <w:kern w:val="0"/>
                <w:sz w:val="20"/>
                <w:szCs w:val="21"/>
              </w:rPr>
            </w:pPr>
            <w:r>
              <w:rPr>
                <w:rFonts w:hAnsiTheme="minorEastAsia" w:eastAsiaTheme="minorEastAsia"/>
                <w:kern w:val="0"/>
                <w:sz w:val="20"/>
                <w:szCs w:val="21"/>
              </w:rPr>
              <w:t>二级</w:t>
            </w:r>
          </w:p>
        </w:tc>
        <w:tc>
          <w:tcPr>
            <w:tcW w:w="1431" w:type="pct"/>
            <w:vAlign w:val="center"/>
          </w:tcPr>
          <w:p>
            <w:pPr>
              <w:spacing w:line="288" w:lineRule="auto"/>
              <w:jc w:val="center"/>
              <w:rPr>
                <w:rFonts w:eastAsiaTheme="minorEastAsia"/>
                <w:b/>
                <w:kern w:val="0"/>
                <w:sz w:val="20"/>
                <w:szCs w:val="21"/>
              </w:rPr>
            </w:pPr>
            <w:r>
              <w:rPr>
                <w:rFonts w:hAnsiTheme="minorEastAsia" w:eastAsiaTheme="minorEastAsia"/>
                <w:b/>
                <w:kern w:val="0"/>
                <w:sz w:val="20"/>
                <w:szCs w:val="21"/>
              </w:rPr>
              <w:t>三级</w:t>
            </w:r>
          </w:p>
        </w:tc>
        <w:tc>
          <w:tcPr>
            <w:tcW w:w="1429" w:type="pct"/>
            <w:vAlign w:val="center"/>
          </w:tcPr>
          <w:p>
            <w:pPr>
              <w:spacing w:line="288" w:lineRule="auto"/>
              <w:jc w:val="center"/>
              <w:rPr>
                <w:rFonts w:eastAsiaTheme="minorEastAsia"/>
                <w:kern w:val="0"/>
                <w:sz w:val="20"/>
                <w:szCs w:val="21"/>
              </w:rPr>
            </w:pPr>
            <w:r>
              <w:rPr>
                <w:rFonts w:eastAsiaTheme="minorEastAsia"/>
                <w:kern w:val="0"/>
                <w:sz w:val="2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4"/>
            <w:vAlign w:val="center"/>
          </w:tcPr>
          <w:p>
            <w:pPr>
              <w:spacing w:line="288" w:lineRule="auto"/>
              <w:jc w:val="left"/>
              <w:rPr>
                <w:rFonts w:eastAsiaTheme="minorEastAsia"/>
                <w:kern w:val="0"/>
                <w:sz w:val="20"/>
                <w:szCs w:val="21"/>
              </w:rPr>
            </w:pPr>
            <w:r>
              <w:rPr>
                <w:rFonts w:hAnsiTheme="minorEastAsia" w:eastAsiaTheme="minorEastAsia"/>
                <w:kern w:val="0"/>
                <w:sz w:val="20"/>
                <w:szCs w:val="21"/>
              </w:rPr>
              <w:t>注：</w:t>
            </w:r>
            <w:r>
              <w:rPr>
                <w:rFonts w:eastAsiaTheme="minorEastAsia"/>
                <w:kern w:val="0"/>
                <w:sz w:val="20"/>
                <w:szCs w:val="21"/>
              </w:rPr>
              <w:t>“-”</w:t>
            </w:r>
            <w:r>
              <w:rPr>
                <w:rFonts w:hAnsiTheme="minorEastAsia" w:eastAsiaTheme="minorEastAsia"/>
                <w:kern w:val="0"/>
                <w:sz w:val="20"/>
                <w:szCs w:val="21"/>
              </w:rPr>
              <w:t>表示可不开展土壤环境影响评价工作。</w:t>
            </w:r>
          </w:p>
        </w:tc>
      </w:tr>
    </w:tbl>
    <w:p>
      <w:pPr>
        <w:spacing w:line="360" w:lineRule="auto"/>
        <w:outlineLvl w:val="2"/>
        <w:rPr>
          <w:rFonts w:eastAsiaTheme="minorEastAsia"/>
          <w:b/>
          <w:sz w:val="24"/>
        </w:rPr>
      </w:pPr>
      <w:r>
        <w:rPr>
          <w:rFonts w:eastAsiaTheme="minorEastAsia"/>
          <w:b/>
          <w:sz w:val="24"/>
        </w:rPr>
        <w:t>2.5.7</w:t>
      </w:r>
      <w:r>
        <w:rPr>
          <w:rFonts w:hint="eastAsia" w:eastAsiaTheme="minorEastAsia"/>
          <w:b/>
          <w:sz w:val="24"/>
        </w:rPr>
        <w:t>环境风险</w:t>
      </w:r>
    </w:p>
    <w:p>
      <w:pPr>
        <w:spacing w:line="360" w:lineRule="auto"/>
        <w:ind w:firstLine="480" w:firstLineChars="200"/>
        <w:rPr>
          <w:szCs w:val="21"/>
        </w:rPr>
      </w:pPr>
      <w:r>
        <w:rPr>
          <w:rFonts w:hint="eastAsia"/>
          <w:bCs/>
          <w:sz w:val="24"/>
        </w:rPr>
        <w:t>根据《建设项目环境风险评价技术导则》（</w:t>
      </w:r>
      <w:r>
        <w:rPr>
          <w:bCs/>
          <w:sz w:val="24"/>
        </w:rPr>
        <w:t>HJ169-2018</w:t>
      </w:r>
      <w:r>
        <w:rPr>
          <w:rFonts w:hint="eastAsia"/>
          <w:bCs/>
          <w:sz w:val="24"/>
        </w:rPr>
        <w:t>），环境风险评价工作等级划分见表</w:t>
      </w:r>
      <w:r>
        <w:rPr>
          <w:bCs/>
          <w:sz w:val="24"/>
        </w:rPr>
        <w:t>2.5-</w:t>
      </w:r>
      <w:r>
        <w:rPr>
          <w:rFonts w:hint="eastAsia"/>
          <w:bCs/>
          <w:sz w:val="24"/>
        </w:rPr>
        <w:t>9，建设项目环境风险</w:t>
      </w:r>
      <w:r>
        <w:rPr>
          <w:rFonts w:hint="eastAsia"/>
          <w:sz w:val="24"/>
        </w:rPr>
        <w:t>潜势</w:t>
      </w:r>
      <w:r>
        <w:rPr>
          <w:rFonts w:hint="eastAsia"/>
          <w:bCs/>
          <w:sz w:val="24"/>
        </w:rPr>
        <w:t>划分见表</w:t>
      </w:r>
      <w:r>
        <w:rPr>
          <w:bCs/>
          <w:sz w:val="24"/>
        </w:rPr>
        <w:t>2.5-</w:t>
      </w:r>
      <w:r>
        <w:rPr>
          <w:rFonts w:hint="eastAsia"/>
          <w:bCs/>
          <w:sz w:val="24"/>
        </w:rPr>
        <w:t>10。</w:t>
      </w:r>
    </w:p>
    <w:p>
      <w:pPr>
        <w:tabs>
          <w:tab w:val="left" w:pos="0"/>
        </w:tabs>
        <w:spacing w:line="360" w:lineRule="auto"/>
        <w:jc w:val="center"/>
        <w:rPr>
          <w:b/>
          <w:bCs/>
          <w:szCs w:val="21"/>
        </w:rPr>
      </w:pPr>
      <w:r>
        <w:rPr>
          <w:rFonts w:hint="eastAsia"/>
          <w:b/>
          <w:bCs/>
          <w:szCs w:val="21"/>
        </w:rPr>
        <w:t>表</w:t>
      </w:r>
      <w:r>
        <w:rPr>
          <w:b/>
          <w:bCs/>
          <w:szCs w:val="21"/>
        </w:rPr>
        <w:t>2.5-</w:t>
      </w:r>
      <w:r>
        <w:rPr>
          <w:rFonts w:hint="eastAsia"/>
          <w:b/>
          <w:bCs/>
          <w:szCs w:val="21"/>
        </w:rPr>
        <w:t>9</w:t>
      </w:r>
      <w:r>
        <w:rPr>
          <w:b/>
          <w:bCs/>
          <w:szCs w:val="21"/>
        </w:rPr>
        <w:t xml:space="preserve">    </w:t>
      </w:r>
      <w:r>
        <w:rPr>
          <w:rFonts w:hint="eastAsia"/>
          <w:b/>
          <w:bCs/>
          <w:szCs w:val="21"/>
        </w:rPr>
        <w:t>评价工作等级划分</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1857"/>
        <w:gridCol w:w="1857"/>
        <w:gridCol w:w="1857"/>
        <w:gridCol w:w="1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op w:val="single" w:color="auto" w:sz="12" w:space="0"/>
              <w:left w:val="single" w:color="auto" w:sz="12"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环境风险</w:t>
            </w:r>
            <w:r>
              <w:rPr>
                <w:rFonts w:hint="eastAsia"/>
                <w:szCs w:val="21"/>
              </w:rPr>
              <w:t>潜势</w:t>
            </w:r>
          </w:p>
        </w:tc>
        <w:tc>
          <w:tcPr>
            <w:tcW w:w="1000" w:type="pct"/>
            <w:tcBorders>
              <w:top w:val="single" w:color="auto" w:sz="12"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IV</w:t>
            </w:r>
            <w:r>
              <w:rPr>
                <w:rFonts w:hint="eastAsia"/>
                <w:bCs/>
                <w:szCs w:val="21"/>
              </w:rPr>
              <w:t>、</w:t>
            </w:r>
            <w:r>
              <w:rPr>
                <w:bCs/>
                <w:szCs w:val="21"/>
              </w:rPr>
              <w:t>IV</w:t>
            </w:r>
            <w:r>
              <w:rPr>
                <w:bCs/>
                <w:szCs w:val="21"/>
                <w:vertAlign w:val="superscript"/>
              </w:rPr>
              <w:t>+</w:t>
            </w:r>
          </w:p>
        </w:tc>
        <w:tc>
          <w:tcPr>
            <w:tcW w:w="1000" w:type="pct"/>
            <w:tcBorders>
              <w:top w:val="single" w:color="auto" w:sz="12"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III</w:t>
            </w:r>
          </w:p>
        </w:tc>
        <w:tc>
          <w:tcPr>
            <w:tcW w:w="1000" w:type="pct"/>
            <w:tcBorders>
              <w:top w:val="single" w:color="auto" w:sz="12"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II</w:t>
            </w:r>
          </w:p>
        </w:tc>
        <w:tc>
          <w:tcPr>
            <w:tcW w:w="1000" w:type="pct"/>
            <w:tcBorders>
              <w:top w:val="single" w:color="auto" w:sz="12" w:space="0"/>
              <w:left w:val="single" w:color="auto" w:sz="4" w:space="0"/>
              <w:bottom w:val="single" w:color="auto" w:sz="4" w:space="0"/>
              <w:right w:val="single" w:color="auto" w:sz="12" w:space="0"/>
            </w:tcBorders>
            <w:noWrap/>
            <w:vAlign w:val="center"/>
          </w:tcPr>
          <w:p>
            <w:pPr>
              <w:spacing w:line="288" w:lineRule="auto"/>
              <w:jc w:val="center"/>
              <w:rPr>
                <w:bCs/>
                <w:szCs w:val="21"/>
              </w:rPr>
            </w:pPr>
            <w:r>
              <w:rPr>
                <w:bCs/>
                <w:szCs w:val="21"/>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op w:val="single" w:color="auto" w:sz="4" w:space="0"/>
              <w:left w:val="single" w:color="auto" w:sz="12"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评价工作等级</w:t>
            </w:r>
          </w:p>
        </w:tc>
        <w:tc>
          <w:tcPr>
            <w:tcW w:w="1000"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一</w:t>
            </w:r>
          </w:p>
        </w:tc>
        <w:tc>
          <w:tcPr>
            <w:tcW w:w="1000"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二</w:t>
            </w:r>
          </w:p>
        </w:tc>
        <w:tc>
          <w:tcPr>
            <w:tcW w:w="1000"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三</w:t>
            </w:r>
          </w:p>
        </w:tc>
        <w:tc>
          <w:tcPr>
            <w:tcW w:w="1000" w:type="pct"/>
            <w:tcBorders>
              <w:top w:val="single" w:color="auto" w:sz="4" w:space="0"/>
              <w:left w:val="single" w:color="auto" w:sz="4" w:space="0"/>
              <w:bottom w:val="single" w:color="auto" w:sz="4" w:space="0"/>
              <w:right w:val="single" w:color="auto" w:sz="12" w:space="0"/>
            </w:tcBorders>
            <w:noWrap/>
            <w:vAlign w:val="center"/>
          </w:tcPr>
          <w:p>
            <w:pPr>
              <w:spacing w:line="288" w:lineRule="auto"/>
              <w:jc w:val="center"/>
              <w:rPr>
                <w:bCs/>
                <w:szCs w:val="21"/>
              </w:rPr>
            </w:pPr>
            <w:r>
              <w:rPr>
                <w:rFonts w:hint="eastAsia"/>
                <w:bCs/>
                <w:szCs w:val="21"/>
              </w:rPr>
              <w:t>简单分析</w:t>
            </w:r>
            <w:r>
              <w:rPr>
                <w:bCs/>
                <w:szCs w:val="21"/>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left w:val="single" w:color="auto" w:sz="12" w:space="0"/>
              <w:bottom w:val="single" w:color="auto" w:sz="12" w:space="0"/>
              <w:right w:val="single" w:color="auto" w:sz="12" w:space="0"/>
            </w:tcBorders>
            <w:noWrap/>
            <w:vAlign w:val="center"/>
          </w:tcPr>
          <w:p>
            <w:pPr>
              <w:spacing w:line="288" w:lineRule="auto"/>
              <w:rPr>
                <w:bCs/>
                <w:szCs w:val="21"/>
              </w:rPr>
            </w:pPr>
            <w:r>
              <w:rPr>
                <w:bCs/>
                <w:szCs w:val="21"/>
                <w:vertAlign w:val="superscript"/>
              </w:rPr>
              <w:t>a</w:t>
            </w:r>
            <w:r>
              <w:rPr>
                <w:rFonts w:hint="eastAsia"/>
                <w:bCs/>
                <w:szCs w:val="21"/>
              </w:rPr>
              <w:t>是相对于详细评价工作内容而言，在描述危险物质、环境影响途径、环境危害后果、风险防范措施等方面给出定性的说明。见附录</w:t>
            </w:r>
            <w:r>
              <w:rPr>
                <w:bCs/>
                <w:szCs w:val="21"/>
              </w:rPr>
              <w:t>A</w:t>
            </w:r>
            <w:r>
              <w:rPr>
                <w:rFonts w:hint="eastAsia"/>
                <w:bCs/>
                <w:szCs w:val="21"/>
              </w:rPr>
              <w:t>。</w:t>
            </w:r>
          </w:p>
        </w:tc>
      </w:tr>
    </w:tbl>
    <w:p>
      <w:pPr>
        <w:tabs>
          <w:tab w:val="left" w:pos="0"/>
        </w:tabs>
        <w:spacing w:line="360" w:lineRule="auto"/>
        <w:jc w:val="center"/>
        <w:rPr>
          <w:b/>
          <w:bCs/>
          <w:szCs w:val="21"/>
        </w:rPr>
      </w:pPr>
      <w:r>
        <w:rPr>
          <w:rFonts w:hint="eastAsia"/>
          <w:b/>
          <w:bCs/>
          <w:szCs w:val="21"/>
        </w:rPr>
        <w:t>表</w:t>
      </w:r>
      <w:r>
        <w:rPr>
          <w:b/>
          <w:bCs/>
          <w:szCs w:val="21"/>
        </w:rPr>
        <w:t>2.5-</w:t>
      </w:r>
      <w:r>
        <w:rPr>
          <w:rFonts w:hint="eastAsia"/>
          <w:b/>
          <w:bCs/>
          <w:szCs w:val="21"/>
        </w:rPr>
        <w:t>10</w:t>
      </w:r>
      <w:r>
        <w:rPr>
          <w:b/>
          <w:bCs/>
          <w:szCs w:val="21"/>
        </w:rPr>
        <w:t xml:space="preserve">  </w:t>
      </w:r>
      <w:r>
        <w:rPr>
          <w:rFonts w:hint="eastAsia"/>
          <w:b/>
          <w:bCs/>
          <w:szCs w:val="21"/>
        </w:rPr>
        <w:t>建设项目环境风险潜势划分</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786"/>
        <w:gridCol w:w="1787"/>
        <w:gridCol w:w="1787"/>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vMerge w:val="restart"/>
            <w:tcBorders>
              <w:top w:val="single" w:color="auto" w:sz="12" w:space="0"/>
              <w:left w:val="single" w:color="auto" w:sz="12"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环境敏感程度（</w:t>
            </w:r>
            <w:r>
              <w:rPr>
                <w:bCs/>
                <w:szCs w:val="21"/>
              </w:rPr>
              <w:t>E</w:t>
            </w:r>
            <w:r>
              <w:rPr>
                <w:rFonts w:hint="eastAsia"/>
                <w:bCs/>
                <w:szCs w:val="21"/>
              </w:rPr>
              <w:t>）</w:t>
            </w:r>
          </w:p>
        </w:tc>
        <w:tc>
          <w:tcPr>
            <w:tcW w:w="3863" w:type="pct"/>
            <w:gridSpan w:val="4"/>
            <w:tcBorders>
              <w:top w:val="single" w:color="auto" w:sz="12" w:space="0"/>
              <w:left w:val="single" w:color="auto" w:sz="4" w:space="0"/>
              <w:bottom w:val="single" w:color="auto" w:sz="4" w:space="0"/>
              <w:right w:val="single" w:color="auto" w:sz="12" w:space="0"/>
            </w:tcBorders>
            <w:noWrap/>
            <w:vAlign w:val="center"/>
          </w:tcPr>
          <w:p>
            <w:pPr>
              <w:spacing w:line="288" w:lineRule="auto"/>
              <w:jc w:val="center"/>
              <w:rPr>
                <w:bCs/>
                <w:szCs w:val="21"/>
              </w:rPr>
            </w:pPr>
            <w:r>
              <w:rPr>
                <w:rFonts w:hint="eastAsia"/>
                <w:bCs/>
                <w:szCs w:val="21"/>
              </w:rPr>
              <w:t>危险物质及工艺系统危险性（</w:t>
            </w:r>
            <w:r>
              <w:rPr>
                <w:bCs/>
                <w:szCs w:val="21"/>
              </w:rPr>
              <w:t>P</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12" w:space="0"/>
              <w:left w:val="single" w:color="auto" w:sz="12" w:space="0"/>
              <w:bottom w:val="single" w:color="auto" w:sz="4" w:space="0"/>
              <w:right w:val="single" w:color="auto" w:sz="4" w:space="0"/>
            </w:tcBorders>
            <w:vAlign w:val="center"/>
          </w:tcPr>
          <w:p>
            <w:pPr>
              <w:widowControl/>
              <w:spacing w:line="288" w:lineRule="auto"/>
              <w:jc w:val="left"/>
              <w:rPr>
                <w:bCs/>
                <w:szCs w:val="21"/>
              </w:rPr>
            </w:pP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极高危害（</w:t>
            </w:r>
            <w:r>
              <w:rPr>
                <w:bCs/>
                <w:szCs w:val="21"/>
              </w:rPr>
              <w:t>P1</w:t>
            </w:r>
            <w:r>
              <w:rPr>
                <w:rFonts w:hint="eastAsia"/>
                <w:bCs/>
                <w:szCs w:val="21"/>
              </w:rPr>
              <w:t>）</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高度危害（</w:t>
            </w:r>
            <w:r>
              <w:rPr>
                <w:bCs/>
                <w:szCs w:val="21"/>
              </w:rPr>
              <w:t>P2</w:t>
            </w:r>
            <w:r>
              <w:rPr>
                <w:rFonts w:hint="eastAsia"/>
                <w:bCs/>
                <w:szCs w:val="21"/>
              </w:rPr>
              <w:t>）</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中毒危害（</w:t>
            </w:r>
            <w:r>
              <w:rPr>
                <w:bCs/>
                <w:szCs w:val="21"/>
              </w:rPr>
              <w:t>P3</w:t>
            </w:r>
            <w:r>
              <w:rPr>
                <w:rFonts w:hint="eastAsia"/>
                <w:bCs/>
                <w:szCs w:val="21"/>
              </w:rPr>
              <w:t>）</w:t>
            </w:r>
          </w:p>
        </w:tc>
        <w:tc>
          <w:tcPr>
            <w:tcW w:w="967" w:type="pct"/>
            <w:tcBorders>
              <w:top w:val="single" w:color="auto" w:sz="4" w:space="0"/>
              <w:left w:val="single" w:color="auto" w:sz="4" w:space="0"/>
              <w:bottom w:val="single" w:color="auto" w:sz="4" w:space="0"/>
              <w:right w:val="single" w:color="auto" w:sz="12" w:space="0"/>
            </w:tcBorders>
            <w:noWrap/>
            <w:vAlign w:val="center"/>
          </w:tcPr>
          <w:p>
            <w:pPr>
              <w:spacing w:line="288" w:lineRule="auto"/>
              <w:jc w:val="center"/>
              <w:rPr>
                <w:bCs/>
                <w:szCs w:val="21"/>
              </w:rPr>
            </w:pPr>
            <w:r>
              <w:rPr>
                <w:rFonts w:hint="eastAsia"/>
                <w:bCs/>
                <w:szCs w:val="21"/>
              </w:rPr>
              <w:t>轻度危害（</w:t>
            </w:r>
            <w:r>
              <w:rPr>
                <w:bCs/>
                <w:szCs w:val="21"/>
              </w:rPr>
              <w:t>P4</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tcBorders>
              <w:top w:val="single" w:color="auto" w:sz="4" w:space="0"/>
              <w:left w:val="single" w:color="auto" w:sz="12"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环境敏感程度（</w:t>
            </w:r>
            <w:r>
              <w:rPr>
                <w:bCs/>
                <w:szCs w:val="21"/>
              </w:rPr>
              <w:t>E1</w:t>
            </w:r>
            <w:r>
              <w:rPr>
                <w:rFonts w:hint="eastAsia"/>
                <w:bCs/>
                <w:szCs w:val="21"/>
              </w:rPr>
              <w:t>）</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IV</w:t>
            </w:r>
            <w:r>
              <w:rPr>
                <w:bCs/>
                <w:szCs w:val="21"/>
                <w:vertAlign w:val="superscript"/>
              </w:rPr>
              <w:t>+</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IV</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III</w:t>
            </w:r>
          </w:p>
        </w:tc>
        <w:tc>
          <w:tcPr>
            <w:tcW w:w="967" w:type="pct"/>
            <w:tcBorders>
              <w:top w:val="single" w:color="auto" w:sz="4" w:space="0"/>
              <w:left w:val="single" w:color="auto" w:sz="4" w:space="0"/>
              <w:bottom w:val="single" w:color="auto" w:sz="4" w:space="0"/>
              <w:right w:val="single" w:color="auto" w:sz="12" w:space="0"/>
            </w:tcBorders>
            <w:noWrap/>
            <w:vAlign w:val="center"/>
          </w:tcPr>
          <w:p>
            <w:pPr>
              <w:spacing w:line="288" w:lineRule="auto"/>
              <w:jc w:val="center"/>
              <w:rPr>
                <w:bCs/>
                <w:szCs w:val="21"/>
              </w:rPr>
            </w:pPr>
            <w:r>
              <w:rPr>
                <w:bCs/>
                <w:szCs w:val="21"/>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pct"/>
            <w:tcBorders>
              <w:top w:val="single" w:color="auto" w:sz="4" w:space="0"/>
              <w:left w:val="single" w:color="auto" w:sz="12"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环境敏感程度（</w:t>
            </w:r>
            <w:r>
              <w:rPr>
                <w:bCs/>
                <w:szCs w:val="21"/>
              </w:rPr>
              <w:t>E2</w:t>
            </w:r>
            <w:r>
              <w:rPr>
                <w:rFonts w:hint="eastAsia"/>
                <w:bCs/>
                <w:szCs w:val="21"/>
              </w:rPr>
              <w:t>）</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IV</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III</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III</w:t>
            </w:r>
          </w:p>
        </w:tc>
        <w:tc>
          <w:tcPr>
            <w:tcW w:w="967" w:type="pct"/>
            <w:tcBorders>
              <w:top w:val="single" w:color="auto" w:sz="4" w:space="0"/>
              <w:left w:val="single" w:color="auto" w:sz="4" w:space="0"/>
              <w:bottom w:val="single" w:color="auto" w:sz="4" w:space="0"/>
              <w:right w:val="single" w:color="auto" w:sz="12" w:space="0"/>
            </w:tcBorders>
            <w:noWrap/>
            <w:vAlign w:val="center"/>
          </w:tcPr>
          <w:p>
            <w:pPr>
              <w:spacing w:line="288" w:lineRule="auto"/>
              <w:jc w:val="center"/>
              <w:rPr>
                <w:bCs/>
                <w:szCs w:val="21"/>
              </w:rPr>
            </w:pPr>
            <w:r>
              <w:rPr>
                <w:bCs/>
                <w:szCs w:val="21"/>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6" w:type="pct"/>
            <w:tcBorders>
              <w:top w:val="single" w:color="auto" w:sz="4" w:space="0"/>
              <w:left w:val="single" w:color="auto" w:sz="12" w:space="0"/>
              <w:bottom w:val="single" w:color="auto" w:sz="4" w:space="0"/>
              <w:right w:val="single" w:color="auto" w:sz="4" w:space="0"/>
            </w:tcBorders>
            <w:noWrap/>
            <w:vAlign w:val="center"/>
          </w:tcPr>
          <w:p>
            <w:pPr>
              <w:spacing w:line="288" w:lineRule="auto"/>
              <w:jc w:val="center"/>
              <w:rPr>
                <w:bCs/>
                <w:szCs w:val="21"/>
              </w:rPr>
            </w:pPr>
            <w:r>
              <w:rPr>
                <w:rFonts w:hint="eastAsia"/>
                <w:bCs/>
                <w:szCs w:val="21"/>
              </w:rPr>
              <w:t>环境敏感程度（</w:t>
            </w:r>
            <w:r>
              <w:rPr>
                <w:bCs/>
                <w:szCs w:val="21"/>
              </w:rPr>
              <w:t>E3</w:t>
            </w:r>
            <w:r>
              <w:rPr>
                <w:rFonts w:hint="eastAsia"/>
                <w:bCs/>
                <w:szCs w:val="21"/>
              </w:rPr>
              <w:t>）</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III</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III</w:t>
            </w:r>
          </w:p>
        </w:tc>
        <w:tc>
          <w:tcPr>
            <w:tcW w:w="965" w:type="pct"/>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bCs/>
                <w:szCs w:val="21"/>
              </w:rPr>
            </w:pPr>
            <w:r>
              <w:rPr>
                <w:bCs/>
                <w:szCs w:val="21"/>
              </w:rPr>
              <w:t>II</w:t>
            </w:r>
          </w:p>
        </w:tc>
        <w:tc>
          <w:tcPr>
            <w:tcW w:w="967" w:type="pct"/>
            <w:tcBorders>
              <w:top w:val="single" w:color="auto" w:sz="4" w:space="0"/>
              <w:left w:val="single" w:color="auto" w:sz="4" w:space="0"/>
              <w:bottom w:val="single" w:color="auto" w:sz="4" w:space="0"/>
              <w:right w:val="single" w:color="auto" w:sz="12" w:space="0"/>
            </w:tcBorders>
            <w:noWrap/>
            <w:vAlign w:val="center"/>
          </w:tcPr>
          <w:p>
            <w:pPr>
              <w:spacing w:line="288" w:lineRule="auto"/>
              <w:jc w:val="center"/>
              <w:rPr>
                <w:bCs/>
                <w:szCs w:val="21"/>
              </w:rPr>
            </w:pPr>
            <w:r>
              <w:rPr>
                <w:bCs/>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left w:val="single" w:color="auto" w:sz="12" w:space="0"/>
              <w:bottom w:val="single" w:color="auto" w:sz="12" w:space="0"/>
              <w:right w:val="single" w:color="auto" w:sz="12" w:space="0"/>
            </w:tcBorders>
            <w:noWrap/>
            <w:vAlign w:val="center"/>
          </w:tcPr>
          <w:p>
            <w:pPr>
              <w:spacing w:line="288" w:lineRule="auto"/>
              <w:rPr>
                <w:bCs/>
                <w:szCs w:val="21"/>
              </w:rPr>
            </w:pPr>
            <w:r>
              <w:rPr>
                <w:rFonts w:hint="eastAsia"/>
                <w:bCs/>
                <w:szCs w:val="21"/>
              </w:rPr>
              <w:t>注：</w:t>
            </w:r>
            <w:r>
              <w:rPr>
                <w:bCs/>
                <w:szCs w:val="21"/>
              </w:rPr>
              <w:t>IV</w:t>
            </w:r>
            <w:r>
              <w:rPr>
                <w:bCs/>
                <w:szCs w:val="21"/>
                <w:vertAlign w:val="superscript"/>
              </w:rPr>
              <w:t>+</w:t>
            </w:r>
            <w:r>
              <w:rPr>
                <w:rFonts w:hint="eastAsia"/>
                <w:bCs/>
                <w:szCs w:val="21"/>
              </w:rPr>
              <w:t>为极高环境风险</w:t>
            </w:r>
          </w:p>
        </w:tc>
      </w:tr>
    </w:tbl>
    <w:p>
      <w:pPr>
        <w:pStyle w:val="39"/>
        <w:rPr>
          <w:rFonts w:ascii="Times New Roman" w:hAnsi="Times New Roman" w:eastAsiaTheme="minorEastAsia"/>
          <w:kern w:val="0"/>
        </w:rPr>
      </w:pPr>
      <w:r>
        <w:rPr>
          <w:rFonts w:hint="eastAsia" w:ascii="Times New Roman" w:hAnsi="Times New Roman" w:eastAsiaTheme="minorEastAsia"/>
          <w:kern w:val="0"/>
        </w:rPr>
        <w:t>根据《建设项目环境风险评价技术导则》（</w:t>
      </w:r>
      <w:r>
        <w:rPr>
          <w:rFonts w:ascii="Times New Roman" w:hAnsi="Times New Roman" w:eastAsiaTheme="minorEastAsia"/>
          <w:kern w:val="0"/>
        </w:rPr>
        <w:t>HJ/T169-2018</w:t>
      </w:r>
      <w:r>
        <w:rPr>
          <w:rFonts w:hint="eastAsia" w:ascii="Times New Roman" w:hAnsi="Times New Roman" w:eastAsiaTheme="minorEastAsia"/>
          <w:kern w:val="0"/>
        </w:rPr>
        <w:t>）中的划分依据和原则，本项目环境风险潜势为</w:t>
      </w:r>
      <w:r>
        <w:rPr>
          <w:rFonts w:hint="eastAsia" w:cs="宋体"/>
          <w:kern w:val="0"/>
        </w:rPr>
        <w:t>Ⅰ</w:t>
      </w:r>
      <w:r>
        <w:rPr>
          <w:rFonts w:hint="eastAsia" w:ascii="Times New Roman" w:hAnsi="Times New Roman" w:eastAsiaTheme="minorEastAsia"/>
          <w:kern w:val="0"/>
        </w:rPr>
        <w:t>。根据《建设项目环境风险评价技术导则》（</w:t>
      </w:r>
      <w:r>
        <w:rPr>
          <w:rFonts w:ascii="Times New Roman" w:hAnsi="Times New Roman" w:eastAsiaTheme="minorEastAsia"/>
          <w:kern w:val="0"/>
        </w:rPr>
        <w:t>HJ/T169-2018</w:t>
      </w:r>
      <w:r>
        <w:rPr>
          <w:rFonts w:hint="eastAsia" w:ascii="Times New Roman" w:hAnsi="Times New Roman" w:eastAsiaTheme="minorEastAsia"/>
          <w:kern w:val="0"/>
        </w:rPr>
        <w:t>）中表</w:t>
      </w:r>
      <w:r>
        <w:rPr>
          <w:rFonts w:ascii="Times New Roman" w:hAnsi="Times New Roman" w:eastAsiaTheme="minorEastAsia"/>
          <w:kern w:val="0"/>
        </w:rPr>
        <w:t>1</w:t>
      </w:r>
      <w:r>
        <w:rPr>
          <w:rFonts w:hint="eastAsia" w:ascii="Times New Roman" w:hAnsi="Times New Roman" w:eastAsiaTheme="minorEastAsia"/>
          <w:kern w:val="0"/>
        </w:rPr>
        <w:t>评价工作等级划分表，本次评价确定环境风险评价等级为简单分析。</w:t>
      </w:r>
    </w:p>
    <w:p>
      <w:pPr>
        <w:pStyle w:val="3"/>
        <w:spacing w:before="0" w:after="0" w:line="360" w:lineRule="auto"/>
        <w:rPr>
          <w:rFonts w:ascii="Times New Roman" w:hAnsi="Times New Roman" w:eastAsiaTheme="minorEastAsia"/>
          <w:bCs w:val="0"/>
          <w:sz w:val="28"/>
        </w:rPr>
      </w:pPr>
      <w:bookmarkStart w:id="93" w:name="_Toc71551925"/>
      <w:r>
        <w:rPr>
          <w:rFonts w:ascii="Times New Roman" w:hAnsi="Times New Roman" w:eastAsiaTheme="minorEastAsia"/>
          <w:bCs w:val="0"/>
          <w:sz w:val="28"/>
        </w:rPr>
        <w:t>2.6</w:t>
      </w:r>
      <w:r>
        <w:rPr>
          <w:rFonts w:ascii="Times New Roman" w:hAnsiTheme="minorEastAsia" w:eastAsiaTheme="minorEastAsia"/>
          <w:bCs w:val="0"/>
          <w:sz w:val="28"/>
        </w:rPr>
        <w:t>评价重点</w:t>
      </w:r>
      <w:bookmarkEnd w:id="93"/>
    </w:p>
    <w:p>
      <w:pPr>
        <w:spacing w:line="360" w:lineRule="auto"/>
        <w:ind w:firstLine="480" w:firstLineChars="200"/>
        <w:rPr>
          <w:rFonts w:eastAsiaTheme="minorEastAsia"/>
          <w:sz w:val="24"/>
        </w:rPr>
      </w:pPr>
      <w:r>
        <w:rPr>
          <w:rFonts w:hAnsiTheme="minorEastAsia" w:eastAsiaTheme="minorEastAsia"/>
          <w:sz w:val="24"/>
        </w:rPr>
        <w:t>根据工程分析和环境影响识别结果，本次评价重点为：</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）对现有工程污染源及源强进行调查分析，说明其存在的问题，做到</w:t>
      </w:r>
      <w:r>
        <w:rPr>
          <w:rFonts w:eastAsiaTheme="minorEastAsia"/>
          <w:sz w:val="24"/>
        </w:rPr>
        <w:t>“</w:t>
      </w:r>
      <w:r>
        <w:rPr>
          <w:rFonts w:hAnsiTheme="minorEastAsia" w:eastAsiaTheme="minorEastAsia"/>
          <w:sz w:val="24"/>
        </w:rPr>
        <w:t>以新带老</w:t>
      </w:r>
      <w:r>
        <w:rPr>
          <w:rFonts w:eastAsiaTheme="minorEastAsia"/>
          <w:sz w:val="24"/>
        </w:rPr>
        <w:t>”</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）运营期对环境空气、地表水、地下水、声环境、生态、土壤环境产生的影响。</w:t>
      </w:r>
    </w:p>
    <w:p>
      <w:pPr>
        <w:pStyle w:val="3"/>
        <w:spacing w:before="0" w:after="0" w:line="360" w:lineRule="auto"/>
        <w:rPr>
          <w:rFonts w:ascii="Times New Roman" w:hAnsi="Times New Roman" w:eastAsiaTheme="minorEastAsia"/>
          <w:bCs w:val="0"/>
          <w:sz w:val="28"/>
        </w:rPr>
      </w:pPr>
      <w:bookmarkStart w:id="94" w:name="_Toc71551926"/>
      <w:r>
        <w:rPr>
          <w:rFonts w:ascii="Times New Roman" w:hAnsi="Times New Roman" w:eastAsiaTheme="minorEastAsia"/>
          <w:bCs w:val="0"/>
          <w:sz w:val="28"/>
        </w:rPr>
        <w:t>2.7</w:t>
      </w:r>
      <w:r>
        <w:rPr>
          <w:rFonts w:ascii="Times New Roman" w:hAnsiTheme="minorEastAsia" w:eastAsiaTheme="minorEastAsia"/>
          <w:bCs w:val="0"/>
          <w:sz w:val="28"/>
        </w:rPr>
        <w:t>评价范围</w:t>
      </w:r>
      <w:bookmarkEnd w:id="94"/>
    </w:p>
    <w:p>
      <w:pPr>
        <w:pStyle w:val="39"/>
        <w:rPr>
          <w:rFonts w:ascii="Times New Roman" w:hAnsi="Times New Roman" w:eastAsiaTheme="minorEastAsia"/>
          <w:kern w:val="0"/>
        </w:rPr>
      </w:pPr>
      <w:r>
        <w:rPr>
          <w:rFonts w:ascii="Times New Roman" w:hAnsiTheme="minorEastAsia" w:eastAsiaTheme="minorEastAsia"/>
          <w:kern w:val="0"/>
        </w:rPr>
        <w:t>（</w:t>
      </w:r>
      <w:r>
        <w:rPr>
          <w:rFonts w:ascii="Times New Roman" w:hAnsi="Times New Roman" w:eastAsiaTheme="minorEastAsia"/>
          <w:kern w:val="0"/>
        </w:rPr>
        <w:t>1</w:t>
      </w:r>
      <w:r>
        <w:rPr>
          <w:rFonts w:ascii="Times New Roman" w:hAnsiTheme="minorEastAsia" w:eastAsiaTheme="minorEastAsia"/>
          <w:kern w:val="0"/>
        </w:rPr>
        <w:t>）环境空气评价范围</w:t>
      </w:r>
    </w:p>
    <w:p>
      <w:pPr>
        <w:pStyle w:val="39"/>
        <w:rPr>
          <w:rFonts w:ascii="Times New Roman" w:hAnsi="Times New Roman" w:eastAsiaTheme="minorEastAsia"/>
          <w:kern w:val="0"/>
        </w:rPr>
      </w:pPr>
      <w:r>
        <w:rPr>
          <w:rFonts w:ascii="Times New Roman" w:hAnsiTheme="minorEastAsia" w:eastAsiaTheme="minorEastAsia"/>
          <w:kern w:val="0"/>
        </w:rPr>
        <w:t>依据《环境影响评价技术导则》对不同评价级别工作的深度要求，结合本项目大气污染排放特征，该地区主导风向、厂址周围关心点分布以及该地区地形地貌确定本项目的评价范围。</w:t>
      </w:r>
    </w:p>
    <w:p>
      <w:pPr>
        <w:pStyle w:val="39"/>
        <w:rPr>
          <w:rFonts w:ascii="Times New Roman" w:hAnsi="Times New Roman" w:eastAsiaTheme="minorEastAsia"/>
          <w:bCs/>
          <w:kern w:val="0"/>
        </w:rPr>
      </w:pPr>
      <w:r>
        <w:rPr>
          <w:rFonts w:ascii="Times New Roman" w:hAnsiTheme="minorEastAsia" w:eastAsiaTheme="minorEastAsia"/>
          <w:kern w:val="0"/>
        </w:rPr>
        <w:t>本次评价空气环境影响评价范围以工业场地为中心，边长</w:t>
      </w:r>
      <w:r>
        <w:rPr>
          <w:rFonts w:ascii="Times New Roman" w:hAnsi="Times New Roman" w:eastAsiaTheme="minorEastAsia"/>
          <w:kern w:val="0"/>
        </w:rPr>
        <w:t>5.0km</w:t>
      </w:r>
      <w:r>
        <w:rPr>
          <w:rFonts w:ascii="Times New Roman" w:hAnsiTheme="minorEastAsia" w:eastAsiaTheme="minorEastAsia"/>
          <w:kern w:val="0"/>
        </w:rPr>
        <w:t>，共</w:t>
      </w:r>
      <w:r>
        <w:rPr>
          <w:rFonts w:ascii="Times New Roman" w:hAnsi="Times New Roman" w:eastAsiaTheme="minorEastAsia"/>
          <w:kern w:val="0"/>
        </w:rPr>
        <w:t>25km</w:t>
      </w:r>
      <w:r>
        <w:rPr>
          <w:rFonts w:ascii="Times New Roman" w:hAnsi="Times New Roman" w:eastAsiaTheme="minorEastAsia"/>
          <w:kern w:val="0"/>
          <w:vertAlign w:val="superscript"/>
        </w:rPr>
        <w:t>2</w:t>
      </w:r>
      <w:r>
        <w:rPr>
          <w:rFonts w:ascii="Times New Roman" w:hAnsiTheme="minorEastAsia" w:eastAsiaTheme="minorEastAsia"/>
          <w:kern w:val="0"/>
        </w:rPr>
        <w:t>的矩形范围内进行。</w:t>
      </w:r>
    </w:p>
    <w:p>
      <w:pPr>
        <w:pStyle w:val="39"/>
        <w:rPr>
          <w:rFonts w:ascii="Times New Roman" w:hAnsi="Times New Roman" w:eastAsiaTheme="minorEastAsia"/>
          <w:kern w:val="0"/>
        </w:rPr>
      </w:pPr>
      <w:r>
        <w:rPr>
          <w:rFonts w:ascii="Times New Roman" w:hAnsiTheme="minorEastAsia" w:eastAsiaTheme="minorEastAsia"/>
          <w:kern w:val="0"/>
        </w:rPr>
        <w:t>（</w:t>
      </w:r>
      <w:r>
        <w:rPr>
          <w:rFonts w:ascii="Times New Roman" w:hAnsi="Times New Roman" w:eastAsiaTheme="minorEastAsia"/>
          <w:kern w:val="0"/>
        </w:rPr>
        <w:t>2</w:t>
      </w:r>
      <w:r>
        <w:rPr>
          <w:rFonts w:ascii="Times New Roman" w:hAnsiTheme="minorEastAsia" w:eastAsiaTheme="minorEastAsia"/>
          <w:kern w:val="0"/>
        </w:rPr>
        <w:t>）地表水评价</w:t>
      </w:r>
      <w:r>
        <w:rPr>
          <w:rFonts w:ascii="Times New Roman" w:hAnsiTheme="minorEastAsia" w:eastAsiaTheme="minorEastAsia"/>
          <w:bCs/>
          <w:spacing w:val="4"/>
        </w:rPr>
        <w:t>范围</w:t>
      </w:r>
    </w:p>
    <w:p>
      <w:pPr>
        <w:pStyle w:val="39"/>
        <w:ind w:firstLine="496"/>
        <w:rPr>
          <w:rFonts w:eastAsiaTheme="minorEastAsia"/>
          <w:bCs/>
          <w:spacing w:val="4"/>
          <w:kern w:val="0"/>
        </w:rPr>
      </w:pPr>
      <w:r>
        <w:rPr>
          <w:rFonts w:hint="eastAsia" w:eastAsiaTheme="minorEastAsia"/>
          <w:bCs/>
          <w:spacing w:val="4"/>
          <w:kern w:val="0"/>
        </w:rPr>
        <w:t>本项目废水视为间接排放。地表水评价以论证厂区内矿井水和生活污水回用的可行性和保证性。</w:t>
      </w:r>
    </w:p>
    <w:p>
      <w:pPr>
        <w:pStyle w:val="39"/>
        <w:rPr>
          <w:rFonts w:ascii="Times New Roman" w:hAnsi="Times New Roman" w:eastAsiaTheme="minorEastAsia"/>
          <w:kern w:val="0"/>
        </w:rPr>
      </w:pPr>
      <w:r>
        <w:rPr>
          <w:rFonts w:ascii="Times New Roman" w:hAnsiTheme="minorEastAsia" w:eastAsiaTheme="minorEastAsia"/>
        </w:rPr>
        <w:t>（</w:t>
      </w:r>
      <w:r>
        <w:rPr>
          <w:rFonts w:ascii="Times New Roman" w:hAnsi="Times New Roman" w:eastAsiaTheme="minorEastAsia"/>
        </w:rPr>
        <w:t>3</w:t>
      </w:r>
      <w:r>
        <w:rPr>
          <w:rFonts w:ascii="Times New Roman" w:hAnsiTheme="minorEastAsia" w:eastAsiaTheme="minorEastAsia"/>
        </w:rPr>
        <w:t>）</w:t>
      </w:r>
      <w:r>
        <w:rPr>
          <w:rFonts w:ascii="Times New Roman" w:hAnsiTheme="minorEastAsia" w:eastAsiaTheme="minorEastAsia"/>
          <w:kern w:val="0"/>
        </w:rPr>
        <w:t>地下水评价</w:t>
      </w:r>
      <w:r>
        <w:rPr>
          <w:rFonts w:ascii="Times New Roman" w:hAnsiTheme="minorEastAsia" w:eastAsiaTheme="minorEastAsia"/>
          <w:bCs/>
          <w:spacing w:val="4"/>
        </w:rPr>
        <w:t>范围</w:t>
      </w:r>
    </w:p>
    <w:p>
      <w:pPr>
        <w:pStyle w:val="39"/>
        <w:rPr>
          <w:rFonts w:ascii="Times New Roman" w:hAnsiTheme="minorEastAsia"/>
        </w:rPr>
      </w:pPr>
      <w:r>
        <w:rPr>
          <w:rFonts w:hint="eastAsia" w:ascii="Times New Roman" w:hAnsiTheme="minorEastAsia" w:eastAsiaTheme="minorEastAsia"/>
        </w:rPr>
        <w:t>工业场地地下水评价范围：工业场地</w:t>
      </w:r>
      <w:r>
        <w:rPr>
          <w:rFonts w:hint="eastAsia" w:ascii="Times New Roman" w:hAnsiTheme="minorEastAsia"/>
        </w:rPr>
        <w:t>地下水评价范围为</w:t>
      </w:r>
      <w:r>
        <w:rPr>
          <w:rFonts w:hint="eastAsia" w:ascii="Times New Roman" w:hAnsi="Times New Roman"/>
        </w:rPr>
        <w:t>6.0</w:t>
      </w:r>
      <w:r>
        <w:rPr>
          <w:rFonts w:ascii="Times New Roman" w:hAnsi="Times New Roman"/>
        </w:rPr>
        <w:t>km</w:t>
      </w:r>
      <w:r>
        <w:rPr>
          <w:rFonts w:ascii="Times New Roman" w:hAnsi="Times New Roman"/>
          <w:vertAlign w:val="superscript"/>
        </w:rPr>
        <w:t>2</w:t>
      </w:r>
      <w:r>
        <w:rPr>
          <w:rFonts w:hint="eastAsia" w:ascii="Times New Roman" w:hAnsiTheme="minorEastAsia"/>
        </w:rPr>
        <w:t>：以</w:t>
      </w:r>
      <w:r>
        <w:rPr>
          <w:rFonts w:hint="eastAsia" w:ascii="Times New Roman" w:hAnsiTheme="minorEastAsia" w:eastAsiaTheme="minorEastAsia"/>
        </w:rPr>
        <w:t>主工业场地</w:t>
      </w:r>
      <w:r>
        <w:rPr>
          <w:rFonts w:hint="eastAsia" w:ascii="Times New Roman" w:hAnsiTheme="minorEastAsia"/>
        </w:rPr>
        <w:t>为起点，上游</w:t>
      </w:r>
      <w:r>
        <w:rPr>
          <w:rFonts w:ascii="Times New Roman" w:hAnsi="Times New Roman"/>
        </w:rPr>
        <w:t>1</w:t>
      </w:r>
      <w:r>
        <w:rPr>
          <w:rFonts w:hint="eastAsia" w:ascii="Times New Roman" w:hAnsi="Times New Roman"/>
        </w:rPr>
        <w:t>.0</w:t>
      </w:r>
      <w:r>
        <w:rPr>
          <w:rFonts w:ascii="Times New Roman" w:hAnsi="Times New Roman"/>
        </w:rPr>
        <w:t>km</w:t>
      </w:r>
      <w:r>
        <w:rPr>
          <w:rFonts w:hint="eastAsia" w:ascii="Times New Roman" w:hAnsiTheme="minorEastAsia"/>
        </w:rPr>
        <w:t>，下游</w:t>
      </w:r>
      <w:r>
        <w:rPr>
          <w:rFonts w:ascii="Times New Roman" w:hAnsi="Times New Roman"/>
        </w:rPr>
        <w:t>2.0km</w:t>
      </w:r>
      <w:r>
        <w:rPr>
          <w:rFonts w:hint="eastAsia" w:ascii="Times New Roman" w:hAnsiTheme="minorEastAsia"/>
        </w:rPr>
        <w:t>，西侧</w:t>
      </w:r>
      <w:r>
        <w:rPr>
          <w:rFonts w:ascii="Times New Roman" w:hAnsi="Times New Roman"/>
        </w:rPr>
        <w:t>1</w:t>
      </w:r>
      <w:r>
        <w:rPr>
          <w:rFonts w:hint="eastAsia" w:ascii="Times New Roman" w:hAnsi="Times New Roman"/>
        </w:rPr>
        <w:t>.0</w:t>
      </w:r>
      <w:r>
        <w:rPr>
          <w:rFonts w:ascii="Times New Roman" w:hAnsi="Times New Roman"/>
        </w:rPr>
        <w:t>km</w:t>
      </w:r>
      <w:r>
        <w:rPr>
          <w:rFonts w:hint="eastAsia" w:ascii="Times New Roman" w:hAnsiTheme="minorEastAsia"/>
        </w:rPr>
        <w:t>，东侧</w:t>
      </w:r>
      <w:r>
        <w:rPr>
          <w:rFonts w:ascii="Times New Roman" w:hAnsi="Times New Roman"/>
        </w:rPr>
        <w:t>1</w:t>
      </w:r>
      <w:r>
        <w:rPr>
          <w:rFonts w:hint="eastAsia" w:ascii="Times New Roman" w:hAnsi="Times New Roman"/>
        </w:rPr>
        <w:t>.0</w:t>
      </w:r>
      <w:r>
        <w:rPr>
          <w:rFonts w:ascii="Times New Roman" w:hAnsi="Times New Roman"/>
        </w:rPr>
        <w:t>km</w:t>
      </w:r>
      <w:r>
        <w:rPr>
          <w:rFonts w:hint="eastAsia" w:ascii="Times New Roman" w:hAnsiTheme="minorEastAsia"/>
        </w:rPr>
        <w:t>的区域。</w:t>
      </w:r>
    </w:p>
    <w:p>
      <w:pPr>
        <w:pStyle w:val="39"/>
        <w:rPr>
          <w:rFonts w:ascii="Times New Roman" w:hAnsi="Times New Roman" w:eastAsiaTheme="minorEastAsia"/>
        </w:rPr>
      </w:pPr>
      <w:r>
        <w:rPr>
          <w:rFonts w:hint="eastAsia" w:ascii="Times New Roman" w:hAnsiTheme="minorEastAsia" w:eastAsiaTheme="minorEastAsia"/>
        </w:rPr>
        <w:t>煤矿开采地下水评价范围：井田范围</w:t>
      </w:r>
      <w:r>
        <w:rPr>
          <w:rFonts w:ascii="Times New Roman" w:hAnsiTheme="minorEastAsia" w:eastAsiaTheme="minorEastAsia"/>
        </w:rPr>
        <w:t>外扩</w:t>
      </w:r>
      <w:r>
        <w:rPr>
          <w:rFonts w:ascii="Times New Roman" w:hAnsi="Times New Roman" w:eastAsiaTheme="minorEastAsia"/>
        </w:rPr>
        <w:t>500</w:t>
      </w:r>
      <w:r>
        <w:rPr>
          <w:rFonts w:ascii="Times New Roman" w:hAnsiTheme="minorEastAsia" w:eastAsiaTheme="minorEastAsia"/>
        </w:rPr>
        <w:t>米的</w:t>
      </w:r>
      <w:r>
        <w:rPr>
          <w:rFonts w:hint="eastAsia" w:ascii="Times New Roman" w:hAnsiTheme="minorEastAsia" w:eastAsiaTheme="minorEastAsia"/>
        </w:rPr>
        <w:t>区域</w:t>
      </w:r>
      <w:r>
        <w:rPr>
          <w:rFonts w:ascii="Times New Roman" w:hAnsiTheme="minorEastAsia" w:eastAsiaTheme="minorEastAsia"/>
        </w:rPr>
        <w:t>。</w:t>
      </w:r>
    </w:p>
    <w:p>
      <w:pPr>
        <w:pStyle w:val="39"/>
        <w:rPr>
          <w:rFonts w:ascii="Times New Roman" w:hAnsi="Times New Roman" w:eastAsiaTheme="minorEastAsia"/>
          <w:kern w:val="0"/>
        </w:rPr>
      </w:pPr>
      <w:r>
        <w:rPr>
          <w:rFonts w:ascii="Times New Roman" w:hAnsiTheme="minorEastAsia" w:eastAsiaTheme="minorEastAsia"/>
          <w:kern w:val="0"/>
        </w:rPr>
        <w:t>（</w:t>
      </w:r>
      <w:r>
        <w:rPr>
          <w:rFonts w:ascii="Times New Roman" w:hAnsi="Times New Roman" w:eastAsiaTheme="minorEastAsia"/>
          <w:kern w:val="0"/>
        </w:rPr>
        <w:t>4</w:t>
      </w:r>
      <w:r>
        <w:rPr>
          <w:rFonts w:ascii="Times New Roman" w:hAnsiTheme="minorEastAsia" w:eastAsiaTheme="minorEastAsia"/>
          <w:kern w:val="0"/>
        </w:rPr>
        <w:t>）声</w:t>
      </w:r>
      <w:r>
        <w:rPr>
          <w:rFonts w:ascii="Times New Roman" w:hAnsiTheme="minorEastAsia" w:eastAsiaTheme="minorEastAsia"/>
          <w:bCs/>
          <w:spacing w:val="4"/>
        </w:rPr>
        <w:t>环境评价</w:t>
      </w:r>
      <w:r>
        <w:rPr>
          <w:rFonts w:ascii="Times New Roman" w:hAnsiTheme="minorEastAsia" w:eastAsiaTheme="minorEastAsia"/>
          <w:kern w:val="0"/>
        </w:rPr>
        <w:t>范围</w:t>
      </w:r>
    </w:p>
    <w:p>
      <w:pPr>
        <w:pStyle w:val="39"/>
        <w:rPr>
          <w:rFonts w:ascii="Times New Roman" w:hAnsi="Times New Roman" w:eastAsiaTheme="minorEastAsia"/>
        </w:rPr>
      </w:pPr>
      <w:r>
        <w:rPr>
          <w:rFonts w:ascii="Times New Roman" w:hAnsiTheme="minorEastAsia" w:eastAsiaTheme="minorEastAsia"/>
        </w:rPr>
        <w:t>声环境主要预测</w:t>
      </w:r>
      <w:r>
        <w:rPr>
          <w:rFonts w:ascii="Times New Roman" w:hAnsiTheme="minorEastAsia" w:eastAsiaTheme="minorEastAsia"/>
          <w:bCs/>
          <w:spacing w:val="4"/>
        </w:rPr>
        <w:t>评价</w:t>
      </w:r>
      <w:r>
        <w:rPr>
          <w:rFonts w:ascii="Times New Roman" w:hAnsiTheme="minorEastAsia" w:eastAsiaTheme="minorEastAsia"/>
        </w:rPr>
        <w:t>各类噪声设备对工业场地场界和关心点的影响，评价范围为工业场地及风井场地场界外</w:t>
      </w:r>
      <w:r>
        <w:rPr>
          <w:rFonts w:ascii="Times New Roman" w:hAnsi="Times New Roman" w:eastAsiaTheme="minorEastAsia"/>
        </w:rPr>
        <w:t>200m</w:t>
      </w:r>
      <w:r>
        <w:rPr>
          <w:rFonts w:ascii="Times New Roman" w:hAnsiTheme="minorEastAsia" w:eastAsiaTheme="minorEastAsia"/>
        </w:rPr>
        <w:t>内的范围。</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5</w:t>
      </w:r>
      <w:r>
        <w:rPr>
          <w:rFonts w:ascii="Times New Roman" w:hAnsiTheme="minorEastAsia" w:eastAsiaTheme="minorEastAsia"/>
        </w:rPr>
        <w:t>）</w:t>
      </w:r>
      <w:r>
        <w:rPr>
          <w:rFonts w:ascii="Times New Roman" w:hAnsiTheme="minorEastAsia" w:eastAsiaTheme="minorEastAsia"/>
          <w:bCs/>
          <w:spacing w:val="4"/>
        </w:rPr>
        <w:t>生态环境</w:t>
      </w:r>
    </w:p>
    <w:p>
      <w:pPr>
        <w:pStyle w:val="39"/>
        <w:rPr>
          <w:rFonts w:ascii="Times New Roman" w:hAnsi="Times New Roman" w:eastAsiaTheme="minorEastAsia"/>
        </w:rPr>
      </w:pPr>
      <w:r>
        <w:rPr>
          <w:rFonts w:ascii="Times New Roman" w:hAnsiTheme="minorEastAsia" w:eastAsiaTheme="minorEastAsia"/>
        </w:rPr>
        <w:t>开采影响以井田境界为主，并考虑开采影响涉及范围，一般影响到井田边界外</w:t>
      </w:r>
      <w:r>
        <w:rPr>
          <w:rFonts w:ascii="Times New Roman" w:hAnsi="Times New Roman" w:eastAsiaTheme="minorEastAsia"/>
        </w:rPr>
        <w:t>500m</w:t>
      </w:r>
      <w:r>
        <w:rPr>
          <w:rFonts w:ascii="Times New Roman" w:hAnsiTheme="minorEastAsia" w:eastAsiaTheme="minorEastAsia"/>
        </w:rPr>
        <w:t>，因此确定本次生态环境评价范围为井田边界外扩</w:t>
      </w:r>
      <w:r>
        <w:rPr>
          <w:rFonts w:ascii="Times New Roman" w:hAnsi="Times New Roman" w:eastAsiaTheme="minorEastAsia"/>
        </w:rPr>
        <w:t>500</w:t>
      </w:r>
      <w:r>
        <w:rPr>
          <w:rFonts w:ascii="Times New Roman" w:hAnsiTheme="minorEastAsia" w:eastAsiaTheme="minorEastAsia"/>
        </w:rPr>
        <w:t>米。</w:t>
      </w:r>
    </w:p>
    <w:p>
      <w:pPr>
        <w:pStyle w:val="39"/>
        <w:rPr>
          <w:rFonts w:ascii="Times New Roman" w:hAnsi="Times New Roman" w:eastAsiaTheme="minorEastAsia"/>
        </w:rPr>
      </w:pPr>
      <w:r>
        <w:rPr>
          <w:rFonts w:ascii="Times New Roman" w:hAnsiTheme="minorEastAsia" w:eastAsiaTheme="minorEastAsia"/>
        </w:rPr>
        <w:t>本次生态环境影响评价范围与原环评相一致。</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6</w:t>
      </w:r>
      <w:r>
        <w:rPr>
          <w:rFonts w:ascii="Times New Roman" w:hAnsiTheme="minorEastAsia" w:eastAsiaTheme="minorEastAsia"/>
        </w:rPr>
        <w:t>）土壤环境</w:t>
      </w:r>
    </w:p>
    <w:p>
      <w:pPr>
        <w:pStyle w:val="128"/>
        <w:adjustRightInd/>
        <w:spacing w:line="360" w:lineRule="auto"/>
        <w:ind w:firstLine="480"/>
        <w:contextualSpacing w:val="0"/>
        <w:rPr>
          <w:rFonts w:ascii="Times New Roman" w:hAnsi="Times New Roman" w:cs="Times New Roman"/>
        </w:rPr>
      </w:pPr>
      <w:r>
        <w:rPr>
          <w:rFonts w:ascii="Times New Roman" w:hAnsi="Times New Roman" w:cs="Times New Roman"/>
        </w:rPr>
        <w:t>根据《环境影响评价技术导则-土壤环境（试行）》（HJ964-2018），本项目对土壤环境属于</w:t>
      </w:r>
      <w:r>
        <w:rPr>
          <w:rFonts w:hint="eastAsia" w:ascii="Times New Roman" w:hAnsi="Times New Roman" w:cs="Times New Roman"/>
        </w:rPr>
        <w:t>生态影响型和</w:t>
      </w:r>
      <w:r>
        <w:rPr>
          <w:rFonts w:ascii="Times New Roman" w:hAnsi="Times New Roman" w:cs="Times New Roman"/>
        </w:rPr>
        <w:t>污染</w:t>
      </w:r>
      <w:r>
        <w:rPr>
          <w:rFonts w:hint="eastAsia" w:ascii="Times New Roman" w:hAnsi="Times New Roman" w:cs="Times New Roman"/>
        </w:rPr>
        <w:t>影响</w:t>
      </w:r>
      <w:r>
        <w:rPr>
          <w:rFonts w:ascii="Times New Roman" w:hAnsi="Times New Roman" w:cs="Times New Roman"/>
        </w:rPr>
        <w:t>型</w:t>
      </w:r>
      <w:r>
        <w:rPr>
          <w:rFonts w:hint="eastAsia" w:ascii="Times New Roman" w:hAnsi="Times New Roman" w:cs="Times New Roman"/>
        </w:rPr>
        <w:t>两种影响类型的</w:t>
      </w:r>
      <w:r>
        <w:rPr>
          <w:rFonts w:ascii="Times New Roman" w:hAnsi="Times New Roman" w:cs="Times New Roman"/>
        </w:rPr>
        <w:t>项目</w:t>
      </w:r>
      <w:r>
        <w:rPr>
          <w:rFonts w:hint="eastAsia" w:ascii="Times New Roman" w:hAnsi="Times New Roman" w:cs="Times New Roman"/>
        </w:rPr>
        <w:t>。</w:t>
      </w:r>
    </w:p>
    <w:p>
      <w:pPr>
        <w:pStyle w:val="128"/>
        <w:adjustRightInd/>
        <w:spacing w:line="360" w:lineRule="auto"/>
        <w:ind w:firstLine="480"/>
        <w:contextualSpacing w:val="0"/>
        <w:rPr>
          <w:rFonts w:ascii="Times New Roman" w:hAnsi="Times New Roman" w:cs="Times New Roman"/>
        </w:rPr>
      </w:pPr>
      <w:r>
        <w:rPr>
          <w:rFonts w:hint="eastAsia" w:ascii="Times New Roman" w:hAnsi="Times New Roman" w:cs="Times New Roman"/>
        </w:rPr>
        <w:t>污染影响型土壤评价范围：</w:t>
      </w:r>
      <w:r>
        <w:rPr>
          <w:rFonts w:ascii="Times New Roman" w:hAnsi="Times New Roman" w:cs="Times New Roman"/>
        </w:rPr>
        <w:t>项目存在污染的场地主要有储煤场、矿井水处理站、各风井场地生活污水处理站、</w:t>
      </w:r>
      <w:r>
        <w:rPr>
          <w:rFonts w:hint="eastAsia" w:ascii="Times New Roman" w:hAnsi="Times New Roman" w:cs="Times New Roman"/>
        </w:rPr>
        <w:t>矸石临时堆场</w:t>
      </w:r>
      <w:r>
        <w:rPr>
          <w:rFonts w:ascii="Times New Roman" w:hAnsi="Times New Roman" w:cs="Times New Roman"/>
        </w:rPr>
        <w:t>、矿车机修车间等，土壤环境评价范围主要为工业场地和风井场地外扩200m。</w:t>
      </w:r>
    </w:p>
    <w:p>
      <w:pPr>
        <w:pStyle w:val="128"/>
        <w:adjustRightInd/>
        <w:spacing w:line="360" w:lineRule="auto"/>
        <w:ind w:firstLine="480"/>
        <w:contextualSpacing w:val="0"/>
        <w:rPr>
          <w:rFonts w:ascii="Times New Roman" w:hAnsi="Times New Roman" w:cs="Times New Roman"/>
        </w:rPr>
      </w:pPr>
      <w:r>
        <w:rPr>
          <w:rFonts w:hint="eastAsia" w:ascii="Times New Roman" w:hAnsi="Times New Roman" w:cs="Times New Roman"/>
        </w:rPr>
        <w:t>生态影响型土壤评价范围：井田</w:t>
      </w:r>
      <w:r>
        <w:rPr>
          <w:rFonts w:ascii="Times New Roman" w:hAnsi="Times New Roman" w:cs="Times New Roman"/>
        </w:rPr>
        <w:t>所在区域以及区域外扩</w:t>
      </w:r>
      <w:r>
        <w:rPr>
          <w:rFonts w:hint="eastAsia" w:ascii="Times New Roman" w:hAnsi="Times New Roman" w:cs="Times New Roman"/>
        </w:rPr>
        <w:t>1</w:t>
      </w:r>
      <w:r>
        <w:rPr>
          <w:rFonts w:ascii="Times New Roman" w:hAnsi="Times New Roman" w:cs="Times New Roman"/>
        </w:rPr>
        <w:t>00</w:t>
      </w:r>
      <w:r>
        <w:rPr>
          <w:rFonts w:hint="eastAsia" w:ascii="Times New Roman" w:hAnsi="Times New Roman" w:cs="Times New Roman"/>
        </w:rPr>
        <w:t>0</w:t>
      </w:r>
      <w:r>
        <w:rPr>
          <w:rFonts w:ascii="Times New Roman" w:hAnsi="Times New Roman" w:cs="Times New Roman"/>
        </w:rPr>
        <w:t>m范围内。</w:t>
      </w:r>
    </w:p>
    <w:p>
      <w:pPr>
        <w:pStyle w:val="3"/>
        <w:spacing w:before="0" w:after="0" w:line="360" w:lineRule="auto"/>
        <w:rPr>
          <w:rFonts w:ascii="Times New Roman" w:hAnsi="Times New Roman" w:eastAsiaTheme="minorEastAsia"/>
          <w:bCs w:val="0"/>
          <w:sz w:val="28"/>
        </w:rPr>
      </w:pPr>
      <w:bookmarkStart w:id="95" w:name="_Toc285254420"/>
      <w:bookmarkStart w:id="96" w:name="_Toc287816198"/>
      <w:bookmarkStart w:id="97" w:name="_Toc285981760"/>
      <w:bookmarkStart w:id="98" w:name="_Toc351651134"/>
      <w:bookmarkStart w:id="99" w:name="_Toc252263832"/>
      <w:bookmarkStart w:id="100" w:name="_Toc281976420"/>
      <w:bookmarkStart w:id="101" w:name="_Toc480708212"/>
      <w:bookmarkStart w:id="102" w:name="_Toc71551927"/>
      <w:r>
        <w:rPr>
          <w:rFonts w:ascii="Times New Roman" w:hAnsi="Times New Roman" w:eastAsiaTheme="minorEastAsia"/>
          <w:bCs w:val="0"/>
          <w:sz w:val="28"/>
        </w:rPr>
        <w:t>2.</w:t>
      </w:r>
      <w:bookmarkEnd w:id="95"/>
      <w:bookmarkEnd w:id="96"/>
      <w:bookmarkEnd w:id="97"/>
      <w:bookmarkEnd w:id="98"/>
      <w:bookmarkEnd w:id="99"/>
      <w:bookmarkEnd w:id="100"/>
      <w:r>
        <w:rPr>
          <w:rFonts w:ascii="Times New Roman" w:hAnsi="Times New Roman" w:eastAsiaTheme="minorEastAsia"/>
          <w:bCs w:val="0"/>
          <w:sz w:val="28"/>
        </w:rPr>
        <w:t>8</w:t>
      </w:r>
      <w:r>
        <w:rPr>
          <w:rFonts w:ascii="Times New Roman" w:hAnsiTheme="minorEastAsia" w:eastAsiaTheme="minorEastAsia"/>
          <w:bCs w:val="0"/>
          <w:sz w:val="28"/>
        </w:rPr>
        <w:t>环境功能区划</w:t>
      </w:r>
      <w:bookmarkEnd w:id="101"/>
      <w:bookmarkEnd w:id="102"/>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1</w:t>
      </w:r>
      <w:r>
        <w:rPr>
          <w:rFonts w:ascii="Times New Roman" w:hAnsiTheme="minorEastAsia" w:eastAsiaTheme="minorEastAsia"/>
        </w:rPr>
        <w:t>）</w:t>
      </w:r>
      <w:r>
        <w:rPr>
          <w:rFonts w:ascii="Times New Roman" w:hAnsiTheme="minorEastAsia" w:eastAsiaTheme="minorEastAsia"/>
          <w:kern w:val="0"/>
        </w:rPr>
        <w:t>环境空气</w:t>
      </w:r>
    </w:p>
    <w:p>
      <w:pPr>
        <w:pStyle w:val="39"/>
        <w:rPr>
          <w:rFonts w:ascii="Times New Roman" w:hAnsi="Times New Roman" w:eastAsiaTheme="minorEastAsia"/>
          <w:bCs/>
        </w:rPr>
      </w:pPr>
      <w:r>
        <w:rPr>
          <w:rFonts w:ascii="Times New Roman" w:hAnsiTheme="minorEastAsia" w:eastAsiaTheme="minorEastAsia"/>
          <w:bCs/>
        </w:rPr>
        <w:t>根据《</w:t>
      </w:r>
      <w:r>
        <w:rPr>
          <w:rFonts w:ascii="Times New Roman" w:hAnsiTheme="minorEastAsia" w:eastAsiaTheme="minorEastAsia"/>
          <w:kern w:val="0"/>
        </w:rPr>
        <w:t>环境空气质量标准</w:t>
      </w:r>
      <w:r>
        <w:rPr>
          <w:rFonts w:ascii="Times New Roman" w:hAnsiTheme="minorEastAsia" w:eastAsiaTheme="minorEastAsia"/>
          <w:bCs/>
        </w:rPr>
        <w:t>》（</w:t>
      </w:r>
      <w:r>
        <w:rPr>
          <w:rFonts w:ascii="Times New Roman" w:hAnsi="Times New Roman" w:eastAsiaTheme="minorEastAsia"/>
          <w:bCs/>
        </w:rPr>
        <w:t>GB 3095-2012</w:t>
      </w:r>
      <w:r>
        <w:rPr>
          <w:rFonts w:ascii="Times New Roman" w:hAnsiTheme="minorEastAsia" w:eastAsiaTheme="minorEastAsia"/>
          <w:bCs/>
        </w:rPr>
        <w:t>）的环境空气质量功能区分类的规定，本区域属于</w:t>
      </w:r>
      <w:r>
        <w:rPr>
          <w:rFonts w:hint="eastAsia" w:ascii="Times New Roman" w:hAnsi="Times New Roman" w:eastAsiaTheme="minorEastAsia"/>
          <w:bCs/>
        </w:rPr>
        <w:t>“</w:t>
      </w:r>
      <w:r>
        <w:rPr>
          <w:rFonts w:ascii="Times New Roman" w:hAnsiTheme="minorEastAsia" w:eastAsiaTheme="minorEastAsia"/>
          <w:bCs/>
        </w:rPr>
        <w:t>一般工业区、居住区、商业交通居民混合区、文化区和农村地区</w:t>
      </w:r>
      <w:r>
        <w:rPr>
          <w:rFonts w:hint="eastAsia" w:ascii="Times New Roman" w:hAnsi="Times New Roman" w:eastAsiaTheme="minorEastAsia"/>
          <w:bCs/>
        </w:rPr>
        <w:t>”</w:t>
      </w:r>
      <w:r>
        <w:rPr>
          <w:rFonts w:ascii="Times New Roman" w:hAnsiTheme="minorEastAsia" w:eastAsiaTheme="minorEastAsia"/>
          <w:bCs/>
        </w:rPr>
        <w:t>，环境空气质量功能应划分为二类区，执行二级标准。</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2</w:t>
      </w:r>
      <w:r>
        <w:rPr>
          <w:rFonts w:ascii="Times New Roman" w:hAnsiTheme="minorEastAsia" w:eastAsiaTheme="minorEastAsia"/>
        </w:rPr>
        <w:t>）水环境</w:t>
      </w:r>
    </w:p>
    <w:p>
      <w:pPr>
        <w:pStyle w:val="39"/>
        <w:rPr>
          <w:rFonts w:ascii="Times New Roman" w:hAnsi="Times New Roman"/>
        </w:rPr>
      </w:pPr>
      <w:r>
        <w:rPr>
          <w:rFonts w:hint="eastAsia" w:ascii="Times New Roman" w:hAnsiTheme="minorEastAsia" w:eastAsiaTheme="minorEastAsia"/>
        </w:rPr>
        <w:t>根据《山西省地表水水环境功能区划》（</w:t>
      </w:r>
      <w:r>
        <w:rPr>
          <w:rFonts w:ascii="Times New Roman" w:hAnsiTheme="minorEastAsia" w:eastAsiaTheme="minorEastAsia"/>
        </w:rPr>
        <w:t>DB14/67 -2019</w:t>
      </w:r>
      <w:r>
        <w:rPr>
          <w:rFonts w:hint="eastAsia" w:ascii="Times New Roman" w:hAnsiTheme="minorEastAsia" w:eastAsiaTheme="minorEastAsia"/>
        </w:rPr>
        <w:t>），</w:t>
      </w:r>
      <w:r>
        <w:rPr>
          <w:rFonts w:hint="eastAsia" w:eastAsiaTheme="minorEastAsia"/>
        </w:rPr>
        <w:t>本项目属</w:t>
      </w:r>
      <w:r>
        <w:rPr>
          <w:rFonts w:eastAsiaTheme="minorEastAsia"/>
        </w:rPr>
        <w:t>“</w:t>
      </w:r>
      <w:r>
        <w:rPr>
          <w:rFonts w:hint="eastAsia" w:eastAsiaTheme="minorEastAsia"/>
        </w:rPr>
        <w:t>湫水河东会</w:t>
      </w:r>
      <w:r>
        <w:rPr>
          <w:rFonts w:eastAsiaTheme="minorEastAsia"/>
        </w:rPr>
        <w:t>-</w:t>
      </w:r>
      <w:r>
        <w:rPr>
          <w:rFonts w:hint="eastAsia" w:eastAsiaTheme="minorEastAsia"/>
        </w:rPr>
        <w:t>入黄河</w:t>
      </w:r>
      <w:r>
        <w:rPr>
          <w:rFonts w:eastAsiaTheme="minorEastAsia"/>
        </w:rPr>
        <w:t>”</w:t>
      </w:r>
      <w:r>
        <w:rPr>
          <w:rFonts w:hint="eastAsia" w:eastAsiaTheme="minorEastAsia"/>
        </w:rPr>
        <w:t>段，</w:t>
      </w:r>
      <w:r>
        <w:rPr>
          <w:rFonts w:hint="eastAsia" w:ascii="Times New Roman" w:hAnsi="Times New Roman" w:eastAsiaTheme="minorEastAsia"/>
        </w:rPr>
        <w:t>水环境功能为“农业与一般景观水保护”，水质执行《地表水环境质量标准》（</w:t>
      </w:r>
      <w:r>
        <w:rPr>
          <w:rFonts w:ascii="Times New Roman" w:hAnsi="Times New Roman" w:eastAsiaTheme="minorEastAsia"/>
        </w:rPr>
        <w:t>GB3838-2002</w:t>
      </w:r>
      <w:r>
        <w:rPr>
          <w:rFonts w:hint="eastAsia" w:ascii="Times New Roman" w:hAnsi="Times New Roman" w:eastAsiaTheme="minorEastAsia"/>
        </w:rPr>
        <w:t>）中的</w:t>
      </w:r>
      <w:r>
        <w:rPr>
          <w:rFonts w:hint="eastAsia" w:cs="宋体"/>
        </w:rPr>
        <w:t>Ⅳ</w:t>
      </w:r>
      <w:r>
        <w:rPr>
          <w:rFonts w:hint="eastAsia" w:ascii="Times New Roman" w:hAnsi="Times New Roman" w:eastAsiaTheme="minorEastAsia"/>
        </w:rPr>
        <w:t>类标准。</w:t>
      </w:r>
      <w:r>
        <w:rPr>
          <w:rFonts w:hint="eastAsia" w:ascii="Times New Roman" w:hAnsi="Times New Roman"/>
        </w:rPr>
        <w:t>因此本项目地表水执行《地表水环境质量标准》（</w:t>
      </w:r>
      <w:r>
        <w:rPr>
          <w:rFonts w:ascii="Times New Roman" w:hAnsi="Times New Roman"/>
        </w:rPr>
        <w:t>GB3838-2002</w:t>
      </w:r>
      <w:r>
        <w:rPr>
          <w:rFonts w:hint="eastAsia" w:ascii="Times New Roman" w:hAnsi="Times New Roman"/>
        </w:rPr>
        <w:t>）</w:t>
      </w:r>
      <w:r>
        <w:rPr>
          <w:rFonts w:hint="eastAsia" w:cs="宋体"/>
        </w:rPr>
        <w:t>Ⅳ</w:t>
      </w:r>
      <w:r>
        <w:rPr>
          <w:rFonts w:hint="eastAsia" w:ascii="Times New Roman" w:hAnsi="Times New Roman" w:eastAsiaTheme="minorEastAsia"/>
        </w:rPr>
        <w:t>类</w:t>
      </w:r>
      <w:r>
        <w:rPr>
          <w:rFonts w:hint="eastAsia" w:ascii="Times New Roman" w:hAnsi="Times New Roman"/>
        </w:rPr>
        <w:t>水质标准。</w:t>
      </w:r>
    </w:p>
    <w:p>
      <w:pPr>
        <w:pStyle w:val="39"/>
        <w:rPr>
          <w:rFonts w:ascii="Times New Roman" w:hAnsi="Times New Roman" w:eastAsiaTheme="minorEastAsia"/>
          <w:bCs/>
        </w:rPr>
      </w:pPr>
      <w:r>
        <w:rPr>
          <w:rFonts w:ascii="Times New Roman" w:hAnsiTheme="minorEastAsia" w:eastAsiaTheme="minorEastAsia"/>
          <w:bCs/>
        </w:rPr>
        <w:t>根据《地下水质量标准》（</w:t>
      </w:r>
      <w:r>
        <w:rPr>
          <w:rFonts w:ascii="Times New Roman" w:hAnsi="Times New Roman" w:eastAsiaTheme="minorEastAsia"/>
          <w:bCs/>
        </w:rPr>
        <w:t>GB/T14848-2017</w:t>
      </w:r>
      <w:r>
        <w:rPr>
          <w:rFonts w:ascii="Times New Roman" w:hAnsiTheme="minorEastAsia" w:eastAsiaTheme="minorEastAsia"/>
          <w:bCs/>
        </w:rPr>
        <w:t>）中地下水的分类要求：</w:t>
      </w:r>
      <w:r>
        <w:rPr>
          <w:rFonts w:ascii="Times New Roman" w:hAnsi="Times New Roman" w:eastAsiaTheme="minorEastAsia"/>
          <w:bCs/>
        </w:rPr>
        <w:t>“</w:t>
      </w:r>
      <w:r>
        <w:rPr>
          <w:rFonts w:ascii="Times New Roman" w:hAnsiTheme="minorEastAsia" w:eastAsiaTheme="minorEastAsia"/>
          <w:bCs/>
        </w:rPr>
        <w:t>以人体健康基准值为依据，</w:t>
      </w:r>
      <w:r>
        <w:rPr>
          <w:rFonts w:ascii="Times New Roman" w:hAnsiTheme="minorEastAsia" w:eastAsiaTheme="minorEastAsia"/>
          <w:kern w:val="0"/>
        </w:rPr>
        <w:t>主要适用于集中式生活饮用水水源及工业用水</w:t>
      </w:r>
      <w:r>
        <w:rPr>
          <w:rFonts w:ascii="Times New Roman" w:hAnsi="Times New Roman" w:eastAsiaTheme="minorEastAsia"/>
          <w:bCs/>
        </w:rPr>
        <w:t>”</w:t>
      </w:r>
      <w:r>
        <w:rPr>
          <w:rFonts w:ascii="Times New Roman" w:hAnsiTheme="minorEastAsia" w:eastAsiaTheme="minorEastAsia"/>
          <w:bCs/>
        </w:rPr>
        <w:t>，本区域地下水应</w:t>
      </w:r>
      <w:r>
        <w:rPr>
          <w:rFonts w:ascii="Times New Roman" w:hAnsiTheme="minorEastAsia" w:eastAsiaTheme="minorEastAsia"/>
        </w:rPr>
        <w:t>执行Ⅲ类标准。</w:t>
      </w:r>
    </w:p>
    <w:p>
      <w:pPr>
        <w:pStyle w:val="39"/>
        <w:rPr>
          <w:rFonts w:ascii="Times New Roman" w:hAnsi="Times New Roman" w:eastAsiaTheme="minorEastAsia"/>
        </w:rPr>
      </w:pPr>
      <w:r>
        <w:rPr>
          <w:rFonts w:ascii="Times New Roman" w:hAnsiTheme="minorEastAsia" w:eastAsiaTheme="minorEastAsia"/>
        </w:rPr>
        <w:t>（</w:t>
      </w:r>
      <w:r>
        <w:rPr>
          <w:rFonts w:ascii="Times New Roman" w:hAnsi="Times New Roman" w:eastAsiaTheme="minorEastAsia"/>
        </w:rPr>
        <w:t>3</w:t>
      </w:r>
      <w:r>
        <w:rPr>
          <w:rFonts w:ascii="Times New Roman" w:hAnsiTheme="minorEastAsia" w:eastAsiaTheme="minorEastAsia"/>
        </w:rPr>
        <w:t>）</w:t>
      </w:r>
      <w:r>
        <w:rPr>
          <w:rFonts w:ascii="Times New Roman" w:hAnsiTheme="minorEastAsia" w:eastAsiaTheme="minorEastAsia"/>
          <w:kern w:val="0"/>
        </w:rPr>
        <w:t>声环境</w:t>
      </w:r>
    </w:p>
    <w:p>
      <w:pPr>
        <w:pStyle w:val="39"/>
        <w:rPr>
          <w:rFonts w:ascii="Times New Roman" w:hAnsi="Times New Roman" w:eastAsiaTheme="minorEastAsia"/>
          <w:bCs/>
        </w:rPr>
      </w:pPr>
      <w:r>
        <w:rPr>
          <w:rFonts w:ascii="Times New Roman" w:hAnsiTheme="minorEastAsia" w:eastAsiaTheme="minorEastAsia"/>
          <w:bCs/>
        </w:rPr>
        <w:t>按照《</w:t>
      </w:r>
      <w:r>
        <w:rPr>
          <w:rFonts w:ascii="Times New Roman" w:hAnsiTheme="minorEastAsia" w:eastAsiaTheme="minorEastAsia"/>
          <w:kern w:val="0"/>
        </w:rPr>
        <w:t>声环境质量标准</w:t>
      </w:r>
      <w:r>
        <w:rPr>
          <w:rFonts w:ascii="Times New Roman" w:hAnsiTheme="minorEastAsia" w:eastAsiaTheme="minorEastAsia"/>
          <w:bCs/>
        </w:rPr>
        <w:t>》（</w:t>
      </w:r>
      <w:r>
        <w:rPr>
          <w:rFonts w:ascii="Times New Roman" w:hAnsi="Times New Roman" w:eastAsiaTheme="minorEastAsia"/>
          <w:bCs/>
        </w:rPr>
        <w:t>GB 3096-2008</w:t>
      </w:r>
      <w:r>
        <w:rPr>
          <w:rFonts w:ascii="Times New Roman" w:hAnsiTheme="minorEastAsia" w:eastAsiaTheme="minorEastAsia"/>
          <w:bCs/>
        </w:rPr>
        <w:t>）</w:t>
      </w:r>
      <w:r>
        <w:rPr>
          <w:rFonts w:ascii="Times New Roman" w:hAnsi="Times New Roman" w:eastAsiaTheme="minorEastAsia"/>
          <w:bCs/>
        </w:rPr>
        <w:t>“</w:t>
      </w:r>
      <w:r>
        <w:rPr>
          <w:rFonts w:ascii="Times New Roman" w:hAnsiTheme="minorEastAsia" w:eastAsiaTheme="minorEastAsia"/>
          <w:bCs/>
        </w:rPr>
        <w:t>村庄原则上执行</w:t>
      </w:r>
      <w:r>
        <w:rPr>
          <w:rFonts w:ascii="Times New Roman" w:hAnsi="Times New Roman" w:eastAsiaTheme="minorEastAsia"/>
          <w:bCs/>
        </w:rPr>
        <w:t>1</w:t>
      </w:r>
      <w:r>
        <w:rPr>
          <w:rFonts w:ascii="Times New Roman" w:hAnsiTheme="minorEastAsia" w:eastAsiaTheme="minorEastAsia"/>
          <w:bCs/>
        </w:rPr>
        <w:t>类声环境功能区要求，工业活动较多的村庄以及有交通干线经过的村庄（指执行</w:t>
      </w:r>
      <w:r>
        <w:rPr>
          <w:rFonts w:ascii="Times New Roman" w:hAnsi="Times New Roman" w:eastAsiaTheme="minorEastAsia"/>
          <w:bCs/>
        </w:rPr>
        <w:t>4</w:t>
      </w:r>
      <w:r>
        <w:rPr>
          <w:rFonts w:ascii="Times New Roman" w:hAnsiTheme="minorEastAsia" w:eastAsiaTheme="minorEastAsia"/>
          <w:bCs/>
        </w:rPr>
        <w:t>类声环境功能区要求以外的地区）可局部或全部执行</w:t>
      </w:r>
      <w:r>
        <w:rPr>
          <w:rFonts w:ascii="Times New Roman" w:hAnsi="Times New Roman" w:eastAsiaTheme="minorEastAsia"/>
          <w:bCs/>
        </w:rPr>
        <w:t>2</w:t>
      </w:r>
      <w:r>
        <w:rPr>
          <w:rFonts w:ascii="Times New Roman" w:hAnsiTheme="minorEastAsia" w:eastAsiaTheme="minorEastAsia"/>
          <w:bCs/>
        </w:rPr>
        <w:t>类声环境功能区要求</w:t>
      </w:r>
      <w:r>
        <w:rPr>
          <w:rFonts w:ascii="Times New Roman" w:hAnsi="Times New Roman" w:eastAsiaTheme="minorEastAsia"/>
          <w:bCs/>
        </w:rPr>
        <w:t>”</w:t>
      </w:r>
      <w:r>
        <w:rPr>
          <w:rFonts w:ascii="Times New Roman" w:hAnsiTheme="minorEastAsia" w:eastAsiaTheme="minorEastAsia"/>
          <w:bCs/>
        </w:rPr>
        <w:t>，工业场地执行</w:t>
      </w:r>
      <w:r>
        <w:rPr>
          <w:rFonts w:ascii="Times New Roman" w:hAnsi="Times New Roman" w:eastAsiaTheme="minorEastAsia"/>
          <w:bCs/>
        </w:rPr>
        <w:t>2</w:t>
      </w:r>
      <w:r>
        <w:rPr>
          <w:rFonts w:ascii="Times New Roman" w:hAnsiTheme="minorEastAsia" w:eastAsiaTheme="minorEastAsia"/>
          <w:bCs/>
        </w:rPr>
        <w:t>类标准值，村庄执行</w:t>
      </w:r>
      <w:r>
        <w:rPr>
          <w:rFonts w:ascii="Times New Roman" w:hAnsi="Times New Roman" w:eastAsiaTheme="minorEastAsia"/>
          <w:bCs/>
        </w:rPr>
        <w:t>1</w:t>
      </w:r>
      <w:r>
        <w:rPr>
          <w:rFonts w:ascii="Times New Roman" w:hAnsiTheme="minorEastAsia" w:eastAsiaTheme="minorEastAsia"/>
          <w:bCs/>
        </w:rPr>
        <w:t>类标准值。</w:t>
      </w:r>
    </w:p>
    <w:p>
      <w:pPr>
        <w:pStyle w:val="39"/>
        <w:rPr>
          <w:rFonts w:ascii="Times New Roman" w:hAnsi="Times New Roman" w:eastAsiaTheme="minorEastAsia"/>
        </w:rPr>
      </w:pPr>
      <w:bookmarkStart w:id="103" w:name="_Toc221525379"/>
      <w:bookmarkStart w:id="104" w:name="_Toc213838175"/>
      <w:r>
        <w:rPr>
          <w:rFonts w:ascii="Times New Roman" w:hAnsiTheme="minorEastAsia" w:eastAsiaTheme="minorEastAsia"/>
        </w:rPr>
        <w:t>（</w:t>
      </w:r>
      <w:r>
        <w:rPr>
          <w:rFonts w:ascii="Times New Roman" w:hAnsi="Times New Roman" w:eastAsiaTheme="minorEastAsia"/>
        </w:rPr>
        <w:t>4</w:t>
      </w:r>
      <w:r>
        <w:rPr>
          <w:rFonts w:ascii="Times New Roman" w:hAnsiTheme="minorEastAsia" w:eastAsiaTheme="minorEastAsia"/>
        </w:rPr>
        <w:t>）</w:t>
      </w:r>
      <w:r>
        <w:rPr>
          <w:rFonts w:ascii="Times New Roman" w:hAnsiTheme="minorEastAsia" w:eastAsiaTheme="minorEastAsia"/>
          <w:kern w:val="0"/>
        </w:rPr>
        <w:t>生态环境</w:t>
      </w:r>
      <w:bookmarkEnd w:id="103"/>
      <w:bookmarkEnd w:id="104"/>
    </w:p>
    <w:p>
      <w:pPr>
        <w:pStyle w:val="39"/>
        <w:rPr>
          <w:rFonts w:ascii="Times New Roman" w:hAnsi="Times New Roman" w:eastAsiaTheme="minorEastAsia"/>
          <w:bCs/>
        </w:rPr>
      </w:pPr>
      <w:r>
        <w:rPr>
          <w:rFonts w:ascii="Times New Roman" w:hAnsiTheme="minorEastAsia" w:eastAsiaTheme="minorEastAsia"/>
          <w:kern w:val="0"/>
        </w:rPr>
        <w:t>矿区植被覆盖绿化率一般</w:t>
      </w:r>
      <w:r>
        <w:rPr>
          <w:rFonts w:ascii="Times New Roman" w:hAnsiTheme="minorEastAsia" w:eastAsiaTheme="minorEastAsia"/>
          <w:bCs/>
        </w:rPr>
        <w:t>，重点考虑对区域植被的保护及农业生态环境的保护。</w:t>
      </w:r>
    </w:p>
    <w:p>
      <w:pPr>
        <w:pStyle w:val="3"/>
        <w:spacing w:before="0" w:after="0" w:line="360" w:lineRule="auto"/>
        <w:rPr>
          <w:rFonts w:ascii="Times New Roman" w:hAnsi="Times New Roman" w:eastAsiaTheme="minorEastAsia"/>
          <w:bCs w:val="0"/>
          <w:sz w:val="28"/>
        </w:rPr>
      </w:pPr>
      <w:bookmarkStart w:id="105" w:name="_Toc71551928"/>
      <w:bookmarkStart w:id="106" w:name="_Toc480708213"/>
      <w:r>
        <w:rPr>
          <w:rFonts w:ascii="Times New Roman" w:hAnsi="Times New Roman" w:eastAsiaTheme="minorEastAsia"/>
          <w:bCs w:val="0"/>
          <w:sz w:val="28"/>
        </w:rPr>
        <w:t>2.9</w:t>
      </w:r>
      <w:r>
        <w:rPr>
          <w:rFonts w:ascii="Times New Roman" w:hAnsiTheme="minorEastAsia" w:eastAsiaTheme="minorEastAsia"/>
          <w:bCs w:val="0"/>
          <w:sz w:val="28"/>
        </w:rPr>
        <w:t>环境保护目标</w:t>
      </w:r>
      <w:bookmarkEnd w:id="105"/>
      <w:bookmarkEnd w:id="106"/>
    </w:p>
    <w:p>
      <w:pPr>
        <w:spacing w:line="360" w:lineRule="auto"/>
        <w:ind w:firstLine="480" w:firstLineChars="200"/>
        <w:rPr>
          <w:rFonts w:eastAsiaTheme="minorEastAsia"/>
          <w:sz w:val="24"/>
        </w:rPr>
      </w:pPr>
      <w:bookmarkStart w:id="107" w:name="_Toc225155086"/>
      <w:bookmarkStart w:id="108" w:name="_Toc168481435"/>
      <w:r>
        <w:rPr>
          <w:rFonts w:hAnsiTheme="minorEastAsia" w:eastAsiaTheme="minorEastAsia"/>
          <w:sz w:val="24"/>
        </w:rPr>
        <w:t>（</w:t>
      </w:r>
      <w:r>
        <w:rPr>
          <w:rFonts w:eastAsiaTheme="minorEastAsia"/>
          <w:sz w:val="24"/>
        </w:rPr>
        <w:t>1</w:t>
      </w:r>
      <w:r>
        <w:rPr>
          <w:rFonts w:hAnsiTheme="minorEastAsia" w:eastAsiaTheme="minorEastAsia"/>
          <w:sz w:val="24"/>
        </w:rPr>
        <w:t>）环境空气保护对象</w:t>
      </w:r>
    </w:p>
    <w:p>
      <w:pPr>
        <w:spacing w:line="360" w:lineRule="auto"/>
        <w:ind w:firstLine="480" w:firstLineChars="200"/>
        <w:rPr>
          <w:rFonts w:eastAsiaTheme="minorEastAsia"/>
          <w:sz w:val="24"/>
        </w:rPr>
      </w:pPr>
      <w:r>
        <w:rPr>
          <w:rFonts w:hAnsiTheme="minorEastAsia" w:eastAsiaTheme="minorEastAsia"/>
          <w:sz w:val="24"/>
        </w:rPr>
        <w:t>工业场地附近</w:t>
      </w:r>
      <w:r>
        <w:rPr>
          <w:rFonts w:hint="eastAsia" w:hAnsiTheme="minorEastAsia" w:eastAsiaTheme="minorEastAsia"/>
          <w:sz w:val="24"/>
        </w:rPr>
        <w:t>2.5km范围内的</w:t>
      </w:r>
      <w:r>
        <w:rPr>
          <w:rFonts w:hAnsiTheme="minorEastAsia" w:eastAsiaTheme="minorEastAsia"/>
          <w:sz w:val="24"/>
        </w:rPr>
        <w:t>村庄。</w:t>
      </w:r>
      <w:bookmarkEnd w:id="107"/>
    </w:p>
    <w:p>
      <w:pPr>
        <w:spacing w:line="360" w:lineRule="auto"/>
        <w:ind w:firstLine="436" w:firstLineChars="182"/>
        <w:rPr>
          <w:rFonts w:eastAsiaTheme="minorEastAsia"/>
          <w:sz w:val="24"/>
        </w:rPr>
      </w:pPr>
      <w:bookmarkStart w:id="109" w:name="_Toc225155087"/>
      <w:r>
        <w:rPr>
          <w:rFonts w:hAnsiTheme="minorEastAsia" w:eastAsiaTheme="minorEastAsia"/>
          <w:sz w:val="24"/>
        </w:rPr>
        <w:t>（</w:t>
      </w:r>
      <w:r>
        <w:rPr>
          <w:rFonts w:eastAsiaTheme="minorEastAsia"/>
          <w:sz w:val="24"/>
        </w:rPr>
        <w:t>2</w:t>
      </w:r>
      <w:r>
        <w:rPr>
          <w:rFonts w:hAnsiTheme="minorEastAsia" w:eastAsiaTheme="minorEastAsia"/>
          <w:sz w:val="24"/>
        </w:rPr>
        <w:t>）水环境保护对象</w:t>
      </w:r>
      <w:bookmarkEnd w:id="109"/>
    </w:p>
    <w:p>
      <w:pPr>
        <w:spacing w:line="360" w:lineRule="auto"/>
        <w:ind w:firstLine="480" w:firstLineChars="200"/>
        <w:rPr>
          <w:rFonts w:hAnsiTheme="minorEastAsia" w:eastAsiaTheme="minorEastAsia"/>
          <w:sz w:val="24"/>
        </w:rPr>
      </w:pPr>
      <w:bookmarkStart w:id="110" w:name="_Toc225155088"/>
      <w:r>
        <w:rPr>
          <w:rFonts w:hAnsiTheme="minorEastAsia" w:eastAsiaTheme="minorEastAsia"/>
          <w:sz w:val="24"/>
        </w:rPr>
        <w:t>地表水：</w:t>
      </w:r>
      <w:r>
        <w:rPr>
          <w:rFonts w:hint="eastAsia" w:hAnsiTheme="minorEastAsia" w:eastAsiaTheme="minorEastAsia"/>
          <w:sz w:val="24"/>
        </w:rPr>
        <w:t>湫水河</w:t>
      </w:r>
    </w:p>
    <w:p>
      <w:pPr>
        <w:spacing w:line="360" w:lineRule="auto"/>
        <w:ind w:firstLine="480" w:firstLineChars="200"/>
        <w:rPr>
          <w:rFonts w:eastAsiaTheme="minorEastAsia"/>
          <w:sz w:val="24"/>
        </w:rPr>
      </w:pPr>
      <w:r>
        <w:rPr>
          <w:rFonts w:hAnsiTheme="minorEastAsia" w:eastAsiaTheme="minorEastAsia"/>
          <w:sz w:val="24"/>
        </w:rPr>
        <w:t>地下水：</w:t>
      </w:r>
      <w:bookmarkEnd w:id="110"/>
      <w:r>
        <w:rPr>
          <w:rFonts w:hint="eastAsia" w:hAnsi="宋体"/>
          <w:sz w:val="24"/>
        </w:rPr>
        <w:t>评价范围内浅层地下水</w:t>
      </w:r>
      <w:r>
        <w:rPr>
          <w:rFonts w:hAnsiTheme="minorEastAsia" w:eastAsiaTheme="minorEastAsia"/>
          <w:sz w:val="24"/>
        </w:rPr>
        <w:t>。</w:t>
      </w:r>
    </w:p>
    <w:p>
      <w:pPr>
        <w:spacing w:line="360" w:lineRule="auto"/>
        <w:ind w:firstLine="480" w:firstLineChars="200"/>
        <w:rPr>
          <w:rFonts w:eastAsiaTheme="minorEastAsia"/>
          <w:sz w:val="24"/>
        </w:rPr>
      </w:pPr>
      <w:bookmarkStart w:id="111" w:name="_Toc225155089"/>
      <w:r>
        <w:rPr>
          <w:rFonts w:hAnsiTheme="minorEastAsia" w:eastAsiaTheme="minorEastAsia"/>
          <w:sz w:val="24"/>
        </w:rPr>
        <w:t>（</w:t>
      </w:r>
      <w:r>
        <w:rPr>
          <w:rFonts w:eastAsiaTheme="minorEastAsia"/>
          <w:sz w:val="24"/>
        </w:rPr>
        <w:t>3</w:t>
      </w:r>
      <w:r>
        <w:rPr>
          <w:rFonts w:hAnsiTheme="minorEastAsia" w:eastAsiaTheme="minorEastAsia"/>
          <w:sz w:val="24"/>
        </w:rPr>
        <w:t>）生态环境保护对象</w:t>
      </w:r>
      <w:bookmarkEnd w:id="111"/>
    </w:p>
    <w:p>
      <w:pPr>
        <w:spacing w:line="360" w:lineRule="auto"/>
        <w:ind w:firstLine="480" w:firstLineChars="200"/>
        <w:rPr>
          <w:rFonts w:eastAsiaTheme="minorEastAsia"/>
          <w:sz w:val="24"/>
        </w:rPr>
      </w:pPr>
      <w:bookmarkStart w:id="112" w:name="_Toc225155090"/>
      <w:r>
        <w:rPr>
          <w:rFonts w:hAnsiTheme="minorEastAsia" w:eastAsiaTheme="minorEastAsia"/>
          <w:sz w:val="24"/>
        </w:rPr>
        <w:t>评价区内村庄、农田、重要设施（矿井生产、生活设施以及交通道路）周围地区等。</w:t>
      </w:r>
      <w:bookmarkEnd w:id="112"/>
    </w:p>
    <w:p>
      <w:pPr>
        <w:spacing w:line="360" w:lineRule="auto"/>
        <w:ind w:firstLine="480" w:firstLineChars="200"/>
        <w:rPr>
          <w:rFonts w:eastAsiaTheme="minorEastAsia"/>
          <w:sz w:val="24"/>
        </w:rPr>
      </w:pPr>
      <w:bookmarkStart w:id="113" w:name="_Toc225155091"/>
      <w:r>
        <w:rPr>
          <w:rFonts w:hAnsiTheme="minorEastAsia" w:eastAsiaTheme="minorEastAsia"/>
          <w:sz w:val="24"/>
        </w:rPr>
        <w:t>（</w:t>
      </w:r>
      <w:r>
        <w:rPr>
          <w:rFonts w:eastAsiaTheme="minorEastAsia"/>
          <w:sz w:val="24"/>
        </w:rPr>
        <w:t>4</w:t>
      </w:r>
      <w:r>
        <w:rPr>
          <w:rFonts w:hAnsiTheme="minorEastAsia" w:eastAsiaTheme="minorEastAsia"/>
          <w:sz w:val="24"/>
        </w:rPr>
        <w:t>）声环境保护对象</w:t>
      </w:r>
      <w:bookmarkEnd w:id="113"/>
    </w:p>
    <w:p>
      <w:pPr>
        <w:spacing w:line="360" w:lineRule="auto"/>
        <w:ind w:firstLine="480" w:firstLineChars="200"/>
        <w:rPr>
          <w:rFonts w:hAnsiTheme="minorEastAsia" w:eastAsiaTheme="minorEastAsia"/>
          <w:sz w:val="24"/>
        </w:rPr>
      </w:pPr>
      <w:bookmarkStart w:id="114" w:name="_Toc225155092"/>
      <w:r>
        <w:rPr>
          <w:rFonts w:hint="eastAsia" w:hAnsiTheme="minorEastAsia" w:eastAsiaTheme="minorEastAsia"/>
          <w:sz w:val="24"/>
        </w:rPr>
        <w:t>矿井工业场地</w:t>
      </w:r>
      <w:bookmarkEnd w:id="114"/>
      <w:r>
        <w:rPr>
          <w:rFonts w:hint="eastAsia" w:hAnsiTheme="minorEastAsia" w:eastAsiaTheme="minorEastAsia"/>
          <w:sz w:val="24"/>
        </w:rPr>
        <w:t>、风井场地</w:t>
      </w:r>
      <w:r>
        <w:rPr>
          <w:rFonts w:hAnsiTheme="minorEastAsia" w:eastAsiaTheme="minorEastAsia"/>
          <w:sz w:val="24"/>
        </w:rPr>
        <w:t>200</w:t>
      </w:r>
      <w:r>
        <w:rPr>
          <w:rFonts w:hint="eastAsia" w:hAnsiTheme="minorEastAsia" w:eastAsiaTheme="minorEastAsia"/>
          <w:sz w:val="24"/>
        </w:rPr>
        <w:t>米范围内声环境敏感目标。</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）土壤环境保护对象</w:t>
      </w:r>
    </w:p>
    <w:p>
      <w:pPr>
        <w:spacing w:line="360" w:lineRule="auto"/>
        <w:ind w:firstLine="480" w:firstLineChars="200"/>
        <w:rPr>
          <w:rFonts w:eastAsiaTheme="minorEastAsia"/>
          <w:sz w:val="24"/>
        </w:rPr>
      </w:pPr>
      <w:r>
        <w:rPr>
          <w:rFonts w:hAnsiTheme="minorEastAsia" w:eastAsiaTheme="minorEastAsia"/>
          <w:sz w:val="24"/>
        </w:rPr>
        <w:t>工业广场周围</w:t>
      </w:r>
      <w:r>
        <w:rPr>
          <w:rFonts w:eastAsiaTheme="minorEastAsia"/>
          <w:sz w:val="24"/>
        </w:rPr>
        <w:t>200m</w:t>
      </w:r>
      <w:r>
        <w:rPr>
          <w:rFonts w:hAnsiTheme="minorEastAsia" w:eastAsiaTheme="minorEastAsia"/>
          <w:sz w:val="24"/>
        </w:rPr>
        <w:t>范围内土壤</w:t>
      </w:r>
      <w:r>
        <w:rPr>
          <w:rFonts w:hint="eastAsia" w:hAnsiTheme="minorEastAsia" w:eastAsiaTheme="minorEastAsia"/>
          <w:sz w:val="24"/>
        </w:rPr>
        <w:t>、井田周围1</w:t>
      </w:r>
      <w:r>
        <w:rPr>
          <w:rFonts w:eastAsiaTheme="minorEastAsia"/>
          <w:sz w:val="24"/>
        </w:rPr>
        <w:t>00</w:t>
      </w:r>
      <w:r>
        <w:rPr>
          <w:rFonts w:hint="eastAsia" w:eastAsiaTheme="minorEastAsia"/>
          <w:sz w:val="24"/>
        </w:rPr>
        <w:t>0</w:t>
      </w:r>
      <w:r>
        <w:rPr>
          <w:rFonts w:eastAsiaTheme="minorEastAsia"/>
          <w:sz w:val="24"/>
        </w:rPr>
        <w:t>m</w:t>
      </w:r>
      <w:r>
        <w:rPr>
          <w:rFonts w:hAnsiTheme="minorEastAsia" w:eastAsiaTheme="minorEastAsia"/>
          <w:sz w:val="24"/>
        </w:rPr>
        <w:t>范围内土壤等。</w:t>
      </w:r>
    </w:p>
    <w:p>
      <w:pPr>
        <w:spacing w:line="360" w:lineRule="auto"/>
        <w:ind w:firstLine="480" w:firstLineChars="200"/>
        <w:rPr>
          <w:rFonts w:eastAsiaTheme="minorEastAsia"/>
          <w:sz w:val="24"/>
        </w:rPr>
      </w:pPr>
      <w:bookmarkStart w:id="115" w:name="_Toc225155093"/>
      <w:r>
        <w:rPr>
          <w:rFonts w:hAnsiTheme="minorEastAsia" w:eastAsiaTheme="minorEastAsia"/>
          <w:sz w:val="24"/>
        </w:rPr>
        <w:t>具体环境保护对象一览表见表</w:t>
      </w:r>
      <w:bookmarkEnd w:id="108"/>
      <w:r>
        <w:rPr>
          <w:rFonts w:eastAsiaTheme="minorEastAsia"/>
          <w:sz w:val="24"/>
        </w:rPr>
        <w:t>2.9-1</w:t>
      </w:r>
      <w:r>
        <w:rPr>
          <w:rFonts w:hAnsiTheme="minorEastAsia" w:eastAsiaTheme="minorEastAsia"/>
          <w:sz w:val="24"/>
        </w:rPr>
        <w:t>，评价区内村庄基本情况表见表</w:t>
      </w:r>
      <w:r>
        <w:rPr>
          <w:rFonts w:eastAsiaTheme="minorEastAsia"/>
          <w:sz w:val="24"/>
        </w:rPr>
        <w:t>2.9-2</w:t>
      </w:r>
      <w:r>
        <w:rPr>
          <w:rFonts w:hAnsiTheme="minorEastAsia" w:eastAsiaTheme="minorEastAsia"/>
          <w:sz w:val="24"/>
        </w:rPr>
        <w:t>，环境保护</w:t>
      </w:r>
      <w:r>
        <w:rPr>
          <w:rFonts w:hint="eastAsia" w:hAnsiTheme="minorEastAsia" w:eastAsiaTheme="minorEastAsia"/>
          <w:sz w:val="24"/>
        </w:rPr>
        <w:t>目标</w:t>
      </w:r>
      <w:r>
        <w:rPr>
          <w:rFonts w:hAnsiTheme="minorEastAsia" w:eastAsiaTheme="minorEastAsia"/>
          <w:sz w:val="24"/>
        </w:rPr>
        <w:t>图见图</w:t>
      </w:r>
      <w:r>
        <w:rPr>
          <w:rFonts w:eastAsiaTheme="minorEastAsia"/>
          <w:sz w:val="24"/>
        </w:rPr>
        <w:t>2.9-1</w:t>
      </w:r>
      <w:r>
        <w:rPr>
          <w:rFonts w:hAnsiTheme="minorEastAsia" w:eastAsiaTheme="minorEastAsia"/>
          <w:sz w:val="24"/>
        </w:rPr>
        <w:t>。</w:t>
      </w:r>
      <w:bookmarkEnd w:id="115"/>
    </w:p>
    <w:p>
      <w:pPr>
        <w:spacing w:line="360" w:lineRule="auto"/>
        <w:ind w:firstLine="422" w:firstLineChars="200"/>
        <w:jc w:val="center"/>
        <w:rPr>
          <w:rFonts w:eastAsiaTheme="minorEastAsia"/>
          <w:b/>
          <w:szCs w:val="21"/>
        </w:rPr>
      </w:pPr>
      <w:r>
        <w:rPr>
          <w:rFonts w:hAnsiTheme="minorEastAsia" w:eastAsiaTheme="minorEastAsia"/>
          <w:b/>
          <w:szCs w:val="21"/>
        </w:rPr>
        <w:t>表</w:t>
      </w:r>
      <w:r>
        <w:rPr>
          <w:rFonts w:eastAsiaTheme="minorEastAsia"/>
          <w:b/>
          <w:szCs w:val="21"/>
        </w:rPr>
        <w:t xml:space="preserve">2.9-1 </w:t>
      </w:r>
      <w:r>
        <w:rPr>
          <w:rFonts w:hAnsiTheme="minorEastAsia" w:eastAsiaTheme="minorEastAsia"/>
          <w:b/>
          <w:szCs w:val="21"/>
        </w:rPr>
        <w:t>项目环境保护目标一览表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0"/>
        <w:gridCol w:w="2556"/>
        <w:gridCol w:w="852"/>
        <w:gridCol w:w="1276"/>
        <w:gridCol w:w="708"/>
        <w:gridCol w:w="711"/>
        <w:gridCol w:w="25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361" w:type="pct"/>
            <w:vMerge w:val="restart"/>
            <w:vAlign w:val="center"/>
          </w:tcPr>
          <w:p>
            <w:pPr>
              <w:jc w:val="center"/>
              <w:rPr>
                <w:rFonts w:eastAsiaTheme="minorEastAsia"/>
                <w:sz w:val="18"/>
                <w:szCs w:val="18"/>
              </w:rPr>
            </w:pPr>
            <w:bookmarkStart w:id="116" w:name="_Toc225155095"/>
            <w:bookmarkStart w:id="117" w:name="_Toc168481436"/>
            <w:r>
              <w:rPr>
                <w:rFonts w:hAnsiTheme="minorEastAsia" w:eastAsiaTheme="minorEastAsia"/>
                <w:sz w:val="18"/>
                <w:szCs w:val="18"/>
              </w:rPr>
              <w:t>环境要素</w:t>
            </w:r>
            <w:bookmarkEnd w:id="116"/>
            <w:bookmarkEnd w:id="117"/>
          </w:p>
        </w:tc>
        <w:tc>
          <w:tcPr>
            <w:tcW w:w="1376" w:type="pct"/>
            <w:vMerge w:val="restart"/>
            <w:vAlign w:val="center"/>
          </w:tcPr>
          <w:p>
            <w:pPr>
              <w:jc w:val="center"/>
              <w:rPr>
                <w:rFonts w:eastAsiaTheme="minorEastAsia"/>
                <w:sz w:val="18"/>
                <w:szCs w:val="18"/>
              </w:rPr>
            </w:pPr>
            <w:bookmarkStart w:id="118" w:name="_Toc225155097"/>
            <w:bookmarkStart w:id="119" w:name="_Toc168481438"/>
            <w:r>
              <w:rPr>
                <w:rFonts w:hAnsiTheme="minorEastAsia" w:eastAsiaTheme="minorEastAsia"/>
                <w:sz w:val="18"/>
                <w:szCs w:val="18"/>
              </w:rPr>
              <w:t>保护对象</w:t>
            </w:r>
            <w:bookmarkEnd w:id="118"/>
            <w:bookmarkEnd w:id="119"/>
          </w:p>
        </w:tc>
        <w:tc>
          <w:tcPr>
            <w:tcW w:w="1910" w:type="pct"/>
            <w:gridSpan w:val="4"/>
            <w:vAlign w:val="center"/>
          </w:tcPr>
          <w:p>
            <w:pPr>
              <w:jc w:val="center"/>
              <w:rPr>
                <w:rFonts w:eastAsiaTheme="minorEastAsia"/>
                <w:sz w:val="18"/>
                <w:szCs w:val="18"/>
              </w:rPr>
            </w:pPr>
            <w:r>
              <w:rPr>
                <w:rFonts w:hAnsiTheme="minorEastAsia" w:eastAsiaTheme="minorEastAsia"/>
                <w:sz w:val="18"/>
                <w:szCs w:val="18"/>
              </w:rPr>
              <w:t>距工业场地</w:t>
            </w:r>
          </w:p>
        </w:tc>
        <w:tc>
          <w:tcPr>
            <w:tcW w:w="1353" w:type="pct"/>
            <w:vMerge w:val="restart"/>
            <w:shd w:val="clear" w:color="auto" w:fill="auto"/>
            <w:vAlign w:val="center"/>
          </w:tcPr>
          <w:p>
            <w:pPr>
              <w:jc w:val="center"/>
              <w:rPr>
                <w:rFonts w:eastAsiaTheme="minorEastAsia"/>
                <w:sz w:val="18"/>
                <w:szCs w:val="18"/>
                <w:highlight w:val="yellow"/>
              </w:rPr>
            </w:pPr>
            <w:r>
              <w:rPr>
                <w:rFonts w:hAnsiTheme="minorEastAsia" w:eastAsiaTheme="minorEastAsia"/>
                <w:sz w:val="18"/>
                <w:szCs w:val="18"/>
              </w:rPr>
              <w:t>保护要求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361" w:type="pct"/>
            <w:vMerge w:val="continue"/>
            <w:vAlign w:val="center"/>
          </w:tcPr>
          <w:p>
            <w:pPr>
              <w:jc w:val="center"/>
              <w:rPr>
                <w:rFonts w:eastAsiaTheme="minorEastAsia"/>
                <w:sz w:val="18"/>
                <w:szCs w:val="18"/>
              </w:rPr>
            </w:pPr>
          </w:p>
        </w:tc>
        <w:tc>
          <w:tcPr>
            <w:tcW w:w="1376" w:type="pct"/>
            <w:vMerge w:val="continue"/>
            <w:vAlign w:val="center"/>
          </w:tcPr>
          <w:p>
            <w:pPr>
              <w:jc w:val="center"/>
              <w:rPr>
                <w:rFonts w:eastAsiaTheme="minorEastAsia"/>
                <w:sz w:val="18"/>
                <w:szCs w:val="18"/>
              </w:rPr>
            </w:pPr>
          </w:p>
        </w:tc>
        <w:tc>
          <w:tcPr>
            <w:tcW w:w="459" w:type="pct"/>
            <w:vAlign w:val="center"/>
          </w:tcPr>
          <w:p>
            <w:pPr>
              <w:jc w:val="center"/>
              <w:rPr>
                <w:rFonts w:eastAsiaTheme="minorEastAsia"/>
                <w:sz w:val="18"/>
                <w:szCs w:val="18"/>
              </w:rPr>
            </w:pPr>
            <w:r>
              <w:rPr>
                <w:rFonts w:hAnsiTheme="minorEastAsia" w:eastAsiaTheme="minorEastAsia"/>
                <w:sz w:val="18"/>
                <w:szCs w:val="18"/>
              </w:rPr>
              <w:t>方位</w:t>
            </w:r>
          </w:p>
        </w:tc>
        <w:tc>
          <w:tcPr>
            <w:tcW w:w="687" w:type="pct"/>
            <w:tcBorders>
              <w:right w:val="single" w:color="auto" w:sz="4" w:space="0"/>
            </w:tcBorders>
            <w:shd w:val="clear" w:color="auto" w:fill="auto"/>
            <w:vAlign w:val="center"/>
          </w:tcPr>
          <w:p>
            <w:pPr>
              <w:jc w:val="center"/>
              <w:rPr>
                <w:rFonts w:eastAsiaTheme="minorEastAsia"/>
                <w:sz w:val="18"/>
                <w:szCs w:val="18"/>
              </w:rPr>
            </w:pPr>
            <w:r>
              <w:rPr>
                <w:rFonts w:hAnsiTheme="minorEastAsia" w:eastAsiaTheme="minorEastAsia"/>
                <w:sz w:val="18"/>
                <w:szCs w:val="18"/>
              </w:rPr>
              <w:t>距离（</w:t>
            </w:r>
            <w:r>
              <w:rPr>
                <w:rFonts w:eastAsiaTheme="minorEastAsia"/>
                <w:sz w:val="18"/>
                <w:szCs w:val="18"/>
              </w:rPr>
              <w:t>km</w:t>
            </w:r>
            <w:r>
              <w:rPr>
                <w:rFonts w:hAnsiTheme="minorEastAsia" w:eastAsiaTheme="minorEastAsia"/>
                <w:sz w:val="18"/>
                <w:szCs w:val="18"/>
              </w:rPr>
              <w:t>）</w:t>
            </w:r>
            <w:r>
              <w:rPr>
                <w:rFonts w:hAnsiTheme="minorEastAsia" w:eastAsiaTheme="minorEastAsia"/>
                <w:bCs/>
                <w:sz w:val="18"/>
                <w:szCs w:val="18"/>
              </w:rPr>
              <w:t>（距工业场地）</w:t>
            </w:r>
          </w:p>
        </w:tc>
        <w:tc>
          <w:tcPr>
            <w:tcW w:w="381" w:type="pct"/>
            <w:tcBorders>
              <w:left w:val="single" w:color="auto" w:sz="4" w:space="0"/>
              <w:right w:val="single" w:color="auto" w:sz="4" w:space="0"/>
            </w:tcBorders>
            <w:shd w:val="clear" w:color="auto" w:fill="auto"/>
            <w:vAlign w:val="center"/>
          </w:tcPr>
          <w:p>
            <w:pPr>
              <w:jc w:val="center"/>
              <w:rPr>
                <w:rFonts w:eastAsiaTheme="minorEastAsia"/>
                <w:sz w:val="18"/>
                <w:szCs w:val="18"/>
              </w:rPr>
            </w:pPr>
            <w:r>
              <w:rPr>
                <w:rFonts w:hAnsiTheme="minorEastAsia" w:eastAsiaTheme="minorEastAsia"/>
                <w:sz w:val="18"/>
                <w:szCs w:val="18"/>
              </w:rPr>
              <w:t>户数</w:t>
            </w:r>
          </w:p>
        </w:tc>
        <w:tc>
          <w:tcPr>
            <w:tcW w:w="383" w:type="pct"/>
            <w:tcBorders>
              <w:left w:val="single" w:color="auto" w:sz="4" w:space="0"/>
            </w:tcBorders>
            <w:shd w:val="clear" w:color="auto" w:fill="auto"/>
            <w:vAlign w:val="center"/>
          </w:tcPr>
          <w:p>
            <w:pPr>
              <w:jc w:val="center"/>
              <w:rPr>
                <w:rFonts w:eastAsiaTheme="minorEastAsia"/>
                <w:sz w:val="18"/>
                <w:szCs w:val="18"/>
              </w:rPr>
            </w:pPr>
            <w:r>
              <w:rPr>
                <w:rFonts w:hAnsiTheme="minorEastAsia" w:eastAsiaTheme="minorEastAsia"/>
                <w:sz w:val="18"/>
                <w:szCs w:val="18"/>
              </w:rPr>
              <w:t>人数</w:t>
            </w:r>
          </w:p>
        </w:tc>
        <w:tc>
          <w:tcPr>
            <w:tcW w:w="1353" w:type="pct"/>
            <w:vMerge w:val="continue"/>
            <w:shd w:val="clear" w:color="auto" w:fill="auto"/>
            <w:vAlign w:val="center"/>
          </w:tcPr>
          <w:p>
            <w:pPr>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restart"/>
            <w:vAlign w:val="center"/>
          </w:tcPr>
          <w:p>
            <w:pPr>
              <w:jc w:val="center"/>
              <w:rPr>
                <w:rFonts w:eastAsiaTheme="minorEastAsia"/>
                <w:sz w:val="18"/>
                <w:szCs w:val="18"/>
                <w:highlight w:val="yellow"/>
              </w:rPr>
            </w:pPr>
            <w:r>
              <w:rPr>
                <w:rFonts w:hAnsiTheme="minorEastAsia" w:eastAsiaTheme="minorEastAsia"/>
                <w:sz w:val="18"/>
                <w:szCs w:val="18"/>
              </w:rPr>
              <w:t>环境空气</w:t>
            </w:r>
          </w:p>
        </w:tc>
        <w:tc>
          <w:tcPr>
            <w:tcW w:w="1376" w:type="pct"/>
            <w:tcBorders>
              <w:bottom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招贤镇（包括工农庄和留林庄）</w:t>
            </w:r>
          </w:p>
        </w:tc>
        <w:tc>
          <w:tcPr>
            <w:tcW w:w="459" w:type="pct"/>
            <w:vAlign w:val="center"/>
          </w:tcPr>
          <w:p>
            <w:pPr>
              <w:spacing w:line="320" w:lineRule="exact"/>
              <w:jc w:val="center"/>
              <w:rPr>
                <w:rFonts w:eastAsiaTheme="minorEastAsia"/>
                <w:sz w:val="18"/>
                <w:szCs w:val="18"/>
              </w:rPr>
            </w:pPr>
            <w:r>
              <w:rPr>
                <w:rFonts w:eastAsiaTheme="minorEastAsia"/>
                <w:sz w:val="18"/>
                <w:szCs w:val="18"/>
              </w:rPr>
              <w:t>NE</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w:t>
            </w:r>
            <w:r>
              <w:rPr>
                <w:rFonts w:hint="eastAsia" w:eastAsiaTheme="minorEastAsia"/>
                <w:sz w:val="18"/>
                <w:szCs w:val="18"/>
              </w:rPr>
              <w:t>35</w:t>
            </w:r>
          </w:p>
        </w:tc>
        <w:tc>
          <w:tcPr>
            <w:tcW w:w="381" w:type="pct"/>
            <w:tcBorders>
              <w:left w:val="single" w:color="auto" w:sz="4" w:space="0"/>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1653</w:t>
            </w:r>
          </w:p>
        </w:tc>
        <w:tc>
          <w:tcPr>
            <w:tcW w:w="383" w:type="pct"/>
            <w:tcBorders>
              <w:left w:val="single" w:color="auto" w:sz="4" w:space="0"/>
            </w:tcBorders>
            <w:vAlign w:val="center"/>
          </w:tcPr>
          <w:p>
            <w:pPr>
              <w:spacing w:line="320" w:lineRule="exact"/>
              <w:jc w:val="center"/>
              <w:rPr>
                <w:rFonts w:eastAsiaTheme="minorEastAsia"/>
                <w:sz w:val="18"/>
                <w:szCs w:val="18"/>
              </w:rPr>
            </w:pPr>
            <w:r>
              <w:rPr>
                <w:rFonts w:eastAsiaTheme="minorEastAsia"/>
                <w:sz w:val="18"/>
                <w:szCs w:val="18"/>
              </w:rPr>
              <w:t>5780</w:t>
            </w:r>
          </w:p>
        </w:tc>
        <w:tc>
          <w:tcPr>
            <w:tcW w:w="1353" w:type="pct"/>
            <w:vMerge w:val="restart"/>
            <w:shd w:val="clear" w:color="auto" w:fill="auto"/>
            <w:vAlign w:val="center"/>
          </w:tcPr>
          <w:p>
            <w:pPr>
              <w:pStyle w:val="7"/>
              <w:ind w:firstLine="0"/>
              <w:jc w:val="center"/>
              <w:rPr>
                <w:rFonts w:eastAsiaTheme="minorEastAsia"/>
                <w:sz w:val="18"/>
                <w:szCs w:val="18"/>
                <w:highlight w:val="yellow"/>
              </w:rPr>
            </w:pPr>
            <w:r>
              <w:rPr>
                <w:rFonts w:hAnsiTheme="minorEastAsia" w:eastAsiaTheme="minorEastAsia"/>
                <w:sz w:val="18"/>
                <w:szCs w:val="18"/>
              </w:rPr>
              <w:t>《环境空气质量标准》（</w:t>
            </w:r>
            <w:r>
              <w:rPr>
                <w:rFonts w:eastAsiaTheme="minorEastAsia"/>
                <w:sz w:val="18"/>
                <w:szCs w:val="18"/>
              </w:rPr>
              <w:t>GB 3095-2012</w:t>
            </w:r>
            <w:r>
              <w:rPr>
                <w:rFonts w:hAnsiTheme="minorEastAsia" w:eastAsiaTheme="minorEastAsia"/>
                <w:sz w:val="18"/>
                <w:szCs w:val="18"/>
              </w:rPr>
              <w:t>）中二级标准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hAnsiTheme="minorEastAsia" w:eastAsiaTheme="minorEastAsia"/>
                <w:sz w:val="18"/>
                <w:szCs w:val="18"/>
              </w:rPr>
            </w:pPr>
          </w:p>
        </w:tc>
        <w:tc>
          <w:tcPr>
            <w:tcW w:w="1376" w:type="pct"/>
            <w:tcBorders>
              <w:bottom w:val="single" w:color="auto" w:sz="4" w:space="0"/>
            </w:tcBorders>
            <w:vAlign w:val="center"/>
          </w:tcPr>
          <w:p>
            <w:pPr>
              <w:spacing w:line="320" w:lineRule="exact"/>
              <w:jc w:val="center"/>
              <w:rPr>
                <w:rFonts w:hAnsiTheme="minorEastAsia" w:eastAsiaTheme="minorEastAsia"/>
                <w:sz w:val="18"/>
                <w:szCs w:val="18"/>
              </w:rPr>
            </w:pPr>
            <w:r>
              <w:rPr>
                <w:rFonts w:hint="eastAsia" w:hAnsiTheme="minorEastAsia" w:eastAsiaTheme="minorEastAsia"/>
                <w:sz w:val="18"/>
                <w:szCs w:val="18"/>
              </w:rPr>
              <w:t>贺家湾</w:t>
            </w:r>
          </w:p>
        </w:tc>
        <w:tc>
          <w:tcPr>
            <w:tcW w:w="459" w:type="pct"/>
            <w:vAlign w:val="center"/>
          </w:tcPr>
          <w:p>
            <w:pPr>
              <w:spacing w:line="320" w:lineRule="exact"/>
              <w:jc w:val="center"/>
              <w:rPr>
                <w:rFonts w:eastAsiaTheme="minorEastAsia"/>
                <w:sz w:val="18"/>
                <w:szCs w:val="18"/>
              </w:rPr>
            </w:pPr>
            <w:r>
              <w:rPr>
                <w:rFonts w:eastAsiaTheme="minorEastAsia"/>
                <w:sz w:val="18"/>
                <w:szCs w:val="18"/>
              </w:rPr>
              <w:t>NE</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hint="eastAsia" w:eastAsiaTheme="minorEastAsia"/>
                <w:sz w:val="18"/>
                <w:szCs w:val="18"/>
              </w:rPr>
              <w:t>2.20</w:t>
            </w:r>
          </w:p>
        </w:tc>
        <w:tc>
          <w:tcPr>
            <w:tcW w:w="381" w:type="pct"/>
            <w:tcBorders>
              <w:left w:val="single" w:color="auto" w:sz="4" w:space="0"/>
              <w:right w:val="single" w:color="auto" w:sz="4" w:space="0"/>
            </w:tcBorders>
            <w:vAlign w:val="center"/>
          </w:tcPr>
          <w:p>
            <w:pPr>
              <w:spacing w:line="320" w:lineRule="exact"/>
              <w:jc w:val="center"/>
              <w:rPr>
                <w:rFonts w:eastAsiaTheme="minorEastAsia"/>
                <w:sz w:val="18"/>
                <w:szCs w:val="18"/>
              </w:rPr>
            </w:pPr>
            <w:r>
              <w:rPr>
                <w:rFonts w:hint="eastAsia" w:eastAsiaTheme="minorEastAsia"/>
                <w:sz w:val="18"/>
                <w:szCs w:val="18"/>
              </w:rPr>
              <w:t>128</w:t>
            </w:r>
          </w:p>
        </w:tc>
        <w:tc>
          <w:tcPr>
            <w:tcW w:w="383" w:type="pct"/>
            <w:tcBorders>
              <w:left w:val="single" w:color="auto" w:sz="4" w:space="0"/>
            </w:tcBorders>
            <w:vAlign w:val="center"/>
          </w:tcPr>
          <w:p>
            <w:pPr>
              <w:spacing w:line="320" w:lineRule="exact"/>
              <w:jc w:val="center"/>
              <w:rPr>
                <w:rFonts w:eastAsiaTheme="minorEastAsia"/>
                <w:sz w:val="18"/>
                <w:szCs w:val="18"/>
              </w:rPr>
            </w:pPr>
            <w:r>
              <w:rPr>
                <w:rFonts w:hint="eastAsia" w:eastAsiaTheme="minorEastAsia"/>
                <w:sz w:val="18"/>
                <w:szCs w:val="18"/>
              </w:rPr>
              <w:t>448</w:t>
            </w:r>
          </w:p>
        </w:tc>
        <w:tc>
          <w:tcPr>
            <w:tcW w:w="1353" w:type="pct"/>
            <w:vMerge w:val="continue"/>
            <w:shd w:val="clear" w:color="auto" w:fill="auto"/>
            <w:vAlign w:val="center"/>
          </w:tcPr>
          <w:p>
            <w:pPr>
              <w:pStyle w:val="7"/>
              <w:ind w:firstLine="0"/>
              <w:jc w:val="center"/>
              <w:rPr>
                <w:rFonts w:hAnsiTheme="minorEastAsia"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bottom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小塔则</w:t>
            </w:r>
          </w:p>
        </w:tc>
        <w:tc>
          <w:tcPr>
            <w:tcW w:w="459" w:type="pct"/>
            <w:vAlign w:val="center"/>
          </w:tcPr>
          <w:p>
            <w:pPr>
              <w:spacing w:line="320" w:lineRule="exact"/>
              <w:jc w:val="center"/>
              <w:rPr>
                <w:rFonts w:eastAsiaTheme="minorEastAsia"/>
                <w:sz w:val="18"/>
                <w:szCs w:val="18"/>
              </w:rPr>
            </w:pPr>
            <w:r>
              <w:rPr>
                <w:rFonts w:eastAsiaTheme="minorEastAsia"/>
                <w:sz w:val="18"/>
                <w:szCs w:val="18"/>
              </w:rPr>
              <w:t>NE</w:t>
            </w:r>
            <w:r>
              <w:rPr>
                <w:rFonts w:hint="eastAsia" w:eastAsiaTheme="minorEastAsia"/>
                <w:sz w:val="18"/>
                <w:szCs w:val="18"/>
              </w:rPr>
              <w:t>E</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0.</w:t>
            </w:r>
            <w:r>
              <w:rPr>
                <w:rFonts w:hint="eastAsia" w:eastAsiaTheme="minorEastAsia"/>
                <w:sz w:val="18"/>
                <w:szCs w:val="18"/>
              </w:rPr>
              <w:t>88</w:t>
            </w:r>
          </w:p>
        </w:tc>
        <w:tc>
          <w:tcPr>
            <w:tcW w:w="381" w:type="pct"/>
            <w:tcBorders>
              <w:left w:val="single" w:color="auto" w:sz="4" w:space="0"/>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167</w:t>
            </w:r>
          </w:p>
        </w:tc>
        <w:tc>
          <w:tcPr>
            <w:tcW w:w="383" w:type="pct"/>
            <w:tcBorders>
              <w:left w:val="single" w:color="auto" w:sz="4" w:space="0"/>
            </w:tcBorders>
            <w:vAlign w:val="center"/>
          </w:tcPr>
          <w:p>
            <w:pPr>
              <w:spacing w:line="320" w:lineRule="exact"/>
              <w:jc w:val="center"/>
              <w:rPr>
                <w:rFonts w:eastAsiaTheme="minorEastAsia"/>
                <w:sz w:val="18"/>
                <w:szCs w:val="18"/>
              </w:rPr>
            </w:pPr>
            <w:r>
              <w:rPr>
                <w:rFonts w:eastAsiaTheme="minorEastAsia"/>
                <w:sz w:val="18"/>
                <w:szCs w:val="18"/>
              </w:rPr>
              <w:t>564</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bottom w:val="single" w:color="auto" w:sz="4" w:space="0"/>
            </w:tcBorders>
            <w:vAlign w:val="center"/>
          </w:tcPr>
          <w:p>
            <w:pPr>
              <w:spacing w:line="320" w:lineRule="exact"/>
              <w:jc w:val="center"/>
              <w:rPr>
                <w:rFonts w:hAnsiTheme="minorEastAsia" w:eastAsiaTheme="minorEastAsia"/>
                <w:sz w:val="18"/>
                <w:szCs w:val="18"/>
              </w:rPr>
            </w:pPr>
            <w:r>
              <w:rPr>
                <w:rFonts w:hint="eastAsia" w:hAnsiTheme="minorEastAsia" w:eastAsiaTheme="minorEastAsia"/>
                <w:sz w:val="18"/>
                <w:szCs w:val="18"/>
              </w:rPr>
              <w:t>前塔上</w:t>
            </w:r>
          </w:p>
        </w:tc>
        <w:tc>
          <w:tcPr>
            <w:tcW w:w="459" w:type="pct"/>
            <w:vAlign w:val="center"/>
          </w:tcPr>
          <w:p>
            <w:pPr>
              <w:spacing w:line="320" w:lineRule="exact"/>
              <w:jc w:val="center"/>
              <w:rPr>
                <w:rFonts w:eastAsiaTheme="minorEastAsia"/>
                <w:sz w:val="18"/>
                <w:szCs w:val="18"/>
              </w:rPr>
            </w:pPr>
            <w:r>
              <w:rPr>
                <w:rFonts w:hint="eastAsia" w:eastAsiaTheme="minorEastAsia"/>
                <w:sz w:val="18"/>
                <w:szCs w:val="18"/>
              </w:rPr>
              <w:t>E</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hint="eastAsia" w:eastAsiaTheme="minorEastAsia"/>
                <w:sz w:val="18"/>
                <w:szCs w:val="18"/>
              </w:rPr>
              <w:t>0.89</w:t>
            </w:r>
          </w:p>
        </w:tc>
        <w:tc>
          <w:tcPr>
            <w:tcW w:w="381" w:type="pct"/>
            <w:tcBorders>
              <w:left w:val="single" w:color="auto" w:sz="4" w:space="0"/>
              <w:right w:val="single" w:color="auto" w:sz="4" w:space="0"/>
            </w:tcBorders>
            <w:vAlign w:val="center"/>
          </w:tcPr>
          <w:p>
            <w:pPr>
              <w:spacing w:line="320" w:lineRule="exact"/>
              <w:jc w:val="center"/>
              <w:rPr>
                <w:rFonts w:eastAsiaTheme="minorEastAsia"/>
                <w:sz w:val="18"/>
                <w:szCs w:val="18"/>
              </w:rPr>
            </w:pPr>
            <w:r>
              <w:rPr>
                <w:rFonts w:hint="eastAsia" w:eastAsiaTheme="minorEastAsia"/>
                <w:sz w:val="18"/>
                <w:szCs w:val="18"/>
              </w:rPr>
              <w:t>108</w:t>
            </w:r>
          </w:p>
        </w:tc>
        <w:tc>
          <w:tcPr>
            <w:tcW w:w="383" w:type="pct"/>
            <w:tcBorders>
              <w:left w:val="single" w:color="auto" w:sz="4" w:space="0"/>
            </w:tcBorders>
            <w:vAlign w:val="center"/>
          </w:tcPr>
          <w:p>
            <w:pPr>
              <w:spacing w:line="320" w:lineRule="exact"/>
              <w:jc w:val="center"/>
              <w:rPr>
                <w:rFonts w:eastAsiaTheme="minorEastAsia"/>
                <w:sz w:val="18"/>
                <w:szCs w:val="18"/>
              </w:rPr>
            </w:pPr>
            <w:r>
              <w:rPr>
                <w:rFonts w:hint="eastAsia" w:eastAsiaTheme="minorEastAsia"/>
                <w:sz w:val="18"/>
                <w:szCs w:val="18"/>
              </w:rPr>
              <w:t>378</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bottom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后塔上</w:t>
            </w:r>
          </w:p>
        </w:tc>
        <w:tc>
          <w:tcPr>
            <w:tcW w:w="459" w:type="pct"/>
            <w:vAlign w:val="center"/>
          </w:tcPr>
          <w:p>
            <w:pPr>
              <w:spacing w:line="320" w:lineRule="exact"/>
              <w:jc w:val="center"/>
              <w:rPr>
                <w:rFonts w:eastAsiaTheme="minorEastAsia"/>
                <w:sz w:val="18"/>
                <w:szCs w:val="18"/>
              </w:rPr>
            </w:pPr>
            <w:r>
              <w:rPr>
                <w:rFonts w:eastAsiaTheme="minorEastAsia"/>
                <w:sz w:val="18"/>
                <w:szCs w:val="18"/>
              </w:rPr>
              <w:t>E</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1.1</w:t>
            </w:r>
          </w:p>
        </w:tc>
        <w:tc>
          <w:tcPr>
            <w:tcW w:w="381" w:type="pct"/>
            <w:tcBorders>
              <w:left w:val="single" w:color="auto" w:sz="4" w:space="0"/>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134</w:t>
            </w:r>
          </w:p>
        </w:tc>
        <w:tc>
          <w:tcPr>
            <w:tcW w:w="383" w:type="pct"/>
            <w:tcBorders>
              <w:left w:val="single" w:color="auto" w:sz="4" w:space="0"/>
            </w:tcBorders>
            <w:vAlign w:val="center"/>
          </w:tcPr>
          <w:p>
            <w:pPr>
              <w:spacing w:line="320" w:lineRule="exact"/>
              <w:jc w:val="center"/>
              <w:rPr>
                <w:rFonts w:eastAsiaTheme="minorEastAsia"/>
                <w:sz w:val="18"/>
                <w:szCs w:val="18"/>
              </w:rPr>
            </w:pPr>
            <w:r>
              <w:rPr>
                <w:rFonts w:eastAsiaTheme="minorEastAsia"/>
                <w:sz w:val="18"/>
                <w:szCs w:val="18"/>
              </w:rPr>
              <w:t>460</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bottom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庙焉</w:t>
            </w:r>
          </w:p>
        </w:tc>
        <w:tc>
          <w:tcPr>
            <w:tcW w:w="459" w:type="pct"/>
            <w:vAlign w:val="center"/>
          </w:tcPr>
          <w:p>
            <w:pPr>
              <w:spacing w:line="320" w:lineRule="exact"/>
              <w:jc w:val="center"/>
              <w:rPr>
                <w:rFonts w:eastAsiaTheme="minorEastAsia"/>
                <w:sz w:val="18"/>
                <w:szCs w:val="18"/>
              </w:rPr>
            </w:pPr>
            <w:r>
              <w:rPr>
                <w:rFonts w:eastAsiaTheme="minorEastAsia"/>
                <w:sz w:val="18"/>
                <w:szCs w:val="18"/>
              </w:rPr>
              <w:t>S</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1.1</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62</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223</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bottom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彩家庄</w:t>
            </w:r>
          </w:p>
        </w:tc>
        <w:tc>
          <w:tcPr>
            <w:tcW w:w="459" w:type="pct"/>
            <w:vAlign w:val="center"/>
          </w:tcPr>
          <w:p>
            <w:pPr>
              <w:spacing w:line="320" w:lineRule="exact"/>
              <w:jc w:val="center"/>
              <w:rPr>
                <w:rFonts w:eastAsiaTheme="minorEastAsia"/>
                <w:sz w:val="18"/>
                <w:szCs w:val="18"/>
              </w:rPr>
            </w:pPr>
            <w:r>
              <w:rPr>
                <w:rFonts w:eastAsiaTheme="minorEastAsia"/>
                <w:sz w:val="18"/>
                <w:szCs w:val="18"/>
              </w:rPr>
              <w:t>SE</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1.5</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140</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490</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bottom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双圪埇</w:t>
            </w:r>
          </w:p>
        </w:tc>
        <w:tc>
          <w:tcPr>
            <w:tcW w:w="459" w:type="pct"/>
            <w:vAlign w:val="center"/>
          </w:tcPr>
          <w:p>
            <w:pPr>
              <w:spacing w:line="320" w:lineRule="exact"/>
              <w:jc w:val="center"/>
              <w:rPr>
                <w:rFonts w:eastAsiaTheme="minorEastAsia"/>
                <w:sz w:val="18"/>
                <w:szCs w:val="18"/>
              </w:rPr>
            </w:pPr>
            <w:r>
              <w:rPr>
                <w:rFonts w:eastAsiaTheme="minorEastAsia"/>
                <w:sz w:val="18"/>
                <w:szCs w:val="18"/>
              </w:rPr>
              <w:t>S</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1.4</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53</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191</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bottom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白家峁</w:t>
            </w:r>
          </w:p>
        </w:tc>
        <w:tc>
          <w:tcPr>
            <w:tcW w:w="459" w:type="pct"/>
            <w:vAlign w:val="center"/>
          </w:tcPr>
          <w:p>
            <w:pPr>
              <w:spacing w:line="320" w:lineRule="exact"/>
              <w:jc w:val="center"/>
              <w:rPr>
                <w:rFonts w:eastAsiaTheme="minorEastAsia"/>
                <w:sz w:val="18"/>
                <w:szCs w:val="18"/>
              </w:rPr>
            </w:pPr>
            <w:r>
              <w:rPr>
                <w:rFonts w:eastAsiaTheme="minorEastAsia"/>
                <w:sz w:val="18"/>
                <w:szCs w:val="18"/>
              </w:rPr>
              <w:t>SW</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hint="eastAsia" w:eastAsiaTheme="minorEastAsia"/>
                <w:sz w:val="18"/>
                <w:szCs w:val="18"/>
              </w:rPr>
              <w:t>2.05</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236</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825</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bottom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龙王殿</w:t>
            </w:r>
          </w:p>
        </w:tc>
        <w:tc>
          <w:tcPr>
            <w:tcW w:w="459" w:type="pct"/>
            <w:vAlign w:val="center"/>
          </w:tcPr>
          <w:p>
            <w:pPr>
              <w:spacing w:line="320" w:lineRule="exact"/>
              <w:jc w:val="center"/>
              <w:rPr>
                <w:rFonts w:eastAsiaTheme="minorEastAsia"/>
                <w:sz w:val="18"/>
                <w:szCs w:val="18"/>
              </w:rPr>
            </w:pPr>
            <w:r>
              <w:rPr>
                <w:rFonts w:eastAsiaTheme="minorEastAsia"/>
                <w:sz w:val="18"/>
                <w:szCs w:val="18"/>
              </w:rPr>
              <w:t>SW</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0.9</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105</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366</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靳家峁</w:t>
            </w:r>
          </w:p>
        </w:tc>
        <w:tc>
          <w:tcPr>
            <w:tcW w:w="459" w:type="pct"/>
            <w:vAlign w:val="center"/>
          </w:tcPr>
          <w:p>
            <w:pPr>
              <w:spacing w:line="320" w:lineRule="exact"/>
              <w:jc w:val="center"/>
              <w:rPr>
                <w:rFonts w:eastAsiaTheme="minorEastAsia"/>
                <w:sz w:val="18"/>
                <w:szCs w:val="18"/>
              </w:rPr>
            </w:pPr>
            <w:r>
              <w:rPr>
                <w:rFonts w:eastAsiaTheme="minorEastAsia"/>
                <w:sz w:val="18"/>
                <w:szCs w:val="18"/>
              </w:rPr>
              <w:t>W</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1.4</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100</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354</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bottom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水源</w:t>
            </w:r>
          </w:p>
        </w:tc>
        <w:tc>
          <w:tcPr>
            <w:tcW w:w="459" w:type="pct"/>
            <w:vAlign w:val="center"/>
          </w:tcPr>
          <w:p>
            <w:pPr>
              <w:spacing w:line="320" w:lineRule="exact"/>
              <w:jc w:val="center"/>
              <w:rPr>
                <w:rFonts w:eastAsiaTheme="minorEastAsia"/>
                <w:sz w:val="18"/>
                <w:szCs w:val="18"/>
              </w:rPr>
            </w:pPr>
            <w:r>
              <w:rPr>
                <w:rFonts w:eastAsiaTheme="minorEastAsia"/>
                <w:sz w:val="18"/>
                <w:szCs w:val="18"/>
              </w:rPr>
              <w:t>NW</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2.</w:t>
            </w:r>
            <w:r>
              <w:rPr>
                <w:rFonts w:hint="eastAsia" w:eastAsiaTheme="minorEastAsia"/>
                <w:sz w:val="18"/>
                <w:szCs w:val="18"/>
              </w:rPr>
              <w:t>6</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168</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592</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前庄</w:t>
            </w:r>
          </w:p>
        </w:tc>
        <w:tc>
          <w:tcPr>
            <w:tcW w:w="459" w:type="pct"/>
            <w:vAlign w:val="center"/>
          </w:tcPr>
          <w:p>
            <w:pPr>
              <w:spacing w:line="320" w:lineRule="exact"/>
              <w:jc w:val="center"/>
              <w:rPr>
                <w:rFonts w:eastAsiaTheme="minorEastAsia"/>
                <w:sz w:val="18"/>
                <w:szCs w:val="18"/>
              </w:rPr>
            </w:pPr>
            <w:r>
              <w:rPr>
                <w:rFonts w:eastAsiaTheme="minorEastAsia"/>
                <w:sz w:val="18"/>
                <w:szCs w:val="18"/>
              </w:rPr>
              <w:t>NW</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2.</w:t>
            </w:r>
            <w:r>
              <w:rPr>
                <w:rFonts w:hint="eastAsia" w:eastAsiaTheme="minorEastAsia"/>
                <w:sz w:val="18"/>
                <w:szCs w:val="18"/>
              </w:rPr>
              <w:t>6</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86</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312</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后庄</w:t>
            </w:r>
            <w:r>
              <w:rPr>
                <w:rFonts w:eastAsiaTheme="minorEastAsia"/>
                <w:sz w:val="18"/>
                <w:szCs w:val="18"/>
              </w:rPr>
              <w:t>*</w:t>
            </w:r>
          </w:p>
        </w:tc>
        <w:tc>
          <w:tcPr>
            <w:tcW w:w="459" w:type="pct"/>
            <w:vAlign w:val="center"/>
          </w:tcPr>
          <w:p>
            <w:pPr>
              <w:spacing w:line="320" w:lineRule="exact"/>
              <w:jc w:val="center"/>
              <w:rPr>
                <w:rFonts w:eastAsiaTheme="minorEastAsia"/>
                <w:sz w:val="18"/>
                <w:szCs w:val="18"/>
              </w:rPr>
            </w:pPr>
            <w:r>
              <w:rPr>
                <w:rFonts w:eastAsiaTheme="minorEastAsia"/>
                <w:sz w:val="18"/>
                <w:szCs w:val="18"/>
              </w:rPr>
              <w:t>NW</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1.8</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500</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1754</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新窑上</w:t>
            </w:r>
            <w:r>
              <w:rPr>
                <w:rFonts w:eastAsiaTheme="minorEastAsia"/>
                <w:sz w:val="18"/>
                <w:szCs w:val="18"/>
              </w:rPr>
              <w:t>*</w:t>
            </w:r>
          </w:p>
        </w:tc>
        <w:tc>
          <w:tcPr>
            <w:tcW w:w="459" w:type="pct"/>
            <w:vAlign w:val="center"/>
          </w:tcPr>
          <w:p>
            <w:pPr>
              <w:spacing w:line="320" w:lineRule="exact"/>
              <w:jc w:val="center"/>
              <w:rPr>
                <w:rFonts w:eastAsiaTheme="minorEastAsia"/>
                <w:sz w:val="18"/>
                <w:szCs w:val="18"/>
              </w:rPr>
            </w:pPr>
            <w:r>
              <w:rPr>
                <w:rFonts w:eastAsiaTheme="minorEastAsia"/>
                <w:sz w:val="18"/>
                <w:szCs w:val="18"/>
              </w:rPr>
              <w:t>N</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w:t>
            </w:r>
            <w:r>
              <w:rPr>
                <w:rFonts w:hint="eastAsia" w:eastAsiaTheme="minorEastAsia"/>
                <w:sz w:val="18"/>
                <w:szCs w:val="18"/>
              </w:rPr>
              <w:t>2</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42</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151</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大长</w:t>
            </w:r>
            <w:r>
              <w:rPr>
                <w:rFonts w:eastAsiaTheme="minorEastAsia"/>
                <w:sz w:val="18"/>
                <w:szCs w:val="18"/>
              </w:rPr>
              <w:t>*</w:t>
            </w:r>
          </w:p>
        </w:tc>
        <w:tc>
          <w:tcPr>
            <w:tcW w:w="459" w:type="pct"/>
            <w:vAlign w:val="center"/>
          </w:tcPr>
          <w:p>
            <w:pPr>
              <w:spacing w:line="320" w:lineRule="exact"/>
              <w:jc w:val="center"/>
              <w:rPr>
                <w:rFonts w:eastAsiaTheme="minorEastAsia"/>
                <w:sz w:val="18"/>
                <w:szCs w:val="18"/>
              </w:rPr>
            </w:pPr>
            <w:r>
              <w:rPr>
                <w:rFonts w:eastAsiaTheme="minorEastAsia"/>
                <w:sz w:val="18"/>
                <w:szCs w:val="18"/>
              </w:rPr>
              <w:t>NW</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1.8</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134</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472</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高家庄</w:t>
            </w:r>
            <w:r>
              <w:rPr>
                <w:rFonts w:eastAsiaTheme="minorEastAsia"/>
                <w:sz w:val="18"/>
                <w:szCs w:val="18"/>
              </w:rPr>
              <w:t>*</w:t>
            </w:r>
          </w:p>
        </w:tc>
        <w:tc>
          <w:tcPr>
            <w:tcW w:w="459" w:type="pct"/>
            <w:vAlign w:val="center"/>
          </w:tcPr>
          <w:p>
            <w:pPr>
              <w:spacing w:line="320" w:lineRule="exact"/>
              <w:jc w:val="center"/>
              <w:rPr>
                <w:rFonts w:eastAsiaTheme="minorEastAsia"/>
                <w:sz w:val="18"/>
                <w:szCs w:val="18"/>
              </w:rPr>
            </w:pPr>
            <w:r>
              <w:rPr>
                <w:rFonts w:eastAsiaTheme="minorEastAsia"/>
                <w:sz w:val="18"/>
                <w:szCs w:val="18"/>
              </w:rPr>
              <w:t>E</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0.1</w:t>
            </w:r>
            <w:r>
              <w:rPr>
                <w:rFonts w:hint="eastAsia" w:eastAsiaTheme="minorEastAsia"/>
                <w:sz w:val="18"/>
                <w:szCs w:val="18"/>
              </w:rPr>
              <w:t>2</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350</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1220</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红崖</w:t>
            </w:r>
            <w:r>
              <w:rPr>
                <w:rFonts w:eastAsiaTheme="minorEastAsia"/>
                <w:sz w:val="18"/>
                <w:szCs w:val="18"/>
              </w:rPr>
              <w:t>*</w:t>
            </w:r>
          </w:p>
        </w:tc>
        <w:tc>
          <w:tcPr>
            <w:tcW w:w="459" w:type="pct"/>
            <w:vAlign w:val="center"/>
          </w:tcPr>
          <w:p>
            <w:pPr>
              <w:spacing w:line="320" w:lineRule="exact"/>
              <w:jc w:val="center"/>
              <w:rPr>
                <w:rFonts w:eastAsiaTheme="minorEastAsia"/>
                <w:sz w:val="18"/>
                <w:szCs w:val="18"/>
              </w:rPr>
            </w:pPr>
            <w:r>
              <w:rPr>
                <w:rFonts w:eastAsiaTheme="minorEastAsia"/>
                <w:sz w:val="18"/>
                <w:szCs w:val="18"/>
              </w:rPr>
              <w:t>N</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0.4</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67</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235</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361" w:type="pct"/>
            <w:vMerge w:val="continue"/>
            <w:vAlign w:val="center"/>
          </w:tcPr>
          <w:p>
            <w:pPr>
              <w:jc w:val="center"/>
              <w:rPr>
                <w:rFonts w:eastAsiaTheme="minorEastAsia"/>
                <w:sz w:val="18"/>
                <w:szCs w:val="18"/>
                <w:highlight w:val="yellow"/>
              </w:rPr>
            </w:pPr>
          </w:p>
        </w:tc>
        <w:tc>
          <w:tcPr>
            <w:tcW w:w="1376" w:type="pct"/>
            <w:tcBorders>
              <w:top w:val="single" w:color="auto" w:sz="4" w:space="0"/>
            </w:tcBorders>
            <w:vAlign w:val="center"/>
          </w:tcPr>
          <w:p>
            <w:pPr>
              <w:spacing w:line="320" w:lineRule="exact"/>
              <w:jc w:val="center"/>
              <w:rPr>
                <w:rFonts w:eastAsiaTheme="minorEastAsia"/>
                <w:sz w:val="18"/>
                <w:szCs w:val="18"/>
              </w:rPr>
            </w:pPr>
            <w:r>
              <w:rPr>
                <w:rFonts w:hAnsiTheme="minorEastAsia" w:eastAsiaTheme="minorEastAsia"/>
                <w:sz w:val="18"/>
                <w:szCs w:val="18"/>
              </w:rPr>
              <w:t>丰山</w:t>
            </w:r>
            <w:r>
              <w:rPr>
                <w:rFonts w:eastAsiaTheme="minorEastAsia"/>
                <w:sz w:val="18"/>
                <w:szCs w:val="18"/>
              </w:rPr>
              <w:t>*</w:t>
            </w:r>
          </w:p>
        </w:tc>
        <w:tc>
          <w:tcPr>
            <w:tcW w:w="459" w:type="pct"/>
            <w:vAlign w:val="center"/>
          </w:tcPr>
          <w:p>
            <w:pPr>
              <w:spacing w:line="320" w:lineRule="exact"/>
              <w:jc w:val="center"/>
              <w:rPr>
                <w:rFonts w:eastAsiaTheme="minorEastAsia"/>
                <w:sz w:val="18"/>
                <w:szCs w:val="18"/>
              </w:rPr>
            </w:pPr>
            <w:r>
              <w:rPr>
                <w:rFonts w:eastAsiaTheme="minorEastAsia"/>
                <w:sz w:val="18"/>
                <w:szCs w:val="18"/>
              </w:rPr>
              <w:t>W</w:t>
            </w:r>
          </w:p>
        </w:tc>
        <w:tc>
          <w:tcPr>
            <w:tcW w:w="687" w:type="pct"/>
            <w:tcBorders>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0.9</w:t>
            </w:r>
          </w:p>
        </w:tc>
        <w:tc>
          <w:tcPr>
            <w:tcW w:w="381" w:type="pct"/>
            <w:tcBorders>
              <w:left w:val="single" w:color="auto" w:sz="4" w:space="0"/>
              <w:righ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83</w:t>
            </w:r>
          </w:p>
        </w:tc>
        <w:tc>
          <w:tcPr>
            <w:tcW w:w="383" w:type="pct"/>
            <w:tcBorders>
              <w:left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285</w:t>
            </w:r>
          </w:p>
        </w:tc>
        <w:tc>
          <w:tcPr>
            <w:tcW w:w="1353" w:type="pct"/>
            <w:vMerge w:val="continue"/>
            <w:shd w:val="clear" w:color="auto" w:fill="auto"/>
            <w:vAlign w:val="center"/>
          </w:tcPr>
          <w:p>
            <w:pPr>
              <w:pStyle w:val="7"/>
              <w:ind w:firstLine="0"/>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 w:hRule="atLeast"/>
        </w:trPr>
        <w:tc>
          <w:tcPr>
            <w:tcW w:w="361" w:type="pct"/>
            <w:vAlign w:val="center"/>
          </w:tcPr>
          <w:p>
            <w:pPr>
              <w:jc w:val="center"/>
              <w:rPr>
                <w:rFonts w:eastAsiaTheme="minorEastAsia"/>
                <w:sz w:val="18"/>
                <w:szCs w:val="18"/>
              </w:rPr>
            </w:pPr>
            <w:bookmarkStart w:id="120" w:name="_Toc225155115"/>
            <w:bookmarkStart w:id="121" w:name="_Toc168481470"/>
            <w:r>
              <w:rPr>
                <w:rFonts w:hAnsiTheme="minorEastAsia" w:eastAsiaTheme="minorEastAsia"/>
                <w:sz w:val="18"/>
                <w:szCs w:val="18"/>
              </w:rPr>
              <w:t>地表水</w:t>
            </w:r>
            <w:bookmarkEnd w:id="120"/>
            <w:bookmarkEnd w:id="121"/>
          </w:p>
        </w:tc>
        <w:tc>
          <w:tcPr>
            <w:tcW w:w="1376" w:type="pct"/>
            <w:vAlign w:val="center"/>
          </w:tcPr>
          <w:p>
            <w:pPr>
              <w:jc w:val="center"/>
              <w:rPr>
                <w:rFonts w:eastAsiaTheme="minorEastAsia"/>
                <w:sz w:val="18"/>
                <w:szCs w:val="18"/>
              </w:rPr>
            </w:pPr>
            <w:r>
              <w:rPr>
                <w:rFonts w:hAnsiTheme="minorEastAsia" w:eastAsiaTheme="minorEastAsia"/>
                <w:sz w:val="18"/>
                <w:szCs w:val="18"/>
              </w:rPr>
              <w:t>湫水河</w:t>
            </w:r>
          </w:p>
        </w:tc>
        <w:tc>
          <w:tcPr>
            <w:tcW w:w="459" w:type="pct"/>
            <w:shd w:val="clear" w:color="auto" w:fill="auto"/>
            <w:vAlign w:val="center"/>
          </w:tcPr>
          <w:p>
            <w:pPr>
              <w:jc w:val="center"/>
              <w:rPr>
                <w:rFonts w:eastAsiaTheme="minorEastAsia"/>
                <w:sz w:val="18"/>
                <w:szCs w:val="18"/>
              </w:rPr>
            </w:pPr>
            <w:r>
              <w:rPr>
                <w:rFonts w:eastAsiaTheme="minorEastAsia"/>
                <w:sz w:val="18"/>
                <w:szCs w:val="18"/>
              </w:rPr>
              <w:t>E</w:t>
            </w:r>
          </w:p>
        </w:tc>
        <w:tc>
          <w:tcPr>
            <w:tcW w:w="1451" w:type="pct"/>
            <w:gridSpan w:val="3"/>
            <w:vAlign w:val="center"/>
          </w:tcPr>
          <w:p>
            <w:pPr>
              <w:jc w:val="center"/>
              <w:rPr>
                <w:rFonts w:eastAsiaTheme="minorEastAsia"/>
                <w:sz w:val="18"/>
                <w:szCs w:val="18"/>
              </w:rPr>
            </w:pPr>
            <w:r>
              <w:rPr>
                <w:rFonts w:hAnsiTheme="minorEastAsia" w:eastAsiaTheme="minorEastAsia"/>
                <w:sz w:val="18"/>
                <w:szCs w:val="18"/>
              </w:rPr>
              <w:t>井田边界</w:t>
            </w:r>
            <w:r>
              <w:rPr>
                <w:rFonts w:eastAsiaTheme="minorEastAsia"/>
                <w:sz w:val="18"/>
                <w:szCs w:val="18"/>
              </w:rPr>
              <w:t>W 3.86</w:t>
            </w:r>
          </w:p>
        </w:tc>
        <w:tc>
          <w:tcPr>
            <w:tcW w:w="1353" w:type="pct"/>
            <w:vAlign w:val="center"/>
          </w:tcPr>
          <w:p>
            <w:pPr>
              <w:jc w:val="center"/>
              <w:rPr>
                <w:rFonts w:eastAsiaTheme="minorEastAsia"/>
                <w:sz w:val="18"/>
                <w:szCs w:val="18"/>
              </w:rPr>
            </w:pPr>
            <w:bookmarkStart w:id="122" w:name="_Toc225155119"/>
            <w:bookmarkStart w:id="123" w:name="_Toc168481474"/>
            <w:r>
              <w:rPr>
                <w:rFonts w:hAnsiTheme="minorEastAsia" w:eastAsiaTheme="minorEastAsia"/>
                <w:sz w:val="18"/>
                <w:szCs w:val="18"/>
              </w:rPr>
              <w:t>《地表水环境质量标准》Ⅳ类</w:t>
            </w:r>
            <w:bookmarkEnd w:id="122"/>
            <w:bookmarkEnd w:id="123"/>
            <w:r>
              <w:rPr>
                <w:rFonts w:hAnsiTheme="minorEastAsia" w:eastAsiaTheme="minorEastAsia"/>
                <w:sz w:val="18"/>
                <w:szCs w:val="18"/>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trPr>
        <w:tc>
          <w:tcPr>
            <w:tcW w:w="361" w:type="pct"/>
            <w:vMerge w:val="restart"/>
            <w:vAlign w:val="center"/>
          </w:tcPr>
          <w:p>
            <w:pPr>
              <w:jc w:val="center"/>
              <w:rPr>
                <w:rFonts w:eastAsiaTheme="minorEastAsia"/>
                <w:sz w:val="18"/>
                <w:szCs w:val="18"/>
                <w:highlight w:val="yellow"/>
              </w:rPr>
            </w:pPr>
            <w:bookmarkStart w:id="124" w:name="_Toc225155120"/>
            <w:bookmarkStart w:id="125" w:name="_Toc168481475"/>
            <w:r>
              <w:rPr>
                <w:rFonts w:hAnsiTheme="minorEastAsia" w:eastAsiaTheme="minorEastAsia"/>
                <w:sz w:val="18"/>
                <w:szCs w:val="18"/>
              </w:rPr>
              <w:t>地下水</w:t>
            </w:r>
            <w:bookmarkEnd w:id="124"/>
            <w:bookmarkEnd w:id="125"/>
          </w:p>
        </w:tc>
        <w:tc>
          <w:tcPr>
            <w:tcW w:w="1376" w:type="pct"/>
            <w:shd w:val="clear" w:color="auto" w:fill="auto"/>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含水层</w:t>
            </w:r>
          </w:p>
        </w:tc>
        <w:tc>
          <w:tcPr>
            <w:tcW w:w="1910" w:type="pct"/>
            <w:gridSpan w:val="4"/>
            <w:shd w:val="clear" w:color="auto" w:fill="auto"/>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井田内浅层含水层</w:t>
            </w:r>
            <w:r>
              <w:rPr>
                <w:rFonts w:ascii="Times New Roman" w:cs="Times New Roman" w:hAnsiTheme="minorEastAsia"/>
                <w:bCs/>
                <w:sz w:val="18"/>
                <w:szCs w:val="18"/>
              </w:rPr>
              <w:t>、奥陶灰岩水</w:t>
            </w:r>
          </w:p>
        </w:tc>
        <w:tc>
          <w:tcPr>
            <w:tcW w:w="1353" w:type="pct"/>
            <w:vAlign w:val="center"/>
          </w:tcPr>
          <w:p>
            <w:pPr>
              <w:jc w:val="center"/>
              <w:rPr>
                <w:rFonts w:eastAsiaTheme="minorEastAsia"/>
                <w:sz w:val="18"/>
                <w:szCs w:val="18"/>
                <w:highlight w:val="yellow"/>
              </w:rPr>
            </w:pPr>
            <w:bookmarkStart w:id="126" w:name="_Toc225155123"/>
            <w:bookmarkStart w:id="127" w:name="_Toc168481478"/>
            <w:r>
              <w:rPr>
                <w:rFonts w:hAnsiTheme="minorEastAsia" w:eastAsiaTheme="minorEastAsia"/>
                <w:sz w:val="18"/>
                <w:szCs w:val="18"/>
              </w:rPr>
              <w:t>《地下水质量标准》</w:t>
            </w:r>
            <w:r>
              <w:rPr>
                <w:rFonts w:asciiTheme="minorEastAsia" w:hAnsiTheme="minorEastAsia" w:eastAsiaTheme="minorEastAsia"/>
                <w:sz w:val="18"/>
                <w:szCs w:val="18"/>
              </w:rPr>
              <w:t>Ⅲ</w:t>
            </w:r>
            <w:r>
              <w:rPr>
                <w:rFonts w:hAnsiTheme="minorEastAsia" w:eastAsiaTheme="minorEastAsia"/>
                <w:sz w:val="18"/>
                <w:szCs w:val="18"/>
              </w:rPr>
              <w:t>类标准</w:t>
            </w:r>
            <w:bookmarkEnd w:id="126"/>
            <w:bookmarkEnd w:id="12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3" w:hRule="atLeast"/>
        </w:trPr>
        <w:tc>
          <w:tcPr>
            <w:tcW w:w="361" w:type="pct"/>
            <w:vMerge w:val="continue"/>
            <w:vAlign w:val="center"/>
          </w:tcPr>
          <w:p>
            <w:pPr>
              <w:jc w:val="center"/>
              <w:rPr>
                <w:rFonts w:eastAsiaTheme="minorEastAsia"/>
                <w:sz w:val="18"/>
                <w:szCs w:val="18"/>
                <w:highlight w:val="yellow"/>
              </w:rPr>
            </w:pPr>
          </w:p>
        </w:tc>
        <w:tc>
          <w:tcPr>
            <w:tcW w:w="1376" w:type="pct"/>
            <w:shd w:val="clear" w:color="auto" w:fill="auto"/>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招贤镇集中供水水源地</w:t>
            </w:r>
          </w:p>
        </w:tc>
        <w:tc>
          <w:tcPr>
            <w:tcW w:w="459" w:type="pct"/>
            <w:shd w:val="clear" w:color="auto" w:fill="auto"/>
            <w:vAlign w:val="center"/>
          </w:tcPr>
          <w:p>
            <w:pPr>
              <w:jc w:val="center"/>
              <w:rPr>
                <w:rFonts w:eastAsiaTheme="minorEastAsia"/>
                <w:sz w:val="18"/>
                <w:szCs w:val="18"/>
              </w:rPr>
            </w:pPr>
            <w:r>
              <w:rPr>
                <w:rFonts w:eastAsiaTheme="minorEastAsia"/>
                <w:sz w:val="18"/>
                <w:szCs w:val="18"/>
              </w:rPr>
              <w:t>E</w:t>
            </w:r>
          </w:p>
        </w:tc>
        <w:tc>
          <w:tcPr>
            <w:tcW w:w="1451" w:type="pct"/>
            <w:gridSpan w:val="3"/>
            <w:shd w:val="clear" w:color="auto" w:fill="auto"/>
            <w:vAlign w:val="center"/>
          </w:tcPr>
          <w:p>
            <w:pPr>
              <w:jc w:val="center"/>
              <w:rPr>
                <w:rFonts w:eastAsiaTheme="minorEastAsia"/>
                <w:sz w:val="18"/>
                <w:szCs w:val="18"/>
              </w:rPr>
            </w:pPr>
            <w:r>
              <w:rPr>
                <w:rFonts w:eastAsiaTheme="minorEastAsia"/>
                <w:sz w:val="18"/>
                <w:szCs w:val="18"/>
              </w:rPr>
              <w:t>38m</w:t>
            </w:r>
          </w:p>
        </w:tc>
        <w:tc>
          <w:tcPr>
            <w:tcW w:w="1353" w:type="pct"/>
            <w:vAlign w:val="center"/>
          </w:tcPr>
          <w:p>
            <w:pPr>
              <w:jc w:val="center"/>
              <w:rPr>
                <w:rFonts w:eastAsiaTheme="minorEastAsia"/>
                <w:sz w:val="18"/>
                <w:szCs w:val="18"/>
              </w:rPr>
            </w:pPr>
            <w:r>
              <w:rPr>
                <w:rFonts w:hAnsiTheme="minorEastAsia" w:eastAsiaTheme="minorEastAsia"/>
                <w:sz w:val="18"/>
                <w:szCs w:val="18"/>
              </w:rPr>
              <w:t>留设保护区煤柱，岩溶地下水补给不受影响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361" w:type="pct"/>
            <w:vMerge w:val="continue"/>
            <w:vAlign w:val="center"/>
          </w:tcPr>
          <w:p>
            <w:pPr>
              <w:jc w:val="center"/>
              <w:rPr>
                <w:rFonts w:eastAsiaTheme="minorEastAsia"/>
                <w:sz w:val="18"/>
                <w:szCs w:val="18"/>
                <w:highlight w:val="yellow"/>
              </w:rPr>
            </w:pPr>
          </w:p>
        </w:tc>
        <w:tc>
          <w:tcPr>
            <w:tcW w:w="1376" w:type="pct"/>
            <w:shd w:val="clear" w:color="auto" w:fill="auto"/>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柳林泉域重点保护区</w:t>
            </w:r>
          </w:p>
        </w:tc>
        <w:tc>
          <w:tcPr>
            <w:tcW w:w="459" w:type="pct"/>
            <w:shd w:val="clear" w:color="auto" w:fill="auto"/>
            <w:vAlign w:val="center"/>
          </w:tcPr>
          <w:p>
            <w:pPr>
              <w:jc w:val="center"/>
              <w:rPr>
                <w:rFonts w:eastAsiaTheme="minorEastAsia"/>
                <w:sz w:val="18"/>
                <w:szCs w:val="18"/>
              </w:rPr>
            </w:pPr>
            <w:r>
              <w:rPr>
                <w:rFonts w:eastAsiaTheme="minorEastAsia"/>
                <w:sz w:val="18"/>
                <w:szCs w:val="18"/>
              </w:rPr>
              <w:t>S</w:t>
            </w:r>
          </w:p>
        </w:tc>
        <w:tc>
          <w:tcPr>
            <w:tcW w:w="1451" w:type="pct"/>
            <w:gridSpan w:val="3"/>
            <w:shd w:val="clear" w:color="auto" w:fill="auto"/>
            <w:vAlign w:val="center"/>
          </w:tcPr>
          <w:p>
            <w:pPr>
              <w:jc w:val="center"/>
              <w:rPr>
                <w:rFonts w:eastAsiaTheme="minorEastAsia"/>
                <w:sz w:val="18"/>
                <w:szCs w:val="18"/>
              </w:rPr>
            </w:pPr>
            <w:r>
              <w:rPr>
                <w:rFonts w:eastAsiaTheme="minorEastAsia"/>
                <w:sz w:val="18"/>
                <w:szCs w:val="18"/>
              </w:rPr>
              <w:t>20</w:t>
            </w:r>
          </w:p>
        </w:tc>
        <w:tc>
          <w:tcPr>
            <w:tcW w:w="1353" w:type="pct"/>
            <w:vAlign w:val="center"/>
          </w:tcPr>
          <w:p>
            <w:pPr>
              <w:jc w:val="center"/>
              <w:rPr>
                <w:rFonts w:eastAsiaTheme="minorEastAsia"/>
                <w:sz w:val="18"/>
                <w:szCs w:val="18"/>
              </w:rPr>
            </w:pPr>
            <w:r>
              <w:rPr>
                <w:rFonts w:hAnsiTheme="minorEastAsia" w:eastAsiaTheme="minorEastAsia"/>
                <w:sz w:val="18"/>
                <w:szCs w:val="18"/>
              </w:rPr>
              <w:t>留设保护区煤柱，岩溶地下水补给不受影响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restart"/>
            <w:vAlign w:val="center"/>
          </w:tcPr>
          <w:p>
            <w:pPr>
              <w:jc w:val="center"/>
              <w:rPr>
                <w:rFonts w:eastAsiaTheme="minorEastAsia"/>
                <w:sz w:val="18"/>
                <w:szCs w:val="18"/>
              </w:rPr>
            </w:pPr>
            <w:bookmarkStart w:id="128" w:name="_Toc168481479"/>
            <w:bookmarkStart w:id="129" w:name="_Toc225155127"/>
            <w:r>
              <w:rPr>
                <w:rFonts w:hAnsiTheme="minorEastAsia" w:eastAsiaTheme="minorEastAsia"/>
                <w:sz w:val="18"/>
                <w:szCs w:val="18"/>
              </w:rPr>
              <w:t>声环境</w:t>
            </w:r>
            <w:bookmarkEnd w:id="128"/>
            <w:bookmarkEnd w:id="129"/>
          </w:p>
        </w:tc>
        <w:tc>
          <w:tcPr>
            <w:tcW w:w="1376" w:type="pct"/>
            <w:vAlign w:val="center"/>
          </w:tcPr>
          <w:p>
            <w:pPr>
              <w:pStyle w:val="103"/>
              <w:adjustRightInd/>
              <w:spacing w:line="240" w:lineRule="auto"/>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工业场地</w:t>
            </w:r>
          </w:p>
        </w:tc>
        <w:tc>
          <w:tcPr>
            <w:tcW w:w="1910" w:type="pct"/>
            <w:gridSpan w:val="4"/>
            <w:vAlign w:val="center"/>
          </w:tcPr>
          <w:p>
            <w:pPr>
              <w:pStyle w:val="103"/>
              <w:adjustRightInd/>
              <w:spacing w:line="240" w:lineRule="auto"/>
              <w:jc w:val="center"/>
              <w:rPr>
                <w:rFonts w:ascii="Times New Roman" w:hAnsi="Times New Roman" w:cs="Times New Roman" w:eastAsiaTheme="minorEastAsia"/>
                <w:sz w:val="18"/>
                <w:szCs w:val="18"/>
              </w:rPr>
            </w:pPr>
            <w:r>
              <w:rPr>
                <w:rFonts w:ascii="Times New Roman" w:cs="Times New Roman" w:hAnsiTheme="minorEastAsia" w:eastAsiaTheme="minorEastAsia"/>
                <w:bCs/>
                <w:sz w:val="18"/>
                <w:szCs w:val="18"/>
              </w:rPr>
              <w:t>高家庄</w:t>
            </w:r>
            <w:r>
              <w:rPr>
                <w:rFonts w:ascii="Times New Roman" w:hAnsi="Times New Roman" w:cs="Times New Roman" w:eastAsiaTheme="minorEastAsia"/>
                <w:sz w:val="18"/>
                <w:szCs w:val="18"/>
              </w:rPr>
              <w:t>*</w:t>
            </w:r>
            <w:r>
              <w:rPr>
                <w:rFonts w:ascii="Times New Roman" w:cs="Times New Roman" w:hAnsiTheme="minorEastAsia" w:eastAsiaTheme="minorEastAsia"/>
                <w:sz w:val="18"/>
                <w:szCs w:val="18"/>
              </w:rPr>
              <w:t>（工业场地边界</w:t>
            </w:r>
            <w:r>
              <w:rPr>
                <w:rFonts w:ascii="Times New Roman" w:hAnsi="Times New Roman" w:cs="Times New Roman" w:eastAsiaTheme="minorEastAsia"/>
                <w:sz w:val="18"/>
                <w:szCs w:val="18"/>
              </w:rPr>
              <w:t>E 0.15km</w:t>
            </w:r>
            <w:r>
              <w:rPr>
                <w:rFonts w:ascii="Times New Roman" w:cs="Times New Roman" w:hAnsiTheme="minorEastAsia" w:eastAsiaTheme="minorEastAsia"/>
                <w:sz w:val="18"/>
                <w:szCs w:val="18"/>
              </w:rPr>
              <w:t>）</w:t>
            </w:r>
          </w:p>
        </w:tc>
        <w:tc>
          <w:tcPr>
            <w:tcW w:w="1353" w:type="pct"/>
            <w:vMerge w:val="restart"/>
            <w:vAlign w:val="center"/>
          </w:tcPr>
          <w:p>
            <w:pPr>
              <w:jc w:val="center"/>
              <w:rPr>
                <w:rFonts w:eastAsiaTheme="minorEastAsia"/>
                <w:sz w:val="18"/>
                <w:szCs w:val="18"/>
                <w:highlight w:val="yellow"/>
              </w:rPr>
            </w:pPr>
            <w:r>
              <w:rPr>
                <w:rFonts w:hAnsiTheme="minorEastAsia" w:eastAsiaTheme="minorEastAsia"/>
                <w:sz w:val="18"/>
                <w:szCs w:val="18"/>
              </w:rPr>
              <w:t>《声环境质量标准》</w:t>
            </w:r>
            <w:bookmarkStart w:id="130" w:name="_Toc168481483"/>
            <w:bookmarkStart w:id="131" w:name="_Toc225155130"/>
            <w:r>
              <w:rPr>
                <w:rFonts w:hAnsiTheme="minorEastAsia" w:eastAsiaTheme="minorEastAsia"/>
                <w:sz w:val="18"/>
                <w:szCs w:val="18"/>
              </w:rPr>
              <w:t>（</w:t>
            </w:r>
            <w:r>
              <w:rPr>
                <w:rFonts w:eastAsiaTheme="minorEastAsia"/>
                <w:sz w:val="18"/>
                <w:szCs w:val="18"/>
              </w:rPr>
              <w:t>GB3096-2008</w:t>
            </w:r>
            <w:r>
              <w:rPr>
                <w:rFonts w:hAnsiTheme="minorEastAsia" w:eastAsiaTheme="minorEastAsia"/>
                <w:sz w:val="18"/>
                <w:szCs w:val="18"/>
              </w:rPr>
              <w:t>）</w:t>
            </w:r>
            <w:r>
              <w:rPr>
                <w:rFonts w:eastAsiaTheme="minorEastAsia"/>
                <w:sz w:val="18"/>
                <w:szCs w:val="18"/>
              </w:rPr>
              <w:t>2</w:t>
            </w:r>
            <w:r>
              <w:rPr>
                <w:rFonts w:hAnsiTheme="minorEastAsia" w:eastAsiaTheme="minorEastAsia"/>
                <w:sz w:val="18"/>
                <w:szCs w:val="18"/>
              </w:rPr>
              <w:t>类</w:t>
            </w:r>
            <w:bookmarkEnd w:id="130"/>
            <w:bookmarkEnd w:id="131"/>
            <w:r>
              <w:rPr>
                <w:rFonts w:hAnsiTheme="minorEastAsia" w:eastAsiaTheme="minorEastAsia"/>
                <w:sz w:val="18"/>
                <w:szCs w:val="18"/>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continue"/>
            <w:vAlign w:val="center"/>
          </w:tcPr>
          <w:p>
            <w:pPr>
              <w:jc w:val="center"/>
              <w:rPr>
                <w:rFonts w:eastAsiaTheme="minorEastAsia"/>
                <w:sz w:val="18"/>
                <w:szCs w:val="18"/>
              </w:rPr>
            </w:pPr>
          </w:p>
        </w:tc>
        <w:tc>
          <w:tcPr>
            <w:tcW w:w="1376" w:type="pct"/>
            <w:vAlign w:val="center"/>
          </w:tcPr>
          <w:p>
            <w:pPr>
              <w:pStyle w:val="103"/>
              <w:adjustRightInd/>
              <w:spacing w:line="240" w:lineRule="auto"/>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排矸场</w:t>
            </w:r>
          </w:p>
        </w:tc>
        <w:tc>
          <w:tcPr>
            <w:tcW w:w="1910" w:type="pct"/>
            <w:gridSpan w:val="4"/>
            <w:vAlign w:val="center"/>
          </w:tcPr>
          <w:p>
            <w:pPr>
              <w:pStyle w:val="103"/>
              <w:adjustRightInd/>
              <w:spacing w:line="240" w:lineRule="auto"/>
              <w:jc w:val="center"/>
              <w:rPr>
                <w:rFonts w:ascii="Times New Roman" w:hAnsi="Times New Roman" w:cs="Times New Roman" w:eastAsiaTheme="minorEastAsia"/>
                <w:sz w:val="18"/>
                <w:szCs w:val="18"/>
              </w:rPr>
            </w:pPr>
            <w:r>
              <w:rPr>
                <w:rFonts w:ascii="Times New Roman" w:cs="Times New Roman" w:hAnsiTheme="minorEastAsia" w:eastAsiaTheme="minorEastAsia"/>
                <w:bCs/>
                <w:sz w:val="18"/>
                <w:szCs w:val="18"/>
              </w:rPr>
              <w:t>红崖</w:t>
            </w:r>
            <w:r>
              <w:rPr>
                <w:rFonts w:ascii="Times New Roman" w:hAnsi="Times New Roman" w:cs="Times New Roman" w:eastAsiaTheme="minorEastAsia"/>
                <w:sz w:val="18"/>
                <w:szCs w:val="18"/>
              </w:rPr>
              <w:t>*</w:t>
            </w:r>
            <w:r>
              <w:rPr>
                <w:rFonts w:ascii="Times New Roman" w:cs="Times New Roman" w:hAnsiTheme="minorEastAsia" w:eastAsiaTheme="minorEastAsia"/>
                <w:sz w:val="18"/>
                <w:szCs w:val="18"/>
              </w:rPr>
              <w:t>（排矸场边界</w:t>
            </w:r>
            <w:r>
              <w:rPr>
                <w:rFonts w:ascii="Times New Roman" w:hAnsi="Times New Roman" w:cs="Times New Roman" w:eastAsiaTheme="minorEastAsia"/>
                <w:sz w:val="18"/>
                <w:szCs w:val="18"/>
              </w:rPr>
              <w:t>S  0.20km</w:t>
            </w:r>
            <w:r>
              <w:rPr>
                <w:rFonts w:ascii="Times New Roman" w:cs="Times New Roman" w:hAnsiTheme="minorEastAsia" w:eastAsiaTheme="minorEastAsia"/>
                <w:sz w:val="18"/>
                <w:szCs w:val="18"/>
              </w:rPr>
              <w:t>）</w:t>
            </w:r>
          </w:p>
        </w:tc>
        <w:tc>
          <w:tcPr>
            <w:tcW w:w="1353" w:type="pct"/>
            <w:vMerge w:val="continue"/>
            <w:vAlign w:val="center"/>
          </w:tcPr>
          <w:p>
            <w:pPr>
              <w:jc w:val="center"/>
              <w:rPr>
                <w:rFonts w:eastAsiaTheme="minorEastAsia"/>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restart"/>
            <w:vAlign w:val="center"/>
          </w:tcPr>
          <w:p>
            <w:pPr>
              <w:jc w:val="center"/>
              <w:rPr>
                <w:rFonts w:eastAsiaTheme="minorEastAsia"/>
                <w:sz w:val="18"/>
                <w:szCs w:val="18"/>
                <w:highlight w:val="yellow"/>
              </w:rPr>
            </w:pPr>
            <w:r>
              <w:rPr>
                <w:rFonts w:hAnsiTheme="minorEastAsia" w:eastAsiaTheme="minorEastAsia"/>
                <w:sz w:val="18"/>
                <w:szCs w:val="18"/>
              </w:rPr>
              <w:t>生态环境</w:t>
            </w:r>
          </w:p>
        </w:tc>
        <w:tc>
          <w:tcPr>
            <w:tcW w:w="1376"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居民点</w:t>
            </w:r>
          </w:p>
        </w:tc>
        <w:tc>
          <w:tcPr>
            <w:tcW w:w="1910" w:type="pct"/>
            <w:gridSpan w:val="4"/>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井田范围内的</w:t>
            </w:r>
            <w:r>
              <w:rPr>
                <w:rFonts w:ascii="Times New Roman" w:cs="Times New Roman" w:hAnsiTheme="minorEastAsia"/>
                <w:bCs/>
                <w:sz w:val="18"/>
                <w:szCs w:val="18"/>
              </w:rPr>
              <w:t>招贤镇、水源村、前庄</w:t>
            </w:r>
          </w:p>
        </w:tc>
        <w:tc>
          <w:tcPr>
            <w:tcW w:w="1353"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bCs/>
                <w:sz w:val="18"/>
                <w:szCs w:val="18"/>
              </w:rPr>
              <w:t>留设保护煤柱、</w:t>
            </w:r>
            <w:r>
              <w:rPr>
                <w:rFonts w:ascii="Times New Roman" w:cs="Times New Roman" w:hAnsiTheme="minorEastAsia"/>
                <w:sz w:val="18"/>
                <w:szCs w:val="18"/>
              </w:rPr>
              <w:t>房屋不被破坏，保障饮水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continue"/>
            <w:vAlign w:val="center"/>
          </w:tcPr>
          <w:p>
            <w:pPr>
              <w:jc w:val="center"/>
              <w:rPr>
                <w:rFonts w:eastAsiaTheme="minorEastAsia"/>
                <w:sz w:val="18"/>
                <w:szCs w:val="18"/>
                <w:highlight w:val="yellow"/>
              </w:rPr>
            </w:pPr>
          </w:p>
        </w:tc>
        <w:tc>
          <w:tcPr>
            <w:tcW w:w="1376"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排矸场周围</w:t>
            </w:r>
          </w:p>
        </w:tc>
        <w:tc>
          <w:tcPr>
            <w:tcW w:w="459" w:type="pct"/>
            <w:tcBorders>
              <w:right w:val="single" w:color="auto" w:sz="4" w:space="0"/>
            </w:tcBorders>
            <w:vAlign w:val="center"/>
          </w:tcPr>
          <w:p>
            <w:pPr>
              <w:pStyle w:val="14"/>
              <w:spacing w:after="0" w:line="240" w:lineRule="auto"/>
              <w:ind w:left="0" w:leftChars="0"/>
              <w:jc w:val="center"/>
              <w:rPr>
                <w:rFonts w:eastAsiaTheme="minorEastAsia"/>
                <w:bCs/>
                <w:sz w:val="18"/>
                <w:szCs w:val="18"/>
              </w:rPr>
            </w:pPr>
            <w:r>
              <w:rPr>
                <w:rFonts w:hAnsiTheme="minorEastAsia" w:eastAsiaTheme="minorEastAsia"/>
                <w:bCs/>
                <w:sz w:val="18"/>
                <w:szCs w:val="18"/>
              </w:rPr>
              <w:t>红崖</w:t>
            </w:r>
            <w:r>
              <w:rPr>
                <w:rFonts w:eastAsiaTheme="minorEastAsia"/>
                <w:sz w:val="18"/>
                <w:szCs w:val="18"/>
              </w:rPr>
              <w:t>*</w:t>
            </w:r>
          </w:p>
        </w:tc>
        <w:tc>
          <w:tcPr>
            <w:tcW w:w="687" w:type="pct"/>
            <w:tcBorders>
              <w:left w:val="single" w:color="auto" w:sz="4" w:space="0"/>
              <w:right w:val="single" w:color="auto" w:sz="4" w:space="0"/>
            </w:tcBorders>
            <w:vAlign w:val="center"/>
          </w:tcPr>
          <w:p>
            <w:pPr>
              <w:pStyle w:val="14"/>
              <w:spacing w:after="0" w:line="240" w:lineRule="auto"/>
              <w:ind w:left="0" w:leftChars="0"/>
              <w:jc w:val="center"/>
              <w:rPr>
                <w:rFonts w:eastAsiaTheme="minorEastAsia"/>
                <w:bCs/>
                <w:sz w:val="18"/>
                <w:szCs w:val="18"/>
              </w:rPr>
            </w:pPr>
            <w:r>
              <w:rPr>
                <w:rFonts w:eastAsiaTheme="minorEastAsia"/>
                <w:bCs/>
                <w:sz w:val="18"/>
                <w:szCs w:val="18"/>
              </w:rPr>
              <w:t>S</w:t>
            </w:r>
          </w:p>
        </w:tc>
        <w:tc>
          <w:tcPr>
            <w:tcW w:w="764" w:type="pct"/>
            <w:gridSpan w:val="2"/>
            <w:tcBorders>
              <w:left w:val="single" w:color="auto" w:sz="4" w:space="0"/>
            </w:tcBorders>
            <w:vAlign w:val="center"/>
          </w:tcPr>
          <w:p>
            <w:pPr>
              <w:pStyle w:val="14"/>
              <w:spacing w:after="0" w:line="240" w:lineRule="auto"/>
              <w:ind w:left="0" w:leftChars="0"/>
              <w:jc w:val="center"/>
              <w:rPr>
                <w:rFonts w:eastAsiaTheme="minorEastAsia"/>
                <w:bCs/>
                <w:sz w:val="18"/>
                <w:szCs w:val="18"/>
              </w:rPr>
            </w:pPr>
            <w:r>
              <w:rPr>
                <w:rFonts w:eastAsiaTheme="minorEastAsia"/>
                <w:bCs/>
                <w:sz w:val="18"/>
                <w:szCs w:val="18"/>
              </w:rPr>
              <w:t>200m</w:t>
            </w:r>
          </w:p>
        </w:tc>
        <w:tc>
          <w:tcPr>
            <w:tcW w:w="1353" w:type="pct"/>
            <w:vAlign w:val="center"/>
          </w:tcPr>
          <w:p>
            <w:pPr>
              <w:pStyle w:val="13"/>
              <w:spacing w:line="240" w:lineRule="atLeast"/>
              <w:jc w:val="center"/>
              <w:rPr>
                <w:rFonts w:ascii="Times New Roman" w:hAnsi="Times New Roman" w:eastAsiaTheme="minorEastAsia"/>
                <w:bCs/>
                <w:sz w:val="18"/>
                <w:szCs w:val="18"/>
              </w:rPr>
            </w:pPr>
            <w:r>
              <w:rPr>
                <w:rFonts w:ascii="Times New Roman" w:hAnsiTheme="minorEastAsia" w:eastAsiaTheme="minorEastAsia"/>
                <w:bCs/>
                <w:sz w:val="18"/>
                <w:szCs w:val="18"/>
              </w:rPr>
              <w:t>由政府实施搬迁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continue"/>
            <w:vAlign w:val="center"/>
          </w:tcPr>
          <w:p>
            <w:pPr>
              <w:jc w:val="center"/>
              <w:rPr>
                <w:rFonts w:eastAsiaTheme="minorEastAsia"/>
                <w:sz w:val="18"/>
                <w:szCs w:val="18"/>
                <w:highlight w:val="yellow"/>
              </w:rPr>
            </w:pPr>
          </w:p>
        </w:tc>
        <w:tc>
          <w:tcPr>
            <w:tcW w:w="1376"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地表植被</w:t>
            </w:r>
          </w:p>
        </w:tc>
        <w:tc>
          <w:tcPr>
            <w:tcW w:w="1910" w:type="pct"/>
            <w:gridSpan w:val="4"/>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地表植被主要受采动影响，沉陷盆地边缘会遭到一定破坏</w:t>
            </w:r>
          </w:p>
        </w:tc>
        <w:tc>
          <w:tcPr>
            <w:tcW w:w="1353"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破坏后及时恢复到未被破坏前的状态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continue"/>
            <w:vAlign w:val="center"/>
          </w:tcPr>
          <w:p>
            <w:pPr>
              <w:jc w:val="center"/>
              <w:rPr>
                <w:rFonts w:eastAsiaTheme="minorEastAsia"/>
                <w:sz w:val="18"/>
                <w:szCs w:val="18"/>
                <w:highlight w:val="yellow"/>
              </w:rPr>
            </w:pPr>
          </w:p>
        </w:tc>
        <w:tc>
          <w:tcPr>
            <w:tcW w:w="1376"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水土流失</w:t>
            </w:r>
          </w:p>
        </w:tc>
        <w:tc>
          <w:tcPr>
            <w:tcW w:w="1910" w:type="pct"/>
            <w:gridSpan w:val="4"/>
            <w:vAlign w:val="center"/>
          </w:tcPr>
          <w:p>
            <w:pPr>
              <w:pStyle w:val="90"/>
              <w:snapToGrid/>
              <w:spacing w:line="240" w:lineRule="auto"/>
              <w:rPr>
                <w:rFonts w:ascii="Times New Roman" w:hAnsi="Times New Roman" w:cs="Times New Roman"/>
                <w:spacing w:val="-4"/>
                <w:sz w:val="18"/>
                <w:szCs w:val="18"/>
              </w:rPr>
            </w:pPr>
            <w:r>
              <w:rPr>
                <w:rFonts w:ascii="Times New Roman" w:cs="Times New Roman" w:hAnsiTheme="minorEastAsia"/>
                <w:spacing w:val="-4"/>
                <w:sz w:val="18"/>
                <w:szCs w:val="18"/>
              </w:rPr>
              <w:t>沉陷盆地边缘可能会加重水土流失；工业场地已建成，工程扰动影响已消失</w:t>
            </w:r>
          </w:p>
        </w:tc>
        <w:tc>
          <w:tcPr>
            <w:tcW w:w="1353"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采取水保措施，防止水土流失加重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continue"/>
            <w:vAlign w:val="center"/>
          </w:tcPr>
          <w:p>
            <w:pPr>
              <w:jc w:val="center"/>
              <w:rPr>
                <w:rFonts w:eastAsiaTheme="minorEastAsia"/>
                <w:sz w:val="18"/>
                <w:szCs w:val="18"/>
                <w:highlight w:val="yellow"/>
              </w:rPr>
            </w:pPr>
          </w:p>
        </w:tc>
        <w:tc>
          <w:tcPr>
            <w:tcW w:w="1376"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农田和农作物</w:t>
            </w:r>
          </w:p>
        </w:tc>
        <w:tc>
          <w:tcPr>
            <w:tcW w:w="1910" w:type="pct"/>
            <w:gridSpan w:val="4"/>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受地表沉陷影响在沉陷盆地边缘农作物可能遭到破坏，造成减产</w:t>
            </w:r>
          </w:p>
        </w:tc>
        <w:tc>
          <w:tcPr>
            <w:tcW w:w="1353"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及时修整、恢复，防止减产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Align w:val="center"/>
          </w:tcPr>
          <w:p>
            <w:pPr>
              <w:jc w:val="center"/>
              <w:rPr>
                <w:rFonts w:eastAsiaTheme="minorEastAsia"/>
                <w:sz w:val="18"/>
                <w:szCs w:val="18"/>
              </w:rPr>
            </w:pPr>
            <w:r>
              <w:rPr>
                <w:rFonts w:hAnsiTheme="minorEastAsia" w:eastAsiaTheme="minorEastAsia"/>
                <w:sz w:val="18"/>
                <w:szCs w:val="18"/>
              </w:rPr>
              <w:t>土壤环境</w:t>
            </w:r>
          </w:p>
        </w:tc>
        <w:tc>
          <w:tcPr>
            <w:tcW w:w="1376"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农田</w:t>
            </w:r>
          </w:p>
        </w:tc>
        <w:tc>
          <w:tcPr>
            <w:tcW w:w="1910" w:type="pct"/>
            <w:gridSpan w:val="4"/>
            <w:vAlign w:val="center"/>
          </w:tcPr>
          <w:p>
            <w:pPr>
              <w:pStyle w:val="90"/>
              <w:snapToGrid/>
              <w:spacing w:line="240" w:lineRule="auto"/>
              <w:jc w:val="left"/>
              <w:rPr>
                <w:rFonts w:ascii="Times New Roman" w:cs="Times New Roman" w:hAnsiTheme="minorEastAsia"/>
                <w:sz w:val="18"/>
                <w:szCs w:val="18"/>
              </w:rPr>
            </w:pPr>
            <w:r>
              <w:rPr>
                <w:rFonts w:ascii="Times New Roman" w:cs="Times New Roman" w:hAnsiTheme="minorEastAsia"/>
                <w:sz w:val="18"/>
                <w:szCs w:val="18"/>
              </w:rPr>
              <w:t>工业广场</w:t>
            </w:r>
            <w:r>
              <w:rPr>
                <w:rFonts w:ascii="Times New Roman" w:hAnsi="Times New Roman" w:cs="Times New Roman"/>
                <w:sz w:val="18"/>
                <w:szCs w:val="18"/>
              </w:rPr>
              <w:t>200m</w:t>
            </w:r>
            <w:r>
              <w:rPr>
                <w:rFonts w:ascii="Times New Roman" w:cs="Times New Roman" w:hAnsiTheme="minorEastAsia"/>
                <w:sz w:val="18"/>
                <w:szCs w:val="18"/>
              </w:rPr>
              <w:t>范围内土壤</w:t>
            </w:r>
            <w:r>
              <w:rPr>
                <w:rFonts w:hint="eastAsia" w:ascii="Times New Roman" w:cs="Times New Roman" w:hAnsiTheme="minorEastAsia"/>
                <w:sz w:val="18"/>
                <w:szCs w:val="18"/>
              </w:rPr>
              <w:t>；</w:t>
            </w:r>
          </w:p>
          <w:p>
            <w:pPr>
              <w:pStyle w:val="90"/>
              <w:snapToGrid/>
              <w:spacing w:line="240" w:lineRule="auto"/>
              <w:jc w:val="left"/>
              <w:rPr>
                <w:rFonts w:ascii="Times New Roman" w:hAnsi="Times New Roman" w:cs="Times New Roman"/>
                <w:sz w:val="18"/>
                <w:szCs w:val="18"/>
              </w:rPr>
            </w:pPr>
            <w:r>
              <w:rPr>
                <w:rFonts w:ascii="Times New Roman" w:cs="Times New Roman" w:hAnsiTheme="minorEastAsia"/>
                <w:sz w:val="18"/>
                <w:szCs w:val="18"/>
              </w:rPr>
              <w:t>井田及周围内</w:t>
            </w:r>
            <w:r>
              <w:rPr>
                <w:rFonts w:ascii="Times New Roman" w:hAnsi="Times New Roman" w:cs="Times New Roman"/>
                <w:sz w:val="18"/>
                <w:szCs w:val="18"/>
              </w:rPr>
              <w:t>1000m</w:t>
            </w:r>
            <w:r>
              <w:rPr>
                <w:rFonts w:ascii="Times New Roman" w:cs="Times New Roman" w:hAnsiTheme="minorEastAsia"/>
                <w:sz w:val="18"/>
                <w:szCs w:val="18"/>
              </w:rPr>
              <w:t>范围内土壤。</w:t>
            </w:r>
          </w:p>
          <w:p>
            <w:pPr>
              <w:pStyle w:val="90"/>
              <w:snapToGrid/>
              <w:spacing w:line="240" w:lineRule="auto"/>
              <w:rPr>
                <w:rFonts w:ascii="Times New Roman" w:hAnsi="Times New Roman" w:cs="Times New Roman"/>
                <w:sz w:val="18"/>
                <w:szCs w:val="18"/>
              </w:rPr>
            </w:pPr>
          </w:p>
        </w:tc>
        <w:tc>
          <w:tcPr>
            <w:tcW w:w="1353" w:type="pct"/>
            <w:vAlign w:val="center"/>
          </w:tcPr>
          <w:p>
            <w:pPr>
              <w:pStyle w:val="90"/>
              <w:snapToGrid/>
              <w:spacing w:line="240" w:lineRule="auto"/>
              <w:rPr>
                <w:rFonts w:ascii="Times New Roman" w:hAnsi="Times New Roman" w:cs="Times New Roman"/>
                <w:sz w:val="18"/>
                <w:szCs w:val="18"/>
              </w:rPr>
            </w:pPr>
            <w:r>
              <w:rPr>
                <w:rFonts w:ascii="Times New Roman" w:cs="Times New Roman" w:hAnsiTheme="minorEastAsia"/>
                <w:sz w:val="18"/>
                <w:szCs w:val="18"/>
              </w:rPr>
              <w:t>工业场地</w:t>
            </w:r>
            <w:r>
              <w:rPr>
                <w:rFonts w:hint="eastAsia" w:ascii="Times New Roman" w:cs="Times New Roman" w:hAnsiTheme="minorEastAsia"/>
                <w:sz w:val="18"/>
                <w:szCs w:val="18"/>
              </w:rPr>
              <w:t>和</w:t>
            </w:r>
            <w:r>
              <w:rPr>
                <w:rFonts w:ascii="Times New Roman" w:cs="Times New Roman" w:hAnsiTheme="minorEastAsia"/>
                <w:sz w:val="18"/>
                <w:szCs w:val="18"/>
              </w:rPr>
              <w:t>风井场地执行《土壤环境质量</w:t>
            </w:r>
            <w:r>
              <w:rPr>
                <w:rFonts w:ascii="Times New Roman" w:hAnsi="Times New Roman" w:cs="Times New Roman"/>
                <w:sz w:val="18"/>
                <w:szCs w:val="18"/>
              </w:rPr>
              <w:t xml:space="preserve"> </w:t>
            </w:r>
            <w:r>
              <w:rPr>
                <w:rFonts w:ascii="Times New Roman" w:cs="Times New Roman" w:hAnsiTheme="minorEastAsia"/>
                <w:sz w:val="18"/>
                <w:szCs w:val="18"/>
              </w:rPr>
              <w:t>建设用地土壤污染风险管控标准（试行）》（</w:t>
            </w:r>
            <w:r>
              <w:rPr>
                <w:rFonts w:ascii="Times New Roman" w:hAnsi="Times New Roman" w:cs="Times New Roman"/>
                <w:sz w:val="18"/>
                <w:szCs w:val="18"/>
              </w:rPr>
              <w:t>GB36600-2018</w:t>
            </w:r>
            <w:r>
              <w:rPr>
                <w:rFonts w:ascii="Times New Roman" w:cs="Times New Roman" w:hAnsiTheme="minorEastAsia"/>
                <w:sz w:val="18"/>
                <w:szCs w:val="18"/>
              </w:rPr>
              <w:t>）</w:t>
            </w:r>
            <w:r>
              <w:rPr>
                <w:rFonts w:ascii="Times New Roman" w:hAnsi="Times New Roman" w:cs="Times New Roman"/>
                <w:sz w:val="18"/>
                <w:szCs w:val="18"/>
              </w:rPr>
              <w:t xml:space="preserve"> </w:t>
            </w:r>
            <w:r>
              <w:rPr>
                <w:rFonts w:ascii="Times New Roman" w:cs="Times New Roman" w:hAnsiTheme="minorEastAsia"/>
                <w:sz w:val="18"/>
                <w:szCs w:val="18"/>
              </w:rPr>
              <w:t>中建设用地第二类用地的土壤污染风险筛选值。井田内农用地执行《土壤环境质量</w:t>
            </w:r>
            <w:r>
              <w:rPr>
                <w:rFonts w:ascii="Times New Roman" w:hAnsi="Times New Roman" w:cs="Times New Roman"/>
                <w:sz w:val="18"/>
                <w:szCs w:val="18"/>
              </w:rPr>
              <w:t xml:space="preserve"> </w:t>
            </w:r>
            <w:r>
              <w:rPr>
                <w:rFonts w:ascii="Times New Roman" w:cs="Times New Roman" w:hAnsiTheme="minorEastAsia"/>
                <w:sz w:val="18"/>
                <w:szCs w:val="18"/>
              </w:rPr>
              <w:t>农用地土壤污染风险管控标准（试行）》（</w:t>
            </w:r>
            <w:r>
              <w:rPr>
                <w:rFonts w:ascii="Times New Roman" w:hAnsi="Times New Roman" w:cs="Times New Roman"/>
                <w:sz w:val="18"/>
                <w:szCs w:val="18"/>
              </w:rPr>
              <w:t>GB15618-2018</w:t>
            </w:r>
            <w:r>
              <w:rPr>
                <w:rFonts w:ascii="Times New Roman" w:cs="Times New Roman" w:hAnsiTheme="minorEastAsia"/>
                <w:sz w:val="18"/>
                <w:szCs w:val="18"/>
              </w:rPr>
              <w:t>）</w:t>
            </w:r>
            <w:r>
              <w:rPr>
                <w:rFonts w:ascii="Times New Roman" w:hAnsi="Times New Roman" w:cs="Times New Roman"/>
                <w:sz w:val="18"/>
                <w:szCs w:val="18"/>
              </w:rPr>
              <w:t xml:space="preserve"> </w:t>
            </w:r>
            <w:r>
              <w:rPr>
                <w:rFonts w:ascii="Times New Roman" w:cs="Times New Roman" w:hAnsiTheme="minorEastAsia"/>
                <w:sz w:val="18"/>
                <w:szCs w:val="18"/>
              </w:rPr>
              <w:t>中农用地其他用地的土壤污染风险筛选值。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restart"/>
            <w:vAlign w:val="center"/>
          </w:tcPr>
          <w:p>
            <w:pPr>
              <w:jc w:val="center"/>
              <w:rPr>
                <w:rFonts w:eastAsiaTheme="minorEastAsia"/>
                <w:sz w:val="18"/>
                <w:szCs w:val="18"/>
                <w:highlight w:val="yellow"/>
              </w:rPr>
            </w:pPr>
            <w:r>
              <w:rPr>
                <w:rFonts w:hAnsiTheme="minorEastAsia" w:eastAsiaTheme="minorEastAsia"/>
                <w:sz w:val="18"/>
                <w:szCs w:val="18"/>
              </w:rPr>
              <w:t>其他</w:t>
            </w:r>
          </w:p>
        </w:tc>
        <w:tc>
          <w:tcPr>
            <w:tcW w:w="1376" w:type="pct"/>
            <w:vAlign w:val="center"/>
          </w:tcPr>
          <w:p>
            <w:pPr>
              <w:pStyle w:val="14"/>
              <w:spacing w:after="0" w:line="300" w:lineRule="exact"/>
              <w:ind w:left="0" w:leftChars="0"/>
              <w:jc w:val="center"/>
              <w:rPr>
                <w:rFonts w:eastAsiaTheme="minorEastAsia"/>
                <w:bCs/>
                <w:sz w:val="18"/>
                <w:szCs w:val="18"/>
              </w:rPr>
            </w:pPr>
            <w:r>
              <w:rPr>
                <w:rFonts w:hAnsiTheme="minorEastAsia" w:eastAsiaTheme="minorEastAsia"/>
                <w:bCs/>
                <w:sz w:val="18"/>
                <w:szCs w:val="18"/>
              </w:rPr>
              <w:t>碛口地质公园岳山坪园外保护区</w:t>
            </w:r>
          </w:p>
        </w:tc>
        <w:tc>
          <w:tcPr>
            <w:tcW w:w="1910" w:type="pct"/>
            <w:gridSpan w:val="4"/>
            <w:vAlign w:val="center"/>
          </w:tcPr>
          <w:p>
            <w:pPr>
              <w:pStyle w:val="14"/>
              <w:spacing w:after="0" w:line="300" w:lineRule="exact"/>
              <w:ind w:left="0" w:leftChars="0"/>
              <w:jc w:val="center"/>
              <w:rPr>
                <w:rFonts w:eastAsiaTheme="minorEastAsia"/>
                <w:bCs/>
                <w:sz w:val="18"/>
                <w:szCs w:val="18"/>
              </w:rPr>
            </w:pPr>
            <w:r>
              <w:rPr>
                <w:rFonts w:hAnsiTheme="minorEastAsia" w:eastAsiaTheme="minorEastAsia"/>
                <w:bCs/>
                <w:sz w:val="18"/>
                <w:szCs w:val="18"/>
              </w:rPr>
              <w:t>省级地质公园，位于井田南侧约</w:t>
            </w:r>
            <w:r>
              <w:rPr>
                <w:rFonts w:eastAsiaTheme="minorEastAsia"/>
                <w:bCs/>
                <w:sz w:val="18"/>
                <w:szCs w:val="18"/>
              </w:rPr>
              <w:t>1.1km</w:t>
            </w:r>
            <w:r>
              <w:rPr>
                <w:rFonts w:hAnsiTheme="minorEastAsia" w:eastAsiaTheme="minorEastAsia"/>
                <w:bCs/>
                <w:sz w:val="18"/>
                <w:szCs w:val="18"/>
              </w:rPr>
              <w:t>处</w:t>
            </w:r>
          </w:p>
        </w:tc>
        <w:tc>
          <w:tcPr>
            <w:tcW w:w="1353" w:type="pct"/>
            <w:vAlign w:val="center"/>
          </w:tcPr>
          <w:p>
            <w:pPr>
              <w:pStyle w:val="14"/>
              <w:spacing w:after="0" w:line="300" w:lineRule="exact"/>
              <w:ind w:left="0" w:leftChars="0"/>
              <w:jc w:val="center"/>
              <w:rPr>
                <w:rFonts w:eastAsiaTheme="minorEastAsia"/>
                <w:bCs/>
                <w:sz w:val="18"/>
                <w:szCs w:val="18"/>
              </w:rPr>
            </w:pPr>
            <w:r>
              <w:rPr>
                <w:rFonts w:hAnsiTheme="minorEastAsia" w:eastAsiaTheme="minorEastAsia"/>
                <w:bCs/>
                <w:sz w:val="18"/>
                <w:szCs w:val="18"/>
              </w:rPr>
              <w:t>不受影响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continue"/>
            <w:vAlign w:val="center"/>
          </w:tcPr>
          <w:p>
            <w:pPr>
              <w:jc w:val="center"/>
              <w:rPr>
                <w:rFonts w:eastAsiaTheme="minorEastAsia"/>
                <w:sz w:val="18"/>
                <w:szCs w:val="18"/>
                <w:highlight w:val="yellow"/>
              </w:rPr>
            </w:pPr>
          </w:p>
        </w:tc>
        <w:tc>
          <w:tcPr>
            <w:tcW w:w="1376" w:type="pct"/>
            <w:vAlign w:val="center"/>
          </w:tcPr>
          <w:p>
            <w:pPr>
              <w:pStyle w:val="14"/>
              <w:spacing w:after="0" w:line="300" w:lineRule="exact"/>
              <w:ind w:left="0" w:leftChars="0"/>
              <w:jc w:val="center"/>
              <w:rPr>
                <w:rFonts w:eastAsiaTheme="minorEastAsia"/>
                <w:bCs/>
                <w:sz w:val="18"/>
                <w:szCs w:val="18"/>
              </w:rPr>
            </w:pPr>
            <w:r>
              <w:rPr>
                <w:rFonts w:hAnsiTheme="minorEastAsia" w:eastAsiaTheme="minorEastAsia"/>
                <w:bCs/>
                <w:sz w:val="18"/>
                <w:szCs w:val="18"/>
              </w:rPr>
              <w:t>碛口风景名胜区岳山坪景区</w:t>
            </w:r>
          </w:p>
        </w:tc>
        <w:tc>
          <w:tcPr>
            <w:tcW w:w="1910" w:type="pct"/>
            <w:gridSpan w:val="4"/>
            <w:vAlign w:val="center"/>
          </w:tcPr>
          <w:p>
            <w:pPr>
              <w:pStyle w:val="14"/>
              <w:spacing w:after="0" w:line="300" w:lineRule="exact"/>
              <w:ind w:left="0" w:leftChars="0"/>
              <w:jc w:val="center"/>
              <w:rPr>
                <w:rFonts w:eastAsiaTheme="minorEastAsia"/>
                <w:bCs/>
                <w:sz w:val="18"/>
                <w:szCs w:val="18"/>
              </w:rPr>
            </w:pPr>
            <w:r>
              <w:rPr>
                <w:rFonts w:hAnsiTheme="minorEastAsia" w:eastAsiaTheme="minorEastAsia"/>
                <w:bCs/>
                <w:sz w:val="18"/>
                <w:szCs w:val="18"/>
              </w:rPr>
              <w:t>国家级风景名胜区，景区边界位于井田南侧约</w:t>
            </w:r>
            <w:r>
              <w:rPr>
                <w:rFonts w:eastAsiaTheme="minorEastAsia"/>
                <w:bCs/>
                <w:sz w:val="18"/>
                <w:szCs w:val="18"/>
              </w:rPr>
              <w:t>0.88km</w:t>
            </w:r>
            <w:r>
              <w:rPr>
                <w:rFonts w:hAnsiTheme="minorEastAsia" w:eastAsiaTheme="minorEastAsia"/>
                <w:bCs/>
                <w:sz w:val="18"/>
                <w:szCs w:val="18"/>
              </w:rPr>
              <w:t>处，</w:t>
            </w:r>
            <w:r>
              <w:rPr>
                <w:rFonts w:eastAsiaTheme="minorEastAsia"/>
                <w:bCs/>
                <w:sz w:val="18"/>
                <w:szCs w:val="18"/>
              </w:rPr>
              <w:t xml:space="preserve"> </w:t>
            </w:r>
            <w:r>
              <w:rPr>
                <w:rFonts w:hAnsiTheme="minorEastAsia" w:eastAsiaTheme="minorEastAsia"/>
                <w:bCs/>
                <w:sz w:val="18"/>
                <w:szCs w:val="18"/>
              </w:rPr>
              <w:t>景区外围保护区位于井田南侧约</w:t>
            </w:r>
            <w:r>
              <w:rPr>
                <w:rFonts w:eastAsiaTheme="minorEastAsia"/>
                <w:bCs/>
                <w:sz w:val="18"/>
                <w:szCs w:val="18"/>
              </w:rPr>
              <w:t>0.25km</w:t>
            </w:r>
          </w:p>
        </w:tc>
        <w:tc>
          <w:tcPr>
            <w:tcW w:w="1353" w:type="pct"/>
            <w:vAlign w:val="center"/>
          </w:tcPr>
          <w:p>
            <w:pPr>
              <w:pStyle w:val="14"/>
              <w:spacing w:after="0" w:line="300" w:lineRule="exact"/>
              <w:ind w:left="0" w:leftChars="0"/>
              <w:jc w:val="center"/>
              <w:rPr>
                <w:rFonts w:eastAsiaTheme="minorEastAsia"/>
                <w:bCs/>
                <w:sz w:val="18"/>
                <w:szCs w:val="18"/>
              </w:rPr>
            </w:pPr>
            <w:r>
              <w:rPr>
                <w:rFonts w:hAnsiTheme="minorEastAsia" w:eastAsiaTheme="minorEastAsia"/>
                <w:bCs/>
                <w:sz w:val="18"/>
                <w:szCs w:val="18"/>
              </w:rPr>
              <w:t>不受影响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361" w:type="pct"/>
            <w:vMerge w:val="continue"/>
            <w:vAlign w:val="center"/>
          </w:tcPr>
          <w:p>
            <w:pPr>
              <w:jc w:val="center"/>
              <w:rPr>
                <w:rFonts w:eastAsiaTheme="minorEastAsia"/>
                <w:sz w:val="18"/>
                <w:szCs w:val="18"/>
                <w:highlight w:val="yellow"/>
              </w:rPr>
            </w:pPr>
          </w:p>
        </w:tc>
        <w:tc>
          <w:tcPr>
            <w:tcW w:w="1376" w:type="pct"/>
            <w:vAlign w:val="center"/>
          </w:tcPr>
          <w:p>
            <w:pPr>
              <w:pStyle w:val="14"/>
              <w:spacing w:after="0" w:line="300" w:lineRule="exact"/>
              <w:ind w:left="0" w:leftChars="0"/>
              <w:jc w:val="center"/>
              <w:rPr>
                <w:rFonts w:eastAsiaTheme="minorEastAsia"/>
                <w:bCs/>
                <w:sz w:val="18"/>
                <w:szCs w:val="18"/>
              </w:rPr>
            </w:pPr>
            <w:r>
              <w:rPr>
                <w:rFonts w:hAnsiTheme="minorEastAsia" w:eastAsiaTheme="minorEastAsia"/>
                <w:bCs/>
                <w:sz w:val="18"/>
                <w:szCs w:val="18"/>
              </w:rPr>
              <w:t>碛口风景名胜区小塔则陶器（独立景点）</w:t>
            </w:r>
          </w:p>
        </w:tc>
        <w:tc>
          <w:tcPr>
            <w:tcW w:w="1910" w:type="pct"/>
            <w:gridSpan w:val="4"/>
            <w:vAlign w:val="center"/>
          </w:tcPr>
          <w:p>
            <w:pPr>
              <w:pStyle w:val="14"/>
              <w:spacing w:after="0" w:line="300" w:lineRule="exact"/>
              <w:ind w:left="0" w:leftChars="0"/>
              <w:jc w:val="center"/>
              <w:rPr>
                <w:rFonts w:eastAsiaTheme="minorEastAsia"/>
                <w:bCs/>
                <w:sz w:val="18"/>
                <w:szCs w:val="18"/>
              </w:rPr>
            </w:pPr>
            <w:r>
              <w:rPr>
                <w:rFonts w:hAnsiTheme="minorEastAsia" w:eastAsiaTheme="minorEastAsia"/>
                <w:bCs/>
                <w:sz w:val="18"/>
                <w:szCs w:val="18"/>
              </w:rPr>
              <w:t>国家级风景名胜区，位于井田东侧约</w:t>
            </w:r>
            <w:r>
              <w:rPr>
                <w:rFonts w:eastAsiaTheme="minorEastAsia"/>
                <w:bCs/>
                <w:sz w:val="18"/>
                <w:szCs w:val="18"/>
              </w:rPr>
              <w:t>0.35km</w:t>
            </w:r>
            <w:r>
              <w:rPr>
                <w:rFonts w:hAnsiTheme="minorEastAsia" w:eastAsiaTheme="minorEastAsia"/>
                <w:bCs/>
                <w:sz w:val="18"/>
                <w:szCs w:val="18"/>
              </w:rPr>
              <w:t>处</w:t>
            </w:r>
          </w:p>
        </w:tc>
        <w:tc>
          <w:tcPr>
            <w:tcW w:w="1353" w:type="pct"/>
            <w:vAlign w:val="center"/>
          </w:tcPr>
          <w:p>
            <w:pPr>
              <w:pStyle w:val="14"/>
              <w:spacing w:after="0" w:line="300" w:lineRule="exact"/>
              <w:ind w:left="0" w:leftChars="0"/>
              <w:jc w:val="center"/>
              <w:rPr>
                <w:rFonts w:eastAsiaTheme="minorEastAsia"/>
                <w:bCs/>
                <w:sz w:val="18"/>
                <w:szCs w:val="18"/>
              </w:rPr>
            </w:pPr>
            <w:r>
              <w:rPr>
                <w:rFonts w:hAnsiTheme="minorEastAsia" w:eastAsiaTheme="minorEastAsia"/>
                <w:bCs/>
                <w:sz w:val="18"/>
                <w:szCs w:val="18"/>
              </w:rPr>
              <w:t>不受影响</w:t>
            </w:r>
          </w:p>
        </w:tc>
      </w:tr>
    </w:tbl>
    <w:p>
      <w:pPr>
        <w:pStyle w:val="14"/>
        <w:spacing w:after="0" w:line="240" w:lineRule="auto"/>
        <w:ind w:left="0" w:leftChars="0"/>
        <w:rPr>
          <w:b/>
        </w:rPr>
      </w:pPr>
      <w:r>
        <w:rPr>
          <w:rFonts w:hint="eastAsia"/>
          <w:b/>
        </w:rPr>
        <w:t>注：其中井田内高家庄、大长、新窑上、红崖、后庄、丰山等村庄（以*标示）均拟由政府统一实施搬迁，搬迁后不再纳入保护目标。</w:t>
      </w:r>
    </w:p>
    <w:p>
      <w:pPr>
        <w:pStyle w:val="20"/>
        <w:spacing w:after="0" w:line="360" w:lineRule="auto"/>
        <w:jc w:val="center"/>
        <w:rPr>
          <w:rFonts w:eastAsiaTheme="minorEastAsia"/>
          <w:b/>
          <w:sz w:val="21"/>
          <w:szCs w:val="21"/>
        </w:rPr>
      </w:pPr>
      <w:r>
        <w:rPr>
          <w:rFonts w:hAnsiTheme="minorEastAsia" w:eastAsiaTheme="minorEastAsia"/>
          <w:b/>
          <w:sz w:val="21"/>
          <w:szCs w:val="21"/>
        </w:rPr>
        <w:t>表</w:t>
      </w:r>
      <w:r>
        <w:rPr>
          <w:rFonts w:eastAsiaTheme="minorEastAsia"/>
          <w:b/>
          <w:sz w:val="21"/>
          <w:szCs w:val="21"/>
        </w:rPr>
        <w:t xml:space="preserve">2.9-2  </w:t>
      </w:r>
      <w:r>
        <w:rPr>
          <w:rFonts w:hAnsiTheme="minorEastAsia" w:eastAsiaTheme="minorEastAsia"/>
          <w:b/>
          <w:sz w:val="21"/>
          <w:szCs w:val="21"/>
        </w:rPr>
        <w:t>评价区内村庄基本情况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57" w:type="dxa"/>
          <w:left w:w="57" w:type="dxa"/>
          <w:bottom w:w="57" w:type="dxa"/>
          <w:right w:w="57" w:type="dxa"/>
        </w:tblCellMar>
      </w:tblPr>
      <w:tblGrid>
        <w:gridCol w:w="986"/>
        <w:gridCol w:w="1223"/>
        <w:gridCol w:w="1482"/>
        <w:gridCol w:w="1482"/>
        <w:gridCol w:w="1315"/>
        <w:gridCol w:w="26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blHeader/>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序号</w:t>
            </w:r>
          </w:p>
        </w:tc>
        <w:tc>
          <w:tcPr>
            <w:tcW w:w="666"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村庄</w:t>
            </w:r>
          </w:p>
        </w:tc>
        <w:tc>
          <w:tcPr>
            <w:tcW w:w="80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相对工业场地位置（</w:t>
            </w:r>
            <w:r>
              <w:rPr>
                <w:rFonts w:ascii="Times New Roman" w:hAnsi="Times New Roman" w:cs="Times New Roman" w:eastAsiaTheme="minorEastAsia"/>
                <w:sz w:val="18"/>
                <w:szCs w:val="18"/>
              </w:rPr>
              <w:t>km</w:t>
            </w:r>
            <w:r>
              <w:rPr>
                <w:rFonts w:ascii="Times New Roman" w:cs="Times New Roman" w:hAnsiTheme="minorEastAsia" w:eastAsiaTheme="minorEastAsia"/>
                <w:sz w:val="18"/>
                <w:szCs w:val="18"/>
              </w:rPr>
              <w:t>）</w:t>
            </w:r>
          </w:p>
        </w:tc>
        <w:tc>
          <w:tcPr>
            <w:tcW w:w="80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相对井田位置（内</w:t>
            </w:r>
            <w:r>
              <w:rPr>
                <w:rFonts w:ascii="Times New Roman" w:hAnsi="Times New Roman" w:cs="Times New Roman" w:eastAsiaTheme="minorEastAsia"/>
                <w:sz w:val="18"/>
                <w:szCs w:val="18"/>
              </w:rPr>
              <w:t>/</w:t>
            </w:r>
            <w:r>
              <w:rPr>
                <w:rFonts w:ascii="Times New Roman" w:cs="Times New Roman" w:hAnsiTheme="minorEastAsia" w:eastAsiaTheme="minorEastAsia"/>
                <w:sz w:val="18"/>
                <w:szCs w:val="18"/>
              </w:rPr>
              <w:t>外）</w:t>
            </w:r>
          </w:p>
        </w:tc>
        <w:tc>
          <w:tcPr>
            <w:tcW w:w="716" w:type="pct"/>
            <w:vAlign w:val="center"/>
          </w:tcPr>
          <w:p>
            <w:pPr>
              <w:topLinePunct/>
              <w:adjustRightInd w:val="0"/>
              <w:spacing w:line="240" w:lineRule="exact"/>
              <w:jc w:val="center"/>
              <w:textAlignment w:val="baseline"/>
              <w:rPr>
                <w:rFonts w:eastAsiaTheme="minorEastAsia"/>
                <w:sz w:val="18"/>
                <w:szCs w:val="18"/>
              </w:rPr>
            </w:pPr>
            <w:r>
              <w:rPr>
                <w:rFonts w:hAnsiTheme="minorEastAsia" w:eastAsiaTheme="minorEastAsia"/>
                <w:sz w:val="18"/>
                <w:szCs w:val="18"/>
              </w:rPr>
              <w:t>人口（人）</w:t>
            </w:r>
          </w:p>
        </w:tc>
        <w:tc>
          <w:tcPr>
            <w:tcW w:w="146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bookmarkStart w:id="132" w:name="_Hlk288230940"/>
            <w:bookmarkStart w:id="133" w:name="_Hlk290221685"/>
            <w:bookmarkStart w:id="134" w:name="OLE_LINK34"/>
            <w:bookmarkStart w:id="135" w:name="OLE_LINK35"/>
            <w:r>
              <w:rPr>
                <w:rFonts w:hint="eastAsia" w:ascii="Times New Roman" w:hAnsi="Times New Roman" w:cs="Times New Roman" w:eastAsiaTheme="minorEastAsia"/>
                <w:sz w:val="18"/>
                <w:szCs w:val="18"/>
              </w:rPr>
              <w:t>1</w:t>
            </w:r>
          </w:p>
        </w:tc>
        <w:tc>
          <w:tcPr>
            <w:tcW w:w="666" w:type="pct"/>
            <w:vAlign w:val="center"/>
          </w:tcPr>
          <w:p>
            <w:pPr>
              <w:pStyle w:val="103"/>
              <w:jc w:val="center"/>
              <w:rPr>
                <w:rFonts w:ascii="Times New Roman" w:hAnsi="Times New Roman" w:cs="Times New Roman" w:eastAsiaTheme="minorEastAsia"/>
                <w:sz w:val="18"/>
                <w:szCs w:val="18"/>
              </w:rPr>
            </w:pPr>
            <w:r>
              <w:rPr>
                <w:rFonts w:hAnsiTheme="minorEastAsia" w:eastAsiaTheme="minorEastAsia"/>
                <w:sz w:val="18"/>
                <w:szCs w:val="18"/>
              </w:rPr>
              <w:t>招贤镇（包括工农庄和留林庄）</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NE 1.35</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AnsiTheme="minorEastAsia" w:eastAsiaTheme="minorEastAsia"/>
                <w:sz w:val="18"/>
                <w:szCs w:val="18"/>
              </w:rPr>
              <w:t>内</w:t>
            </w:r>
          </w:p>
        </w:tc>
        <w:tc>
          <w:tcPr>
            <w:tcW w:w="716" w:type="pct"/>
            <w:vAlign w:val="center"/>
          </w:tcPr>
          <w:p>
            <w:pPr>
              <w:spacing w:line="320" w:lineRule="exact"/>
              <w:jc w:val="center"/>
              <w:rPr>
                <w:rFonts w:eastAsiaTheme="minorEastAsia"/>
                <w:sz w:val="18"/>
                <w:szCs w:val="18"/>
              </w:rPr>
            </w:pPr>
            <w:r>
              <w:rPr>
                <w:rFonts w:eastAsiaTheme="minorEastAsia"/>
                <w:sz w:val="18"/>
                <w:szCs w:val="18"/>
              </w:rPr>
              <w:t>5780</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留设保护煤柱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2</w:t>
            </w:r>
          </w:p>
        </w:tc>
        <w:tc>
          <w:tcPr>
            <w:tcW w:w="666" w:type="pct"/>
            <w:vAlign w:val="center"/>
          </w:tcPr>
          <w:p>
            <w:pPr>
              <w:pStyle w:val="103"/>
              <w:jc w:val="center"/>
              <w:rPr>
                <w:rFonts w:hAnsiTheme="minorEastAsia" w:eastAsiaTheme="minorEastAsia"/>
                <w:sz w:val="18"/>
                <w:szCs w:val="18"/>
              </w:rPr>
            </w:pPr>
            <w:r>
              <w:rPr>
                <w:rFonts w:hint="eastAsia" w:hAnsiTheme="minorEastAsia" w:eastAsiaTheme="minorEastAsia"/>
                <w:sz w:val="18"/>
                <w:szCs w:val="18"/>
              </w:rPr>
              <w:t>贺家湾</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NE 2.20</w:t>
            </w:r>
          </w:p>
        </w:tc>
        <w:tc>
          <w:tcPr>
            <w:tcW w:w="807" w:type="pct"/>
            <w:vAlign w:val="center"/>
          </w:tcPr>
          <w:p>
            <w:pPr>
              <w:topLinePunct/>
              <w:adjustRightInd w:val="0"/>
              <w:spacing w:line="240" w:lineRule="exact"/>
              <w:jc w:val="center"/>
              <w:textAlignment w:val="baseline"/>
              <w:rPr>
                <w:rFonts w:hAnsiTheme="minorEastAsia"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sz w:val="18"/>
                <w:szCs w:val="18"/>
              </w:rPr>
            </w:pPr>
            <w:r>
              <w:rPr>
                <w:rFonts w:hint="eastAsia" w:eastAsiaTheme="minorEastAsia"/>
                <w:sz w:val="18"/>
                <w:szCs w:val="18"/>
              </w:rPr>
              <w:t>448</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3</w:t>
            </w:r>
          </w:p>
        </w:tc>
        <w:tc>
          <w:tcPr>
            <w:tcW w:w="666" w:type="pct"/>
            <w:vAlign w:val="center"/>
          </w:tcPr>
          <w:p>
            <w:pPr>
              <w:pStyle w:val="103"/>
              <w:jc w:val="center"/>
              <w:rPr>
                <w:rFonts w:ascii="Times New Roman" w:hAnsi="Times New Roman" w:cs="Times New Roman" w:eastAsiaTheme="minorEastAsia"/>
                <w:sz w:val="18"/>
                <w:szCs w:val="18"/>
                <w:highlight w:val="yellow"/>
              </w:rPr>
            </w:pPr>
            <w:r>
              <w:rPr>
                <w:rFonts w:hAnsiTheme="minorEastAsia" w:eastAsiaTheme="minorEastAsia"/>
                <w:sz w:val="18"/>
                <w:szCs w:val="18"/>
              </w:rPr>
              <w:t>小塔则</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NE 0.88</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sz w:val="18"/>
                <w:szCs w:val="18"/>
              </w:rPr>
            </w:pPr>
            <w:r>
              <w:rPr>
                <w:rFonts w:eastAsiaTheme="minorEastAsia"/>
                <w:sz w:val="18"/>
                <w:szCs w:val="18"/>
              </w:rPr>
              <w:t>564</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4</w:t>
            </w:r>
          </w:p>
        </w:tc>
        <w:tc>
          <w:tcPr>
            <w:tcW w:w="666" w:type="pct"/>
            <w:vAlign w:val="center"/>
          </w:tcPr>
          <w:p>
            <w:pPr>
              <w:pStyle w:val="103"/>
              <w:jc w:val="center"/>
              <w:rPr>
                <w:rFonts w:hAnsiTheme="minorEastAsia" w:eastAsiaTheme="minorEastAsia"/>
                <w:sz w:val="18"/>
                <w:szCs w:val="18"/>
              </w:rPr>
            </w:pPr>
            <w:r>
              <w:rPr>
                <w:rFonts w:hint="eastAsia" w:hAnsiTheme="minorEastAsia" w:eastAsiaTheme="minorEastAsia"/>
                <w:sz w:val="18"/>
                <w:szCs w:val="18"/>
              </w:rPr>
              <w:t>前塔上</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E 0.89</w:t>
            </w:r>
          </w:p>
        </w:tc>
        <w:tc>
          <w:tcPr>
            <w:tcW w:w="807" w:type="pct"/>
            <w:vAlign w:val="center"/>
          </w:tcPr>
          <w:p>
            <w:pPr>
              <w:topLinePunct/>
              <w:adjustRightInd w:val="0"/>
              <w:spacing w:line="240" w:lineRule="exact"/>
              <w:jc w:val="center"/>
              <w:textAlignment w:val="baseline"/>
              <w:rPr>
                <w:rFonts w:hAnsiTheme="minorEastAsia"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sz w:val="18"/>
                <w:szCs w:val="18"/>
              </w:rPr>
            </w:pPr>
            <w:r>
              <w:rPr>
                <w:rFonts w:hint="eastAsia" w:eastAsiaTheme="minorEastAsia"/>
                <w:sz w:val="18"/>
                <w:szCs w:val="18"/>
              </w:rPr>
              <w:t>378</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w:t>
            </w:r>
          </w:p>
        </w:tc>
      </w:tr>
      <w:bookmarkEnd w:id="132"/>
      <w:bookmarkEnd w:id="133"/>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5</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后塔上</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E 1.1</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sz w:val="18"/>
                <w:szCs w:val="18"/>
              </w:rPr>
            </w:pPr>
            <w:r>
              <w:rPr>
                <w:rFonts w:eastAsiaTheme="minorEastAsia"/>
                <w:sz w:val="18"/>
                <w:szCs w:val="18"/>
              </w:rPr>
              <w:t>460</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6</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庙焉</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S 1.1</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223</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7</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彩家庄</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SE 1.5</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490</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8</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双圪埇</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S 1.4</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191</w:t>
            </w:r>
          </w:p>
        </w:tc>
        <w:tc>
          <w:tcPr>
            <w:tcW w:w="1467" w:type="pct"/>
            <w:vAlign w:val="center"/>
          </w:tcPr>
          <w:p>
            <w:pPr>
              <w:jc w:val="center"/>
              <w:rPr>
                <w:sz w:val="18"/>
                <w:szCs w:val="18"/>
              </w:rPr>
            </w:pPr>
            <w:r>
              <w:rPr>
                <w:rFonts w:hint="eastAsia"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9</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白家峁</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SW 2.05</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825</w:t>
            </w:r>
          </w:p>
        </w:tc>
        <w:tc>
          <w:tcPr>
            <w:tcW w:w="1467" w:type="pct"/>
            <w:vAlign w:val="center"/>
          </w:tcPr>
          <w:p>
            <w:pPr>
              <w:jc w:val="center"/>
              <w:rPr>
                <w:sz w:val="18"/>
                <w:szCs w:val="18"/>
              </w:rPr>
            </w:pPr>
            <w:r>
              <w:rPr>
                <w:rFonts w:hint="eastAsia"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10</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龙王殿</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S</w:t>
            </w:r>
            <w:r>
              <w:rPr>
                <w:rFonts w:eastAsiaTheme="minorEastAsia"/>
                <w:sz w:val="18"/>
                <w:szCs w:val="18"/>
              </w:rPr>
              <w:t>W</w:t>
            </w:r>
            <w:r>
              <w:rPr>
                <w:rFonts w:hint="eastAsia" w:eastAsiaTheme="minorEastAsia"/>
                <w:sz w:val="18"/>
                <w:szCs w:val="18"/>
              </w:rPr>
              <w:t xml:space="preserve"> 0.9</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366</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1</w:t>
            </w:r>
            <w:r>
              <w:rPr>
                <w:rFonts w:hint="eastAsia" w:ascii="Times New Roman" w:hAnsi="Times New Roman" w:cs="Times New Roman" w:eastAsiaTheme="minorEastAsia"/>
                <w:sz w:val="18"/>
                <w:szCs w:val="18"/>
              </w:rPr>
              <w:t>1</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靳家峁</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eastAsiaTheme="minorEastAsia"/>
                <w:sz w:val="18"/>
                <w:szCs w:val="18"/>
              </w:rPr>
              <w:t>W</w:t>
            </w:r>
            <w:r>
              <w:rPr>
                <w:rFonts w:hint="eastAsia" w:eastAsiaTheme="minorEastAsia"/>
                <w:sz w:val="18"/>
                <w:szCs w:val="18"/>
              </w:rPr>
              <w:t xml:space="preserve"> 1.4</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外</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354</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12</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水源</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eastAsiaTheme="minorEastAsia"/>
                <w:sz w:val="18"/>
                <w:szCs w:val="18"/>
              </w:rPr>
              <w:t>NW</w:t>
            </w:r>
            <w:r>
              <w:rPr>
                <w:rFonts w:hint="eastAsia" w:eastAsiaTheme="minorEastAsia"/>
                <w:sz w:val="18"/>
                <w:szCs w:val="18"/>
              </w:rPr>
              <w:t xml:space="preserve"> 2.6</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部分内</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592</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采煤搬迁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1</w:t>
            </w:r>
            <w:r>
              <w:rPr>
                <w:rFonts w:hint="eastAsia" w:ascii="Times New Roman" w:hAnsi="Times New Roman" w:cs="Times New Roman" w:eastAsiaTheme="minorEastAsia"/>
                <w:sz w:val="18"/>
                <w:szCs w:val="18"/>
              </w:rPr>
              <w:t>3</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前庄</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eastAsiaTheme="minorEastAsia"/>
                <w:sz w:val="18"/>
                <w:szCs w:val="18"/>
              </w:rPr>
              <w:t>NW</w:t>
            </w:r>
            <w:r>
              <w:rPr>
                <w:rFonts w:hint="eastAsia" w:eastAsiaTheme="minorEastAsia"/>
                <w:sz w:val="18"/>
                <w:szCs w:val="18"/>
              </w:rPr>
              <w:t xml:space="preserve"> 2.6</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部分内</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312</w:t>
            </w:r>
          </w:p>
        </w:tc>
        <w:tc>
          <w:tcPr>
            <w:tcW w:w="146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留设保护煤柱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1</w:t>
            </w:r>
            <w:r>
              <w:rPr>
                <w:rFonts w:hint="eastAsia" w:ascii="Times New Roman" w:hAnsi="Times New Roman" w:cs="Times New Roman" w:eastAsiaTheme="minorEastAsia"/>
                <w:sz w:val="18"/>
                <w:szCs w:val="18"/>
              </w:rPr>
              <w:t>4</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后庄</w:t>
            </w:r>
            <w:r>
              <w:rPr>
                <w:rFonts w:eastAsiaTheme="minorEastAsia"/>
                <w:sz w:val="18"/>
                <w:szCs w:val="18"/>
              </w:rPr>
              <w:t>*</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eastAsiaTheme="minorEastAsia"/>
                <w:sz w:val="18"/>
                <w:szCs w:val="18"/>
              </w:rPr>
              <w:t>NW</w:t>
            </w:r>
            <w:r>
              <w:rPr>
                <w:rFonts w:hint="eastAsia" w:eastAsiaTheme="minorEastAsia"/>
                <w:sz w:val="18"/>
                <w:szCs w:val="18"/>
              </w:rPr>
              <w:t xml:space="preserve"> 1.8</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AnsiTheme="minorEastAsia" w:eastAsiaTheme="minorEastAsia"/>
                <w:sz w:val="18"/>
                <w:szCs w:val="18"/>
              </w:rPr>
              <w:t>内</w:t>
            </w:r>
          </w:p>
        </w:tc>
        <w:tc>
          <w:tcPr>
            <w:tcW w:w="716" w:type="pct"/>
            <w:tcBorders>
              <w:bottom w:val="single" w:color="auto" w:sz="4" w:space="0"/>
            </w:tcBorders>
            <w:vAlign w:val="center"/>
          </w:tcPr>
          <w:p>
            <w:pPr>
              <w:spacing w:line="320" w:lineRule="exact"/>
              <w:jc w:val="center"/>
              <w:rPr>
                <w:rFonts w:eastAsiaTheme="minorEastAsia"/>
                <w:bCs/>
                <w:sz w:val="18"/>
                <w:szCs w:val="18"/>
              </w:rPr>
            </w:pPr>
            <w:r>
              <w:rPr>
                <w:rFonts w:eastAsiaTheme="minorEastAsia"/>
                <w:bCs/>
                <w:sz w:val="18"/>
                <w:szCs w:val="18"/>
              </w:rPr>
              <w:t>1754</w:t>
            </w:r>
          </w:p>
        </w:tc>
        <w:tc>
          <w:tcPr>
            <w:tcW w:w="1467" w:type="pct"/>
            <w:tcBorders>
              <w:bottom w:val="single" w:color="auto" w:sz="4" w:space="0"/>
            </w:tcBorders>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由政府统一搬迁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1</w:t>
            </w:r>
            <w:r>
              <w:rPr>
                <w:rFonts w:hint="eastAsia" w:ascii="Times New Roman" w:hAnsi="Times New Roman" w:cs="Times New Roman" w:eastAsiaTheme="minorEastAsia"/>
                <w:sz w:val="18"/>
                <w:szCs w:val="18"/>
              </w:rPr>
              <w:t>5</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新窑上</w:t>
            </w:r>
            <w:r>
              <w:rPr>
                <w:rFonts w:eastAsiaTheme="minorEastAsia"/>
                <w:sz w:val="18"/>
                <w:szCs w:val="18"/>
              </w:rPr>
              <w:t>*</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eastAsiaTheme="minorEastAsia"/>
                <w:sz w:val="18"/>
                <w:szCs w:val="18"/>
              </w:rPr>
              <w:t>N</w:t>
            </w:r>
            <w:r>
              <w:rPr>
                <w:rFonts w:hint="eastAsia" w:eastAsiaTheme="minorEastAsia"/>
                <w:sz w:val="18"/>
                <w:szCs w:val="18"/>
              </w:rPr>
              <w:t xml:space="preserve"> 1.2</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AnsiTheme="minorEastAsia" w:eastAsiaTheme="minorEastAsia"/>
                <w:sz w:val="18"/>
                <w:szCs w:val="18"/>
              </w:rPr>
              <w:t>内</w:t>
            </w:r>
          </w:p>
        </w:tc>
        <w:tc>
          <w:tcPr>
            <w:tcW w:w="716" w:type="pct"/>
            <w:tcBorders>
              <w:top w:val="single" w:color="auto" w:sz="4" w:space="0"/>
            </w:tcBorders>
            <w:vAlign w:val="center"/>
          </w:tcPr>
          <w:p>
            <w:pPr>
              <w:spacing w:line="320" w:lineRule="exact"/>
              <w:jc w:val="center"/>
              <w:rPr>
                <w:rFonts w:eastAsiaTheme="minorEastAsia"/>
                <w:sz w:val="18"/>
                <w:szCs w:val="18"/>
                <w:highlight w:val="yellow"/>
              </w:rPr>
            </w:pPr>
            <w:r>
              <w:rPr>
                <w:rFonts w:eastAsiaTheme="minorEastAsia"/>
                <w:bCs/>
                <w:sz w:val="18"/>
                <w:szCs w:val="18"/>
              </w:rPr>
              <w:t>151</w:t>
            </w:r>
          </w:p>
        </w:tc>
        <w:tc>
          <w:tcPr>
            <w:tcW w:w="1467" w:type="pct"/>
            <w:tcBorders>
              <w:top w:val="single" w:color="auto" w:sz="4" w:space="0"/>
            </w:tcBorders>
            <w:vAlign w:val="center"/>
          </w:tcPr>
          <w:p>
            <w:pPr>
              <w:jc w:val="center"/>
              <w:rPr>
                <w:sz w:val="18"/>
                <w:szCs w:val="18"/>
              </w:rPr>
            </w:pPr>
            <w:r>
              <w:rPr>
                <w:rFonts w:hint="eastAsia" w:hAnsiTheme="minorEastAsia" w:eastAsiaTheme="minorEastAsia"/>
                <w:sz w:val="18"/>
                <w:szCs w:val="18"/>
              </w:rPr>
              <w:t>由政府统一搬迁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1</w:t>
            </w:r>
            <w:r>
              <w:rPr>
                <w:rFonts w:hint="eastAsia" w:ascii="Times New Roman" w:hAnsi="Times New Roman" w:cs="Times New Roman" w:eastAsiaTheme="minorEastAsia"/>
                <w:sz w:val="18"/>
                <w:szCs w:val="18"/>
              </w:rPr>
              <w:t>6</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大长</w:t>
            </w:r>
            <w:r>
              <w:rPr>
                <w:rFonts w:eastAsiaTheme="minorEastAsia"/>
                <w:sz w:val="18"/>
                <w:szCs w:val="18"/>
              </w:rPr>
              <w:t>*</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eastAsiaTheme="minorEastAsia"/>
                <w:sz w:val="18"/>
                <w:szCs w:val="18"/>
              </w:rPr>
              <w:t>NW</w:t>
            </w:r>
            <w:r>
              <w:rPr>
                <w:rFonts w:hint="eastAsia" w:eastAsiaTheme="minorEastAsia"/>
                <w:sz w:val="18"/>
                <w:szCs w:val="18"/>
              </w:rPr>
              <w:t xml:space="preserve"> 1.8</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AnsiTheme="minorEastAsia" w:eastAsiaTheme="minorEastAsia"/>
                <w:sz w:val="18"/>
                <w:szCs w:val="18"/>
              </w:rPr>
              <w:t>内</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472</w:t>
            </w:r>
          </w:p>
        </w:tc>
        <w:tc>
          <w:tcPr>
            <w:tcW w:w="1467" w:type="pct"/>
            <w:vAlign w:val="center"/>
          </w:tcPr>
          <w:p>
            <w:pPr>
              <w:jc w:val="center"/>
              <w:rPr>
                <w:sz w:val="18"/>
                <w:szCs w:val="18"/>
              </w:rPr>
            </w:pPr>
            <w:r>
              <w:rPr>
                <w:rFonts w:hint="eastAsia" w:hAnsiTheme="minorEastAsia" w:eastAsiaTheme="minorEastAsia"/>
                <w:sz w:val="18"/>
                <w:szCs w:val="18"/>
              </w:rPr>
              <w:t>由政府统一搬迁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1</w:t>
            </w:r>
            <w:r>
              <w:rPr>
                <w:rFonts w:hint="eastAsia" w:ascii="Times New Roman" w:hAnsi="Times New Roman" w:cs="Times New Roman" w:eastAsiaTheme="minorEastAsia"/>
                <w:sz w:val="18"/>
                <w:szCs w:val="18"/>
              </w:rPr>
              <w:t>7</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高家庄</w:t>
            </w:r>
            <w:r>
              <w:rPr>
                <w:rFonts w:eastAsiaTheme="minorEastAsia"/>
                <w:sz w:val="18"/>
                <w:szCs w:val="18"/>
              </w:rPr>
              <w:t>*</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E 0.12</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hAnsiTheme="minorEastAsia" w:eastAsiaTheme="minorEastAsia"/>
                <w:sz w:val="18"/>
                <w:szCs w:val="18"/>
              </w:rPr>
              <w:t>内</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1220</w:t>
            </w:r>
          </w:p>
        </w:tc>
        <w:tc>
          <w:tcPr>
            <w:tcW w:w="1467" w:type="pct"/>
            <w:vAlign w:val="center"/>
          </w:tcPr>
          <w:p>
            <w:pPr>
              <w:jc w:val="center"/>
              <w:rPr>
                <w:sz w:val="18"/>
                <w:szCs w:val="18"/>
              </w:rPr>
            </w:pPr>
            <w:r>
              <w:rPr>
                <w:rFonts w:hint="eastAsia" w:hAnsiTheme="minorEastAsia" w:eastAsiaTheme="minorEastAsia"/>
                <w:sz w:val="18"/>
                <w:szCs w:val="18"/>
              </w:rPr>
              <w:t>由政府统一搬迁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1</w:t>
            </w:r>
            <w:r>
              <w:rPr>
                <w:rFonts w:hint="eastAsia" w:ascii="Times New Roman" w:hAnsi="Times New Roman" w:cs="Times New Roman" w:eastAsiaTheme="minorEastAsia"/>
                <w:sz w:val="18"/>
                <w:szCs w:val="18"/>
              </w:rPr>
              <w:t>8</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红崖</w:t>
            </w:r>
            <w:r>
              <w:rPr>
                <w:rFonts w:eastAsiaTheme="minorEastAsia"/>
                <w:sz w:val="18"/>
                <w:szCs w:val="18"/>
              </w:rPr>
              <w:t>*</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eastAsiaTheme="minorEastAsia"/>
                <w:sz w:val="18"/>
                <w:szCs w:val="18"/>
              </w:rPr>
              <w:t>N</w:t>
            </w:r>
            <w:r>
              <w:rPr>
                <w:rFonts w:hint="eastAsia" w:eastAsiaTheme="minorEastAsia"/>
                <w:sz w:val="18"/>
                <w:szCs w:val="18"/>
              </w:rPr>
              <w:t xml:space="preserve"> 0.4</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AnsiTheme="minorEastAsia" w:eastAsiaTheme="minorEastAsia"/>
                <w:sz w:val="18"/>
                <w:szCs w:val="18"/>
              </w:rPr>
              <w:t>内</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235</w:t>
            </w:r>
          </w:p>
        </w:tc>
        <w:tc>
          <w:tcPr>
            <w:tcW w:w="1467" w:type="pct"/>
            <w:vAlign w:val="center"/>
          </w:tcPr>
          <w:p>
            <w:pPr>
              <w:jc w:val="center"/>
              <w:rPr>
                <w:sz w:val="18"/>
                <w:szCs w:val="18"/>
              </w:rPr>
            </w:pPr>
            <w:r>
              <w:rPr>
                <w:rFonts w:hint="eastAsia" w:hAnsiTheme="minorEastAsia" w:eastAsiaTheme="minorEastAsia"/>
                <w:sz w:val="18"/>
                <w:szCs w:val="18"/>
              </w:rPr>
              <w:t>由政府统一搬迁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537" w:type="pct"/>
            <w:vAlign w:val="center"/>
          </w:tcPr>
          <w:p>
            <w:pPr>
              <w:pStyle w:val="103"/>
              <w:spacing w:line="280" w:lineRule="exact"/>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1</w:t>
            </w:r>
            <w:r>
              <w:rPr>
                <w:rFonts w:hint="eastAsia" w:ascii="Times New Roman" w:hAnsi="Times New Roman" w:cs="Times New Roman" w:eastAsiaTheme="minorEastAsia"/>
                <w:sz w:val="18"/>
                <w:szCs w:val="18"/>
              </w:rPr>
              <w:t>9</w:t>
            </w:r>
          </w:p>
        </w:tc>
        <w:tc>
          <w:tcPr>
            <w:tcW w:w="666" w:type="pct"/>
            <w:vAlign w:val="center"/>
          </w:tcPr>
          <w:p>
            <w:pPr>
              <w:spacing w:line="320" w:lineRule="exact"/>
              <w:jc w:val="center"/>
              <w:rPr>
                <w:rFonts w:eastAsiaTheme="minorEastAsia"/>
                <w:sz w:val="18"/>
                <w:szCs w:val="18"/>
              </w:rPr>
            </w:pPr>
            <w:r>
              <w:rPr>
                <w:rFonts w:hAnsiTheme="minorEastAsia" w:eastAsiaTheme="minorEastAsia"/>
                <w:sz w:val="18"/>
                <w:szCs w:val="18"/>
              </w:rPr>
              <w:t>丰山</w:t>
            </w:r>
            <w:r>
              <w:rPr>
                <w:rFonts w:eastAsiaTheme="minorEastAsia"/>
                <w:sz w:val="18"/>
                <w:szCs w:val="18"/>
              </w:rPr>
              <w:t>*</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int="eastAsia" w:eastAsiaTheme="minorEastAsia"/>
                <w:sz w:val="18"/>
                <w:szCs w:val="18"/>
              </w:rPr>
              <w:t>W 0.9</w:t>
            </w:r>
          </w:p>
        </w:tc>
        <w:tc>
          <w:tcPr>
            <w:tcW w:w="807" w:type="pct"/>
            <w:vAlign w:val="center"/>
          </w:tcPr>
          <w:p>
            <w:pPr>
              <w:topLinePunct/>
              <w:adjustRightInd w:val="0"/>
              <w:spacing w:line="240" w:lineRule="exact"/>
              <w:jc w:val="center"/>
              <w:textAlignment w:val="baseline"/>
              <w:rPr>
                <w:rFonts w:eastAsiaTheme="minorEastAsia"/>
                <w:sz w:val="18"/>
                <w:szCs w:val="18"/>
              </w:rPr>
            </w:pPr>
            <w:r>
              <w:rPr>
                <w:rFonts w:hAnsiTheme="minorEastAsia" w:eastAsiaTheme="minorEastAsia"/>
                <w:sz w:val="18"/>
                <w:szCs w:val="18"/>
              </w:rPr>
              <w:t>内</w:t>
            </w:r>
          </w:p>
        </w:tc>
        <w:tc>
          <w:tcPr>
            <w:tcW w:w="716" w:type="pct"/>
            <w:vAlign w:val="center"/>
          </w:tcPr>
          <w:p>
            <w:pPr>
              <w:spacing w:line="320" w:lineRule="exact"/>
              <w:jc w:val="center"/>
              <w:rPr>
                <w:rFonts w:eastAsiaTheme="minorEastAsia"/>
                <w:bCs/>
                <w:sz w:val="18"/>
                <w:szCs w:val="18"/>
              </w:rPr>
            </w:pPr>
            <w:r>
              <w:rPr>
                <w:rFonts w:eastAsiaTheme="minorEastAsia"/>
                <w:bCs/>
                <w:sz w:val="18"/>
                <w:szCs w:val="18"/>
              </w:rPr>
              <w:t>285</w:t>
            </w:r>
          </w:p>
        </w:tc>
        <w:tc>
          <w:tcPr>
            <w:tcW w:w="1467" w:type="pct"/>
            <w:vAlign w:val="center"/>
          </w:tcPr>
          <w:p>
            <w:pPr>
              <w:jc w:val="center"/>
              <w:rPr>
                <w:sz w:val="18"/>
                <w:szCs w:val="18"/>
              </w:rPr>
            </w:pPr>
            <w:r>
              <w:rPr>
                <w:rFonts w:hint="eastAsia" w:hAnsiTheme="minorEastAsia" w:eastAsiaTheme="minorEastAsia"/>
                <w:sz w:val="18"/>
                <w:szCs w:val="18"/>
              </w:rPr>
              <w:t>由政府统一搬迁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Pr>
        <w:tc>
          <w:tcPr>
            <w:tcW w:w="1203" w:type="pct"/>
            <w:gridSpan w:val="2"/>
            <w:vAlign w:val="center"/>
          </w:tcPr>
          <w:p>
            <w:pPr>
              <w:pStyle w:val="103"/>
              <w:jc w:val="center"/>
              <w:rPr>
                <w:rFonts w:ascii="Times New Roman" w:hAnsi="Times New Roman" w:cs="Times New Roman" w:eastAsiaTheme="minorEastAsia"/>
                <w:sz w:val="18"/>
                <w:szCs w:val="18"/>
                <w:highlight w:val="yellow"/>
              </w:rPr>
            </w:pPr>
            <w:r>
              <w:rPr>
                <w:rFonts w:ascii="Times New Roman" w:cs="Times New Roman" w:hAnsiTheme="minorEastAsia" w:eastAsiaTheme="minorEastAsia"/>
                <w:sz w:val="18"/>
                <w:szCs w:val="18"/>
              </w:rPr>
              <w:t>合计</w:t>
            </w:r>
          </w:p>
        </w:tc>
        <w:tc>
          <w:tcPr>
            <w:tcW w:w="807" w:type="pct"/>
            <w:vAlign w:val="center"/>
          </w:tcPr>
          <w:p>
            <w:pPr>
              <w:topLinePunct/>
              <w:adjustRightInd w:val="0"/>
              <w:spacing w:line="240" w:lineRule="exact"/>
              <w:jc w:val="center"/>
              <w:textAlignment w:val="baseline"/>
              <w:rPr>
                <w:rFonts w:eastAsiaTheme="minorEastAsia"/>
                <w:sz w:val="18"/>
                <w:szCs w:val="18"/>
                <w:highlight w:val="yellow"/>
              </w:rPr>
            </w:pPr>
          </w:p>
        </w:tc>
        <w:tc>
          <w:tcPr>
            <w:tcW w:w="807" w:type="pct"/>
            <w:vAlign w:val="center"/>
          </w:tcPr>
          <w:p>
            <w:pPr>
              <w:topLinePunct/>
              <w:adjustRightInd w:val="0"/>
              <w:spacing w:line="240" w:lineRule="exact"/>
              <w:jc w:val="center"/>
              <w:textAlignment w:val="baseline"/>
              <w:rPr>
                <w:rFonts w:eastAsiaTheme="minorEastAsia"/>
                <w:sz w:val="18"/>
                <w:szCs w:val="18"/>
                <w:highlight w:val="yellow"/>
              </w:rPr>
            </w:pPr>
          </w:p>
        </w:tc>
        <w:tc>
          <w:tcPr>
            <w:tcW w:w="716" w:type="pct"/>
            <w:vAlign w:val="center"/>
          </w:tcPr>
          <w:p>
            <w:pPr>
              <w:pStyle w:val="103"/>
              <w:spacing w:line="280" w:lineRule="exact"/>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15100</w:t>
            </w:r>
          </w:p>
        </w:tc>
        <w:tc>
          <w:tcPr>
            <w:tcW w:w="1467" w:type="pct"/>
            <w:vAlign w:val="center"/>
          </w:tcPr>
          <w:p>
            <w:pPr>
              <w:jc w:val="center"/>
              <w:rPr>
                <w:rFonts w:eastAsiaTheme="minorEastAsia"/>
                <w:sz w:val="18"/>
                <w:szCs w:val="18"/>
              </w:rPr>
            </w:pPr>
          </w:p>
        </w:tc>
      </w:tr>
      <w:bookmarkEnd w:id="134"/>
      <w:bookmarkEnd w:id="135"/>
    </w:tbl>
    <w:p>
      <w:pPr>
        <w:spacing w:line="500" w:lineRule="exact"/>
        <w:ind w:firstLine="480" w:firstLineChars="200"/>
        <w:rPr>
          <w:rFonts w:eastAsiaTheme="minorEastAsia"/>
          <w:sz w:val="24"/>
        </w:rPr>
        <w:sectPr>
          <w:headerReference r:id="rId12" w:type="default"/>
          <w:footerReference r:id="rId13" w:type="default"/>
          <w:pgSz w:w="11906" w:h="16838"/>
          <w:pgMar w:top="1701" w:right="1418" w:bottom="1701" w:left="1418" w:header="992" w:footer="992" w:gutter="0"/>
          <w:cols w:space="425" w:num="1"/>
          <w:docGrid w:linePitch="312" w:charSpace="0"/>
        </w:sectPr>
      </w:pPr>
    </w:p>
    <w:p>
      <w:pPr>
        <w:pStyle w:val="2"/>
        <w:spacing w:before="0" w:after="0" w:line="360" w:lineRule="auto"/>
        <w:jc w:val="center"/>
        <w:rPr>
          <w:rFonts w:eastAsiaTheme="minorEastAsia"/>
        </w:rPr>
      </w:pPr>
      <w:bookmarkStart w:id="136" w:name="_Toc182074482"/>
      <w:bookmarkStart w:id="137" w:name="_Toc180709810"/>
      <w:bookmarkStart w:id="138" w:name="_Toc248722025"/>
      <w:bookmarkStart w:id="139" w:name="_Toc182074613"/>
      <w:bookmarkStart w:id="140" w:name="_Toc184336167"/>
      <w:bookmarkStart w:id="141" w:name="_Toc287816199"/>
      <w:bookmarkStart w:id="142" w:name="_Toc247600817"/>
      <w:bookmarkStart w:id="143" w:name="_Toc201573540"/>
      <w:bookmarkStart w:id="144" w:name="_Toc246967657"/>
      <w:bookmarkStart w:id="145" w:name="_Toc180747267"/>
      <w:bookmarkStart w:id="146" w:name="_Toc285981761"/>
      <w:bookmarkStart w:id="147" w:name="_Toc71551929"/>
      <w:bookmarkStart w:id="148" w:name="_Toc351651135"/>
      <w:bookmarkStart w:id="149" w:name="_Toc252263833"/>
      <w:bookmarkStart w:id="150" w:name="_Toc281976421"/>
      <w:bookmarkStart w:id="151" w:name="_Toc285254421"/>
      <w:bookmarkStart w:id="152" w:name="_Toc480708214"/>
      <w:r>
        <w:rPr>
          <w:rFonts w:eastAsiaTheme="minorEastAsia"/>
        </w:rPr>
        <w:t>3</w:t>
      </w:r>
      <w:r>
        <w:rPr>
          <w:rFonts w:hAnsiTheme="minorEastAsia" w:eastAsiaTheme="minorEastAsia"/>
        </w:rPr>
        <w:t>、建设项目工程分析</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153" w:name="_Toc71551930"/>
      <w:bookmarkStart w:id="154" w:name="_Toc480708215"/>
      <w:bookmarkStart w:id="155" w:name="_Toc351651136"/>
      <w:r>
        <w:rPr>
          <w:rFonts w:ascii="Times New Roman" w:hAnsi="Times New Roman" w:eastAsiaTheme="minorEastAsia"/>
          <w:kern w:val="44"/>
          <w:sz w:val="30"/>
          <w:szCs w:val="30"/>
        </w:rPr>
        <w:t>3.1</w:t>
      </w:r>
      <w:r>
        <w:rPr>
          <w:rFonts w:ascii="Times New Roman" w:hAnsiTheme="minorEastAsia" w:eastAsiaTheme="minorEastAsia"/>
          <w:kern w:val="44"/>
          <w:sz w:val="30"/>
          <w:szCs w:val="30"/>
        </w:rPr>
        <w:t>项目</w:t>
      </w:r>
      <w:r>
        <w:rPr>
          <w:rFonts w:hint="eastAsia" w:ascii="Times New Roman" w:hAnsiTheme="minorEastAsia" w:eastAsiaTheme="minorEastAsia"/>
          <w:kern w:val="44"/>
          <w:sz w:val="30"/>
          <w:szCs w:val="30"/>
        </w:rPr>
        <w:t>变更情况</w:t>
      </w:r>
      <w:bookmarkEnd w:id="153"/>
    </w:p>
    <w:p>
      <w:pPr>
        <w:pStyle w:val="39"/>
        <w:spacing w:line="336" w:lineRule="auto"/>
        <w:rPr>
          <w:rFonts w:eastAsiaTheme="minorEastAsia"/>
          <w:bCs/>
          <w:kern w:val="0"/>
        </w:rPr>
      </w:pPr>
      <w:r>
        <w:rPr>
          <w:rFonts w:ascii="Times New Roman" w:hAnsiTheme="minorEastAsia" w:eastAsiaTheme="minorEastAsia"/>
        </w:rPr>
        <w:t>本次评价主要针对</w:t>
      </w:r>
      <w:r>
        <w:rPr>
          <w:rFonts w:hint="eastAsia" w:eastAsiaTheme="minorEastAsia"/>
          <w:bCs/>
          <w:kern w:val="0"/>
        </w:rPr>
        <w:t>山西煤炭运销集团新工煤业有限公司</w:t>
      </w:r>
      <w:r>
        <w:rPr>
          <w:rFonts w:hint="eastAsia" w:ascii="Times New Roman" w:hAnsi="Times New Roman" w:eastAsiaTheme="minorEastAsia"/>
          <w:bCs/>
          <w:kern w:val="0"/>
        </w:rPr>
        <w:t>矿井兼并重组整合项目</w:t>
      </w:r>
      <w:r>
        <w:rPr>
          <w:rFonts w:ascii="Times New Roman" w:hAnsi="Times New Roman" w:eastAsiaTheme="minorEastAsia"/>
          <w:bCs/>
          <w:kern w:val="0"/>
        </w:rPr>
        <w:t>变更</w:t>
      </w:r>
      <w:r>
        <w:rPr>
          <w:rFonts w:ascii="Times New Roman" w:hAnsiTheme="minorEastAsia" w:eastAsiaTheme="minorEastAsia"/>
        </w:rPr>
        <w:t>情况，具体变更如下：</w:t>
      </w:r>
    </w:p>
    <w:p>
      <w:pPr>
        <w:spacing w:line="360" w:lineRule="auto"/>
        <w:ind w:firstLine="480" w:firstLineChars="200"/>
        <w:rPr>
          <w:rFonts w:eastAsiaTheme="minorEastAsia"/>
          <w:sz w:val="24"/>
        </w:rPr>
      </w:pPr>
      <w:r>
        <w:rPr>
          <w:rFonts w:hint="eastAsia" w:cs="宋体"/>
          <w:sz w:val="24"/>
        </w:rPr>
        <w:t>①</w:t>
      </w:r>
      <w:r>
        <w:rPr>
          <w:rFonts w:hint="eastAsia"/>
          <w:sz w:val="24"/>
        </w:rPr>
        <w:t>风井场地位置发生变化：变更前</w:t>
      </w:r>
      <w:r>
        <w:rPr>
          <w:rFonts w:hint="eastAsia" w:eastAsiaTheme="minorEastAsia"/>
          <w:sz w:val="24"/>
        </w:rPr>
        <w:t>风井场地位于工业场地北约1500m处的原宏宇煤业有限公司工业场地附近，风井场地设通风机房及电控室等，占地1.63hm</w:t>
      </w:r>
      <w:r>
        <w:rPr>
          <w:rFonts w:hint="eastAsia" w:eastAsiaTheme="minorEastAsia"/>
          <w:sz w:val="24"/>
          <w:vertAlign w:val="superscript"/>
        </w:rPr>
        <w:t>2</w:t>
      </w:r>
      <w:r>
        <w:rPr>
          <w:rFonts w:hint="eastAsia" w:eastAsiaTheme="minorEastAsia"/>
          <w:sz w:val="24"/>
        </w:rPr>
        <w:t>。</w:t>
      </w:r>
    </w:p>
    <w:p>
      <w:pPr>
        <w:spacing w:line="360" w:lineRule="auto"/>
        <w:ind w:firstLine="480" w:firstLineChars="200"/>
        <w:rPr>
          <w:rFonts w:eastAsiaTheme="minorEastAsia"/>
          <w:sz w:val="24"/>
        </w:rPr>
      </w:pPr>
      <w:r>
        <w:rPr>
          <w:rFonts w:hint="eastAsia" w:eastAsiaTheme="minorEastAsia"/>
          <w:sz w:val="24"/>
        </w:rPr>
        <w:t>变更后风井场地位于工业场地西北约1600m的原后庄矿工业场地附近。防火灌浆站从工业场地移至风井场地，并在风井场地内增设10kV变电所、通风机房电控室、消防水池及泵房、沉淀池等。占地1.32hm</w:t>
      </w:r>
      <w:r>
        <w:rPr>
          <w:rFonts w:hint="eastAsia" w:eastAsiaTheme="minorEastAsia"/>
          <w:sz w:val="24"/>
          <w:vertAlign w:val="superscript"/>
        </w:rPr>
        <w:t>2</w:t>
      </w:r>
      <w:r>
        <w:rPr>
          <w:rFonts w:hint="eastAsia" w:eastAsiaTheme="minorEastAsia"/>
          <w:sz w:val="24"/>
        </w:rPr>
        <w:t>。</w:t>
      </w:r>
    </w:p>
    <w:p>
      <w:pPr>
        <w:pStyle w:val="85"/>
        <w:adjustRightInd/>
        <w:snapToGrid/>
        <w:ind w:firstLine="480"/>
        <w:rPr>
          <w:rFonts w:ascii="Times New Roman" w:hAnsi="Times New Roman" w:cs="Times New Roman"/>
          <w:sz w:val="24"/>
        </w:rPr>
      </w:pPr>
      <w:r>
        <w:rPr>
          <w:rFonts w:hint="eastAsia" w:ascii="宋体" w:hAnsi="宋体" w:eastAsia="宋体" w:cs="宋体"/>
          <w:sz w:val="24"/>
          <w:szCs w:val="24"/>
        </w:rPr>
        <w:t>②</w:t>
      </w:r>
      <w:r>
        <w:rPr>
          <w:rFonts w:hint="eastAsia" w:ascii="Times New Roman" w:hAnsi="Times New Roman"/>
          <w:sz w:val="24"/>
          <w:szCs w:val="24"/>
        </w:rPr>
        <w:t>回风立井井筒位置发生变更：变更前回风立井</w:t>
      </w:r>
      <w:r>
        <w:rPr>
          <w:rFonts w:ascii="Times New Roman" w:hAnsi="Times New Roman" w:cs="Times New Roman"/>
          <w:sz w:val="24"/>
        </w:rPr>
        <w:t>改造原宏宇煤矿副立井作为本矿井的回风井，副立井由原直径2.5m刷大到净直径5.0m，并装备梯子间，做为矿井的一个安全出口。</w:t>
      </w:r>
    </w:p>
    <w:p>
      <w:pPr>
        <w:pStyle w:val="85"/>
        <w:adjustRightInd/>
        <w:snapToGrid/>
        <w:ind w:firstLine="480"/>
        <w:rPr>
          <w:sz w:val="24"/>
        </w:rPr>
      </w:pPr>
      <w:r>
        <w:rPr>
          <w:rFonts w:hint="eastAsia" w:ascii="Times New Roman" w:cs="Times New Roman" w:hAnsiTheme="minorEastAsia"/>
          <w:sz w:val="24"/>
        </w:rPr>
        <w:t>变更后</w:t>
      </w:r>
      <w:r>
        <w:rPr>
          <w:rFonts w:hint="eastAsia"/>
          <w:sz w:val="24"/>
          <w:szCs w:val="24"/>
        </w:rPr>
        <w:t>回风立井井口位置改在原后庄矿工业场地，</w:t>
      </w:r>
      <w:r>
        <w:rPr>
          <w:rFonts w:ascii="Times New Roman" w:cs="Times New Roman" w:hAnsiTheme="minorEastAsia"/>
          <w:sz w:val="24"/>
        </w:rPr>
        <w:t>井筒净直径为</w:t>
      </w:r>
      <w:r>
        <w:rPr>
          <w:rFonts w:ascii="Times New Roman" w:hAnsi="Times New Roman" w:cs="Times New Roman"/>
          <w:sz w:val="24"/>
        </w:rPr>
        <w:t>5.5m</w:t>
      </w:r>
      <w:r>
        <w:rPr>
          <w:rFonts w:ascii="Times New Roman" w:cs="Times New Roman" w:hAnsiTheme="minorEastAsia"/>
          <w:sz w:val="24"/>
        </w:rPr>
        <w:t>，井口绝对标高为</w:t>
      </w:r>
      <w:r>
        <w:rPr>
          <w:rFonts w:ascii="Times New Roman" w:hAnsi="Times New Roman" w:cs="Times New Roman"/>
          <w:sz w:val="24"/>
        </w:rPr>
        <w:t>+906m</w:t>
      </w:r>
      <w:r>
        <w:rPr>
          <w:rFonts w:ascii="Times New Roman" w:cs="Times New Roman" w:hAnsiTheme="minorEastAsia"/>
          <w:sz w:val="24"/>
        </w:rPr>
        <w:t>，井筒深度为</w:t>
      </w:r>
      <w:r>
        <w:rPr>
          <w:rFonts w:ascii="Times New Roman" w:hAnsi="Times New Roman" w:cs="Times New Roman"/>
          <w:sz w:val="24"/>
        </w:rPr>
        <w:t>240m</w:t>
      </w:r>
      <w:r>
        <w:rPr>
          <w:rFonts w:ascii="Times New Roman" w:cs="Times New Roman" w:hAnsiTheme="minorEastAsia"/>
          <w:sz w:val="24"/>
        </w:rPr>
        <w:t>。本井筒为矿井专用回风井。井筒内装备玻璃钢封闭梯子间，为矿井另一安全出口。梯子间梁采用托架固定于井壁上。井筒内还敷设两趟强排水管和一趟灌浆管。</w:t>
      </w:r>
    </w:p>
    <w:p>
      <w:pPr>
        <w:pStyle w:val="39"/>
        <w:rPr>
          <w:rFonts w:ascii="Times New Roman" w:hAnsi="Times New Roman" w:eastAsiaTheme="minorEastAsia"/>
        </w:rPr>
      </w:pPr>
      <w:r>
        <w:rPr>
          <w:rFonts w:hint="eastAsia" w:cs="宋体"/>
        </w:rPr>
        <w:t>③主</w:t>
      </w:r>
      <w:r>
        <w:rPr>
          <w:rFonts w:hint="eastAsia" w:ascii="Times New Roman" w:hAnsi="Times New Roman" w:eastAsiaTheme="minorEastAsia"/>
        </w:rPr>
        <w:t>工业场地平面布置和建设内容发生变化</w:t>
      </w:r>
    </w:p>
    <w:p>
      <w:pPr>
        <w:pStyle w:val="77"/>
        <w:ind w:firstLine="480"/>
      </w:pPr>
      <w:r>
        <w:rPr>
          <w:rFonts w:hint="eastAsia"/>
        </w:rPr>
        <w:t>生产区利用紧临矿井工业场地的龙宇选煤厂设施，矿井工业场地西南侧布置带式输送机栈桥至既有选煤厂原煤棚；工业场地东南侧新增预留原煤仓及其栈桥；工业场地内的防火灌浆站移至风井场地；取消矿井消防站。</w:t>
      </w:r>
    </w:p>
    <w:p>
      <w:pPr>
        <w:pStyle w:val="77"/>
        <w:ind w:firstLine="480"/>
      </w:pPr>
      <w:r>
        <w:rPr>
          <w:rFonts w:hint="eastAsia"/>
        </w:rPr>
        <w:t>变更后工业场地</w:t>
      </w:r>
      <w:r>
        <w:t>(</w:t>
      </w:r>
      <w:r>
        <w:rPr>
          <w:rFonts w:hint="eastAsia"/>
        </w:rPr>
        <w:t>主生产区、辅助生产区、行政办公区</w:t>
      </w:r>
      <w:r>
        <w:t>)</w:t>
      </w:r>
      <w:r>
        <w:rPr>
          <w:rFonts w:hint="eastAsia"/>
        </w:rPr>
        <w:t>占地面积9.58</w:t>
      </w:r>
      <w:r>
        <w:t>hm</w:t>
      </w:r>
      <w:r>
        <w:rPr>
          <w:vertAlign w:val="superscript"/>
        </w:rPr>
        <w:t>2</w:t>
      </w:r>
      <w:r>
        <w:rPr>
          <w:rFonts w:hint="eastAsia"/>
        </w:rPr>
        <w:t>，比原设计减少2.13</w:t>
      </w:r>
      <w:r>
        <w:t>hm</w:t>
      </w:r>
      <w:r>
        <w:rPr>
          <w:vertAlign w:val="superscript"/>
        </w:rPr>
        <w:t>2</w:t>
      </w:r>
      <w:r>
        <w:rPr>
          <w:rFonts w:hint="eastAsia"/>
        </w:rPr>
        <w:t>。</w:t>
      </w:r>
    </w:p>
    <w:p>
      <w:pPr>
        <w:spacing w:line="360" w:lineRule="auto"/>
        <w:ind w:firstLine="480" w:firstLineChars="200"/>
        <w:rPr>
          <w:rFonts w:eastAsiaTheme="minorEastAsia"/>
          <w:kern w:val="0"/>
          <w:sz w:val="24"/>
        </w:rPr>
      </w:pPr>
      <w:r>
        <w:rPr>
          <w:rFonts w:hAnsiTheme="minorEastAsia" w:eastAsiaTheme="minorEastAsia"/>
          <w:sz w:val="24"/>
        </w:rPr>
        <w:t>④锅炉选型及运行制度发生变化：原环评在</w:t>
      </w:r>
      <w:r>
        <w:rPr>
          <w:rFonts w:hAnsiTheme="minorEastAsia" w:eastAsiaTheme="minorEastAsia"/>
          <w:kern w:val="0"/>
          <w:sz w:val="24"/>
        </w:rPr>
        <w:t>工业场地新建锅炉房一座，配置</w:t>
      </w:r>
      <w:r>
        <w:rPr>
          <w:rFonts w:eastAsiaTheme="minorEastAsia"/>
          <w:kern w:val="0"/>
          <w:sz w:val="24"/>
        </w:rPr>
        <w:t>2</w:t>
      </w:r>
      <w:r>
        <w:rPr>
          <w:rFonts w:hAnsiTheme="minorEastAsia" w:eastAsiaTheme="minorEastAsia"/>
          <w:kern w:val="0"/>
          <w:sz w:val="24"/>
        </w:rPr>
        <w:t>台</w:t>
      </w:r>
      <w:r>
        <w:rPr>
          <w:rFonts w:eastAsiaTheme="minorEastAsia"/>
          <w:kern w:val="0"/>
          <w:sz w:val="24"/>
        </w:rPr>
        <w:t>SZL10-1.25-A</w:t>
      </w:r>
      <w:r>
        <w:rPr>
          <w:rFonts w:asciiTheme="minorEastAsia" w:hAnsiTheme="minorEastAsia" w:eastAsiaTheme="minorEastAsia"/>
          <w:kern w:val="0"/>
          <w:sz w:val="24"/>
        </w:rPr>
        <w:t>Ⅱ</w:t>
      </w:r>
      <w:r>
        <w:rPr>
          <w:rFonts w:hAnsiTheme="minorEastAsia" w:eastAsiaTheme="minorEastAsia"/>
          <w:kern w:val="0"/>
          <w:sz w:val="24"/>
        </w:rPr>
        <w:t>型蒸汽锅炉和</w:t>
      </w:r>
      <w:r>
        <w:rPr>
          <w:rFonts w:eastAsiaTheme="minorEastAsia"/>
          <w:kern w:val="0"/>
          <w:sz w:val="24"/>
        </w:rPr>
        <w:t>1</w:t>
      </w:r>
      <w:r>
        <w:rPr>
          <w:rFonts w:hAnsiTheme="minorEastAsia" w:eastAsiaTheme="minorEastAsia"/>
          <w:kern w:val="0"/>
          <w:sz w:val="24"/>
        </w:rPr>
        <w:t>台</w:t>
      </w:r>
      <w:r>
        <w:rPr>
          <w:rFonts w:eastAsiaTheme="minorEastAsia"/>
          <w:kern w:val="0"/>
          <w:sz w:val="24"/>
        </w:rPr>
        <w:t>SZL2-1.0-A</w:t>
      </w:r>
      <w:r>
        <w:rPr>
          <w:rFonts w:asciiTheme="minorEastAsia" w:hAnsiTheme="minorEastAsia" w:eastAsiaTheme="minorEastAsia"/>
          <w:kern w:val="0"/>
          <w:sz w:val="24"/>
        </w:rPr>
        <w:t>Ⅱ</w:t>
      </w:r>
      <w:r>
        <w:rPr>
          <w:rFonts w:hAnsiTheme="minorEastAsia" w:eastAsiaTheme="minorEastAsia"/>
          <w:kern w:val="0"/>
          <w:sz w:val="24"/>
        </w:rPr>
        <w:t>型蒸汽锅炉。非采暖运行</w:t>
      </w:r>
      <w:r>
        <w:rPr>
          <w:rFonts w:eastAsiaTheme="minorEastAsia"/>
          <w:kern w:val="0"/>
          <w:sz w:val="24"/>
        </w:rPr>
        <w:t>1</w:t>
      </w:r>
      <w:r>
        <w:rPr>
          <w:rFonts w:hAnsiTheme="minorEastAsia" w:eastAsiaTheme="minorEastAsia"/>
          <w:kern w:val="0"/>
          <w:sz w:val="24"/>
        </w:rPr>
        <w:t>台</w:t>
      </w:r>
      <w:r>
        <w:rPr>
          <w:rFonts w:eastAsiaTheme="minorEastAsia"/>
          <w:kern w:val="0"/>
          <w:sz w:val="24"/>
        </w:rPr>
        <w:t>SZL2-1.0-A</w:t>
      </w:r>
      <w:r>
        <w:rPr>
          <w:rFonts w:asciiTheme="minorEastAsia" w:hAnsiTheme="minorEastAsia" w:eastAsiaTheme="minorEastAsia"/>
          <w:kern w:val="0"/>
          <w:sz w:val="24"/>
        </w:rPr>
        <w:t>Ⅱ</w:t>
      </w:r>
      <w:r>
        <w:rPr>
          <w:rFonts w:hAnsiTheme="minorEastAsia" w:eastAsiaTheme="minorEastAsia"/>
          <w:kern w:val="0"/>
          <w:sz w:val="24"/>
        </w:rPr>
        <w:t>型蒸汽锅炉供生活用热。采暖期</w:t>
      </w:r>
      <w:r>
        <w:rPr>
          <w:rFonts w:eastAsiaTheme="minorEastAsia"/>
          <w:kern w:val="0"/>
          <w:sz w:val="24"/>
        </w:rPr>
        <w:t>2</w:t>
      </w:r>
      <w:r>
        <w:rPr>
          <w:rFonts w:hAnsiTheme="minorEastAsia" w:eastAsiaTheme="minorEastAsia"/>
          <w:kern w:val="0"/>
          <w:sz w:val="24"/>
        </w:rPr>
        <w:t>台蒸汽锅炉运行供建筑物采暖系统、生活用热、井筒防冻系统。锅炉房设一根烟囱，烟囱高</w:t>
      </w:r>
      <w:r>
        <w:rPr>
          <w:rFonts w:eastAsiaTheme="minorEastAsia"/>
          <w:kern w:val="0"/>
          <w:sz w:val="24"/>
        </w:rPr>
        <w:t>55m</w:t>
      </w:r>
      <w:r>
        <w:rPr>
          <w:rFonts w:hAnsiTheme="minorEastAsia" w:eastAsiaTheme="minorEastAsia"/>
          <w:kern w:val="0"/>
          <w:sz w:val="24"/>
        </w:rPr>
        <w:t>，上口直径</w:t>
      </w:r>
      <w:r>
        <w:rPr>
          <w:rFonts w:eastAsiaTheme="minorEastAsia"/>
          <w:kern w:val="0"/>
          <w:sz w:val="24"/>
        </w:rPr>
        <w:t>1.0m</w:t>
      </w:r>
      <w:r>
        <w:rPr>
          <w:rFonts w:hAnsiTheme="minorEastAsia" w:eastAsiaTheme="minorEastAsia"/>
          <w:kern w:val="0"/>
          <w:sz w:val="24"/>
        </w:rPr>
        <w:t>。</w:t>
      </w:r>
    </w:p>
    <w:p>
      <w:pPr>
        <w:spacing w:line="360" w:lineRule="auto"/>
        <w:ind w:firstLine="480" w:firstLineChars="200"/>
        <w:rPr>
          <w:rFonts w:eastAsiaTheme="minorEastAsia"/>
          <w:color w:val="FF0000"/>
          <w:kern w:val="0"/>
          <w:sz w:val="24"/>
          <w:lang w:val="en-GB"/>
        </w:rPr>
      </w:pPr>
      <w:r>
        <w:rPr>
          <w:rFonts w:hAnsiTheme="minorEastAsia" w:eastAsiaTheme="minorEastAsia"/>
          <w:sz w:val="24"/>
        </w:rPr>
        <w:t>变更后工业场地锅炉选用</w:t>
      </w:r>
      <w:r>
        <w:rPr>
          <w:rFonts w:eastAsiaTheme="minorEastAsia"/>
          <w:sz w:val="24"/>
        </w:rPr>
        <w:t>2</w:t>
      </w:r>
      <w:r>
        <w:rPr>
          <w:rFonts w:hAnsiTheme="minorEastAsia" w:eastAsiaTheme="minorEastAsia"/>
          <w:sz w:val="24"/>
        </w:rPr>
        <w:t>台超低氮</w:t>
      </w:r>
      <w:r>
        <w:rPr>
          <w:rFonts w:eastAsiaTheme="minorEastAsia"/>
          <w:sz w:val="24"/>
        </w:rPr>
        <w:t>LSS8-1.25</w:t>
      </w:r>
      <w:r>
        <w:rPr>
          <w:rFonts w:hAnsiTheme="minorEastAsia" w:eastAsiaTheme="minorEastAsia"/>
          <w:sz w:val="24"/>
        </w:rPr>
        <w:t>型燃气蒸汽锅炉，</w:t>
      </w:r>
      <w:r>
        <w:rPr>
          <w:rFonts w:hAnsiTheme="minorEastAsia" w:eastAsiaTheme="minorEastAsia"/>
          <w:kern w:val="0"/>
          <w:sz w:val="24"/>
        </w:rPr>
        <w:t>其中</w:t>
      </w:r>
      <w:r>
        <w:rPr>
          <w:rFonts w:hAnsiTheme="minorEastAsia" w:eastAsiaTheme="minorEastAsia"/>
          <w:sz w:val="24"/>
        </w:rPr>
        <w:t>采暖期</w:t>
      </w:r>
      <w:r>
        <w:rPr>
          <w:rFonts w:eastAsiaTheme="minorEastAsia"/>
          <w:sz w:val="24"/>
        </w:rPr>
        <w:t>2</w:t>
      </w:r>
      <w:r>
        <w:rPr>
          <w:rFonts w:hAnsiTheme="minorEastAsia" w:eastAsiaTheme="minorEastAsia"/>
          <w:sz w:val="24"/>
        </w:rPr>
        <w:t>台锅炉同时运行，</w:t>
      </w:r>
      <w:r>
        <w:rPr>
          <w:rFonts w:hAnsiTheme="minorEastAsia" w:eastAsiaTheme="minorEastAsia"/>
          <w:kern w:val="0"/>
          <w:sz w:val="24"/>
        </w:rPr>
        <w:t>供建筑物采暖系统、生活用热、井筒防冻系统</w:t>
      </w:r>
      <w:r>
        <w:rPr>
          <w:rFonts w:hAnsiTheme="minorEastAsia" w:eastAsiaTheme="minorEastAsia"/>
          <w:sz w:val="24"/>
        </w:rPr>
        <w:t>，年运行</w:t>
      </w:r>
      <w:r>
        <w:rPr>
          <w:rFonts w:eastAsiaTheme="minorEastAsia"/>
          <w:sz w:val="24"/>
        </w:rPr>
        <w:t>150</w:t>
      </w:r>
      <w:r>
        <w:rPr>
          <w:rFonts w:hAnsiTheme="minorEastAsia" w:eastAsiaTheme="minorEastAsia"/>
          <w:sz w:val="24"/>
        </w:rPr>
        <w:t>天，每天</w:t>
      </w:r>
      <w:r>
        <w:rPr>
          <w:rFonts w:eastAsiaTheme="minorEastAsia"/>
          <w:sz w:val="24"/>
        </w:rPr>
        <w:t>16</w:t>
      </w:r>
      <w:r>
        <w:rPr>
          <w:rFonts w:hAnsiTheme="minorEastAsia" w:eastAsiaTheme="minorEastAsia"/>
          <w:sz w:val="24"/>
        </w:rPr>
        <w:t>小时；非采暖期运行</w:t>
      </w:r>
      <w:r>
        <w:rPr>
          <w:rFonts w:eastAsiaTheme="minorEastAsia"/>
          <w:sz w:val="24"/>
        </w:rPr>
        <w:t>1</w:t>
      </w:r>
      <w:r>
        <w:rPr>
          <w:rFonts w:hAnsiTheme="minorEastAsia" w:eastAsiaTheme="minorEastAsia"/>
          <w:sz w:val="24"/>
        </w:rPr>
        <w:t>台锅炉，</w:t>
      </w:r>
      <w:r>
        <w:rPr>
          <w:rFonts w:hAnsiTheme="minorEastAsia" w:eastAsiaTheme="minorEastAsia"/>
          <w:kern w:val="0"/>
          <w:sz w:val="24"/>
        </w:rPr>
        <w:t>供浴室和食堂用热，</w:t>
      </w:r>
      <w:r>
        <w:rPr>
          <w:rFonts w:hAnsiTheme="minorEastAsia" w:eastAsiaTheme="minorEastAsia"/>
          <w:sz w:val="24"/>
        </w:rPr>
        <w:t>年运行</w:t>
      </w:r>
      <w:r>
        <w:rPr>
          <w:rFonts w:eastAsiaTheme="minorEastAsia"/>
          <w:sz w:val="24"/>
        </w:rPr>
        <w:t>180</w:t>
      </w:r>
      <w:r>
        <w:rPr>
          <w:rFonts w:hAnsiTheme="minorEastAsia" w:eastAsiaTheme="minorEastAsia"/>
          <w:sz w:val="24"/>
        </w:rPr>
        <w:t>天，每天</w:t>
      </w:r>
      <w:r>
        <w:rPr>
          <w:rFonts w:eastAsiaTheme="minorEastAsia"/>
          <w:sz w:val="24"/>
        </w:rPr>
        <w:t>8h</w:t>
      </w:r>
      <w:r>
        <w:rPr>
          <w:rFonts w:hAnsiTheme="minorEastAsia" w:eastAsiaTheme="minorEastAsia"/>
          <w:sz w:val="24"/>
        </w:rPr>
        <w:t>。每台</w:t>
      </w:r>
      <w:r>
        <w:rPr>
          <w:rFonts w:hAnsiTheme="minorEastAsia" w:eastAsiaTheme="minorEastAsia"/>
          <w:sz w:val="24"/>
          <w:lang w:bidi="en-US"/>
        </w:rPr>
        <w:t>锅炉</w:t>
      </w:r>
      <w:r>
        <w:rPr>
          <w:rFonts w:hAnsiTheme="minorEastAsia" w:eastAsiaTheme="minorEastAsia"/>
          <w:sz w:val="24"/>
        </w:rPr>
        <w:t>耗气量为</w:t>
      </w:r>
      <w:r>
        <w:rPr>
          <w:rFonts w:eastAsiaTheme="minorEastAsia"/>
          <w:sz w:val="24"/>
        </w:rPr>
        <w:t>656 m</w:t>
      </w:r>
      <w:r>
        <w:rPr>
          <w:rFonts w:eastAsiaTheme="minorEastAsia"/>
          <w:sz w:val="24"/>
          <w:vertAlign w:val="superscript"/>
        </w:rPr>
        <w:t>3</w:t>
      </w:r>
      <w:r>
        <w:rPr>
          <w:rFonts w:eastAsiaTheme="minorEastAsia"/>
          <w:sz w:val="24"/>
        </w:rPr>
        <w:t>/h</w:t>
      </w:r>
      <w:r>
        <w:rPr>
          <w:rFonts w:hAnsiTheme="minorEastAsia" w:eastAsiaTheme="minorEastAsia"/>
          <w:sz w:val="24"/>
        </w:rPr>
        <w:t>，每台锅炉设置一根</w:t>
      </w:r>
      <w:r>
        <w:rPr>
          <w:rFonts w:hint="eastAsia" w:eastAsiaTheme="minorEastAsia"/>
          <w:sz w:val="24"/>
        </w:rPr>
        <w:t>15</w:t>
      </w:r>
      <w:r>
        <w:rPr>
          <w:rFonts w:eastAsiaTheme="minorEastAsia"/>
          <w:sz w:val="24"/>
        </w:rPr>
        <w:t>m</w:t>
      </w:r>
      <w:r>
        <w:rPr>
          <w:rFonts w:hAnsiTheme="minorEastAsia" w:eastAsiaTheme="minorEastAsia"/>
          <w:sz w:val="24"/>
        </w:rPr>
        <w:t>高的排气筒</w:t>
      </w:r>
      <w:r>
        <w:rPr>
          <w:rFonts w:hAnsiTheme="minorEastAsia" w:eastAsiaTheme="minorEastAsia"/>
          <w:kern w:val="0"/>
          <w:sz w:val="24"/>
        </w:rPr>
        <w:t>。工业场地内建筑生活福利联合建筑及区队办公楼、职工食堂、职工宿舍、行政办公楼采暖期采用超低温空气能热泵式集中空调系统供热。</w:t>
      </w:r>
    </w:p>
    <w:p>
      <w:pPr>
        <w:spacing w:line="360" w:lineRule="auto"/>
        <w:ind w:firstLine="480" w:firstLineChars="200"/>
      </w:pPr>
      <w:r>
        <w:rPr>
          <w:rFonts w:hint="eastAsia" w:ascii="宋体" w:hAnsi="宋体" w:cs="宋体"/>
          <w:sz w:val="24"/>
        </w:rPr>
        <w:t>⑤</w:t>
      </w:r>
      <w:r>
        <w:rPr>
          <w:rFonts w:hint="eastAsia" w:eastAsiaTheme="minorEastAsia"/>
          <w:sz w:val="24"/>
        </w:rPr>
        <w:t>储煤仓容积发生变化：原环评中，</w:t>
      </w:r>
      <w:r>
        <w:rPr>
          <w:rFonts w:eastAsiaTheme="minorEastAsia"/>
          <w:sz w:val="24"/>
        </w:rPr>
        <w:t>原煤采用筒仓储存。矿井共设有2个φ18m、H=34m的圆筒仓，总容量11000t，</w:t>
      </w:r>
      <w:r>
        <w:rPr>
          <w:rFonts w:hint="eastAsia"/>
          <w:sz w:val="24"/>
        </w:rPr>
        <w:t>可以满足矿井3</w:t>
      </w:r>
      <w:r>
        <w:rPr>
          <w:sz w:val="24"/>
        </w:rPr>
        <w:t>d</w:t>
      </w:r>
      <w:r>
        <w:rPr>
          <w:rFonts w:hint="eastAsia"/>
          <w:sz w:val="24"/>
        </w:rPr>
        <w:t>的储煤量</w:t>
      </w:r>
      <w:r>
        <w:rPr>
          <w:rFonts w:hint="eastAsia" w:eastAsiaTheme="minorEastAsia"/>
          <w:sz w:val="24"/>
        </w:rPr>
        <w:t>。实际依托洗煤厂</w:t>
      </w:r>
      <w:r>
        <w:rPr>
          <w:rFonts w:hint="eastAsia"/>
          <w:sz w:val="24"/>
        </w:rPr>
        <w:t>全封闭式储煤场，原煤和精煤分别储存，原煤库长</w:t>
      </w:r>
      <w:r>
        <w:rPr>
          <w:sz w:val="24"/>
        </w:rPr>
        <w:t>×</w:t>
      </w:r>
      <w:r>
        <w:rPr>
          <w:rFonts w:hint="eastAsia"/>
          <w:sz w:val="24"/>
        </w:rPr>
        <w:t>宽＝</w:t>
      </w:r>
      <w:r>
        <w:rPr>
          <w:sz w:val="24"/>
        </w:rPr>
        <w:t>120m×</w:t>
      </w:r>
      <w:r>
        <w:rPr>
          <w:rFonts w:hint="eastAsia"/>
          <w:sz w:val="24"/>
        </w:rPr>
        <w:t>81</w:t>
      </w:r>
      <w:r>
        <w:rPr>
          <w:sz w:val="24"/>
        </w:rPr>
        <w:t>m</w:t>
      </w:r>
      <w:r>
        <w:rPr>
          <w:rFonts w:hint="eastAsia"/>
          <w:sz w:val="24"/>
        </w:rPr>
        <w:t>，面积9720</w:t>
      </w:r>
      <w:r>
        <w:rPr>
          <w:sz w:val="24"/>
        </w:rPr>
        <w:t>m</w:t>
      </w:r>
      <w:r>
        <w:rPr>
          <w:sz w:val="24"/>
          <w:vertAlign w:val="superscript"/>
        </w:rPr>
        <w:t>2</w:t>
      </w:r>
      <w:r>
        <w:rPr>
          <w:rFonts w:hint="eastAsia"/>
          <w:sz w:val="24"/>
        </w:rPr>
        <w:t>，堆高</w:t>
      </w:r>
      <w:r>
        <w:rPr>
          <w:sz w:val="24"/>
        </w:rPr>
        <w:t>H=</w:t>
      </w:r>
      <w:r>
        <w:rPr>
          <w:rFonts w:hint="eastAsia"/>
          <w:sz w:val="24"/>
        </w:rPr>
        <w:t>6</w:t>
      </w:r>
      <w:r>
        <w:rPr>
          <w:sz w:val="24"/>
        </w:rPr>
        <w:t>m</w:t>
      </w:r>
      <w:r>
        <w:rPr>
          <w:rFonts w:hint="eastAsia"/>
          <w:sz w:val="24"/>
        </w:rPr>
        <w:t>，可存原煤58320</w:t>
      </w:r>
      <w:r>
        <w:rPr>
          <w:sz w:val="24"/>
        </w:rPr>
        <w:t>0t</w:t>
      </w:r>
      <w:r>
        <w:rPr>
          <w:rFonts w:hint="eastAsia"/>
          <w:sz w:val="24"/>
        </w:rPr>
        <w:t>。精煤库长</w:t>
      </w:r>
      <w:r>
        <w:rPr>
          <w:sz w:val="24"/>
        </w:rPr>
        <w:t>×</w:t>
      </w:r>
      <w:r>
        <w:rPr>
          <w:rFonts w:hint="eastAsia"/>
          <w:sz w:val="24"/>
        </w:rPr>
        <w:t>宽＝</w:t>
      </w:r>
      <w:r>
        <w:rPr>
          <w:sz w:val="24"/>
        </w:rPr>
        <w:t>1</w:t>
      </w:r>
      <w:r>
        <w:rPr>
          <w:rFonts w:hint="eastAsia"/>
          <w:sz w:val="24"/>
        </w:rPr>
        <w:t>08</w:t>
      </w:r>
      <w:r>
        <w:rPr>
          <w:sz w:val="24"/>
        </w:rPr>
        <w:t>m×</w:t>
      </w:r>
      <w:r>
        <w:rPr>
          <w:rFonts w:hint="eastAsia"/>
          <w:sz w:val="24"/>
        </w:rPr>
        <w:t>88</w:t>
      </w:r>
      <w:r>
        <w:rPr>
          <w:sz w:val="24"/>
        </w:rPr>
        <w:t>m</w:t>
      </w:r>
      <w:r>
        <w:rPr>
          <w:rFonts w:hint="eastAsia"/>
          <w:sz w:val="24"/>
        </w:rPr>
        <w:t>，面积9504</w:t>
      </w:r>
      <w:r>
        <w:rPr>
          <w:sz w:val="24"/>
        </w:rPr>
        <w:t>m</w:t>
      </w:r>
      <w:r>
        <w:rPr>
          <w:sz w:val="24"/>
          <w:vertAlign w:val="superscript"/>
        </w:rPr>
        <w:t>2</w:t>
      </w:r>
      <w:r>
        <w:rPr>
          <w:rFonts w:hint="eastAsia"/>
          <w:sz w:val="24"/>
        </w:rPr>
        <w:t>，堆高</w:t>
      </w:r>
      <w:r>
        <w:rPr>
          <w:sz w:val="24"/>
        </w:rPr>
        <w:t>H=</w:t>
      </w:r>
      <w:r>
        <w:rPr>
          <w:rFonts w:hint="eastAsia"/>
          <w:sz w:val="24"/>
        </w:rPr>
        <w:t>6</w:t>
      </w:r>
      <w:r>
        <w:rPr>
          <w:sz w:val="24"/>
        </w:rPr>
        <w:t>m</w:t>
      </w:r>
      <w:r>
        <w:rPr>
          <w:rFonts w:hint="eastAsia"/>
          <w:sz w:val="24"/>
        </w:rPr>
        <w:t>，可存精煤57000</w:t>
      </w:r>
      <w:r>
        <w:rPr>
          <w:sz w:val="24"/>
        </w:rPr>
        <w:t>t</w:t>
      </w:r>
      <w:r>
        <w:rPr>
          <w:rFonts w:hint="eastAsia"/>
          <w:sz w:val="24"/>
        </w:rPr>
        <w:t>。</w:t>
      </w:r>
    </w:p>
    <w:p>
      <w:pPr>
        <w:pStyle w:val="99"/>
        <w:adjustRightInd/>
        <w:spacing w:line="360" w:lineRule="auto"/>
        <w:ind w:firstLine="480" w:firstLineChars="200"/>
        <w:jc w:val="both"/>
        <w:rPr>
          <w:rFonts w:ascii="Times New Roman" w:cs="Times New Roman" w:hAnsiTheme="minorEastAsia" w:eastAsiaTheme="minorEastAsia"/>
          <w:color w:val="auto"/>
          <w:szCs w:val="24"/>
        </w:rPr>
      </w:pPr>
      <w:r>
        <w:rPr>
          <w:rFonts w:ascii="Times New Roman" w:cs="Times New Roman" w:hAnsiTheme="minorEastAsia" w:eastAsiaTheme="minorEastAsia"/>
          <w:color w:val="auto"/>
        </w:rPr>
        <w:t>⑥</w:t>
      </w:r>
      <w:r>
        <w:rPr>
          <w:rFonts w:ascii="Times New Roman" w:cs="Times New Roman" w:hAnsiTheme="minorEastAsia" w:eastAsiaTheme="minorEastAsia"/>
          <w:color w:val="auto"/>
          <w:szCs w:val="24"/>
        </w:rPr>
        <w:t>矿井水处理站处理规模、处理工艺及排水去向发生变化：</w:t>
      </w:r>
    </w:p>
    <w:p>
      <w:pPr>
        <w:spacing w:line="360" w:lineRule="auto"/>
        <w:ind w:firstLine="480" w:firstLineChars="200"/>
        <w:rPr>
          <w:rFonts w:eastAsiaTheme="minorEastAsia"/>
          <w:sz w:val="24"/>
        </w:rPr>
      </w:pPr>
      <w:r>
        <w:rPr>
          <w:rFonts w:hint="eastAsia" w:hAnsiTheme="minorEastAsia" w:eastAsiaTheme="minorEastAsia"/>
          <w:sz w:val="24"/>
        </w:rPr>
        <w:t>工业场地建设一座矿井水处理站，采用</w:t>
      </w:r>
      <w:r>
        <w:rPr>
          <w:rFonts w:eastAsiaTheme="minorEastAsia"/>
          <w:sz w:val="24"/>
        </w:rPr>
        <w:t>3</w:t>
      </w:r>
      <w:r>
        <w:rPr>
          <w:rFonts w:hAnsiTheme="minorEastAsia" w:eastAsiaTheme="minorEastAsia"/>
          <w:sz w:val="24"/>
        </w:rPr>
        <w:t>台</w:t>
      </w:r>
      <w:r>
        <w:rPr>
          <w:rFonts w:eastAsiaTheme="minorEastAsia"/>
          <w:sz w:val="24"/>
        </w:rPr>
        <w:t>J-30</w:t>
      </w:r>
      <w:r>
        <w:rPr>
          <w:rFonts w:hAnsiTheme="minorEastAsia" w:eastAsiaTheme="minorEastAsia"/>
          <w:sz w:val="24"/>
        </w:rPr>
        <w:t>型全自动高效一体化净水器，单台处理能力为</w:t>
      </w:r>
      <w:r>
        <w:rPr>
          <w:rFonts w:eastAsiaTheme="minorEastAsia"/>
          <w:sz w:val="24"/>
        </w:rPr>
        <w:t>30m</w:t>
      </w:r>
      <w:r>
        <w:rPr>
          <w:rFonts w:eastAsiaTheme="minorEastAsia"/>
          <w:sz w:val="24"/>
          <w:vertAlign w:val="superscript"/>
        </w:rPr>
        <w:t>3</w:t>
      </w:r>
      <w:r>
        <w:rPr>
          <w:rFonts w:eastAsiaTheme="minorEastAsia"/>
          <w:sz w:val="24"/>
        </w:rPr>
        <w:t>/h</w:t>
      </w:r>
      <w:r>
        <w:rPr>
          <w:rFonts w:hAnsiTheme="minorEastAsia" w:eastAsiaTheme="minorEastAsia"/>
          <w:sz w:val="24"/>
        </w:rPr>
        <w:t>，采用调节、混凝、沉淀、过滤、消毒等工艺对矿井水处理</w:t>
      </w:r>
      <w:r>
        <w:rPr>
          <w:rFonts w:hint="eastAsia" w:eastAsiaTheme="minorEastAsia"/>
          <w:sz w:val="24"/>
        </w:rPr>
        <w:t>，</w:t>
      </w:r>
      <w:r>
        <w:rPr>
          <w:rFonts w:hAnsiTheme="minorEastAsia" w:eastAsiaTheme="minorEastAsia"/>
          <w:sz w:val="24"/>
        </w:rPr>
        <w:t>处理后的矿井水回用于井下洒水。</w:t>
      </w:r>
    </w:p>
    <w:p>
      <w:pPr>
        <w:spacing w:line="360" w:lineRule="auto"/>
        <w:ind w:firstLine="420" w:firstLineChars="200"/>
        <w:rPr>
          <w:rFonts w:hAnsiTheme="minorEastAsia" w:eastAsiaTheme="minorEastAsia"/>
          <w:sz w:val="24"/>
        </w:rPr>
      </w:pPr>
      <w:r>
        <w:rPr>
          <w:rFonts w:hAnsiTheme="minorEastAsia" w:eastAsiaTheme="minorEastAsia"/>
        </w:rPr>
        <w:t>变更后</w:t>
      </w:r>
      <w:r>
        <w:rPr>
          <w:rFonts w:hint="eastAsia" w:hAnsiTheme="minorEastAsia" w:eastAsiaTheme="minorEastAsia"/>
          <w:sz w:val="24"/>
        </w:rPr>
        <w:t>工业场地设置一座矿井水处理站，设计处理规模为6120m</w:t>
      </w:r>
      <w:r>
        <w:rPr>
          <w:rFonts w:hint="eastAsia" w:hAnsiTheme="minorEastAsia" w:eastAsiaTheme="minorEastAsia"/>
          <w:sz w:val="24"/>
          <w:vertAlign w:val="superscript"/>
        </w:rPr>
        <w:t>3</w:t>
      </w:r>
      <w:r>
        <w:rPr>
          <w:rFonts w:hint="eastAsia" w:hAnsiTheme="minorEastAsia" w:eastAsiaTheme="minorEastAsia"/>
          <w:sz w:val="24"/>
        </w:rPr>
        <w:t>/d 。矿井水处理采用“高效旋流过滤、压力式超滤”处理工艺。开采4、5号煤层时，处理达标后的矿井水全部回用于井下生产用水；开采8、9号煤层时，处理达标后的矿井水部分回用于井下生产用水，采暖季多余部分回用于洗车平台用水，非采暖季多余部分回用于锅炉补充用水，处理后的矿井水全部回用，不外排。</w:t>
      </w:r>
    </w:p>
    <w:p>
      <w:pPr>
        <w:pStyle w:val="99"/>
        <w:adjustRightInd/>
        <w:spacing w:line="360" w:lineRule="auto"/>
        <w:ind w:firstLine="480" w:firstLineChars="200"/>
        <w:jc w:val="both"/>
        <w:rPr>
          <w:rFonts w:ascii="Times New Roman" w:cs="Times New Roman" w:hAnsiTheme="minorEastAsia" w:eastAsiaTheme="minorEastAsia"/>
          <w:color w:val="auto"/>
          <w:szCs w:val="24"/>
        </w:rPr>
      </w:pPr>
      <w:r>
        <w:rPr>
          <w:rFonts w:hint="eastAsia" w:hAnsiTheme="minorEastAsia" w:eastAsiaTheme="minorEastAsia"/>
        </w:rPr>
        <w:t>⑦</w:t>
      </w:r>
      <w:r>
        <w:rPr>
          <w:rFonts w:hint="eastAsia" w:ascii="Times New Roman" w:cs="Times New Roman" w:hAnsiTheme="minorEastAsia" w:eastAsiaTheme="minorEastAsia"/>
          <w:color w:val="auto"/>
        </w:rPr>
        <w:t>生活污水</w:t>
      </w:r>
      <w:r>
        <w:rPr>
          <w:rFonts w:ascii="Times New Roman" w:cs="Times New Roman" w:hAnsiTheme="minorEastAsia" w:eastAsiaTheme="minorEastAsia"/>
          <w:color w:val="auto"/>
          <w:szCs w:val="24"/>
        </w:rPr>
        <w:t>处理站处理规模、处理工艺及排水去向发生变化：</w:t>
      </w:r>
    </w:p>
    <w:p>
      <w:pPr>
        <w:tabs>
          <w:tab w:val="left" w:pos="1050"/>
        </w:tabs>
        <w:spacing w:line="360" w:lineRule="auto"/>
        <w:ind w:firstLine="470" w:firstLineChars="196"/>
        <w:rPr>
          <w:rFonts w:hAnsiTheme="minorEastAsia" w:eastAsiaTheme="minorEastAsia"/>
          <w:sz w:val="24"/>
        </w:rPr>
      </w:pPr>
      <w:r>
        <w:rPr>
          <w:rFonts w:hint="eastAsia" w:hAnsiTheme="minorEastAsia" w:eastAsiaTheme="minorEastAsia"/>
          <w:sz w:val="24"/>
        </w:rPr>
        <w:t>原环评生活污水采用</w:t>
      </w:r>
      <w:r>
        <w:rPr>
          <w:rFonts w:hAnsiTheme="minorEastAsia" w:eastAsiaTheme="minorEastAsia"/>
          <w:sz w:val="24"/>
        </w:rPr>
        <w:t>1</w:t>
      </w:r>
      <w:r>
        <w:rPr>
          <w:rFonts w:hint="eastAsia" w:hAnsiTheme="minorEastAsia" w:eastAsiaTheme="minorEastAsia"/>
          <w:sz w:val="24"/>
        </w:rPr>
        <w:t>套</w:t>
      </w:r>
      <w:r>
        <w:rPr>
          <w:rFonts w:eastAsiaTheme="minorEastAsia"/>
          <w:sz w:val="24"/>
        </w:rPr>
        <w:t>WSZ-15F</w:t>
      </w:r>
      <w:r>
        <w:rPr>
          <w:rFonts w:hAnsiTheme="minorEastAsia" w:eastAsiaTheme="minorEastAsia"/>
          <w:sz w:val="24"/>
        </w:rPr>
        <w:t>型地埋式生活污水处理装置处理</w:t>
      </w:r>
      <w:r>
        <w:rPr>
          <w:rFonts w:hint="eastAsia" w:hAnsiTheme="minorEastAsia" w:eastAsiaTheme="minorEastAsia"/>
          <w:sz w:val="24"/>
        </w:rPr>
        <w:t>，</w:t>
      </w:r>
      <w:r>
        <w:rPr>
          <w:rFonts w:hAnsiTheme="minorEastAsia" w:eastAsiaTheme="minorEastAsia"/>
          <w:sz w:val="24"/>
        </w:rPr>
        <w:t>处理能力为</w:t>
      </w:r>
      <w:r>
        <w:rPr>
          <w:rFonts w:eastAsiaTheme="minorEastAsia"/>
          <w:sz w:val="24"/>
        </w:rPr>
        <w:t>15m</w:t>
      </w:r>
      <w:r>
        <w:rPr>
          <w:rFonts w:eastAsiaTheme="minorEastAsia"/>
          <w:sz w:val="24"/>
          <w:vertAlign w:val="superscript"/>
        </w:rPr>
        <w:t>3</w:t>
      </w:r>
      <w:r>
        <w:rPr>
          <w:rFonts w:eastAsiaTheme="minorEastAsia"/>
          <w:sz w:val="24"/>
        </w:rPr>
        <w:t>/h</w:t>
      </w:r>
      <w:r>
        <w:rPr>
          <w:rFonts w:hAnsiTheme="minorEastAsia" w:eastAsiaTheme="minorEastAsia"/>
          <w:sz w:val="24"/>
        </w:rPr>
        <w:t>，</w:t>
      </w:r>
      <w:r>
        <w:rPr>
          <w:rFonts w:hint="eastAsia" w:hAnsiTheme="minorEastAsia" w:eastAsiaTheme="minorEastAsia"/>
          <w:sz w:val="24"/>
        </w:rPr>
        <w:t>采用生物膜法：缺氧</w:t>
      </w:r>
      <w:r>
        <w:rPr>
          <w:rFonts w:hAnsiTheme="minorEastAsia" w:eastAsiaTheme="minorEastAsia"/>
          <w:sz w:val="24"/>
        </w:rPr>
        <w:t>----</w:t>
      </w:r>
      <w:r>
        <w:rPr>
          <w:rFonts w:hint="eastAsia" w:hAnsiTheme="minorEastAsia" w:eastAsiaTheme="minorEastAsia"/>
          <w:sz w:val="24"/>
        </w:rPr>
        <w:t>好氧</w:t>
      </w:r>
      <w:r>
        <w:rPr>
          <w:rFonts w:hAnsiTheme="minorEastAsia" w:eastAsiaTheme="minorEastAsia"/>
          <w:sz w:val="24"/>
        </w:rPr>
        <w:t>(A/O)+</w:t>
      </w:r>
      <w:r>
        <w:rPr>
          <w:rFonts w:hint="eastAsia" w:hAnsiTheme="minorEastAsia" w:eastAsiaTheme="minorEastAsia"/>
          <w:sz w:val="24"/>
        </w:rPr>
        <w:t>活性炭吸附处理工艺。</w:t>
      </w:r>
      <w:r>
        <w:rPr>
          <w:rFonts w:hAnsiTheme="minorEastAsia" w:eastAsiaTheme="minorEastAsia"/>
          <w:sz w:val="24"/>
        </w:rPr>
        <w:t>处理后的生活污水全部回用，无外排</w:t>
      </w:r>
      <w:r>
        <w:rPr>
          <w:rFonts w:hAnsiTheme="minorEastAsia" w:eastAsiaTheme="minorEastAsia"/>
          <w:bCs/>
          <w:spacing w:val="2"/>
          <w:sz w:val="24"/>
        </w:rPr>
        <w:t>。</w:t>
      </w:r>
    </w:p>
    <w:p>
      <w:pPr>
        <w:spacing w:line="360" w:lineRule="auto"/>
        <w:ind w:firstLine="480" w:firstLineChars="200"/>
        <w:jc w:val="left"/>
        <w:rPr>
          <w:rFonts w:hAnsiTheme="minorEastAsia" w:eastAsiaTheme="minorEastAsia"/>
          <w:bCs/>
          <w:sz w:val="24"/>
        </w:rPr>
      </w:pPr>
      <w:r>
        <w:rPr>
          <w:rFonts w:hint="eastAsia" w:hAnsiTheme="minorEastAsia" w:eastAsiaTheme="minorEastAsia"/>
          <w:sz w:val="24"/>
        </w:rPr>
        <w:t>变更后，在工业场地设置有一座生活污水处理站，处理规模</w:t>
      </w:r>
      <w:r>
        <w:rPr>
          <w:rFonts w:hAnsiTheme="minorEastAsia" w:eastAsiaTheme="minorEastAsia"/>
          <w:sz w:val="24"/>
        </w:rPr>
        <w:t>450m</w:t>
      </w:r>
      <w:r>
        <w:rPr>
          <w:rFonts w:hAnsiTheme="minorEastAsia" w:eastAsiaTheme="minorEastAsia"/>
          <w:sz w:val="24"/>
          <w:vertAlign w:val="superscript"/>
        </w:rPr>
        <w:t>3</w:t>
      </w:r>
      <w:r>
        <w:rPr>
          <w:rFonts w:hAnsiTheme="minorEastAsia" w:eastAsiaTheme="minorEastAsia"/>
          <w:sz w:val="24"/>
        </w:rPr>
        <w:t>/d</w:t>
      </w:r>
      <w:r>
        <w:rPr>
          <w:rFonts w:hint="eastAsia" w:hAnsiTheme="minorEastAsia" w:eastAsiaTheme="minorEastAsia"/>
          <w:sz w:val="24"/>
        </w:rPr>
        <w:t>。处理工艺采用厌氧、缺氧、好氧同步脱碳除磷生物处理法</w:t>
      </w:r>
      <w:r>
        <w:rPr>
          <w:rFonts w:hAnsiTheme="minorEastAsia" w:eastAsiaTheme="minorEastAsia"/>
          <w:sz w:val="24"/>
        </w:rPr>
        <w:t>+</w:t>
      </w:r>
      <w:r>
        <w:rPr>
          <w:rFonts w:hint="eastAsia" w:hAnsiTheme="minorEastAsia" w:eastAsiaTheme="minorEastAsia"/>
          <w:sz w:val="24"/>
        </w:rPr>
        <w:t>臭氧氧化、活性炭过滤厌。生产生活污水</w:t>
      </w:r>
      <w:r>
        <w:rPr>
          <w:rFonts w:hint="eastAsia" w:hAnsiTheme="minorEastAsia" w:eastAsiaTheme="minorEastAsia"/>
          <w:bCs/>
          <w:sz w:val="24"/>
        </w:rPr>
        <w:t>经处理后的生活污水回用于储煤场洒水、厂区道路洒水、绿化洒水、洗车平台用水，其余送至龙宇洗煤厂作为洗煤厂补充水，生活污水全部回用，不外排。</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156" w:name="_Toc71551931"/>
      <w:r>
        <w:rPr>
          <w:rFonts w:ascii="Times New Roman" w:hAnsi="Times New Roman" w:eastAsiaTheme="minorEastAsia"/>
          <w:kern w:val="44"/>
          <w:sz w:val="30"/>
          <w:szCs w:val="30"/>
        </w:rPr>
        <w:t>3.2</w:t>
      </w:r>
      <w:r>
        <w:rPr>
          <w:rFonts w:ascii="Times New Roman" w:hAnsiTheme="minorEastAsia" w:eastAsiaTheme="minorEastAsia"/>
          <w:kern w:val="44"/>
          <w:sz w:val="30"/>
          <w:szCs w:val="30"/>
        </w:rPr>
        <w:t>工程概况</w:t>
      </w:r>
      <w:bookmarkEnd w:id="154"/>
      <w:bookmarkEnd w:id="155"/>
      <w:bookmarkEnd w:id="156"/>
    </w:p>
    <w:p>
      <w:pPr>
        <w:spacing w:line="360" w:lineRule="auto"/>
        <w:outlineLvl w:val="2"/>
        <w:rPr>
          <w:rFonts w:hAnsiTheme="minorEastAsia" w:eastAsiaTheme="minorEastAsia"/>
          <w:b/>
          <w:sz w:val="24"/>
        </w:rPr>
      </w:pPr>
      <w:r>
        <w:rPr>
          <w:rFonts w:eastAsiaTheme="minorEastAsia"/>
          <w:b/>
          <w:sz w:val="24"/>
        </w:rPr>
        <w:t>3.2.1</w:t>
      </w:r>
      <w:r>
        <w:rPr>
          <w:rFonts w:hAnsiTheme="minorEastAsia" w:eastAsiaTheme="minorEastAsia"/>
          <w:b/>
          <w:sz w:val="24"/>
        </w:rPr>
        <w:t>项目基本情况</w:t>
      </w:r>
    </w:p>
    <w:p>
      <w:pPr>
        <w:pStyle w:val="39"/>
        <w:spacing w:line="336" w:lineRule="auto"/>
        <w:rPr>
          <w:rFonts w:ascii="Times New Roman" w:hAnsi="Times New Roman" w:eastAsiaTheme="minorEastAsia"/>
          <w:bCs/>
          <w:kern w:val="0"/>
        </w:rPr>
      </w:pPr>
      <w:bookmarkStart w:id="157" w:name="_Toc432601928"/>
      <w:r>
        <w:rPr>
          <w:rFonts w:ascii="Times New Roman" w:hAnsi="Times New Roman" w:eastAsiaTheme="minorEastAsia"/>
          <w:bCs/>
          <w:kern w:val="0"/>
        </w:rPr>
        <w:t>1、项目名称、内容、地点及建设性质</w:t>
      </w:r>
      <w:bookmarkEnd w:id="157"/>
    </w:p>
    <w:p>
      <w:pPr>
        <w:pStyle w:val="39"/>
        <w:spacing w:line="336" w:lineRule="auto"/>
        <w:rPr>
          <w:rFonts w:eastAsiaTheme="minorEastAsia"/>
          <w:bCs/>
          <w:kern w:val="0"/>
        </w:rPr>
      </w:pPr>
      <w:r>
        <w:rPr>
          <w:rFonts w:ascii="Times New Roman" w:hAnsi="Times New Roman" w:eastAsiaTheme="minorEastAsia"/>
          <w:bCs/>
          <w:kern w:val="0"/>
        </w:rPr>
        <w:t>（1）建设项目名称：</w:t>
      </w:r>
      <w:r>
        <w:rPr>
          <w:rFonts w:hint="eastAsia" w:eastAsiaTheme="minorEastAsia"/>
          <w:bCs/>
          <w:kern w:val="0"/>
        </w:rPr>
        <w:t>山西煤炭运销集</w:t>
      </w:r>
      <w:r>
        <w:rPr>
          <w:rFonts w:ascii="Times New Roman" w:eastAsiaTheme="minorEastAsia"/>
          <w:bCs/>
          <w:kern w:val="0"/>
        </w:rPr>
        <w:t>团新工煤业有限公司</w:t>
      </w:r>
      <w:r>
        <w:rPr>
          <w:rFonts w:ascii="Times New Roman" w:hAnsi="Times New Roman" w:eastAsiaTheme="minorEastAsia"/>
          <w:bCs/>
          <w:kern w:val="0"/>
        </w:rPr>
        <w:t>120</w:t>
      </w:r>
      <w:r>
        <w:rPr>
          <w:rFonts w:ascii="Times New Roman" w:eastAsiaTheme="minorEastAsia"/>
          <w:bCs/>
          <w:kern w:val="0"/>
        </w:rPr>
        <w:t>万</w:t>
      </w:r>
      <w:r>
        <w:rPr>
          <w:rFonts w:ascii="Times New Roman" w:hAnsi="Times New Roman" w:eastAsiaTheme="minorEastAsia"/>
          <w:bCs/>
          <w:kern w:val="0"/>
        </w:rPr>
        <w:t>t/a矿井兼并重组整合项目变更；</w:t>
      </w:r>
    </w:p>
    <w:p>
      <w:pPr>
        <w:pStyle w:val="39"/>
        <w:spacing w:line="336" w:lineRule="auto"/>
        <w:rPr>
          <w:rFonts w:ascii="Times New Roman" w:hAnsi="Times New Roman" w:eastAsiaTheme="minorEastAsia"/>
          <w:bCs/>
        </w:rPr>
      </w:pPr>
      <w:r>
        <w:rPr>
          <w:rFonts w:ascii="Times New Roman" w:hAnsi="Times New Roman" w:eastAsiaTheme="minorEastAsia"/>
          <w:bCs/>
          <w:kern w:val="0"/>
        </w:rPr>
        <w:t>（</w:t>
      </w:r>
      <w:r>
        <w:rPr>
          <w:rFonts w:hint="eastAsia" w:ascii="Times New Roman" w:hAnsi="Times New Roman" w:eastAsiaTheme="minorEastAsia"/>
          <w:bCs/>
          <w:kern w:val="0"/>
        </w:rPr>
        <w:t>2</w:t>
      </w:r>
      <w:r>
        <w:rPr>
          <w:rFonts w:ascii="Times New Roman" w:hAnsi="Times New Roman" w:eastAsiaTheme="minorEastAsia"/>
          <w:bCs/>
          <w:kern w:val="0"/>
        </w:rPr>
        <w:t>）建设项目性质：在建、变更环评</w:t>
      </w:r>
      <w:r>
        <w:rPr>
          <w:rFonts w:hint="eastAsia" w:ascii="Times New Roman" w:hAnsi="Times New Roman" w:eastAsiaTheme="minorEastAsia"/>
          <w:bCs/>
          <w:kern w:val="0"/>
        </w:rPr>
        <w:t>；</w:t>
      </w:r>
    </w:p>
    <w:p>
      <w:pPr>
        <w:pStyle w:val="39"/>
        <w:spacing w:line="336" w:lineRule="auto"/>
        <w:rPr>
          <w:rFonts w:ascii="Times New Roman" w:hAnsi="Times New Roman" w:eastAsiaTheme="minorEastAsia"/>
          <w:bCs/>
          <w:kern w:val="0"/>
        </w:rPr>
      </w:pPr>
      <w:r>
        <w:rPr>
          <w:rFonts w:ascii="Times New Roman" w:hAnsi="Times New Roman" w:eastAsiaTheme="minorEastAsia"/>
          <w:bCs/>
          <w:kern w:val="0"/>
        </w:rPr>
        <w:t>（</w:t>
      </w:r>
      <w:r>
        <w:rPr>
          <w:rFonts w:hint="eastAsia" w:ascii="Times New Roman" w:hAnsi="Times New Roman" w:eastAsiaTheme="minorEastAsia"/>
          <w:bCs/>
          <w:kern w:val="0"/>
        </w:rPr>
        <w:t>3</w:t>
      </w:r>
      <w:r>
        <w:rPr>
          <w:rFonts w:ascii="Times New Roman" w:hAnsi="Times New Roman" w:eastAsiaTheme="minorEastAsia"/>
          <w:bCs/>
          <w:kern w:val="0"/>
        </w:rPr>
        <w:t>）工程规模：</w:t>
      </w:r>
      <w:r>
        <w:rPr>
          <w:rFonts w:ascii="Times New Roman" w:hAnsi="Times New Roman" w:eastAsiaTheme="minorEastAsia"/>
        </w:rPr>
        <w:t>矿井设计生产能力</w:t>
      </w:r>
      <w:r>
        <w:rPr>
          <w:rFonts w:ascii="Times New Roman" w:hAnsi="Times New Roman" w:eastAsiaTheme="minorEastAsia"/>
          <w:bCs/>
          <w:kern w:val="0"/>
        </w:rPr>
        <w:t>为</w:t>
      </w:r>
      <w:r>
        <w:rPr>
          <w:rFonts w:hint="eastAsia" w:ascii="Times New Roman" w:hAnsi="Times New Roman" w:eastAsiaTheme="minorEastAsia"/>
          <w:bCs/>
          <w:kern w:val="0"/>
        </w:rPr>
        <w:t>120</w:t>
      </w:r>
      <w:r>
        <w:rPr>
          <w:rFonts w:ascii="Times New Roman" w:hAnsi="Times New Roman" w:eastAsiaTheme="minorEastAsia"/>
          <w:bCs/>
          <w:kern w:val="0"/>
        </w:rPr>
        <w:t>万t/a</w:t>
      </w:r>
      <w:r>
        <w:rPr>
          <w:rFonts w:hint="eastAsia" w:ascii="Times New Roman" w:hAnsi="Times New Roman" w:eastAsiaTheme="minorEastAsia"/>
          <w:bCs/>
          <w:kern w:val="0"/>
        </w:rPr>
        <w:t>；</w:t>
      </w:r>
    </w:p>
    <w:p>
      <w:pPr>
        <w:spacing w:line="336" w:lineRule="auto"/>
        <w:ind w:firstLine="480"/>
        <w:rPr>
          <w:rFonts w:eastAsiaTheme="minorEastAsia"/>
          <w:sz w:val="24"/>
        </w:rPr>
      </w:pPr>
      <w:r>
        <w:rPr>
          <w:rFonts w:eastAsiaTheme="minorEastAsia"/>
          <w:bCs/>
          <w:kern w:val="0"/>
          <w:sz w:val="24"/>
        </w:rPr>
        <w:t>（</w:t>
      </w:r>
      <w:r>
        <w:rPr>
          <w:rFonts w:hint="eastAsia" w:eastAsiaTheme="minorEastAsia"/>
          <w:bCs/>
          <w:kern w:val="0"/>
          <w:sz w:val="24"/>
        </w:rPr>
        <w:t>4</w:t>
      </w:r>
      <w:r>
        <w:rPr>
          <w:rFonts w:eastAsiaTheme="minorEastAsia"/>
          <w:bCs/>
          <w:kern w:val="0"/>
          <w:sz w:val="24"/>
        </w:rPr>
        <w:t>）服务年限：变更前</w:t>
      </w:r>
      <w:r>
        <w:rPr>
          <w:rFonts w:eastAsiaTheme="minorEastAsia"/>
          <w:sz w:val="24"/>
        </w:rPr>
        <w:t>矿井服务年限为</w:t>
      </w:r>
      <w:r>
        <w:rPr>
          <w:rFonts w:hint="eastAsia" w:eastAsiaTheme="minorEastAsia"/>
          <w:sz w:val="24"/>
        </w:rPr>
        <w:t>18.9</w:t>
      </w:r>
      <w:r>
        <w:rPr>
          <w:rFonts w:eastAsiaTheme="minorEastAsia"/>
          <w:sz w:val="24"/>
        </w:rPr>
        <w:t>a，变更后矿井服务年限为</w:t>
      </w:r>
      <w:r>
        <w:rPr>
          <w:rFonts w:hint="eastAsia" w:eastAsiaTheme="minorEastAsia"/>
          <w:sz w:val="24"/>
        </w:rPr>
        <w:t>18.2</w:t>
      </w:r>
      <w:r>
        <w:rPr>
          <w:rFonts w:eastAsiaTheme="minorEastAsia"/>
          <w:sz w:val="24"/>
        </w:rPr>
        <w:t>a，比变更前</w:t>
      </w:r>
      <w:r>
        <w:rPr>
          <w:rFonts w:hint="eastAsia" w:eastAsiaTheme="minorEastAsia"/>
          <w:sz w:val="24"/>
        </w:rPr>
        <w:t>减少0.7</w:t>
      </w:r>
      <w:r>
        <w:rPr>
          <w:rFonts w:eastAsiaTheme="minorEastAsia"/>
          <w:sz w:val="24"/>
        </w:rPr>
        <w:t>a</w:t>
      </w:r>
      <w:r>
        <w:rPr>
          <w:rFonts w:hint="eastAsia" w:eastAsiaTheme="minorEastAsia"/>
          <w:sz w:val="24"/>
        </w:rPr>
        <w:t>；</w:t>
      </w:r>
    </w:p>
    <w:p>
      <w:pPr>
        <w:pStyle w:val="39"/>
        <w:spacing w:line="336" w:lineRule="auto"/>
        <w:rPr>
          <w:rFonts w:ascii="Times New Roman" w:hAnsi="Times New Roman" w:eastAsiaTheme="minorEastAsia"/>
          <w:bCs/>
          <w:kern w:val="0"/>
        </w:rPr>
      </w:pPr>
      <w:r>
        <w:rPr>
          <w:rFonts w:ascii="Times New Roman" w:hAnsi="Times New Roman" w:eastAsiaTheme="minorEastAsia"/>
          <w:bCs/>
          <w:kern w:val="0"/>
        </w:rPr>
        <w:t>（</w:t>
      </w:r>
      <w:r>
        <w:rPr>
          <w:rFonts w:hint="eastAsia" w:ascii="Times New Roman" w:hAnsi="Times New Roman" w:eastAsiaTheme="minorEastAsia"/>
          <w:bCs/>
          <w:kern w:val="0"/>
        </w:rPr>
        <w:t>5</w:t>
      </w:r>
      <w:r>
        <w:rPr>
          <w:rFonts w:ascii="Times New Roman" w:hAnsi="Times New Roman" w:eastAsiaTheme="minorEastAsia"/>
          <w:bCs/>
          <w:kern w:val="0"/>
        </w:rPr>
        <w:t>）建设地点：</w:t>
      </w:r>
      <w:r>
        <w:rPr>
          <w:rFonts w:hint="eastAsia" w:ascii="Times New Roman" w:hAnsi="Times New Roman" w:eastAsiaTheme="minorEastAsia"/>
          <w:bCs/>
          <w:kern w:val="0"/>
        </w:rPr>
        <w:t>吕梁市临县招贤</w:t>
      </w:r>
      <w:r>
        <w:rPr>
          <w:rFonts w:ascii="Times New Roman" w:hAnsi="Times New Roman" w:eastAsiaTheme="minorEastAsia"/>
          <w:bCs/>
          <w:kern w:val="0"/>
        </w:rPr>
        <w:t>镇</w:t>
      </w:r>
      <w:r>
        <w:rPr>
          <w:rFonts w:hint="eastAsia" w:ascii="Times New Roman" w:hAnsi="Times New Roman" w:eastAsiaTheme="minorEastAsia"/>
          <w:bCs/>
          <w:kern w:val="0"/>
        </w:rPr>
        <w:t>；</w:t>
      </w:r>
    </w:p>
    <w:p>
      <w:pPr>
        <w:pStyle w:val="39"/>
        <w:spacing w:line="336" w:lineRule="auto"/>
        <w:rPr>
          <w:rFonts w:ascii="Times New Roman" w:hAnsi="Times New Roman" w:eastAsiaTheme="minorEastAsia"/>
          <w:bCs/>
          <w:kern w:val="0"/>
        </w:rPr>
      </w:pPr>
      <w:r>
        <w:rPr>
          <w:rFonts w:ascii="Times New Roman" w:hAnsi="Times New Roman" w:eastAsiaTheme="minorEastAsia"/>
          <w:bCs/>
          <w:kern w:val="0"/>
        </w:rPr>
        <w:t>（</w:t>
      </w:r>
      <w:r>
        <w:rPr>
          <w:rFonts w:hint="eastAsia" w:ascii="Times New Roman" w:hAnsi="Times New Roman" w:eastAsiaTheme="minorEastAsia"/>
          <w:bCs/>
          <w:kern w:val="0"/>
        </w:rPr>
        <w:t>6</w:t>
      </w:r>
      <w:r>
        <w:rPr>
          <w:rFonts w:ascii="Times New Roman" w:hAnsi="Times New Roman" w:eastAsiaTheme="minorEastAsia"/>
          <w:bCs/>
          <w:kern w:val="0"/>
        </w:rPr>
        <w:t>）总投资：变更前</w:t>
      </w:r>
      <w:r>
        <w:rPr>
          <w:rFonts w:ascii="Times New Roman" w:hAnsi="Times New Roman" w:eastAsiaTheme="minorEastAsia"/>
        </w:rPr>
        <w:t>项目</w:t>
      </w:r>
      <w:r>
        <w:rPr>
          <w:rFonts w:ascii="Times New Roman" w:hAnsi="Times New Roman" w:eastAsiaTheme="minorEastAsia"/>
          <w:bCs/>
          <w:kern w:val="0"/>
        </w:rPr>
        <w:t>概算投资</w:t>
      </w:r>
      <w:r>
        <w:rPr>
          <w:rFonts w:hint="eastAsia" w:ascii="Times New Roman" w:hAnsi="Times New Roman" w:eastAsiaTheme="minorEastAsia"/>
          <w:bCs/>
          <w:kern w:val="0"/>
        </w:rPr>
        <w:t>70367.65万元</w:t>
      </w:r>
      <w:r>
        <w:rPr>
          <w:rFonts w:ascii="Times New Roman" w:hAnsi="Times New Roman" w:eastAsiaTheme="minorEastAsia"/>
          <w:bCs/>
          <w:kern w:val="0"/>
        </w:rPr>
        <w:t>，</w:t>
      </w:r>
      <w:r>
        <w:rPr>
          <w:rFonts w:ascii="Times New Roman" w:hAnsi="Times New Roman" w:eastAsiaTheme="minorEastAsia"/>
        </w:rPr>
        <w:t>变更后项目</w:t>
      </w:r>
      <w:r>
        <w:rPr>
          <w:rFonts w:ascii="Times New Roman" w:hAnsi="Times New Roman" w:eastAsiaTheme="minorEastAsia"/>
          <w:bCs/>
          <w:kern w:val="0"/>
        </w:rPr>
        <w:t>概算投资</w:t>
      </w:r>
      <w:r>
        <w:rPr>
          <w:rFonts w:hint="eastAsia" w:ascii="Times New Roman" w:hAnsi="Times New Roman" w:eastAsiaTheme="minorEastAsia"/>
          <w:bCs/>
          <w:kern w:val="0"/>
        </w:rPr>
        <w:t>106959.62万元</w:t>
      </w:r>
      <w:r>
        <w:rPr>
          <w:rFonts w:ascii="Times New Roman" w:hAnsi="Times New Roman" w:eastAsiaTheme="minorEastAsia"/>
          <w:bCs/>
          <w:kern w:val="0"/>
        </w:rPr>
        <w:t>，比变更前增加</w:t>
      </w:r>
      <w:r>
        <w:rPr>
          <w:rFonts w:hint="eastAsia" w:ascii="Times New Roman" w:hAnsi="Times New Roman" w:eastAsiaTheme="minorEastAsia"/>
          <w:bCs/>
          <w:kern w:val="0"/>
        </w:rPr>
        <w:t>36591.97</w:t>
      </w:r>
      <w:r>
        <w:rPr>
          <w:rFonts w:ascii="Times New Roman" w:hAnsi="Times New Roman" w:eastAsiaTheme="minorEastAsia"/>
          <w:bCs/>
          <w:kern w:val="0"/>
        </w:rPr>
        <w:t>万元；变更前吨煤投资</w:t>
      </w:r>
      <w:r>
        <w:rPr>
          <w:rFonts w:hint="eastAsia" w:ascii="Times New Roman" w:hAnsi="Times New Roman"/>
          <w:bCs/>
          <w:kern w:val="0"/>
        </w:rPr>
        <w:t>586.40</w:t>
      </w:r>
      <w:r>
        <w:rPr>
          <w:rFonts w:ascii="Times New Roman" w:hAnsi="Times New Roman" w:eastAsiaTheme="minorEastAsia"/>
          <w:bCs/>
          <w:kern w:val="0"/>
        </w:rPr>
        <w:t>元，变更后吨煤投资</w:t>
      </w:r>
      <w:r>
        <w:rPr>
          <w:rFonts w:hint="eastAsia" w:ascii="Times New Roman" w:hAnsi="Times New Roman" w:eastAsiaTheme="minorEastAsia"/>
          <w:bCs/>
          <w:kern w:val="0"/>
        </w:rPr>
        <w:t>882.00</w:t>
      </w:r>
      <w:r>
        <w:rPr>
          <w:rFonts w:ascii="Times New Roman" w:hAnsi="Times New Roman" w:eastAsiaTheme="minorEastAsia"/>
          <w:bCs/>
          <w:kern w:val="0"/>
        </w:rPr>
        <w:t>元，比变更前增加</w:t>
      </w:r>
      <w:r>
        <w:rPr>
          <w:rFonts w:hint="eastAsia" w:ascii="Times New Roman" w:hAnsi="Times New Roman" w:eastAsiaTheme="minorEastAsia"/>
          <w:bCs/>
          <w:kern w:val="0"/>
        </w:rPr>
        <w:t>295.6</w:t>
      </w:r>
      <w:r>
        <w:rPr>
          <w:rFonts w:ascii="Times New Roman" w:hAnsi="Times New Roman" w:eastAsiaTheme="minorEastAsia"/>
          <w:bCs/>
          <w:kern w:val="0"/>
        </w:rPr>
        <w:t>元</w:t>
      </w:r>
      <w:r>
        <w:rPr>
          <w:rFonts w:hint="eastAsia" w:ascii="Times New Roman" w:hAnsi="Times New Roman" w:eastAsiaTheme="minorEastAsia"/>
          <w:bCs/>
          <w:kern w:val="0"/>
        </w:rPr>
        <w:t>；</w:t>
      </w:r>
    </w:p>
    <w:p>
      <w:pPr>
        <w:pStyle w:val="39"/>
        <w:spacing w:line="336" w:lineRule="auto"/>
        <w:rPr>
          <w:rFonts w:ascii="Times New Roman" w:hAnsi="Times New Roman" w:eastAsiaTheme="minorEastAsia"/>
          <w:bCs/>
          <w:kern w:val="0"/>
        </w:rPr>
      </w:pPr>
      <w:r>
        <w:rPr>
          <w:rFonts w:ascii="Times New Roman" w:hAnsi="Times New Roman" w:eastAsiaTheme="minorEastAsia"/>
          <w:bCs/>
          <w:kern w:val="0"/>
        </w:rPr>
        <w:t>（</w:t>
      </w:r>
      <w:r>
        <w:rPr>
          <w:rFonts w:hint="eastAsia" w:ascii="Times New Roman" w:hAnsi="Times New Roman" w:eastAsiaTheme="minorEastAsia"/>
          <w:bCs/>
          <w:kern w:val="0"/>
        </w:rPr>
        <w:t>7</w:t>
      </w:r>
      <w:r>
        <w:rPr>
          <w:rFonts w:ascii="Times New Roman" w:hAnsi="Times New Roman" w:eastAsiaTheme="minorEastAsia"/>
          <w:bCs/>
          <w:kern w:val="0"/>
        </w:rPr>
        <w:t>）职工人数、</w:t>
      </w:r>
      <w:r>
        <w:rPr>
          <w:rFonts w:ascii="Times New Roman" w:hAnsi="Times New Roman" w:eastAsiaTheme="minorEastAsia"/>
        </w:rPr>
        <w:t>劳动生产率</w:t>
      </w:r>
      <w:r>
        <w:rPr>
          <w:rFonts w:ascii="Times New Roman" w:hAnsi="Times New Roman" w:eastAsiaTheme="minorEastAsia"/>
          <w:bCs/>
          <w:kern w:val="0"/>
        </w:rPr>
        <w:t>与工作制度：</w:t>
      </w:r>
    </w:p>
    <w:p>
      <w:pPr>
        <w:pStyle w:val="39"/>
        <w:spacing w:line="336" w:lineRule="auto"/>
        <w:rPr>
          <w:rFonts w:ascii="Times New Roman" w:hAnsi="Times New Roman" w:eastAsiaTheme="minorEastAsia"/>
          <w:bCs/>
        </w:rPr>
      </w:pPr>
      <w:r>
        <w:rPr>
          <w:rFonts w:ascii="Times New Roman" w:hAnsi="Times New Roman" w:eastAsiaTheme="minorEastAsia"/>
          <w:bCs/>
        </w:rPr>
        <w:t>变更前矿井在籍总人数</w:t>
      </w:r>
      <w:r>
        <w:rPr>
          <w:rFonts w:hint="eastAsia" w:ascii="Times New Roman" w:hAnsi="Times New Roman" w:eastAsiaTheme="minorEastAsia"/>
          <w:bCs/>
        </w:rPr>
        <w:t>627</w:t>
      </w:r>
      <w:r>
        <w:rPr>
          <w:rFonts w:ascii="Times New Roman" w:hAnsi="Times New Roman" w:eastAsiaTheme="minorEastAsia"/>
          <w:bCs/>
        </w:rPr>
        <w:t>人，年工作日330天，</w:t>
      </w:r>
      <w:r>
        <w:rPr>
          <w:rFonts w:hint="eastAsia" w:ascii="Times New Roman" w:hAnsi="Times New Roman"/>
          <w:bCs/>
          <w:kern w:val="0"/>
        </w:rPr>
        <w:t>地面采用“三八”制，2班生产，1班检修；井下采用“四六”制，3班作业，1班检修</w:t>
      </w:r>
      <w:r>
        <w:rPr>
          <w:rFonts w:ascii="Times New Roman" w:hAnsi="Times New Roman" w:eastAsiaTheme="minorEastAsia"/>
          <w:bCs/>
        </w:rPr>
        <w:t>。</w:t>
      </w:r>
    </w:p>
    <w:p>
      <w:pPr>
        <w:pStyle w:val="39"/>
        <w:spacing w:line="336" w:lineRule="auto"/>
        <w:rPr>
          <w:rFonts w:ascii="Times New Roman" w:hAnsi="Times New Roman" w:eastAsiaTheme="minorEastAsia"/>
          <w:bCs/>
        </w:rPr>
      </w:pPr>
      <w:r>
        <w:rPr>
          <w:rFonts w:ascii="Times New Roman" w:hAnsi="Times New Roman" w:eastAsiaTheme="minorEastAsia"/>
          <w:bCs/>
        </w:rPr>
        <w:t>变更后矿井在籍总人数、工作制度与原环评一致。</w:t>
      </w:r>
    </w:p>
    <w:p>
      <w:pPr>
        <w:pStyle w:val="39"/>
        <w:spacing w:line="336" w:lineRule="auto"/>
        <w:rPr>
          <w:rFonts w:ascii="Times New Roman" w:hAnsi="Times New Roman" w:eastAsiaTheme="minorEastAsia"/>
          <w:bCs/>
          <w:kern w:val="0"/>
        </w:rPr>
      </w:pPr>
      <w:r>
        <w:rPr>
          <w:rFonts w:hint="eastAsia" w:ascii="Times New Roman" w:hAnsi="Times New Roman" w:eastAsiaTheme="minorEastAsia"/>
          <w:bCs/>
          <w:kern w:val="0"/>
        </w:rPr>
        <w:t>2、</w:t>
      </w:r>
      <w:r>
        <w:rPr>
          <w:rFonts w:ascii="Times New Roman" w:hAnsi="Times New Roman" w:eastAsiaTheme="minorEastAsia"/>
          <w:bCs/>
          <w:kern w:val="0"/>
        </w:rPr>
        <w:t>建设情况</w:t>
      </w:r>
    </w:p>
    <w:p>
      <w:pPr>
        <w:pStyle w:val="39"/>
        <w:spacing w:line="336" w:lineRule="auto"/>
        <w:rPr>
          <w:rFonts w:ascii="Times New Roman" w:hAnsi="Times New Roman" w:eastAsiaTheme="minorEastAsia"/>
          <w:b/>
          <w:bCs/>
          <w:kern w:val="0"/>
        </w:rPr>
      </w:pPr>
      <w:r>
        <w:rPr>
          <w:rFonts w:ascii="Times New Roman" w:eastAsiaTheme="minorEastAsia"/>
          <w:bCs/>
          <w:kern w:val="0"/>
        </w:rPr>
        <w:t>山西煤炭运销集团新工煤业有限公司</w:t>
      </w:r>
      <w:r>
        <w:rPr>
          <w:rFonts w:ascii="Times New Roman" w:hAnsi="Times New Roman" w:eastAsiaTheme="minorEastAsia"/>
          <w:bCs/>
          <w:kern w:val="0"/>
        </w:rPr>
        <w:t>开工建设</w:t>
      </w:r>
      <w:r>
        <w:rPr>
          <w:rFonts w:hint="eastAsia" w:ascii="Times New Roman" w:hAnsi="Times New Roman" w:eastAsiaTheme="minorEastAsia"/>
          <w:bCs/>
          <w:kern w:val="0"/>
        </w:rPr>
        <w:t>后</w:t>
      </w:r>
      <w:r>
        <w:rPr>
          <w:rFonts w:ascii="Times New Roman" w:hAnsi="Times New Roman" w:eastAsiaTheme="minorEastAsia"/>
          <w:bCs/>
          <w:kern w:val="0"/>
        </w:rPr>
        <w:t>，</w:t>
      </w:r>
      <w:r>
        <w:rPr>
          <w:rFonts w:ascii="Times New Roman" w:eastAsiaTheme="minorEastAsia"/>
          <w:bCs/>
          <w:kern w:val="0"/>
        </w:rPr>
        <w:t>因外部因素影响，矿井主、副斜井各施工</w:t>
      </w:r>
      <w:r>
        <w:rPr>
          <w:rFonts w:hint="eastAsia" w:ascii="Times New Roman" w:hAnsi="Times New Roman" w:eastAsiaTheme="minorEastAsia"/>
          <w:bCs/>
          <w:kern w:val="0"/>
        </w:rPr>
        <w:t>42</w:t>
      </w:r>
      <w:r>
        <w:rPr>
          <w:rFonts w:ascii="Times New Roman" w:hAnsi="Times New Roman" w:eastAsiaTheme="minorEastAsia"/>
          <w:bCs/>
          <w:kern w:val="0"/>
        </w:rPr>
        <w:t>0m</w:t>
      </w:r>
      <w:r>
        <w:rPr>
          <w:rFonts w:ascii="Times New Roman" w:eastAsiaTheme="minorEastAsia"/>
          <w:bCs/>
          <w:kern w:val="0"/>
        </w:rPr>
        <w:t>后停工，</w:t>
      </w:r>
      <w:r>
        <w:rPr>
          <w:rFonts w:ascii="Times New Roman" w:hAnsi="Times New Roman" w:eastAsiaTheme="minorEastAsia"/>
          <w:bCs/>
          <w:kern w:val="0"/>
        </w:rPr>
        <w:t>2019</w:t>
      </w:r>
      <w:r>
        <w:rPr>
          <w:rFonts w:ascii="Times New Roman" w:eastAsiaTheme="minorEastAsia"/>
          <w:bCs/>
          <w:kern w:val="0"/>
        </w:rPr>
        <w:t>年矿井准备投产建设，但是由于地面设施、平面布置、矿井开拓及井上、下相关系统均发生了较大变化</w:t>
      </w:r>
      <w:r>
        <w:rPr>
          <w:rFonts w:hint="eastAsia" w:ascii="Times New Roman" w:eastAsiaTheme="minorEastAsia"/>
          <w:bCs/>
          <w:kern w:val="0"/>
        </w:rPr>
        <w:t>，风井场地发生了变化</w:t>
      </w:r>
      <w:r>
        <w:rPr>
          <w:rFonts w:ascii="Times New Roman" w:eastAsiaTheme="minorEastAsia"/>
          <w:bCs/>
          <w:kern w:val="0"/>
        </w:rPr>
        <w:t>。</w:t>
      </w:r>
    </w:p>
    <w:p>
      <w:pPr>
        <w:pStyle w:val="39"/>
        <w:spacing w:line="336" w:lineRule="auto"/>
        <w:rPr>
          <w:rFonts w:ascii="Times New Roman" w:hAnsi="Times New Roman" w:eastAsiaTheme="minorEastAsia"/>
          <w:bCs/>
          <w:kern w:val="0"/>
        </w:rPr>
      </w:pPr>
      <w:r>
        <w:rPr>
          <w:rFonts w:hint="eastAsia" w:ascii="Times New Roman" w:hAnsi="Times New Roman" w:eastAsiaTheme="minorEastAsia"/>
          <w:bCs/>
          <w:kern w:val="0"/>
        </w:rPr>
        <w:t>变更后</w:t>
      </w:r>
      <w:r>
        <w:rPr>
          <w:rFonts w:ascii="Times New Roman" w:hAnsi="Times New Roman" w:eastAsiaTheme="minorEastAsia"/>
          <w:bCs/>
          <w:kern w:val="0"/>
        </w:rPr>
        <w:t>工程内容主要包括矿井工程、储运工程、公用工程以及环保工程等，本项目工程组成及变更前后工程情况见表3.</w:t>
      </w:r>
      <w:r>
        <w:rPr>
          <w:rFonts w:hint="eastAsia" w:ascii="Times New Roman" w:hAnsi="Times New Roman" w:eastAsiaTheme="minorEastAsia"/>
          <w:bCs/>
          <w:kern w:val="0"/>
        </w:rPr>
        <w:t>2</w:t>
      </w:r>
      <w:r>
        <w:rPr>
          <w:rFonts w:ascii="Times New Roman" w:hAnsi="Times New Roman" w:eastAsiaTheme="minorEastAsia"/>
          <w:bCs/>
          <w:kern w:val="0"/>
        </w:rPr>
        <w:t>-1。</w:t>
      </w:r>
    </w:p>
    <w:p>
      <w:pPr>
        <w:spacing w:line="360" w:lineRule="auto"/>
        <w:outlineLvl w:val="2"/>
        <w:rPr>
          <w:rFonts w:hAnsiTheme="minorEastAsia" w:eastAsiaTheme="minorEastAsia"/>
          <w:b/>
          <w:sz w:val="24"/>
        </w:rPr>
        <w:sectPr>
          <w:pgSz w:w="11906" w:h="16838"/>
          <w:pgMar w:top="1701" w:right="1418" w:bottom="1701" w:left="1418" w:header="992" w:footer="992" w:gutter="0"/>
          <w:cols w:space="720" w:num="1"/>
          <w:docGrid w:linePitch="318" w:charSpace="0"/>
        </w:sectPr>
      </w:pPr>
    </w:p>
    <w:p>
      <w:pPr>
        <w:pStyle w:val="96"/>
        <w:spacing w:before="120"/>
        <w:rPr>
          <w:rFonts w:ascii="Times New Roman" w:hAnsi="Times New Roman" w:cs="Times New Roman"/>
        </w:rPr>
      </w:pPr>
      <w:r>
        <w:rPr>
          <w:rFonts w:ascii="Times New Roman" w:hAnsi="Times New Roman" w:cs="Times New Roman"/>
        </w:rPr>
        <w:t>表3.</w:t>
      </w:r>
      <w:r>
        <w:rPr>
          <w:rFonts w:hint="eastAsia" w:ascii="Times New Roman" w:hAnsi="Times New Roman" w:cs="Times New Roman"/>
        </w:rPr>
        <w:t>2</w:t>
      </w:r>
      <w:r>
        <w:rPr>
          <w:rFonts w:ascii="Times New Roman" w:hAnsi="Times New Roman" w:cs="Times New Roman"/>
        </w:rPr>
        <w:t>-1本项目工程组成变更情况一览表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2"/>
        <w:gridCol w:w="464"/>
        <w:gridCol w:w="262"/>
        <w:gridCol w:w="857"/>
        <w:gridCol w:w="4087"/>
        <w:gridCol w:w="3418"/>
        <w:gridCol w:w="1893"/>
        <w:gridCol w:w="21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64" w:type="pct"/>
            <w:gridSpan w:val="4"/>
            <w:vAlign w:val="center"/>
          </w:tcPr>
          <w:p>
            <w:pPr>
              <w:pStyle w:val="90"/>
              <w:rPr>
                <w:rFonts w:ascii="Times New Roman" w:hAnsi="Times New Roman" w:cs="Times New Roman"/>
                <w:szCs w:val="21"/>
              </w:rPr>
            </w:pPr>
            <w:r>
              <w:rPr>
                <w:rFonts w:ascii="Times New Roman" w:hAnsi="Times New Roman" w:cs="Times New Roman"/>
                <w:szCs w:val="21"/>
              </w:rPr>
              <w:t>工程类别</w:t>
            </w:r>
          </w:p>
        </w:tc>
        <w:tc>
          <w:tcPr>
            <w:tcW w:w="1497" w:type="pct"/>
            <w:vAlign w:val="center"/>
          </w:tcPr>
          <w:p>
            <w:pPr>
              <w:pStyle w:val="90"/>
              <w:rPr>
                <w:rFonts w:ascii="Times New Roman" w:hAnsi="Times New Roman" w:cs="Times New Roman"/>
                <w:szCs w:val="21"/>
              </w:rPr>
            </w:pPr>
            <w:r>
              <w:rPr>
                <w:rFonts w:ascii="Times New Roman" w:hAnsi="Times New Roman" w:cs="Times New Roman"/>
                <w:szCs w:val="21"/>
              </w:rPr>
              <w:t>原环评工程内容</w:t>
            </w:r>
          </w:p>
        </w:tc>
        <w:tc>
          <w:tcPr>
            <w:tcW w:w="1252" w:type="pct"/>
            <w:tcBorders>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本次变更工程内容</w:t>
            </w:r>
          </w:p>
        </w:tc>
        <w:tc>
          <w:tcPr>
            <w:tcW w:w="693" w:type="pct"/>
            <w:tcBorders>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变更理由</w:t>
            </w:r>
          </w:p>
        </w:tc>
        <w:tc>
          <w:tcPr>
            <w:tcW w:w="794" w:type="pct"/>
            <w:tcBorders>
              <w:left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4" w:type="pct"/>
            <w:gridSpan w:val="4"/>
            <w:vAlign w:val="center"/>
          </w:tcPr>
          <w:p>
            <w:pPr>
              <w:pStyle w:val="90"/>
              <w:rPr>
                <w:rFonts w:ascii="Times New Roman" w:hAnsi="Times New Roman" w:cs="Times New Roman"/>
                <w:szCs w:val="21"/>
              </w:rPr>
            </w:pPr>
            <w:r>
              <w:rPr>
                <w:rFonts w:ascii="Times New Roman" w:hAnsi="Times New Roman" w:cs="Times New Roman"/>
                <w:szCs w:val="21"/>
              </w:rPr>
              <w:t>井田面积</w:t>
            </w:r>
          </w:p>
        </w:tc>
        <w:tc>
          <w:tcPr>
            <w:tcW w:w="1497" w:type="pct"/>
            <w:vAlign w:val="center"/>
          </w:tcPr>
          <w:p>
            <w:pPr>
              <w:pStyle w:val="90"/>
              <w:rPr>
                <w:rFonts w:ascii="Times New Roman" w:hAnsi="Times New Roman" w:cs="Times New Roman"/>
                <w:szCs w:val="21"/>
              </w:rPr>
            </w:pPr>
            <w:r>
              <w:rPr>
                <w:rFonts w:hint="eastAsia" w:ascii="Times New Roman" w:hAnsi="Times New Roman" w:cs="Times New Roman"/>
                <w:szCs w:val="21"/>
              </w:rPr>
              <w:t>5.4518</w:t>
            </w:r>
            <w:r>
              <w:rPr>
                <w:rFonts w:ascii="Times New Roman" w:hAnsi="Times New Roman" w:cs="Times New Roman"/>
                <w:szCs w:val="21"/>
              </w:rPr>
              <w:t>km</w:t>
            </w:r>
            <w:r>
              <w:rPr>
                <w:rFonts w:ascii="Times New Roman" w:hAnsi="Times New Roman" w:cs="Times New Roman"/>
                <w:szCs w:val="21"/>
                <w:vertAlign w:val="superscript"/>
              </w:rPr>
              <w:t>2</w:t>
            </w:r>
          </w:p>
        </w:tc>
        <w:tc>
          <w:tcPr>
            <w:tcW w:w="1252" w:type="pct"/>
            <w:tcBorders>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left w:val="single" w:color="auto" w:sz="4" w:space="0"/>
              <w:right w:val="single" w:color="auto" w:sz="4" w:space="0"/>
            </w:tcBorders>
            <w:vAlign w:val="center"/>
          </w:tcPr>
          <w:p>
            <w:pPr>
              <w:pStyle w:val="90"/>
              <w:rPr>
                <w:rFonts w:ascii="Times New Roman" w:hAnsi="Times New Roman" w:eastAsia="宋体"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4" w:type="pct"/>
            <w:gridSpan w:val="4"/>
            <w:vAlign w:val="center"/>
          </w:tcPr>
          <w:p>
            <w:pPr>
              <w:pStyle w:val="90"/>
              <w:rPr>
                <w:rFonts w:ascii="Times New Roman" w:hAnsi="Times New Roman" w:cs="Times New Roman"/>
                <w:szCs w:val="21"/>
              </w:rPr>
            </w:pPr>
            <w:r>
              <w:rPr>
                <w:rFonts w:ascii="Times New Roman" w:hAnsi="Times New Roman" w:cs="Times New Roman"/>
                <w:szCs w:val="21"/>
              </w:rPr>
              <w:t>开采煤层</w:t>
            </w:r>
          </w:p>
        </w:tc>
        <w:tc>
          <w:tcPr>
            <w:tcW w:w="1497" w:type="pct"/>
            <w:vAlign w:val="center"/>
          </w:tcPr>
          <w:p>
            <w:pPr>
              <w:pStyle w:val="90"/>
              <w:rPr>
                <w:rFonts w:ascii="Times New Roman" w:hAnsi="Times New Roman" w:cs="Times New Roman"/>
                <w:szCs w:val="21"/>
              </w:rPr>
            </w:pPr>
            <w:r>
              <w:rPr>
                <w:rFonts w:hint="eastAsia" w:ascii="Times New Roman" w:hAnsi="Times New Roman" w:cs="Times New Roman"/>
                <w:szCs w:val="21"/>
              </w:rPr>
              <w:t>4-9号</w:t>
            </w:r>
            <w:r>
              <w:rPr>
                <w:rFonts w:ascii="Times New Roman" w:hAnsi="Times New Roman" w:cs="Times New Roman"/>
                <w:szCs w:val="21"/>
              </w:rPr>
              <w:t>煤层</w:t>
            </w:r>
          </w:p>
        </w:tc>
        <w:tc>
          <w:tcPr>
            <w:tcW w:w="1252" w:type="pct"/>
            <w:tcBorders>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764" w:type="pct"/>
            <w:gridSpan w:val="4"/>
            <w:vAlign w:val="center"/>
          </w:tcPr>
          <w:p>
            <w:pPr>
              <w:pStyle w:val="90"/>
              <w:rPr>
                <w:rFonts w:ascii="Times New Roman" w:hAnsi="Times New Roman" w:cs="Times New Roman"/>
                <w:szCs w:val="21"/>
              </w:rPr>
            </w:pPr>
            <w:r>
              <w:rPr>
                <w:rFonts w:ascii="Times New Roman" w:hAnsi="Times New Roman" w:cs="Times New Roman"/>
                <w:szCs w:val="21"/>
              </w:rPr>
              <w:t>生产能力</w:t>
            </w:r>
          </w:p>
        </w:tc>
        <w:tc>
          <w:tcPr>
            <w:tcW w:w="1497" w:type="pct"/>
            <w:vAlign w:val="center"/>
          </w:tcPr>
          <w:p>
            <w:pPr>
              <w:pStyle w:val="90"/>
              <w:rPr>
                <w:rFonts w:ascii="Times New Roman" w:hAnsi="Times New Roman" w:cs="Times New Roman"/>
                <w:szCs w:val="21"/>
              </w:rPr>
            </w:pPr>
            <w:r>
              <w:rPr>
                <w:rFonts w:hint="eastAsia" w:ascii="Times New Roman" w:hAnsi="Times New Roman" w:cs="Times New Roman"/>
                <w:szCs w:val="21"/>
              </w:rPr>
              <w:t>12</w:t>
            </w:r>
            <w:r>
              <w:rPr>
                <w:rFonts w:ascii="Times New Roman" w:hAnsi="Times New Roman" w:cs="Times New Roman"/>
                <w:szCs w:val="21"/>
              </w:rPr>
              <w:t>0万t/a</w:t>
            </w:r>
          </w:p>
        </w:tc>
        <w:tc>
          <w:tcPr>
            <w:tcW w:w="1252" w:type="pct"/>
            <w:tcBorders>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 w:type="pct"/>
            <w:vMerge w:val="restart"/>
            <w:vAlign w:val="center"/>
          </w:tcPr>
          <w:p>
            <w:pPr>
              <w:pStyle w:val="90"/>
              <w:rPr>
                <w:rFonts w:ascii="Times New Roman" w:hAnsi="Times New Roman" w:cs="Times New Roman"/>
                <w:szCs w:val="21"/>
              </w:rPr>
            </w:pPr>
            <w:r>
              <w:rPr>
                <w:rFonts w:ascii="Times New Roman" w:hAnsi="Times New Roman" w:cs="Times New Roman"/>
                <w:szCs w:val="21"/>
              </w:rPr>
              <w:t>主</w:t>
            </w:r>
          </w:p>
          <w:p>
            <w:pPr>
              <w:pStyle w:val="90"/>
              <w:rPr>
                <w:rFonts w:ascii="Times New Roman" w:hAnsi="Times New Roman" w:cs="Times New Roman"/>
                <w:szCs w:val="21"/>
              </w:rPr>
            </w:pPr>
            <w:r>
              <w:rPr>
                <w:rFonts w:ascii="Times New Roman" w:hAnsi="Times New Roman" w:cs="Times New Roman"/>
                <w:szCs w:val="21"/>
              </w:rPr>
              <w:t>体</w:t>
            </w:r>
          </w:p>
          <w:p>
            <w:pPr>
              <w:pStyle w:val="90"/>
              <w:rPr>
                <w:rFonts w:ascii="Times New Roman" w:hAnsi="Times New Roman" w:cs="Times New Roman"/>
                <w:szCs w:val="21"/>
              </w:rPr>
            </w:pPr>
            <w:r>
              <w:rPr>
                <w:rFonts w:ascii="Times New Roman" w:hAnsi="Times New Roman" w:cs="Times New Roman"/>
                <w:szCs w:val="21"/>
              </w:rPr>
              <w:t>工</w:t>
            </w:r>
          </w:p>
          <w:p>
            <w:pPr>
              <w:pStyle w:val="90"/>
              <w:rPr>
                <w:rFonts w:ascii="Times New Roman" w:hAnsi="Times New Roman" w:cs="Times New Roman"/>
                <w:szCs w:val="21"/>
              </w:rPr>
            </w:pPr>
            <w:r>
              <w:rPr>
                <w:rFonts w:ascii="Times New Roman" w:hAnsi="Times New Roman" w:cs="Times New Roman"/>
                <w:szCs w:val="21"/>
              </w:rPr>
              <w:t>程</w:t>
            </w:r>
          </w:p>
        </w:tc>
        <w:tc>
          <w:tcPr>
            <w:tcW w:w="170" w:type="pct"/>
            <w:vMerge w:val="restart"/>
            <w:vAlign w:val="center"/>
          </w:tcPr>
          <w:p>
            <w:pPr>
              <w:pStyle w:val="90"/>
              <w:rPr>
                <w:rFonts w:ascii="Times New Roman" w:hAnsi="Times New Roman" w:cs="Times New Roman"/>
                <w:szCs w:val="21"/>
              </w:rPr>
            </w:pPr>
            <w:r>
              <w:rPr>
                <w:rFonts w:hint="eastAsia"/>
              </w:rPr>
              <w:t>开拓方式</w:t>
            </w:r>
          </w:p>
        </w:tc>
        <w:tc>
          <w:tcPr>
            <w:tcW w:w="410" w:type="pct"/>
            <w:gridSpan w:val="2"/>
            <w:vAlign w:val="center"/>
          </w:tcPr>
          <w:p>
            <w:pPr>
              <w:pStyle w:val="90"/>
              <w:rPr>
                <w:rFonts w:ascii="Times New Roman" w:hAnsi="Times New Roman" w:cs="Times New Roman"/>
                <w:szCs w:val="21"/>
              </w:rPr>
            </w:pPr>
            <w:r>
              <w:rPr>
                <w:rFonts w:ascii="Times New Roman" w:hAnsi="Times New Roman" w:cs="Times New Roman"/>
                <w:szCs w:val="21"/>
              </w:rPr>
              <w:t>主</w:t>
            </w:r>
            <w:r>
              <w:rPr>
                <w:rFonts w:hint="eastAsia" w:ascii="Times New Roman" w:hAnsi="Times New Roman" w:cs="Times New Roman"/>
                <w:szCs w:val="21"/>
              </w:rPr>
              <w:t>斜</w:t>
            </w:r>
            <w:r>
              <w:rPr>
                <w:rFonts w:ascii="Times New Roman" w:hAnsi="Times New Roman" w:cs="Times New Roman"/>
                <w:szCs w:val="21"/>
              </w:rPr>
              <w:t>井</w:t>
            </w:r>
          </w:p>
        </w:tc>
        <w:tc>
          <w:tcPr>
            <w:tcW w:w="1497" w:type="pct"/>
            <w:tcBorders>
              <w:bottom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井筒全长1078m，倾角14.5</w:t>
            </w:r>
            <w:r>
              <w:rPr>
                <w:rFonts w:hint="eastAsia" w:ascii="Times New Roman" w:hAnsi="Times New Roman" w:cs="Times New Roman"/>
                <w:szCs w:val="21"/>
                <w:vertAlign w:val="superscript"/>
              </w:rPr>
              <w:t>o</w:t>
            </w:r>
            <w:r>
              <w:rPr>
                <w:rFonts w:hint="eastAsia" w:ascii="Times New Roman" w:hAnsi="Times New Roman" w:cs="Times New Roman"/>
                <w:szCs w:val="21"/>
              </w:rPr>
              <w:t>。井筒断面采用直墙半圆拱，净宽4.7m，净高4.15m，净断面17.1m</w:t>
            </w:r>
            <w:r>
              <w:rPr>
                <w:rFonts w:hint="eastAsia" w:ascii="Times New Roman" w:hAnsi="Times New Roman" w:cs="Times New Roman"/>
                <w:szCs w:val="21"/>
                <w:vertAlign w:val="superscript"/>
              </w:rPr>
              <w:t>2</w:t>
            </w:r>
          </w:p>
        </w:tc>
        <w:tc>
          <w:tcPr>
            <w:tcW w:w="1252" w:type="pct"/>
            <w:tcBorders>
              <w:bottom w:val="single" w:color="auto" w:sz="4" w:space="0"/>
              <w:right w:val="single" w:color="auto" w:sz="4" w:space="0"/>
            </w:tcBorders>
            <w:vAlign w:val="center"/>
          </w:tcPr>
          <w:p>
            <w:pPr>
              <w:pStyle w:val="90"/>
              <w:rPr>
                <w:rFonts w:ascii="Times New Roman" w:hAnsi="Times New Roman" w:cs="Times New Roman"/>
                <w:szCs w:val="21"/>
                <w:highlight w:val="yellow"/>
              </w:rPr>
            </w:pPr>
            <w:r>
              <w:rPr>
                <w:rFonts w:hint="eastAsia" w:ascii="Times New Roman" w:hAnsi="Times New Roman" w:cs="Times New Roman"/>
                <w:szCs w:val="21"/>
              </w:rPr>
              <w:t>井筒全长为973m（含已施工段），净宽度4.8m、净高度4.15m，井口标高为+983.8m，上段倾角17°/ 16°，下段沿9号煤层布置（倾角约6.5°）</w:t>
            </w:r>
          </w:p>
        </w:tc>
        <w:tc>
          <w:tcPr>
            <w:tcW w:w="693" w:type="pct"/>
            <w:tcBorders>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施工现状</w:t>
            </w:r>
          </w:p>
        </w:tc>
        <w:tc>
          <w:tcPr>
            <w:tcW w:w="794" w:type="pct"/>
            <w:tcBorders>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井筒方位角同原设计，但井口实际施工位置与原初步设计相比，向西平移了118m，已施工约420m，井下未施工段按16°倾角向井底延续施工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 w:type="pct"/>
            <w:vMerge w:val="continue"/>
            <w:vAlign w:val="center"/>
          </w:tcPr>
          <w:p>
            <w:pPr>
              <w:pStyle w:val="90"/>
              <w:rPr>
                <w:rFonts w:ascii="Times New Roman" w:hAnsi="Times New Roman" w:cs="Times New Roman"/>
                <w:szCs w:val="21"/>
              </w:rPr>
            </w:pPr>
          </w:p>
        </w:tc>
        <w:tc>
          <w:tcPr>
            <w:tcW w:w="170" w:type="pct"/>
            <w:vMerge w:val="continue"/>
            <w:vAlign w:val="center"/>
          </w:tcPr>
          <w:p>
            <w:pPr>
              <w:pStyle w:val="90"/>
              <w:rPr>
                <w:rFonts w:ascii="Times New Roman" w:hAnsi="Times New Roman" w:cs="Times New Roman"/>
                <w:szCs w:val="21"/>
              </w:rPr>
            </w:pPr>
          </w:p>
        </w:tc>
        <w:tc>
          <w:tcPr>
            <w:tcW w:w="410" w:type="pct"/>
            <w:gridSpan w:val="2"/>
            <w:vAlign w:val="center"/>
          </w:tcPr>
          <w:p>
            <w:pPr>
              <w:pStyle w:val="90"/>
              <w:rPr>
                <w:rFonts w:ascii="Times New Roman" w:hAnsi="Times New Roman" w:cs="Times New Roman"/>
                <w:szCs w:val="21"/>
              </w:rPr>
            </w:pPr>
            <w:r>
              <w:rPr>
                <w:rFonts w:ascii="Times New Roman" w:hAnsi="Times New Roman" w:cs="Times New Roman"/>
                <w:szCs w:val="21"/>
              </w:rPr>
              <w:t>副</w:t>
            </w:r>
            <w:r>
              <w:rPr>
                <w:rFonts w:hint="eastAsia" w:ascii="Times New Roman" w:hAnsi="Times New Roman" w:cs="Times New Roman"/>
                <w:szCs w:val="21"/>
              </w:rPr>
              <w:t>斜</w:t>
            </w:r>
            <w:r>
              <w:rPr>
                <w:rFonts w:ascii="Times New Roman" w:hAnsi="Times New Roman" w:cs="Times New Roman"/>
                <w:szCs w:val="21"/>
              </w:rPr>
              <w:t>井</w:t>
            </w:r>
          </w:p>
        </w:tc>
        <w:tc>
          <w:tcPr>
            <w:tcW w:w="1497" w:type="pct"/>
            <w:tcBorders>
              <w:bottom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井筒全长923m，倾角17</w:t>
            </w:r>
            <w:r>
              <w:rPr>
                <w:rFonts w:hint="eastAsia" w:ascii="Times New Roman" w:hAnsi="Times New Roman" w:cs="Times New Roman"/>
                <w:szCs w:val="21"/>
                <w:vertAlign w:val="superscript"/>
              </w:rPr>
              <w:t>o</w:t>
            </w:r>
            <w:r>
              <w:rPr>
                <w:rFonts w:hint="eastAsia" w:ascii="Times New Roman" w:hAnsi="Times New Roman" w:cs="Times New Roman"/>
                <w:szCs w:val="21"/>
              </w:rPr>
              <w:t>。井筒断面采用直墙半圆拱，净宽4.7m，净高4.2m，净断面17.4m</w:t>
            </w:r>
            <w:r>
              <w:rPr>
                <w:rFonts w:hint="eastAsia" w:ascii="Times New Roman" w:hAnsi="Times New Roman" w:cs="Times New Roman"/>
                <w:szCs w:val="21"/>
                <w:vertAlign w:val="superscript"/>
              </w:rPr>
              <w:t>2</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highlight w:val="yellow"/>
              </w:rPr>
            </w:pPr>
            <w:r>
              <w:rPr>
                <w:rFonts w:hint="eastAsia" w:ascii="Times New Roman" w:hAnsi="Times New Roman" w:cs="Times New Roman"/>
                <w:szCs w:val="21"/>
              </w:rPr>
              <w:t>井筒全长为761m（含已施工段），净宽度4.8m、净高度4.15m，井口标高为+982.162m，井筒倾角为18°。</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施工现状</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 xml:space="preserve">井筒方位角同原设计，但井口实际施工位置与原初步设计相比，向西平移了55m， </w:t>
            </w:r>
          </w:p>
          <w:p>
            <w:pPr>
              <w:pStyle w:val="90"/>
              <w:rPr>
                <w:rFonts w:ascii="Times New Roman" w:hAnsi="Times New Roman" w:cs="Times New Roman"/>
                <w:szCs w:val="21"/>
              </w:rPr>
            </w:pPr>
            <w:r>
              <w:rPr>
                <w:rFonts w:hint="eastAsia" w:ascii="Times New Roman" w:hAnsi="Times New Roman" w:cs="Times New Roman"/>
                <w:szCs w:val="21"/>
              </w:rPr>
              <w:t>已施工约420m，井下未施工段按18°倾角向井底延续施工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 w:type="pct"/>
            <w:vMerge w:val="continue"/>
            <w:vAlign w:val="center"/>
          </w:tcPr>
          <w:p>
            <w:pPr>
              <w:pStyle w:val="90"/>
              <w:rPr>
                <w:rFonts w:ascii="Times New Roman" w:hAnsi="Times New Roman" w:cs="Times New Roman"/>
                <w:szCs w:val="21"/>
              </w:rPr>
            </w:pPr>
          </w:p>
        </w:tc>
        <w:tc>
          <w:tcPr>
            <w:tcW w:w="170" w:type="pct"/>
            <w:vMerge w:val="continue"/>
            <w:vAlign w:val="center"/>
          </w:tcPr>
          <w:p>
            <w:pPr>
              <w:pStyle w:val="90"/>
              <w:rPr>
                <w:rFonts w:ascii="Times New Roman" w:hAnsi="Times New Roman" w:cs="Times New Roman"/>
                <w:szCs w:val="21"/>
              </w:rPr>
            </w:pPr>
          </w:p>
        </w:tc>
        <w:tc>
          <w:tcPr>
            <w:tcW w:w="410" w:type="pct"/>
            <w:gridSpan w:val="2"/>
            <w:vAlign w:val="center"/>
          </w:tcPr>
          <w:p>
            <w:pPr>
              <w:pStyle w:val="90"/>
              <w:rPr>
                <w:rFonts w:ascii="Times New Roman" w:hAnsi="Times New Roman" w:cs="Times New Roman"/>
                <w:szCs w:val="21"/>
              </w:rPr>
            </w:pPr>
            <w:r>
              <w:rPr>
                <w:rFonts w:ascii="Times New Roman" w:hAnsi="Times New Roman" w:cs="Times New Roman"/>
                <w:szCs w:val="21"/>
              </w:rPr>
              <w:t>回风立井</w:t>
            </w:r>
          </w:p>
        </w:tc>
        <w:tc>
          <w:tcPr>
            <w:tcW w:w="1497" w:type="pct"/>
            <w:tcBorders>
              <w:bottom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设在原宏宇矿工业场地</w:t>
            </w:r>
          </w:p>
          <w:p>
            <w:pPr>
              <w:pStyle w:val="90"/>
              <w:rPr>
                <w:rFonts w:ascii="Times New Roman" w:hAnsi="Times New Roman" w:cs="Times New Roman"/>
                <w:szCs w:val="21"/>
              </w:rPr>
            </w:pPr>
            <w:r>
              <w:rPr>
                <w:rFonts w:hint="eastAsia" w:ascii="Times New Roman" w:hAnsi="Times New Roman" w:cs="Times New Roman"/>
                <w:szCs w:val="21"/>
              </w:rPr>
              <w:t>井筒</w:t>
            </w:r>
            <w:r>
              <w:rPr>
                <w:rFonts w:ascii="Times New Roman" w:hAnsi="Times New Roman" w:cs="Times New Roman"/>
                <w:szCs w:val="21"/>
              </w:rPr>
              <w:t>净直径</w:t>
            </w:r>
            <w:r>
              <w:rPr>
                <w:rFonts w:hint="eastAsia" w:ascii="Times New Roman" w:hAnsi="Times New Roman" w:cs="Times New Roman"/>
                <w:szCs w:val="21"/>
              </w:rPr>
              <w:t>5.0</w:t>
            </w:r>
            <w:r>
              <w:rPr>
                <w:rFonts w:ascii="Times New Roman" w:hAnsi="Times New Roman" w:cs="Times New Roman"/>
                <w:szCs w:val="21"/>
              </w:rPr>
              <w:t>m，</w:t>
            </w:r>
            <w:r>
              <w:rPr>
                <w:rFonts w:hint="eastAsia" w:ascii="Times New Roman" w:hAnsi="Times New Roman" w:cs="Times New Roman"/>
                <w:szCs w:val="21"/>
              </w:rPr>
              <w:t>净断面19.6m</w:t>
            </w:r>
            <w:r>
              <w:rPr>
                <w:rFonts w:hint="eastAsia" w:ascii="Times New Roman" w:hAnsi="Times New Roman" w:cs="Times New Roman"/>
                <w:szCs w:val="21"/>
                <w:vertAlign w:val="superscript"/>
              </w:rPr>
              <w:t>2</w:t>
            </w:r>
            <w:r>
              <w:rPr>
                <w:rFonts w:hint="eastAsia" w:ascii="Times New Roman" w:hAnsi="Times New Roman" w:cs="Times New Roman"/>
                <w:szCs w:val="21"/>
              </w:rPr>
              <w:t>，并装备梯子间，</w:t>
            </w:r>
            <w:r>
              <w:rPr>
                <w:rFonts w:ascii="Times New Roman" w:hAnsi="Times New Roman" w:cs="Times New Roman"/>
                <w:szCs w:val="21"/>
              </w:rPr>
              <w:t>担负矿井回风任务，兼矿井的一个安全出口</w:t>
            </w:r>
          </w:p>
        </w:tc>
        <w:tc>
          <w:tcPr>
            <w:tcW w:w="1252" w:type="pct"/>
            <w:tcBorders>
              <w:bottom w:val="single" w:color="auto" w:sz="4" w:space="0"/>
              <w:right w:val="single" w:color="auto" w:sz="4" w:space="0"/>
            </w:tcBorders>
            <w:vAlign w:val="center"/>
          </w:tcPr>
          <w:p>
            <w:pPr>
              <w:pStyle w:val="142"/>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设在原后庄矿工业场地</w:t>
            </w:r>
          </w:p>
          <w:p>
            <w:pPr>
              <w:pStyle w:val="142"/>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在主立井西侧新掘回风立井，</w:t>
            </w:r>
            <w:r>
              <w:rPr>
                <w:rFonts w:hint="eastAsia" w:ascii="Times New Roman" w:hAnsi="Times New Roman" w:cs="Times New Roman"/>
                <w:sz w:val="21"/>
                <w:szCs w:val="21"/>
              </w:rPr>
              <w:t>井筒净直径为5.5m，井口绝对标高为+906m，井筒深度为240m。井筒内装备玻璃钢封闭梯子间，兼做矿井的另一个安全出口。</w:t>
            </w:r>
          </w:p>
        </w:tc>
        <w:tc>
          <w:tcPr>
            <w:tcW w:w="693" w:type="pct"/>
            <w:tcBorders>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eastAsia="宋体" w:cs="Times New Roman"/>
                <w:szCs w:val="21"/>
              </w:rPr>
              <w:t>地方关系已解决，可缩短通风线路，减少巷道工程</w:t>
            </w:r>
          </w:p>
        </w:tc>
        <w:tc>
          <w:tcPr>
            <w:tcW w:w="794" w:type="pct"/>
            <w:tcBorders>
              <w:left w:val="single" w:color="auto" w:sz="4" w:space="0"/>
              <w:bottom w:val="single" w:color="auto" w:sz="4" w:space="0"/>
              <w:right w:val="single" w:color="auto" w:sz="4" w:space="0"/>
            </w:tcBorders>
            <w:vAlign w:val="center"/>
          </w:tcPr>
          <w:p>
            <w:pPr>
              <w:pStyle w:val="90"/>
              <w:rPr>
                <w:rFonts w:ascii="Times New Roman" w:hAnsi="Times New Roman" w:eastAsia="宋体" w:cs="Times New Roman"/>
                <w:szCs w:val="21"/>
              </w:rPr>
            </w:pPr>
            <w:r>
              <w:rPr>
                <w:rFonts w:hint="eastAsia" w:ascii="Times New Roman" w:hAnsi="Times New Roman" w:eastAsia="宋体" w:cs="Times New Roman"/>
                <w:szCs w:val="21"/>
              </w:rPr>
              <w:t>新掘回风立井，未建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 w:type="pct"/>
            <w:vMerge w:val="continue"/>
            <w:vAlign w:val="center"/>
          </w:tcPr>
          <w:p>
            <w:pPr>
              <w:pStyle w:val="90"/>
              <w:rPr>
                <w:rFonts w:ascii="Times New Roman" w:hAnsi="Times New Roman" w:cs="Times New Roman"/>
                <w:szCs w:val="21"/>
              </w:rPr>
            </w:pPr>
          </w:p>
        </w:tc>
        <w:tc>
          <w:tcPr>
            <w:tcW w:w="170" w:type="pct"/>
            <w:vMerge w:val="continue"/>
            <w:vAlign w:val="center"/>
          </w:tcPr>
          <w:p>
            <w:pPr>
              <w:pStyle w:val="90"/>
              <w:rPr>
                <w:rFonts w:ascii="Times New Roman" w:hAnsi="Times New Roman" w:cs="Times New Roman"/>
                <w:szCs w:val="21"/>
              </w:rPr>
            </w:pPr>
          </w:p>
        </w:tc>
        <w:tc>
          <w:tcPr>
            <w:tcW w:w="410" w:type="pct"/>
            <w:gridSpan w:val="2"/>
            <w:vAlign w:val="center"/>
          </w:tcPr>
          <w:p>
            <w:pPr>
              <w:pStyle w:val="90"/>
              <w:rPr>
                <w:rFonts w:ascii="Times New Roman" w:hAnsi="Times New Roman" w:cs="Times New Roman"/>
                <w:szCs w:val="21"/>
              </w:rPr>
            </w:pPr>
            <w:r>
              <w:rPr>
                <w:rFonts w:ascii="Times New Roman" w:hAnsi="Times New Roman" w:cs="Times New Roman"/>
                <w:szCs w:val="21"/>
              </w:rPr>
              <w:t>开拓方式</w:t>
            </w:r>
          </w:p>
        </w:tc>
        <w:tc>
          <w:tcPr>
            <w:tcW w:w="1497" w:type="pct"/>
            <w:tcBorders>
              <w:top w:val="single" w:color="auto" w:sz="4" w:space="0"/>
              <w:bottom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斜井开拓</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 w:type="pct"/>
            <w:vMerge w:val="continue"/>
            <w:vAlign w:val="center"/>
          </w:tcPr>
          <w:p>
            <w:pPr>
              <w:pStyle w:val="90"/>
              <w:rPr>
                <w:rFonts w:ascii="Times New Roman" w:hAnsi="Times New Roman" w:cs="Times New Roman"/>
                <w:szCs w:val="21"/>
              </w:rPr>
            </w:pPr>
          </w:p>
        </w:tc>
        <w:tc>
          <w:tcPr>
            <w:tcW w:w="170" w:type="pct"/>
            <w:vMerge w:val="continue"/>
            <w:vAlign w:val="center"/>
          </w:tcPr>
          <w:p>
            <w:pPr>
              <w:pStyle w:val="90"/>
              <w:rPr>
                <w:rFonts w:ascii="Times New Roman" w:hAnsi="Times New Roman" w:cs="Times New Roman"/>
                <w:szCs w:val="21"/>
              </w:rPr>
            </w:pPr>
          </w:p>
        </w:tc>
        <w:tc>
          <w:tcPr>
            <w:tcW w:w="410" w:type="pct"/>
            <w:gridSpan w:val="2"/>
            <w:vAlign w:val="center"/>
          </w:tcPr>
          <w:p>
            <w:pPr>
              <w:pStyle w:val="90"/>
              <w:rPr>
                <w:rFonts w:ascii="Times New Roman" w:hAnsi="Times New Roman" w:cs="Times New Roman"/>
                <w:szCs w:val="21"/>
              </w:rPr>
            </w:pPr>
            <w:r>
              <w:rPr>
                <w:rFonts w:ascii="Times New Roman" w:hAnsi="Times New Roman" w:cs="Times New Roman"/>
                <w:szCs w:val="21"/>
              </w:rPr>
              <w:t>采区划分</w:t>
            </w:r>
          </w:p>
        </w:tc>
        <w:tc>
          <w:tcPr>
            <w:tcW w:w="1497" w:type="pct"/>
            <w:tcBorders>
              <w:top w:val="single" w:color="auto" w:sz="4" w:space="0"/>
            </w:tcBorders>
            <w:vAlign w:val="center"/>
          </w:tcPr>
          <w:p>
            <w:pPr>
              <w:jc w:val="center"/>
              <w:rPr>
                <w:rFonts w:eastAsiaTheme="minorEastAsia"/>
                <w:bCs/>
                <w:szCs w:val="21"/>
              </w:rPr>
            </w:pPr>
            <w:r>
              <w:rPr>
                <w:rFonts w:hint="eastAsia" w:eastAsiaTheme="minorEastAsia"/>
                <w:bCs/>
                <w:szCs w:val="21"/>
              </w:rPr>
              <w:t>本矿井划分为2个煤层组，4、5煤层为上煤组，8、9煤层为下煤组，布设4个采区，分别为西一（4~5）采区、西一（8~9）采区、西二（4~5）采区、西二（8~9）采区</w:t>
            </w:r>
          </w:p>
        </w:tc>
        <w:tc>
          <w:tcPr>
            <w:tcW w:w="1252" w:type="pct"/>
            <w:tcBorders>
              <w:top w:val="single" w:color="auto" w:sz="4" w:space="0"/>
              <w:right w:val="single" w:color="auto" w:sz="4" w:space="0"/>
            </w:tcBorders>
            <w:vAlign w:val="center"/>
          </w:tcPr>
          <w:p>
            <w:pPr>
              <w:jc w:val="center"/>
              <w:rPr>
                <w:rFonts w:eastAsiaTheme="minorEastAsia"/>
                <w:szCs w:val="21"/>
              </w:rPr>
            </w:pPr>
            <w:r>
              <w:rPr>
                <w:szCs w:val="21"/>
              </w:rPr>
              <w:t>与原环评一致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 w:type="pct"/>
            <w:vMerge w:val="continue"/>
            <w:vAlign w:val="center"/>
          </w:tcPr>
          <w:p>
            <w:pPr>
              <w:pStyle w:val="90"/>
              <w:rPr>
                <w:rFonts w:ascii="Times New Roman" w:hAnsi="Times New Roman" w:cs="Times New Roman"/>
                <w:szCs w:val="21"/>
              </w:rPr>
            </w:pPr>
          </w:p>
        </w:tc>
        <w:tc>
          <w:tcPr>
            <w:tcW w:w="170" w:type="pct"/>
            <w:vMerge w:val="continue"/>
            <w:vAlign w:val="center"/>
          </w:tcPr>
          <w:p>
            <w:pPr>
              <w:pStyle w:val="90"/>
              <w:rPr>
                <w:rFonts w:ascii="Times New Roman" w:hAnsi="Times New Roman" w:cs="Times New Roman"/>
                <w:szCs w:val="21"/>
              </w:rPr>
            </w:pPr>
          </w:p>
        </w:tc>
        <w:tc>
          <w:tcPr>
            <w:tcW w:w="410" w:type="pct"/>
            <w:gridSpan w:val="2"/>
            <w:vAlign w:val="center"/>
          </w:tcPr>
          <w:p>
            <w:pPr>
              <w:pStyle w:val="90"/>
              <w:rPr>
                <w:rFonts w:ascii="Times New Roman" w:hAnsi="Times New Roman" w:cs="Times New Roman"/>
                <w:szCs w:val="21"/>
              </w:rPr>
            </w:pPr>
            <w:r>
              <w:rPr>
                <w:rFonts w:hint="eastAsia" w:ascii="Times New Roman" w:hAnsi="Times New Roman" w:cs="Times New Roman"/>
                <w:szCs w:val="21"/>
              </w:rPr>
              <w:t>首采区</w:t>
            </w:r>
          </w:p>
        </w:tc>
        <w:tc>
          <w:tcPr>
            <w:tcW w:w="1497" w:type="pct"/>
            <w:tcBorders>
              <w:top w:val="single" w:color="auto" w:sz="4" w:space="0"/>
            </w:tcBorders>
            <w:vAlign w:val="center"/>
          </w:tcPr>
          <w:p>
            <w:pPr>
              <w:adjustRightInd w:val="0"/>
              <w:snapToGrid w:val="0"/>
              <w:rPr>
                <w:rFonts w:eastAsiaTheme="majorEastAsia"/>
                <w:szCs w:val="21"/>
              </w:rPr>
            </w:pPr>
            <w:r>
              <w:rPr>
                <w:rFonts w:hAnsiTheme="majorEastAsia" w:eastAsiaTheme="majorEastAsia"/>
              </w:rPr>
              <w:t>首采西二（</w:t>
            </w:r>
            <w:r>
              <w:rPr>
                <w:rFonts w:eastAsiaTheme="majorEastAsia"/>
              </w:rPr>
              <w:t>4</w:t>
            </w:r>
            <w:r>
              <w:rPr>
                <w:rFonts w:hAnsiTheme="majorEastAsia" w:eastAsiaTheme="majorEastAsia"/>
              </w:rPr>
              <w:t>～</w:t>
            </w:r>
            <w:r>
              <w:rPr>
                <w:rFonts w:eastAsiaTheme="majorEastAsia"/>
              </w:rPr>
              <w:t>5</w:t>
            </w:r>
            <w:r>
              <w:rPr>
                <w:rFonts w:hAnsiTheme="majorEastAsia" w:eastAsiaTheme="majorEastAsia"/>
              </w:rPr>
              <w:t>）采区，首采工作面沿</w:t>
            </w:r>
            <w:r>
              <w:rPr>
                <w:rFonts w:eastAsiaTheme="majorEastAsia"/>
              </w:rPr>
              <w:t>5</w:t>
            </w:r>
            <w:r>
              <w:rPr>
                <w:rFonts w:hAnsiTheme="majorEastAsia" w:eastAsiaTheme="majorEastAsia"/>
              </w:rPr>
              <w:t>煤层原有采空区西侧布置。</w:t>
            </w:r>
          </w:p>
        </w:tc>
        <w:tc>
          <w:tcPr>
            <w:tcW w:w="1252" w:type="pct"/>
            <w:tcBorders>
              <w:top w:val="single" w:color="auto" w:sz="4" w:space="0"/>
              <w:right w:val="single" w:color="auto" w:sz="4" w:space="0"/>
            </w:tcBorders>
            <w:vAlign w:val="center"/>
          </w:tcPr>
          <w:p>
            <w:pPr>
              <w:adjustRightInd w:val="0"/>
              <w:snapToGrid w:val="0"/>
              <w:rPr>
                <w:rFonts w:eastAsiaTheme="majorEastAsia"/>
              </w:rPr>
            </w:pPr>
            <w:r>
              <w:rPr>
                <w:rFonts w:hAnsiTheme="majorEastAsia" w:eastAsiaTheme="majorEastAsia"/>
              </w:rPr>
              <w:t>本次变更设计首采区不变，仅采区名称变更为西一（</w:t>
            </w:r>
            <w:r>
              <w:rPr>
                <w:rFonts w:eastAsiaTheme="majorEastAsia"/>
              </w:rPr>
              <w:t>4</w:t>
            </w:r>
            <w:r>
              <w:rPr>
                <w:rFonts w:hAnsiTheme="majorEastAsia" w:eastAsiaTheme="majorEastAsia"/>
              </w:rPr>
              <w:t>～</w:t>
            </w:r>
            <w:r>
              <w:rPr>
                <w:rFonts w:eastAsiaTheme="majorEastAsia"/>
              </w:rPr>
              <w:t>5</w:t>
            </w:r>
            <w:r>
              <w:rPr>
                <w:rFonts w:hAnsiTheme="majorEastAsia" w:eastAsiaTheme="majorEastAsia"/>
              </w:rPr>
              <w:t>）采区。首采工作面位置变更为沿采区西北（深部）边界布置</w:t>
            </w:r>
          </w:p>
        </w:tc>
        <w:tc>
          <w:tcPr>
            <w:tcW w:w="693" w:type="pct"/>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r>
              <w:rPr>
                <w:szCs w:val="21"/>
              </w:rPr>
              <w:t>避开4煤采空区影响</w:t>
            </w:r>
          </w:p>
        </w:tc>
        <w:tc>
          <w:tcPr>
            <w:tcW w:w="794"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 w:type="pct"/>
            <w:vMerge w:val="continue"/>
            <w:vAlign w:val="center"/>
          </w:tcPr>
          <w:p>
            <w:pPr>
              <w:pStyle w:val="90"/>
              <w:rPr>
                <w:rFonts w:ascii="Times New Roman" w:hAnsi="Times New Roman" w:cs="Times New Roman"/>
                <w:szCs w:val="21"/>
              </w:rPr>
            </w:pPr>
          </w:p>
        </w:tc>
        <w:tc>
          <w:tcPr>
            <w:tcW w:w="170" w:type="pct"/>
            <w:vMerge w:val="continue"/>
            <w:vAlign w:val="center"/>
          </w:tcPr>
          <w:p>
            <w:pPr>
              <w:pStyle w:val="90"/>
              <w:rPr>
                <w:rFonts w:ascii="Times New Roman" w:hAnsi="Times New Roman" w:cs="Times New Roman"/>
                <w:szCs w:val="21"/>
              </w:rPr>
            </w:pPr>
          </w:p>
        </w:tc>
        <w:tc>
          <w:tcPr>
            <w:tcW w:w="410" w:type="pct"/>
            <w:gridSpan w:val="2"/>
            <w:vAlign w:val="center"/>
          </w:tcPr>
          <w:p>
            <w:pPr>
              <w:pStyle w:val="90"/>
              <w:rPr>
                <w:rFonts w:ascii="Times New Roman" w:hAnsi="Times New Roman" w:cs="Times New Roman"/>
                <w:szCs w:val="21"/>
              </w:rPr>
            </w:pPr>
            <w:r>
              <w:rPr>
                <w:rFonts w:hint="eastAsia" w:ascii="Times New Roman" w:hAnsi="Times New Roman" w:cs="Times New Roman"/>
                <w:szCs w:val="21"/>
              </w:rPr>
              <w:t>采煤方法及工艺</w:t>
            </w:r>
          </w:p>
        </w:tc>
        <w:tc>
          <w:tcPr>
            <w:tcW w:w="1497" w:type="pct"/>
            <w:tcBorders>
              <w:top w:val="single" w:color="auto" w:sz="4" w:space="0"/>
            </w:tcBorders>
            <w:vAlign w:val="center"/>
          </w:tcPr>
          <w:p>
            <w:pPr>
              <w:adjustRightInd w:val="0"/>
              <w:snapToGrid w:val="0"/>
              <w:rPr>
                <w:szCs w:val="21"/>
              </w:rPr>
            </w:pPr>
            <w:r>
              <w:rPr>
                <w:rFonts w:hint="eastAsia"/>
                <w:szCs w:val="21"/>
              </w:rPr>
              <w:t>采煤方法：走向长壁采煤法</w:t>
            </w:r>
          </w:p>
          <w:p>
            <w:pPr>
              <w:adjustRightInd w:val="0"/>
              <w:snapToGrid w:val="0"/>
              <w:rPr>
                <w:rFonts w:hAnsiTheme="majorEastAsia" w:eastAsiaTheme="majorEastAsia"/>
              </w:rPr>
            </w:pPr>
            <w:r>
              <w:rPr>
                <w:rFonts w:hint="eastAsia"/>
                <w:szCs w:val="21"/>
              </w:rPr>
              <w:t>回采工艺：综采、一次采全高回采工艺，对4、5煤层合并区，采用大采高综采回采工艺</w:t>
            </w:r>
          </w:p>
        </w:tc>
        <w:tc>
          <w:tcPr>
            <w:tcW w:w="1252" w:type="pct"/>
            <w:tcBorders>
              <w:top w:val="single" w:color="auto" w:sz="4" w:space="0"/>
              <w:right w:val="single" w:color="auto" w:sz="4" w:space="0"/>
            </w:tcBorders>
            <w:vAlign w:val="center"/>
          </w:tcPr>
          <w:p>
            <w:pPr>
              <w:adjustRightInd w:val="0"/>
              <w:snapToGrid w:val="0"/>
              <w:rPr>
                <w:szCs w:val="21"/>
              </w:rPr>
            </w:pPr>
            <w:r>
              <w:rPr>
                <w:rFonts w:hint="eastAsia"/>
                <w:szCs w:val="21"/>
              </w:rPr>
              <w:t>采煤方法：走向长壁采煤法‘</w:t>
            </w:r>
          </w:p>
          <w:p>
            <w:pPr>
              <w:adjustRightInd w:val="0"/>
              <w:snapToGrid w:val="0"/>
              <w:rPr>
                <w:szCs w:val="21"/>
              </w:rPr>
            </w:pPr>
            <w:r>
              <w:rPr>
                <w:rFonts w:hint="eastAsia"/>
                <w:szCs w:val="21"/>
              </w:rPr>
              <w:t>回采工艺：4、5煤层合并区采用综采放顶煤回采工艺；首采区采用综采（非合并区）与综放（合并区）相结合的回采工艺，全部冒落法管理顶板。</w:t>
            </w:r>
          </w:p>
        </w:tc>
        <w:tc>
          <w:tcPr>
            <w:tcW w:w="69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减少初期大采高液压支架投资</w:t>
            </w:r>
          </w:p>
        </w:tc>
        <w:tc>
          <w:tcPr>
            <w:tcW w:w="794"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 w:type="pct"/>
            <w:vMerge w:val="continue"/>
            <w:vAlign w:val="center"/>
          </w:tcPr>
          <w:p>
            <w:pPr>
              <w:pStyle w:val="90"/>
              <w:rPr>
                <w:rFonts w:ascii="Times New Roman" w:hAnsi="Times New Roman" w:cs="Times New Roman"/>
                <w:szCs w:val="21"/>
              </w:rPr>
            </w:pPr>
          </w:p>
        </w:tc>
        <w:tc>
          <w:tcPr>
            <w:tcW w:w="170" w:type="pct"/>
            <w:vMerge w:val="continue"/>
            <w:vAlign w:val="center"/>
          </w:tcPr>
          <w:p>
            <w:pPr>
              <w:pStyle w:val="90"/>
              <w:rPr>
                <w:rFonts w:ascii="Times New Roman" w:hAnsi="Times New Roman" w:cs="Times New Roman"/>
                <w:szCs w:val="21"/>
              </w:rPr>
            </w:pPr>
          </w:p>
        </w:tc>
        <w:tc>
          <w:tcPr>
            <w:tcW w:w="410" w:type="pct"/>
            <w:gridSpan w:val="2"/>
            <w:vAlign w:val="center"/>
          </w:tcPr>
          <w:p>
            <w:pPr>
              <w:pStyle w:val="90"/>
              <w:spacing w:line="240" w:lineRule="auto"/>
              <w:rPr>
                <w:rFonts w:ascii="Times New Roman" w:hAnsi="Times New Roman" w:cs="Times New Roman"/>
                <w:szCs w:val="21"/>
              </w:rPr>
            </w:pPr>
            <w:r>
              <w:rPr>
                <w:rFonts w:ascii="Times New Roman" w:hAnsi="Times New Roman" w:cs="Times New Roman"/>
                <w:szCs w:val="21"/>
              </w:rPr>
              <w:t>开采顺序</w:t>
            </w:r>
          </w:p>
        </w:tc>
        <w:tc>
          <w:tcPr>
            <w:tcW w:w="1497" w:type="pct"/>
            <w:tcBorders>
              <w:top w:val="single" w:color="auto" w:sz="4" w:space="0"/>
            </w:tcBorders>
            <w:vAlign w:val="center"/>
          </w:tcPr>
          <w:p>
            <w:pPr>
              <w:jc w:val="center"/>
              <w:rPr>
                <w:bCs/>
                <w:szCs w:val="21"/>
              </w:rPr>
            </w:pPr>
            <w:r>
              <w:rPr>
                <w:rFonts w:hint="eastAsia"/>
                <w:bCs/>
                <w:szCs w:val="21"/>
              </w:rPr>
              <w:t>矿井首采下山部分4、5号煤层，后采上山部分4、5号煤层，然后再开采下山部分8、9号煤层，最后开采上山部分8、9号煤层。</w:t>
            </w:r>
          </w:p>
        </w:tc>
        <w:tc>
          <w:tcPr>
            <w:tcW w:w="1252" w:type="pct"/>
            <w:tcBorders>
              <w:top w:val="single" w:color="auto" w:sz="4" w:space="0"/>
              <w:right w:val="single" w:color="auto" w:sz="4" w:space="0"/>
            </w:tcBorders>
            <w:vAlign w:val="center"/>
          </w:tcPr>
          <w:p>
            <w:pPr>
              <w:jc w:val="center"/>
              <w:rPr>
                <w:bCs/>
                <w:szCs w:val="21"/>
              </w:rPr>
            </w:pPr>
            <w:r>
              <w:rPr>
                <w:rFonts w:hint="eastAsia"/>
                <w:szCs w:val="21"/>
              </w:rPr>
              <w:t>矿井首采西一（4~5）采区，然后依次开采西二（4～5）采区、西一（8～9）采区、西二（8～9）采区。</w:t>
            </w:r>
          </w:p>
        </w:tc>
        <w:tc>
          <w:tcPr>
            <w:tcW w:w="693" w:type="pct"/>
            <w:tcBorders>
              <w:top w:val="single" w:color="auto" w:sz="4" w:space="0"/>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根据采区的划分调整</w:t>
            </w:r>
          </w:p>
        </w:tc>
        <w:tc>
          <w:tcPr>
            <w:tcW w:w="794" w:type="pct"/>
            <w:tcBorders>
              <w:top w:val="single" w:color="auto" w:sz="4" w:space="0"/>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4" w:type="pct"/>
            <w:vMerge w:val="continue"/>
            <w:vAlign w:val="center"/>
          </w:tcPr>
          <w:p>
            <w:pPr>
              <w:pStyle w:val="90"/>
              <w:rPr>
                <w:rFonts w:ascii="Times New Roman" w:hAnsi="Times New Roman" w:cs="Times New Roman"/>
                <w:szCs w:val="21"/>
              </w:rPr>
            </w:pPr>
          </w:p>
        </w:tc>
        <w:tc>
          <w:tcPr>
            <w:tcW w:w="580" w:type="pct"/>
            <w:gridSpan w:val="3"/>
            <w:vAlign w:val="center"/>
          </w:tcPr>
          <w:p>
            <w:pPr>
              <w:pStyle w:val="90"/>
              <w:rPr>
                <w:rFonts w:ascii="Times New Roman" w:hAnsi="Times New Roman" w:cs="Times New Roman"/>
                <w:szCs w:val="21"/>
              </w:rPr>
            </w:pPr>
            <w:r>
              <w:rPr>
                <w:rFonts w:ascii="Times New Roman" w:hAnsi="Times New Roman" w:cs="Times New Roman"/>
                <w:szCs w:val="21"/>
              </w:rPr>
              <w:t>矸石场地</w:t>
            </w:r>
          </w:p>
        </w:tc>
        <w:tc>
          <w:tcPr>
            <w:tcW w:w="1497" w:type="pct"/>
            <w:tcBorders>
              <w:top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在工业场地西</w:t>
            </w:r>
            <w:r>
              <w:rPr>
                <w:rFonts w:hint="eastAsia" w:ascii="Times New Roman" w:hAnsi="Times New Roman" w:cs="Times New Roman"/>
                <w:szCs w:val="21"/>
              </w:rPr>
              <w:t>北5</w:t>
            </w:r>
            <w:r>
              <w:rPr>
                <w:rFonts w:ascii="Times New Roman" w:hAnsi="Times New Roman" w:cs="Times New Roman"/>
                <w:szCs w:val="21"/>
              </w:rPr>
              <w:t>00m的荒沟建设一座矸石场，</w:t>
            </w:r>
            <w:r>
              <w:rPr>
                <w:rFonts w:ascii="Times New Roman" w:hAnsi="宋体" w:eastAsia="宋体" w:cs="Times New Roman"/>
              </w:rPr>
              <w:t>沟深</w:t>
            </w:r>
            <w:r>
              <w:rPr>
                <w:rFonts w:ascii="Times New Roman" w:hAnsi="Times New Roman" w:eastAsia="宋体" w:cs="Times New Roman"/>
              </w:rPr>
              <w:t>10-40m</w:t>
            </w:r>
            <w:r>
              <w:rPr>
                <w:rFonts w:ascii="Times New Roman" w:hAnsi="宋体" w:eastAsia="宋体" w:cs="Times New Roman"/>
              </w:rPr>
              <w:t>，沟长约</w:t>
            </w:r>
            <w:r>
              <w:rPr>
                <w:rFonts w:ascii="Times New Roman" w:hAnsi="Times New Roman" w:eastAsia="宋体" w:cs="Times New Roman"/>
              </w:rPr>
              <w:t>300m</w:t>
            </w:r>
            <w:r>
              <w:rPr>
                <w:rFonts w:ascii="Times New Roman" w:hAnsi="宋体" w:eastAsia="宋体" w:cs="Times New Roman"/>
              </w:rPr>
              <w:t>，宽约</w:t>
            </w:r>
            <w:r>
              <w:rPr>
                <w:rFonts w:ascii="Times New Roman" w:hAnsi="Times New Roman" w:eastAsia="宋体" w:cs="Times New Roman"/>
              </w:rPr>
              <w:t>50</w:t>
            </w:r>
            <w:r>
              <w:rPr>
                <w:rFonts w:ascii="Times New Roman" w:hAnsi="宋体" w:eastAsia="宋体" w:cs="Times New Roman"/>
              </w:rPr>
              <w:t>～</w:t>
            </w:r>
            <w:r>
              <w:rPr>
                <w:rFonts w:ascii="Times New Roman" w:hAnsi="Times New Roman" w:eastAsia="宋体" w:cs="Times New Roman"/>
              </w:rPr>
              <w:t>130m</w:t>
            </w:r>
            <w:r>
              <w:rPr>
                <w:rFonts w:ascii="Times New Roman" w:hAnsi="宋体" w:eastAsia="宋体" w:cs="Times New Roman"/>
              </w:rPr>
              <w:t>，占地面积</w:t>
            </w:r>
            <w:r>
              <w:rPr>
                <w:rFonts w:ascii="Times New Roman" w:hAnsi="Times New Roman" w:eastAsia="宋体" w:cs="Times New Roman"/>
              </w:rPr>
              <w:t>2.85hm</w:t>
            </w:r>
            <w:r>
              <w:rPr>
                <w:rFonts w:ascii="Times New Roman" w:hAnsi="Times New Roman" w:eastAsia="宋体" w:cs="Times New Roman"/>
                <w:vertAlign w:val="superscript"/>
              </w:rPr>
              <w:t>2</w:t>
            </w:r>
            <w:r>
              <w:rPr>
                <w:rFonts w:ascii="Times New Roman" w:hAnsi="宋体" w:eastAsia="宋体" w:cs="Times New Roman"/>
              </w:rPr>
              <w:t>，容积约</w:t>
            </w:r>
            <w:r>
              <w:rPr>
                <w:rFonts w:ascii="Times New Roman" w:hAnsi="Times New Roman" w:eastAsia="宋体" w:cs="Times New Roman"/>
              </w:rPr>
              <w:t>60</w:t>
            </w:r>
            <w:r>
              <w:rPr>
                <w:rFonts w:ascii="Times New Roman" w:hAnsi="宋体" w:eastAsia="宋体" w:cs="Times New Roman"/>
              </w:rPr>
              <w:t>万</w:t>
            </w:r>
            <w:r>
              <w:rPr>
                <w:rFonts w:ascii="Times New Roman" w:hAnsi="Times New Roman" w:eastAsia="宋体" w:cs="Times New Roman"/>
              </w:rPr>
              <w:t>m</w:t>
            </w:r>
            <w:r>
              <w:rPr>
                <w:rFonts w:ascii="Times New Roman" w:hAnsi="Times New Roman" w:eastAsia="宋体" w:cs="Times New Roman"/>
                <w:vertAlign w:val="superscript"/>
              </w:rPr>
              <w:t>3</w:t>
            </w:r>
            <w:r>
              <w:rPr>
                <w:rFonts w:ascii="Times New Roman" w:hAnsi="宋体" w:eastAsia="宋体" w:cs="Times New Roman"/>
              </w:rPr>
              <w:t>，可容纳</w:t>
            </w:r>
            <w:r>
              <w:rPr>
                <w:rFonts w:ascii="Times New Roman" w:hAnsi="Times New Roman" w:eastAsia="宋体" w:cs="Times New Roman"/>
              </w:rPr>
              <w:t>120</w:t>
            </w:r>
            <w:r>
              <w:rPr>
                <w:rFonts w:ascii="Times New Roman" w:hAnsi="宋体" w:eastAsia="宋体" w:cs="Times New Roman"/>
              </w:rPr>
              <w:t>万吨矸石，可供使用约</w:t>
            </w:r>
            <w:r>
              <w:rPr>
                <w:rFonts w:ascii="Times New Roman" w:hAnsi="Times New Roman" w:eastAsia="宋体" w:cs="Times New Roman"/>
              </w:rPr>
              <w:t>10</w:t>
            </w:r>
            <w:r>
              <w:rPr>
                <w:rFonts w:ascii="Times New Roman" w:hAnsi="宋体" w:eastAsia="宋体" w:cs="Times New Roman"/>
              </w:rPr>
              <w:t>年，满足该矿的堆矸需要。</w:t>
            </w:r>
          </w:p>
        </w:tc>
        <w:tc>
          <w:tcPr>
            <w:tcW w:w="1252" w:type="pct"/>
            <w:tcBorders>
              <w:top w:val="single" w:color="auto" w:sz="4" w:space="0"/>
              <w:right w:val="single" w:color="auto" w:sz="4" w:space="0"/>
            </w:tcBorders>
            <w:vAlign w:val="center"/>
          </w:tcPr>
          <w:p>
            <w:pPr>
              <w:pStyle w:val="90"/>
              <w:rPr>
                <w:szCs w:val="21"/>
              </w:rPr>
            </w:pPr>
            <w:r>
              <w:rPr>
                <w:rFonts w:hint="eastAsia"/>
                <w:szCs w:val="21"/>
              </w:rPr>
              <w:t>矸石优先送往山西华光发电有限责任公司综合利用，利用不畅时送至原环评批复的临时矸石场填埋；</w:t>
            </w:r>
          </w:p>
          <w:p>
            <w:pPr>
              <w:pStyle w:val="90"/>
              <w:rPr>
                <w:rFonts w:ascii="Times New Roman" w:hAnsi="Times New Roman" w:cs="Times New Roman"/>
                <w:szCs w:val="21"/>
              </w:rPr>
            </w:pPr>
            <w:r>
              <w:rPr>
                <w:rFonts w:hint="eastAsia"/>
                <w:szCs w:val="21"/>
              </w:rPr>
              <w:t>临时矸石场利用</w:t>
            </w:r>
            <w:r>
              <w:rPr>
                <w:rFonts w:hint="eastAsia" w:ascii="Times New Roman" w:hAnsi="Times New Roman" w:cs="Times New Roman"/>
                <w:szCs w:val="21"/>
              </w:rPr>
              <w:t>原环评批复的矸石场。</w:t>
            </w:r>
          </w:p>
        </w:tc>
        <w:tc>
          <w:tcPr>
            <w:tcW w:w="693" w:type="pct"/>
            <w:tcBorders>
              <w:top w:val="single" w:color="auto" w:sz="4" w:space="0"/>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满足现行的环保要求</w:t>
            </w:r>
          </w:p>
        </w:tc>
        <w:tc>
          <w:tcPr>
            <w:tcW w:w="794" w:type="pct"/>
            <w:tcBorders>
              <w:top w:val="single" w:color="auto" w:sz="4" w:space="0"/>
              <w:left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目前矸石场已堆矸23</w:t>
            </w:r>
            <w:r>
              <w:rPr>
                <w:rFonts w:ascii="Times New Roman" w:hAnsi="Times New Roman" w:cs="Times New Roman"/>
                <w:szCs w:val="21"/>
              </w:rPr>
              <w:t>万m</w:t>
            </w:r>
            <w:r>
              <w:rPr>
                <w:rFonts w:ascii="Times New Roman" w:hAnsi="Times New Roman" w:cs="Times New Roman"/>
                <w:szCs w:val="21"/>
                <w:vertAlign w:val="superscript"/>
              </w:rPr>
              <w:t>3</w:t>
            </w:r>
            <w:r>
              <w:rPr>
                <w:rFonts w:hint="eastAsia" w:ascii="Times New Roman" w:hAnsi="Times New Roman" w:cs="Times New Roman"/>
                <w:szCs w:val="21"/>
              </w:rPr>
              <w:t>，剩余库容约37万m</w:t>
            </w:r>
            <w:r>
              <w:rPr>
                <w:rFonts w:hint="eastAsia" w:ascii="Times New Roman" w:hAnsi="Times New Roman" w:cs="Times New Roman"/>
                <w:szCs w:val="21"/>
                <w:vertAlign w:val="superscript"/>
              </w:rPr>
              <w:t>3</w:t>
            </w:r>
            <w:r>
              <w:rPr>
                <w:rFonts w:hint="eastAsia" w:ascii="Times New Roman" w:hAnsi="Times New Roman" w:cs="Times New Roman"/>
                <w:szCs w:val="21"/>
              </w:rPr>
              <w:t>，服务年限约3年。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84" w:type="pct"/>
            <w:vMerge w:val="continue"/>
            <w:vAlign w:val="center"/>
          </w:tcPr>
          <w:p>
            <w:pPr>
              <w:pStyle w:val="90"/>
              <w:rPr>
                <w:rFonts w:ascii="Times New Roman" w:hAnsi="Times New Roman" w:cs="Times New Roman"/>
                <w:szCs w:val="21"/>
              </w:rPr>
            </w:pPr>
          </w:p>
        </w:tc>
        <w:tc>
          <w:tcPr>
            <w:tcW w:w="580" w:type="pct"/>
            <w:gridSpan w:val="3"/>
            <w:vAlign w:val="center"/>
          </w:tcPr>
          <w:p>
            <w:pPr>
              <w:pStyle w:val="90"/>
              <w:rPr>
                <w:rFonts w:ascii="Times New Roman" w:hAnsi="Times New Roman" w:cs="Times New Roman"/>
                <w:szCs w:val="21"/>
                <w:highlight w:val="yellow"/>
              </w:rPr>
            </w:pPr>
            <w:r>
              <w:rPr>
                <w:rFonts w:hint="eastAsia" w:ascii="Times New Roman" w:hAnsi="Times New Roman" w:cs="Times New Roman"/>
                <w:szCs w:val="21"/>
              </w:rPr>
              <w:t>取土场</w:t>
            </w:r>
          </w:p>
        </w:tc>
        <w:tc>
          <w:tcPr>
            <w:tcW w:w="1497" w:type="pct"/>
            <w:tcBorders>
              <w:top w:val="single" w:color="auto" w:sz="4" w:space="0"/>
            </w:tcBorders>
            <w:vAlign w:val="center"/>
          </w:tcPr>
          <w:p>
            <w:pPr>
              <w:pStyle w:val="90"/>
              <w:rPr>
                <w:rFonts w:ascii="Times New Roman" w:hAnsi="Times New Roman" w:cs="Times New Roman"/>
                <w:szCs w:val="21"/>
                <w:highlight w:val="yellow"/>
              </w:rPr>
            </w:pPr>
            <w:r>
              <w:rPr>
                <w:rFonts w:ascii="Times New Roman" w:cs="Times New Roman" w:hAnsiTheme="minorEastAsia"/>
                <w:szCs w:val="21"/>
              </w:rPr>
              <w:t>位于工业场地西侧，占地</w:t>
            </w:r>
            <w:r>
              <w:rPr>
                <w:rFonts w:ascii="Times New Roman" w:hAnsi="Times New Roman" w:cs="Times New Roman"/>
                <w:szCs w:val="21"/>
              </w:rPr>
              <w:t>1.6hm</w:t>
            </w:r>
            <w:r>
              <w:rPr>
                <w:rFonts w:ascii="Times New Roman" w:hAnsi="Times New Roman" w:cs="Times New Roman"/>
                <w:szCs w:val="21"/>
                <w:vertAlign w:val="superscript"/>
              </w:rPr>
              <w:t>2</w:t>
            </w:r>
            <w:r>
              <w:rPr>
                <w:rFonts w:ascii="Times New Roman" w:cs="Times New Roman" w:hAnsiTheme="minorEastAsia"/>
                <w:szCs w:val="21"/>
              </w:rPr>
              <w:t>，用于黄泥灌浆取土。取土时应分段取土，边取土边进行绿化，以减小本工程取土对取土场的生态影响。服务期满后由建设单位负责对取土场进行生态恢复，恢复后植被覆盖率达到</w:t>
            </w:r>
            <w:r>
              <w:rPr>
                <w:rFonts w:ascii="Times New Roman" w:hAnsi="Times New Roman" w:cs="Times New Roman"/>
                <w:szCs w:val="21"/>
              </w:rPr>
              <w:t>65%</w:t>
            </w:r>
            <w:r>
              <w:rPr>
                <w:rFonts w:ascii="Times New Roman" w:cs="Times New Roman" w:hAnsiTheme="minorEastAsia"/>
                <w:szCs w:val="21"/>
              </w:rPr>
              <w:t>以上</w:t>
            </w:r>
          </w:p>
        </w:tc>
        <w:tc>
          <w:tcPr>
            <w:tcW w:w="1252" w:type="pct"/>
            <w:tcBorders>
              <w:top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top w:val="single" w:color="auto" w:sz="4" w:space="0"/>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满足现行的环保要求</w:t>
            </w:r>
          </w:p>
        </w:tc>
        <w:tc>
          <w:tcPr>
            <w:tcW w:w="794" w:type="pct"/>
            <w:tcBorders>
              <w:top w:val="single" w:color="auto" w:sz="4" w:space="0"/>
              <w:left w:val="single" w:color="auto" w:sz="4" w:space="0"/>
              <w:right w:val="single" w:color="auto" w:sz="4" w:space="0"/>
            </w:tcBorders>
            <w:vAlign w:val="center"/>
          </w:tcPr>
          <w:p>
            <w:pPr>
              <w:pStyle w:val="90"/>
              <w:rPr>
                <w:rFonts w:ascii="Times New Roman" w:hAnsi="Times New Roman" w:cs="Times New Roman"/>
                <w:szCs w:val="21"/>
                <w:highlight w:val="yellow"/>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trPr>
        <w:tc>
          <w:tcPr>
            <w:tcW w:w="184" w:type="pct"/>
            <w:vMerge w:val="restart"/>
            <w:vAlign w:val="center"/>
          </w:tcPr>
          <w:p>
            <w:pPr>
              <w:pStyle w:val="90"/>
              <w:rPr>
                <w:rFonts w:ascii="Times New Roman" w:hAnsi="Times New Roman" w:cs="Times New Roman"/>
                <w:szCs w:val="21"/>
              </w:rPr>
            </w:pPr>
            <w:r>
              <w:rPr>
                <w:rFonts w:ascii="Times New Roman" w:hAnsi="Times New Roman" w:cs="Times New Roman"/>
                <w:szCs w:val="21"/>
              </w:rPr>
              <w:t>储运工程</w:t>
            </w:r>
          </w:p>
        </w:tc>
        <w:tc>
          <w:tcPr>
            <w:tcW w:w="580" w:type="pct"/>
            <w:gridSpan w:val="3"/>
            <w:tcBorders>
              <w:top w:val="single" w:color="auto" w:sz="4" w:space="0"/>
              <w:bottom w:val="single" w:color="auto" w:sz="4" w:space="0"/>
            </w:tcBorders>
            <w:vAlign w:val="center"/>
          </w:tcPr>
          <w:p>
            <w:pPr>
              <w:pStyle w:val="90"/>
              <w:rPr>
                <w:rFonts w:ascii="Times New Roman" w:hAnsi="Times New Roman" w:cs="Times New Roman"/>
                <w:szCs w:val="21"/>
                <w:highlight w:val="yellow"/>
              </w:rPr>
            </w:pPr>
            <w:r>
              <w:rPr>
                <w:rFonts w:ascii="Times New Roman" w:hAnsi="Times New Roman" w:cs="Times New Roman"/>
                <w:szCs w:val="21"/>
              </w:rPr>
              <w:t>储存设施</w:t>
            </w:r>
          </w:p>
        </w:tc>
        <w:tc>
          <w:tcPr>
            <w:tcW w:w="1497" w:type="pct"/>
            <w:tcBorders>
              <w:top w:val="single" w:color="auto" w:sz="4" w:space="0"/>
              <w:bottom w:val="single" w:color="auto" w:sz="4" w:space="0"/>
            </w:tcBorders>
            <w:vAlign w:val="center"/>
          </w:tcPr>
          <w:p>
            <w:pPr>
              <w:jc w:val="center"/>
              <w:rPr>
                <w:rFonts w:eastAsiaTheme="minorEastAsia"/>
                <w:szCs w:val="21"/>
                <w:highlight w:val="yellow"/>
              </w:rPr>
            </w:pPr>
            <w:r>
              <w:rPr>
                <w:rFonts w:hint="eastAsia" w:eastAsiaTheme="minorEastAsia"/>
                <w:szCs w:val="21"/>
              </w:rPr>
              <w:t>建设2个φ18m、H=34m的</w:t>
            </w:r>
            <w:r>
              <w:rPr>
                <w:rFonts w:eastAsiaTheme="minorEastAsia"/>
                <w:szCs w:val="21"/>
              </w:rPr>
              <w:t>圆筒仓，总容量</w:t>
            </w:r>
            <w:r>
              <w:rPr>
                <w:rFonts w:hint="eastAsia" w:eastAsiaTheme="minorEastAsia"/>
                <w:szCs w:val="21"/>
              </w:rPr>
              <w:t>11000</w:t>
            </w:r>
            <w:r>
              <w:rPr>
                <w:rFonts w:eastAsiaTheme="minorEastAsia"/>
                <w:szCs w:val="21"/>
              </w:rPr>
              <w:t>t，相当于矿井</w:t>
            </w:r>
            <w:r>
              <w:rPr>
                <w:rFonts w:hint="eastAsia" w:eastAsiaTheme="minorEastAsia"/>
                <w:szCs w:val="21"/>
              </w:rPr>
              <w:t>3</w:t>
            </w:r>
            <w:r>
              <w:rPr>
                <w:rFonts w:eastAsiaTheme="minorEastAsia"/>
                <w:szCs w:val="21"/>
              </w:rPr>
              <w:t>天的产量</w:t>
            </w:r>
          </w:p>
        </w:tc>
        <w:tc>
          <w:tcPr>
            <w:tcW w:w="1252" w:type="pct"/>
            <w:tcBorders>
              <w:top w:val="single" w:color="auto" w:sz="4" w:space="0"/>
              <w:bottom w:val="single" w:color="auto" w:sz="4" w:space="0"/>
              <w:right w:val="single" w:color="auto" w:sz="4" w:space="0"/>
            </w:tcBorders>
            <w:vAlign w:val="center"/>
          </w:tcPr>
          <w:p>
            <w:pPr>
              <w:pStyle w:val="10"/>
              <w:spacing w:after="0"/>
              <w:jc w:val="center"/>
              <w:rPr>
                <w:szCs w:val="21"/>
              </w:rPr>
            </w:pPr>
            <w:r>
              <w:rPr>
                <w:rFonts w:hint="eastAsia"/>
                <w:szCs w:val="21"/>
              </w:rPr>
              <w:t>不设筒仓，储煤场依托龙宇洗煤厂，原煤和精煤分别储存</w:t>
            </w:r>
            <w:r>
              <w:rPr>
                <w:szCs w:val="21"/>
              </w:rPr>
              <w:t>，</w:t>
            </w:r>
            <w:r>
              <w:rPr>
                <w:rFonts w:hint="eastAsia"/>
                <w:szCs w:val="21"/>
              </w:rPr>
              <w:t>原煤库长</w:t>
            </w:r>
            <w:r>
              <w:rPr>
                <w:szCs w:val="21"/>
              </w:rPr>
              <w:t>×</w:t>
            </w:r>
            <w:r>
              <w:rPr>
                <w:rFonts w:hint="eastAsia"/>
                <w:szCs w:val="21"/>
              </w:rPr>
              <w:t>宽＝</w:t>
            </w:r>
            <w:r>
              <w:rPr>
                <w:szCs w:val="21"/>
              </w:rPr>
              <w:t>120m×</w:t>
            </w:r>
            <w:r>
              <w:rPr>
                <w:rFonts w:hint="eastAsia"/>
                <w:szCs w:val="21"/>
              </w:rPr>
              <w:t>81</w:t>
            </w:r>
            <w:r>
              <w:rPr>
                <w:szCs w:val="21"/>
              </w:rPr>
              <w:t>m</w:t>
            </w:r>
            <w:r>
              <w:rPr>
                <w:rFonts w:hint="eastAsia"/>
                <w:szCs w:val="21"/>
              </w:rPr>
              <w:t>，面积9720</w:t>
            </w:r>
            <w:r>
              <w:rPr>
                <w:szCs w:val="21"/>
              </w:rPr>
              <w:t>m</w:t>
            </w:r>
            <w:r>
              <w:rPr>
                <w:szCs w:val="21"/>
                <w:vertAlign w:val="superscript"/>
              </w:rPr>
              <w:t>2</w:t>
            </w:r>
            <w:r>
              <w:rPr>
                <w:rFonts w:hint="eastAsia"/>
                <w:szCs w:val="21"/>
              </w:rPr>
              <w:t>，堆高</w:t>
            </w:r>
            <w:r>
              <w:rPr>
                <w:szCs w:val="21"/>
              </w:rPr>
              <w:t>H=</w:t>
            </w:r>
            <w:r>
              <w:rPr>
                <w:rFonts w:hint="eastAsia"/>
                <w:szCs w:val="21"/>
              </w:rPr>
              <w:t>6</w:t>
            </w:r>
            <w:r>
              <w:rPr>
                <w:szCs w:val="21"/>
              </w:rPr>
              <w:t>m</w:t>
            </w:r>
            <w:r>
              <w:rPr>
                <w:rFonts w:hint="eastAsia"/>
                <w:szCs w:val="21"/>
              </w:rPr>
              <w:t>，可存原煤58320</w:t>
            </w:r>
            <w:r>
              <w:rPr>
                <w:szCs w:val="21"/>
              </w:rPr>
              <w:t>0t</w:t>
            </w:r>
            <w:r>
              <w:rPr>
                <w:rFonts w:hint="eastAsia"/>
                <w:szCs w:val="21"/>
              </w:rPr>
              <w:t>。精煤库长</w:t>
            </w:r>
            <w:r>
              <w:rPr>
                <w:szCs w:val="21"/>
              </w:rPr>
              <w:t>×</w:t>
            </w:r>
            <w:r>
              <w:rPr>
                <w:rFonts w:hint="eastAsia"/>
                <w:szCs w:val="21"/>
              </w:rPr>
              <w:t>宽＝</w:t>
            </w:r>
            <w:r>
              <w:rPr>
                <w:szCs w:val="21"/>
              </w:rPr>
              <w:t>1</w:t>
            </w:r>
            <w:r>
              <w:rPr>
                <w:rFonts w:hint="eastAsia"/>
                <w:szCs w:val="21"/>
              </w:rPr>
              <w:t>08</w:t>
            </w:r>
            <w:r>
              <w:rPr>
                <w:szCs w:val="21"/>
              </w:rPr>
              <w:t>m×</w:t>
            </w:r>
            <w:r>
              <w:rPr>
                <w:rFonts w:hint="eastAsia"/>
                <w:szCs w:val="21"/>
              </w:rPr>
              <w:t>88</w:t>
            </w:r>
            <w:r>
              <w:rPr>
                <w:szCs w:val="21"/>
              </w:rPr>
              <w:t>m</w:t>
            </w:r>
            <w:r>
              <w:rPr>
                <w:rFonts w:hint="eastAsia"/>
                <w:szCs w:val="21"/>
              </w:rPr>
              <w:t>，面积9504</w:t>
            </w:r>
            <w:r>
              <w:rPr>
                <w:szCs w:val="21"/>
              </w:rPr>
              <w:t>m</w:t>
            </w:r>
            <w:r>
              <w:rPr>
                <w:szCs w:val="21"/>
                <w:vertAlign w:val="superscript"/>
              </w:rPr>
              <w:t>2</w:t>
            </w:r>
            <w:r>
              <w:rPr>
                <w:rFonts w:hint="eastAsia"/>
                <w:szCs w:val="21"/>
              </w:rPr>
              <w:t>，堆高</w:t>
            </w:r>
            <w:r>
              <w:rPr>
                <w:szCs w:val="21"/>
              </w:rPr>
              <w:t>H=</w:t>
            </w:r>
            <w:r>
              <w:rPr>
                <w:rFonts w:hint="eastAsia"/>
                <w:szCs w:val="21"/>
              </w:rPr>
              <w:t>6</w:t>
            </w:r>
            <w:r>
              <w:rPr>
                <w:szCs w:val="21"/>
              </w:rPr>
              <w:t>m</w:t>
            </w:r>
            <w:r>
              <w:rPr>
                <w:rFonts w:hint="eastAsia"/>
                <w:szCs w:val="21"/>
              </w:rPr>
              <w:t>，可存精煤57000</w:t>
            </w:r>
            <w:r>
              <w:rPr>
                <w:szCs w:val="21"/>
              </w:rPr>
              <w:t>t</w:t>
            </w:r>
            <w:r>
              <w:rPr>
                <w:rFonts w:hint="eastAsia"/>
                <w:szCs w:val="21"/>
              </w:rPr>
              <w:t>。</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根据实际建设调整</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依托龙宇洗煤厂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580" w:type="pct"/>
            <w:gridSpan w:val="3"/>
            <w:tcBorders>
              <w:top w:val="single" w:color="auto" w:sz="4" w:space="0"/>
              <w:bottom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运输公路</w:t>
            </w:r>
          </w:p>
        </w:tc>
        <w:tc>
          <w:tcPr>
            <w:tcW w:w="1497" w:type="pct"/>
            <w:tcBorders>
              <w:top w:val="single" w:color="auto" w:sz="4" w:space="0"/>
              <w:bottom w:val="single" w:color="auto" w:sz="4" w:space="0"/>
            </w:tcBorders>
            <w:vAlign w:val="center"/>
          </w:tcPr>
          <w:p>
            <w:pPr>
              <w:pStyle w:val="90"/>
              <w:jc w:val="left"/>
              <w:rPr>
                <w:rFonts w:ascii="Times New Roman" w:hAnsi="Times New Roman" w:cs="Times New Roman"/>
                <w:szCs w:val="21"/>
              </w:rPr>
            </w:pPr>
            <w:r>
              <w:rPr>
                <w:rFonts w:ascii="Times New Roman" w:hAnsi="Times New Roman" w:cs="Times New Roman"/>
                <w:szCs w:val="21"/>
              </w:rPr>
              <w:t>进场公路：进场公路全长</w:t>
            </w:r>
            <w:r>
              <w:rPr>
                <w:rFonts w:hint="eastAsia" w:ascii="Times New Roman" w:hAnsi="Times New Roman" w:cs="Times New Roman"/>
                <w:szCs w:val="21"/>
              </w:rPr>
              <w:t>1.662k</w:t>
            </w:r>
            <w:r>
              <w:rPr>
                <w:rFonts w:ascii="Times New Roman" w:hAnsi="Times New Roman" w:cs="Times New Roman"/>
                <w:szCs w:val="21"/>
              </w:rPr>
              <w:t>m，路基宽</w:t>
            </w:r>
            <w:r>
              <w:rPr>
                <w:rFonts w:hint="eastAsia" w:ascii="Times New Roman" w:hAnsi="Times New Roman" w:cs="Times New Roman"/>
                <w:szCs w:val="21"/>
              </w:rPr>
              <w:t>8.5</w:t>
            </w:r>
            <w:r>
              <w:rPr>
                <w:rFonts w:ascii="Times New Roman" w:hAnsi="Times New Roman" w:cs="Times New Roman"/>
                <w:szCs w:val="21"/>
              </w:rPr>
              <w:t>m，路面宽</w:t>
            </w:r>
            <w:r>
              <w:rPr>
                <w:rFonts w:hint="eastAsia" w:ascii="Times New Roman" w:hAnsi="Times New Roman" w:cs="Times New Roman"/>
                <w:szCs w:val="21"/>
              </w:rPr>
              <w:t>7</w:t>
            </w:r>
            <w:r>
              <w:rPr>
                <w:rFonts w:ascii="Times New Roman" w:hAnsi="Times New Roman" w:cs="Times New Roman"/>
                <w:szCs w:val="21"/>
              </w:rPr>
              <w:t>m，</w:t>
            </w:r>
            <w:r>
              <w:rPr>
                <w:rFonts w:hint="eastAsia" w:ascii="Times New Roman" w:hAnsi="Times New Roman" w:cs="Times New Roman"/>
                <w:szCs w:val="21"/>
              </w:rPr>
              <w:t>水泥混凝土</w:t>
            </w:r>
            <w:r>
              <w:rPr>
                <w:rFonts w:ascii="Times New Roman" w:hAnsi="Times New Roman" w:cs="Times New Roman"/>
                <w:szCs w:val="21"/>
              </w:rPr>
              <w:t>路面；</w:t>
            </w:r>
          </w:p>
          <w:p>
            <w:pPr>
              <w:pStyle w:val="90"/>
              <w:jc w:val="left"/>
              <w:rPr>
                <w:rFonts w:ascii="宋体" w:hAnsi="宋体"/>
                <w:szCs w:val="21"/>
              </w:rPr>
            </w:pPr>
            <w:r>
              <w:rPr>
                <w:spacing w:val="4"/>
                <w:szCs w:val="21"/>
              </w:rPr>
              <w:t>场内道路：</w:t>
            </w:r>
            <w:r>
              <w:rPr>
                <w:rFonts w:ascii="宋体" w:hAnsi="宋体"/>
                <w:szCs w:val="21"/>
              </w:rPr>
              <w:t>采用水泥混凝土高级路面；</w:t>
            </w:r>
          </w:p>
          <w:p>
            <w:pPr>
              <w:pStyle w:val="90"/>
              <w:jc w:val="left"/>
              <w:rPr>
                <w:rFonts w:ascii="Times New Roman" w:hAnsi="Times New Roman" w:cs="Times New Roman"/>
                <w:szCs w:val="21"/>
              </w:rPr>
            </w:pPr>
            <w:r>
              <w:rPr>
                <w:rFonts w:hint="eastAsia" w:ascii="Times New Roman" w:hAnsi="Times New Roman" w:cs="Times New Roman"/>
                <w:szCs w:val="21"/>
              </w:rPr>
              <w:t>运矸道路：碎石路面，</w:t>
            </w:r>
            <w:r>
              <w:rPr>
                <w:rFonts w:ascii="Times New Roman" w:hAnsi="Times New Roman" w:cs="Times New Roman"/>
                <w:szCs w:val="21"/>
              </w:rPr>
              <w:t>长度</w:t>
            </w:r>
            <w:r>
              <w:rPr>
                <w:rFonts w:hint="eastAsia" w:ascii="Times New Roman" w:hAnsi="Times New Roman" w:cs="Times New Roman"/>
                <w:szCs w:val="21"/>
              </w:rPr>
              <w:t>0.2</w:t>
            </w:r>
            <w:r>
              <w:rPr>
                <w:rFonts w:ascii="Times New Roman" w:hAnsi="Times New Roman" w:cs="Times New Roman"/>
                <w:szCs w:val="21"/>
              </w:rPr>
              <w:t>km，路基宽</w:t>
            </w:r>
            <w:r>
              <w:rPr>
                <w:rFonts w:hint="eastAsia" w:ascii="Times New Roman" w:hAnsi="Times New Roman" w:cs="Times New Roman"/>
                <w:szCs w:val="21"/>
              </w:rPr>
              <w:t>7</w:t>
            </w:r>
            <w:r>
              <w:rPr>
                <w:rFonts w:ascii="Times New Roman" w:hAnsi="Times New Roman" w:cs="Times New Roman"/>
                <w:szCs w:val="21"/>
              </w:rPr>
              <w:t>.0m，路面宽</w:t>
            </w:r>
            <w:r>
              <w:rPr>
                <w:rFonts w:hint="eastAsia" w:ascii="Times New Roman" w:hAnsi="Times New Roman" w:cs="Times New Roman"/>
                <w:szCs w:val="21"/>
              </w:rPr>
              <w:t>6</w:t>
            </w:r>
            <w:r>
              <w:rPr>
                <w:rFonts w:ascii="Times New Roman" w:hAnsi="Times New Roman" w:cs="Times New Roman"/>
                <w:szCs w:val="21"/>
              </w:rPr>
              <w:t>.0m。</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restart"/>
            <w:vAlign w:val="center"/>
          </w:tcPr>
          <w:p>
            <w:pPr>
              <w:pStyle w:val="90"/>
              <w:rPr>
                <w:rFonts w:ascii="Times New Roman" w:hAnsi="Times New Roman" w:cs="Times New Roman"/>
                <w:szCs w:val="21"/>
              </w:rPr>
            </w:pPr>
            <w:r>
              <w:rPr>
                <w:rFonts w:ascii="Times New Roman" w:hAnsi="Times New Roman" w:cs="Times New Roman"/>
                <w:szCs w:val="21"/>
              </w:rPr>
              <w:t>公用工程</w:t>
            </w:r>
          </w:p>
        </w:tc>
        <w:tc>
          <w:tcPr>
            <w:tcW w:w="580" w:type="pct"/>
            <w:gridSpan w:val="3"/>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给水系统</w:t>
            </w:r>
          </w:p>
        </w:tc>
        <w:tc>
          <w:tcPr>
            <w:tcW w:w="1497" w:type="pct"/>
            <w:tcBorders>
              <w:top w:val="single" w:color="auto" w:sz="4" w:space="0"/>
              <w:bottom w:val="single" w:color="auto" w:sz="4" w:space="0"/>
            </w:tcBorders>
            <w:vAlign w:val="center"/>
          </w:tcPr>
          <w:p>
            <w:pPr>
              <w:pStyle w:val="90"/>
              <w:jc w:val="left"/>
              <w:rPr>
                <w:rFonts w:ascii="Times New Roman" w:hAnsi="Times New Roman" w:cs="Times New Roman"/>
                <w:szCs w:val="21"/>
              </w:rPr>
            </w:pPr>
            <w:r>
              <w:rPr>
                <w:rFonts w:hint="eastAsia" w:ascii="Times New Roman" w:hAnsi="Times New Roman" w:cs="Times New Roman"/>
                <w:szCs w:val="21"/>
              </w:rPr>
              <w:t>生活用水：</w:t>
            </w:r>
            <w:r>
              <w:rPr>
                <w:rFonts w:ascii="Times New Roman" w:hAnsi="Times New Roman" w:cs="Times New Roman"/>
                <w:szCs w:val="21"/>
              </w:rPr>
              <w:t>采用</w:t>
            </w:r>
            <w:r>
              <w:rPr>
                <w:rFonts w:hint="eastAsia" w:ascii="Times New Roman" w:hAnsi="Times New Roman" w:cs="Times New Roman"/>
                <w:szCs w:val="21"/>
              </w:rPr>
              <w:t>水源井</w:t>
            </w:r>
            <w:r>
              <w:rPr>
                <w:rFonts w:ascii="Times New Roman" w:hAnsi="Times New Roman" w:cs="Times New Roman"/>
                <w:szCs w:val="21"/>
              </w:rPr>
              <w:t>供给；</w:t>
            </w:r>
          </w:p>
          <w:p>
            <w:pPr>
              <w:pStyle w:val="90"/>
              <w:rPr>
                <w:rFonts w:ascii="Times New Roman" w:hAnsi="Times New Roman" w:cs="Times New Roman"/>
                <w:szCs w:val="21"/>
              </w:rPr>
            </w:pPr>
            <w:r>
              <w:rPr>
                <w:rFonts w:hint="eastAsia" w:ascii="Times New Roman" w:hAnsi="Times New Roman" w:cs="Times New Roman"/>
                <w:szCs w:val="21"/>
              </w:rPr>
              <w:t>生产用水：处理后的生活污水和矿井水供给</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同原环评</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580" w:type="pct"/>
            <w:gridSpan w:val="3"/>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排水</w:t>
            </w:r>
          </w:p>
        </w:tc>
        <w:tc>
          <w:tcPr>
            <w:tcW w:w="1497" w:type="pct"/>
            <w:tcBorders>
              <w:top w:val="single" w:color="auto" w:sz="4" w:space="0"/>
              <w:bottom w:val="single" w:color="auto" w:sz="4" w:space="0"/>
            </w:tcBorders>
            <w:vAlign w:val="center"/>
          </w:tcPr>
          <w:p>
            <w:pPr>
              <w:pStyle w:val="90"/>
              <w:jc w:val="left"/>
              <w:rPr>
                <w:rFonts w:ascii="Times New Roman" w:hAnsi="Times New Roman" w:cs="Times New Roman"/>
                <w:szCs w:val="21"/>
              </w:rPr>
            </w:pPr>
            <w:r>
              <w:rPr>
                <w:rFonts w:ascii="Times New Roman" w:hAnsi="Times New Roman" w:cs="Times New Roman"/>
                <w:szCs w:val="21"/>
              </w:rPr>
              <w:t>场内采用雨污分流排水，场内设排水管，场内排水集中收集后汇入初期雨水收集池，再排至场外。</w:t>
            </w:r>
          </w:p>
          <w:p>
            <w:pPr>
              <w:pStyle w:val="90"/>
              <w:jc w:val="left"/>
              <w:rPr>
                <w:rFonts w:ascii="Times New Roman" w:hAnsi="Times New Roman" w:cs="Times New Roman"/>
                <w:szCs w:val="21"/>
              </w:rPr>
            </w:pPr>
            <w:r>
              <w:rPr>
                <w:rFonts w:hint="eastAsia" w:ascii="Times New Roman" w:hAnsi="Times New Roman" w:cs="Times New Roman"/>
                <w:szCs w:val="21"/>
              </w:rPr>
              <w:t>生活污水：</w:t>
            </w:r>
            <w:r>
              <w:rPr>
                <w:rFonts w:ascii="Times New Roman" w:hAnsi="Times New Roman" w:cs="Times New Roman"/>
                <w:szCs w:val="21"/>
              </w:rPr>
              <w:t>处理后的生活污水全部回用，无外排；</w:t>
            </w:r>
          </w:p>
          <w:p>
            <w:pPr>
              <w:pStyle w:val="90"/>
              <w:jc w:val="left"/>
              <w:rPr>
                <w:rFonts w:ascii="Times New Roman" w:hAnsi="Times New Roman" w:cs="Times New Roman"/>
                <w:szCs w:val="21"/>
              </w:rPr>
            </w:pPr>
            <w:r>
              <w:rPr>
                <w:rFonts w:ascii="Times New Roman" w:hAnsi="Times New Roman" w:cs="Times New Roman"/>
                <w:szCs w:val="21"/>
              </w:rPr>
              <w:t>矿井水：采用混凝沉淀、消毒、沉淀处理后回用于井下洒水、</w:t>
            </w:r>
            <w:r>
              <w:rPr>
                <w:rFonts w:hint="eastAsia" w:ascii="Times New Roman" w:hAnsi="Times New Roman" w:cs="Times New Roman"/>
                <w:szCs w:val="21"/>
              </w:rPr>
              <w:t>防火灌浆</w:t>
            </w:r>
            <w:r>
              <w:rPr>
                <w:rFonts w:ascii="Times New Roman" w:hAnsi="Times New Roman" w:cs="Times New Roman"/>
                <w:szCs w:val="21"/>
              </w:rPr>
              <w:t xml:space="preserve">； </w:t>
            </w:r>
          </w:p>
        </w:tc>
        <w:tc>
          <w:tcPr>
            <w:tcW w:w="1252" w:type="pct"/>
            <w:tcBorders>
              <w:top w:val="single" w:color="auto" w:sz="4" w:space="0"/>
              <w:bottom w:val="single" w:color="auto" w:sz="4" w:space="0"/>
              <w:right w:val="single" w:color="auto" w:sz="4" w:space="0"/>
            </w:tcBorders>
            <w:vAlign w:val="center"/>
          </w:tcPr>
          <w:p>
            <w:pPr>
              <w:pStyle w:val="90"/>
              <w:jc w:val="left"/>
              <w:rPr>
                <w:rFonts w:ascii="Times New Roman" w:hAnsi="Times New Roman" w:cs="Times New Roman"/>
                <w:szCs w:val="21"/>
              </w:rPr>
            </w:pPr>
            <w:r>
              <w:rPr>
                <w:rFonts w:ascii="Times New Roman" w:cs="Times New Roman" w:hAnsiTheme="minorEastAsia"/>
                <w:szCs w:val="21"/>
              </w:rPr>
              <w:t>场内采用雨污分流排水，场内设排水管，场内排水集中收集后汇入初期雨水收集池，再排至场外。</w:t>
            </w:r>
          </w:p>
          <w:p>
            <w:pPr>
              <w:pStyle w:val="90"/>
              <w:jc w:val="left"/>
              <w:rPr>
                <w:rFonts w:ascii="Times New Roman" w:cs="Times New Roman" w:hAnsiTheme="minorEastAsia"/>
                <w:bCs/>
                <w:szCs w:val="21"/>
              </w:rPr>
            </w:pPr>
            <w:r>
              <w:rPr>
                <w:rFonts w:ascii="Times New Roman" w:cs="Times New Roman" w:hAnsiTheme="minorEastAsia"/>
                <w:szCs w:val="21"/>
              </w:rPr>
              <w:t>生活污水：处理后的生活污水全部回用</w:t>
            </w:r>
            <w:r>
              <w:rPr>
                <w:rFonts w:hint="eastAsia" w:ascii="Times New Roman" w:cs="Times New Roman" w:hAnsiTheme="minorEastAsia"/>
                <w:bCs/>
                <w:szCs w:val="21"/>
              </w:rPr>
              <w:t>于储煤场洒水、厂区道路洒水、绿化洒水、洗车平台用水，其余送至龙宇洗煤厂作为洗煤厂补充水，不外排</w:t>
            </w:r>
          </w:p>
          <w:p>
            <w:pPr>
              <w:pStyle w:val="90"/>
              <w:rPr>
                <w:rFonts w:ascii="Times New Roman" w:hAnsi="Times New Roman" w:cs="Times New Roman"/>
                <w:szCs w:val="21"/>
              </w:rPr>
            </w:pPr>
            <w:r>
              <w:rPr>
                <w:rFonts w:ascii="Times New Roman" w:cs="Times New Roman" w:hAnsiTheme="minorEastAsia"/>
                <w:szCs w:val="21"/>
              </w:rPr>
              <w:t>矿井水：</w:t>
            </w:r>
            <w:r>
              <w:rPr>
                <w:rFonts w:hint="eastAsia" w:ascii="Times New Roman" w:cs="Times New Roman" w:hAnsiTheme="minorEastAsia"/>
                <w:szCs w:val="21"/>
              </w:rPr>
              <w:t>处理达标后的矿井水部分回用于井下生产用水，采暖季多余部分回用于洗车平台用水，非采暖季多余部分回用于锅炉补充用水</w:t>
            </w:r>
            <w:r>
              <w:rPr>
                <w:rFonts w:ascii="Times New Roman" w:cs="Times New Roman" w:hAnsiTheme="minorEastAsia"/>
                <w:szCs w:val="21"/>
              </w:rPr>
              <w:t>；</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满足现行的环保要求</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580" w:type="pct"/>
            <w:gridSpan w:val="3"/>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供电、配电</w:t>
            </w:r>
          </w:p>
        </w:tc>
        <w:tc>
          <w:tcPr>
            <w:tcW w:w="1497" w:type="pct"/>
            <w:tcBorders>
              <w:top w:val="single" w:color="auto" w:sz="4" w:space="0"/>
              <w:bottom w:val="single" w:color="auto" w:sz="4" w:space="0"/>
            </w:tcBorders>
            <w:vAlign w:val="center"/>
          </w:tcPr>
          <w:p>
            <w:pPr>
              <w:pStyle w:val="90"/>
              <w:jc w:val="left"/>
              <w:rPr>
                <w:rFonts w:ascii="Times New Roman" w:hAnsi="Times New Roman" w:cs="Times New Roman"/>
                <w:szCs w:val="21"/>
              </w:rPr>
            </w:pPr>
            <w:r>
              <w:rPr>
                <w:rFonts w:hint="eastAsia" w:ascii="Times New Roman" w:hAnsi="Times New Roman" w:cs="Times New Roman"/>
                <w:szCs w:val="21"/>
              </w:rPr>
              <w:t>工业场地内设35kV变电所一座， 2回35kV电源分别引自林家坪110kV变电站和高家山110kV变电站，供电距离为9km和6km。变压器采用SZ10-6300/35﹑35±3×2.5%/</w:t>
            </w:r>
            <w:r>
              <w:rPr>
                <w:rFonts w:ascii="Times New Roman" w:hAnsi="Times New Roman" w:cs="Times New Roman"/>
                <w:szCs w:val="21"/>
              </w:rPr>
              <w:t>10.5kV</w:t>
            </w:r>
            <w:r>
              <w:rPr>
                <w:rFonts w:hint="eastAsia" w:ascii="Times New Roman" w:hAnsi="Times New Roman" w:cs="Times New Roman"/>
                <w:szCs w:val="21"/>
              </w:rPr>
              <w:t xml:space="preserve"> 、6300kVA主变压器2台，输电线路型号采用LGJ-120，避雷线采用OPGW-35，8芯。</w:t>
            </w:r>
          </w:p>
        </w:tc>
        <w:tc>
          <w:tcPr>
            <w:tcW w:w="1252" w:type="pct"/>
            <w:tcBorders>
              <w:top w:val="single" w:color="auto" w:sz="4" w:space="0"/>
              <w:bottom w:val="single" w:color="auto" w:sz="4" w:space="0"/>
              <w:right w:val="single" w:color="auto" w:sz="4" w:space="0"/>
            </w:tcBorders>
            <w:vAlign w:val="center"/>
          </w:tcPr>
          <w:p>
            <w:pPr>
              <w:ind w:firstLine="420" w:firstLineChars="200"/>
              <w:rPr>
                <w:rFonts w:eastAsiaTheme="minorEastAsia"/>
                <w:szCs w:val="28"/>
              </w:rPr>
            </w:pPr>
            <w:r>
              <w:rPr>
                <w:rFonts w:hAnsiTheme="minorEastAsia" w:eastAsiaTheme="minorEastAsia"/>
                <w:szCs w:val="21"/>
              </w:rPr>
              <w:t>工业场地内设</w:t>
            </w:r>
            <w:r>
              <w:rPr>
                <w:rFonts w:eastAsiaTheme="minorEastAsia"/>
                <w:szCs w:val="21"/>
              </w:rPr>
              <w:t>35kV</w:t>
            </w:r>
            <w:r>
              <w:rPr>
                <w:rFonts w:hAnsiTheme="minorEastAsia" w:eastAsiaTheme="minorEastAsia"/>
                <w:szCs w:val="21"/>
              </w:rPr>
              <w:t>变电所一座，</w:t>
            </w:r>
            <w:r>
              <w:rPr>
                <w:rFonts w:hAnsiTheme="minorEastAsia" w:eastAsiaTheme="minorEastAsia"/>
                <w:szCs w:val="28"/>
              </w:rPr>
              <w:t>本矿井</w:t>
            </w:r>
            <w:r>
              <w:rPr>
                <w:rFonts w:eastAsiaTheme="minorEastAsia"/>
                <w:szCs w:val="28"/>
              </w:rPr>
              <w:t>2</w:t>
            </w:r>
            <w:r>
              <w:rPr>
                <w:rFonts w:hAnsiTheme="minorEastAsia" w:eastAsiaTheme="minorEastAsia"/>
                <w:szCs w:val="28"/>
              </w:rPr>
              <w:t>回输电线路</w:t>
            </w:r>
            <w:r>
              <w:rPr>
                <w:rFonts w:eastAsiaTheme="minorEastAsia"/>
                <w:szCs w:val="28"/>
              </w:rPr>
              <w:t>1</w:t>
            </w:r>
            <w:r>
              <w:rPr>
                <w:rFonts w:hAnsiTheme="minorEastAsia" w:eastAsiaTheme="minorEastAsia"/>
                <w:szCs w:val="28"/>
              </w:rPr>
              <w:t>回引自林家坪</w:t>
            </w:r>
            <w:r>
              <w:rPr>
                <w:rFonts w:eastAsiaTheme="minorEastAsia"/>
                <w:szCs w:val="28"/>
              </w:rPr>
              <w:t>110kV</w:t>
            </w:r>
            <w:r>
              <w:rPr>
                <w:rFonts w:hAnsiTheme="minorEastAsia" w:eastAsiaTheme="minorEastAsia"/>
                <w:szCs w:val="28"/>
              </w:rPr>
              <w:t>变电站，输电线路长约</w:t>
            </w:r>
            <w:r>
              <w:rPr>
                <w:rFonts w:eastAsiaTheme="minorEastAsia"/>
                <w:szCs w:val="28"/>
              </w:rPr>
              <w:t>8</w:t>
            </w:r>
            <w:r>
              <w:rPr>
                <w:rFonts w:eastAsiaTheme="minorEastAsia"/>
              </w:rPr>
              <w:t xml:space="preserve"> km</w:t>
            </w:r>
            <w:r>
              <w:rPr>
                <w:rFonts w:hAnsiTheme="minorEastAsia" w:eastAsiaTheme="minorEastAsia"/>
              </w:rPr>
              <w:t>；另</w:t>
            </w:r>
            <w:r>
              <w:rPr>
                <w:rFonts w:eastAsiaTheme="minorEastAsia"/>
              </w:rPr>
              <w:t>1</w:t>
            </w:r>
            <w:r>
              <w:rPr>
                <w:rFonts w:hAnsiTheme="minorEastAsia" w:eastAsiaTheme="minorEastAsia"/>
              </w:rPr>
              <w:t>回由胜利煤业</w:t>
            </w:r>
            <w:r>
              <w:rPr>
                <w:rFonts w:eastAsiaTheme="minorEastAsia"/>
                <w:szCs w:val="28"/>
              </w:rPr>
              <w:t>35kV</w:t>
            </w:r>
            <w:r>
              <w:rPr>
                <w:rFonts w:hAnsiTheme="minorEastAsia" w:eastAsiaTheme="minorEastAsia"/>
                <w:szCs w:val="28"/>
              </w:rPr>
              <w:t>变电站转供，输电线路长约</w:t>
            </w:r>
            <w:r>
              <w:rPr>
                <w:rFonts w:eastAsiaTheme="minorEastAsia"/>
                <w:szCs w:val="28"/>
              </w:rPr>
              <w:t>2.5</w:t>
            </w:r>
            <w:r>
              <w:rPr>
                <w:rFonts w:eastAsiaTheme="minorEastAsia"/>
              </w:rPr>
              <w:t xml:space="preserve"> km</w:t>
            </w:r>
            <w:r>
              <w:rPr>
                <w:rFonts w:hAnsiTheme="minorEastAsia" w:eastAsiaTheme="minorEastAsia"/>
              </w:rPr>
              <w:t>。变压器采用</w:t>
            </w:r>
            <w:r>
              <w:rPr>
                <w:rFonts w:eastAsiaTheme="minorEastAsia"/>
                <w:szCs w:val="28"/>
              </w:rPr>
              <w:t>SZ13-12500/35</w:t>
            </w:r>
            <w:r>
              <w:rPr>
                <w:rFonts w:hAnsiTheme="minorEastAsia" w:eastAsiaTheme="minorEastAsia"/>
                <w:szCs w:val="28"/>
              </w:rPr>
              <w:t>﹑</w:t>
            </w:r>
            <w:r>
              <w:rPr>
                <w:rFonts w:eastAsiaTheme="minorEastAsia"/>
                <w:szCs w:val="28"/>
              </w:rPr>
              <w:t xml:space="preserve">35 </w:t>
            </w:r>
            <w:r>
              <w:rPr>
                <w:rFonts w:eastAsiaTheme="minorEastAsia"/>
              </w:rPr>
              <w:t>-4×2.5%~+2×2.5%</w:t>
            </w:r>
            <w:r>
              <w:rPr>
                <w:rFonts w:eastAsiaTheme="minorEastAsia"/>
                <w:szCs w:val="28"/>
              </w:rPr>
              <w:t>/10.5</w:t>
            </w:r>
            <w:r>
              <w:rPr>
                <w:rFonts w:hint="eastAsia" w:eastAsiaTheme="minorEastAsia"/>
                <w:szCs w:val="28"/>
              </w:rPr>
              <w:t>kV</w:t>
            </w:r>
            <w:r>
              <w:rPr>
                <w:rFonts w:hAnsiTheme="minorEastAsia" w:eastAsiaTheme="minorEastAsia"/>
                <w:szCs w:val="28"/>
              </w:rPr>
              <w:t>、</w:t>
            </w:r>
            <w:r>
              <w:rPr>
                <w:rFonts w:eastAsiaTheme="minorEastAsia"/>
                <w:szCs w:val="28"/>
              </w:rPr>
              <w:t>1250</w:t>
            </w:r>
            <w:r>
              <w:rPr>
                <w:rFonts w:hint="eastAsia" w:eastAsiaTheme="minorEastAsia"/>
                <w:szCs w:val="28"/>
              </w:rPr>
              <w:t>V</w:t>
            </w:r>
            <w:r>
              <w:rPr>
                <w:rFonts w:eastAsiaTheme="minorEastAsia"/>
                <w:szCs w:val="28"/>
              </w:rPr>
              <w:t>0kVA</w:t>
            </w:r>
            <w:r>
              <w:rPr>
                <w:rFonts w:hAnsiTheme="minorEastAsia" w:eastAsiaTheme="minorEastAsia"/>
                <w:szCs w:val="28"/>
              </w:rPr>
              <w:t>主变压器</w:t>
            </w:r>
            <w:r>
              <w:rPr>
                <w:rFonts w:eastAsiaTheme="minorEastAsia"/>
                <w:szCs w:val="28"/>
              </w:rPr>
              <w:t>2</w:t>
            </w:r>
            <w:r>
              <w:rPr>
                <w:rFonts w:hAnsiTheme="minorEastAsia" w:eastAsiaTheme="minorEastAsia"/>
                <w:szCs w:val="28"/>
              </w:rPr>
              <w:t>台</w:t>
            </w:r>
            <w:r>
              <w:rPr>
                <w:rFonts w:hAnsiTheme="minorEastAsia" w:eastAsiaTheme="minorEastAsia"/>
                <w:szCs w:val="21"/>
              </w:rPr>
              <w:t>。</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根据山西地方电力股份有限公司对新工煤业有限公司供电方案的批复文件（晋地电营函【2020】1号）</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tcBorders>
              <w:bottom w:val="single" w:color="auto" w:sz="4" w:space="0"/>
            </w:tcBorders>
            <w:vAlign w:val="center"/>
          </w:tcPr>
          <w:p>
            <w:pPr>
              <w:pStyle w:val="90"/>
              <w:rPr>
                <w:rFonts w:ascii="Times New Roman" w:hAnsi="Times New Roman" w:cs="Times New Roman"/>
                <w:szCs w:val="21"/>
              </w:rPr>
            </w:pPr>
          </w:p>
        </w:tc>
        <w:tc>
          <w:tcPr>
            <w:tcW w:w="580" w:type="pct"/>
            <w:gridSpan w:val="3"/>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供热系统</w:t>
            </w:r>
          </w:p>
        </w:tc>
        <w:tc>
          <w:tcPr>
            <w:tcW w:w="1497" w:type="pct"/>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锅炉房内设</w:t>
            </w:r>
            <w:r>
              <w:rPr>
                <w:rFonts w:hint="eastAsia" w:ascii="Times New Roman" w:hAnsi="Times New Roman" w:cs="Times New Roman"/>
                <w:szCs w:val="21"/>
              </w:rPr>
              <w:t>2台SZL10-1.25-AⅡ型蒸汽燃煤锅炉</w:t>
            </w:r>
          </w:p>
        </w:tc>
        <w:tc>
          <w:tcPr>
            <w:tcW w:w="1252" w:type="pct"/>
            <w:tcBorders>
              <w:top w:val="single" w:color="auto" w:sz="4" w:space="0"/>
              <w:bottom w:val="single" w:color="auto" w:sz="4" w:space="0"/>
              <w:right w:val="single" w:color="auto" w:sz="4" w:space="0"/>
            </w:tcBorders>
            <w:vAlign w:val="center"/>
          </w:tcPr>
          <w:p>
            <w:pPr>
              <w:pStyle w:val="90"/>
              <w:jc w:val="both"/>
              <w:rPr>
                <w:rFonts w:ascii="Times New Roman" w:hAnsi="Times New Roman" w:cs="Times New Roman"/>
                <w:szCs w:val="21"/>
              </w:rPr>
            </w:pPr>
            <w:r>
              <w:rPr>
                <w:rFonts w:hint="eastAsia" w:ascii="Times New Roman" w:hAnsi="Times New Roman" w:cs="Times New Roman"/>
                <w:szCs w:val="21"/>
              </w:rPr>
              <w:t>生产供热、井筒保温和</w:t>
            </w:r>
            <w:r>
              <w:rPr>
                <w:rFonts w:ascii="Times New Roman" w:hAnsi="Times New Roman" w:cs="Times New Roman"/>
                <w:szCs w:val="21"/>
              </w:rPr>
              <w:t>生活用热</w:t>
            </w:r>
            <w:r>
              <w:rPr>
                <w:rFonts w:hint="eastAsia" w:ascii="Times New Roman" w:hAnsi="Times New Roman" w:cs="Times New Roman"/>
                <w:szCs w:val="21"/>
              </w:rPr>
              <w:t>采用锅炉供暖，</w:t>
            </w:r>
            <w:r>
              <w:rPr>
                <w:rFonts w:ascii="Times New Roman" w:hAnsi="Times New Roman" w:cs="Times New Roman"/>
                <w:szCs w:val="21"/>
              </w:rPr>
              <w:t>工业场地内建筑生活福利联合建筑及区队办公楼、职工食堂、职工宿舍、行政办公楼采暖期采用超低温空气能热泵式集中空调系统供热。</w:t>
            </w:r>
          </w:p>
          <w:p>
            <w:pPr>
              <w:pStyle w:val="90"/>
              <w:jc w:val="both"/>
              <w:rPr>
                <w:rFonts w:ascii="Times New Roman" w:hAnsi="Times New Roman" w:cs="Times New Roman"/>
                <w:szCs w:val="21"/>
              </w:rPr>
            </w:pPr>
            <w:r>
              <w:rPr>
                <w:rFonts w:hint="eastAsia" w:ascii="Times New Roman" w:hAnsi="Times New Roman" w:cs="Times New Roman"/>
                <w:szCs w:val="21"/>
              </w:rPr>
              <w:t>矿井锅炉房选用2台</w:t>
            </w:r>
            <w:r>
              <w:rPr>
                <w:rFonts w:ascii="Times New Roman" w:hAnsi="Times New Roman" w:cs="Times New Roman"/>
                <w:szCs w:val="21"/>
              </w:rPr>
              <w:t>超低氮LSS</w:t>
            </w:r>
            <w:r>
              <w:rPr>
                <w:rFonts w:hint="eastAsia" w:ascii="Times New Roman" w:hAnsi="Times New Roman" w:cs="Times New Roman"/>
                <w:szCs w:val="21"/>
              </w:rPr>
              <w:t>8</w:t>
            </w:r>
            <w:r>
              <w:rPr>
                <w:rFonts w:ascii="Times New Roman" w:hAnsi="Times New Roman" w:cs="Times New Roman"/>
                <w:szCs w:val="21"/>
              </w:rPr>
              <w:t>-1.25型燃气</w:t>
            </w:r>
            <w:r>
              <w:rPr>
                <w:rFonts w:hint="eastAsia" w:ascii="Times New Roman" w:hAnsi="Times New Roman" w:cs="Times New Roman"/>
                <w:szCs w:val="21"/>
              </w:rPr>
              <w:t>蒸汽锅炉</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b/>
                <w:bCs/>
                <w:szCs w:val="21"/>
              </w:rPr>
            </w:pPr>
            <w:r>
              <w:rPr>
                <w:rFonts w:hint="eastAsia" w:ascii="Times New Roman" w:hAnsi="Times New Roman" w:cs="Times New Roman"/>
                <w:szCs w:val="21"/>
              </w:rPr>
              <w:t>国家环保政策对燃煤锅炉限制，要求燃气锅炉加装低氮燃烧装置</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restart"/>
            <w:tcBorders>
              <w:top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环保工程</w:t>
            </w:r>
          </w:p>
        </w:tc>
        <w:tc>
          <w:tcPr>
            <w:tcW w:w="266" w:type="pct"/>
            <w:gridSpan w:val="2"/>
            <w:vMerge w:val="restart"/>
            <w:tcBorders>
              <w:top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大气</w:t>
            </w: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锅炉烟气</w:t>
            </w:r>
          </w:p>
        </w:tc>
        <w:tc>
          <w:tcPr>
            <w:tcW w:w="1497" w:type="pct"/>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锅炉配套建设</w:t>
            </w:r>
            <w:r>
              <w:rPr>
                <w:rFonts w:hint="eastAsia" w:ascii="Times New Roman" w:hAnsi="Times New Roman" w:cs="Times New Roman"/>
                <w:szCs w:val="21"/>
              </w:rPr>
              <w:t>高效湿式</w:t>
            </w:r>
            <w:r>
              <w:rPr>
                <w:rFonts w:ascii="Times New Roman" w:hAnsi="Times New Roman" w:cs="Times New Roman"/>
                <w:szCs w:val="21"/>
              </w:rPr>
              <w:t>脱硫除尘器</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 xml:space="preserve">采用超低氮燃气锅炉，为清洁能源 </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为</w:t>
            </w:r>
            <w:r>
              <w:rPr>
                <w:rFonts w:ascii="Times New Roman" w:hAnsi="Times New Roman" w:cs="Times New Roman"/>
                <w:szCs w:val="21"/>
              </w:rPr>
              <w:t>满足现行的环保要求</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b/>
                <w:bCs/>
                <w:szCs w:val="21"/>
              </w:rPr>
            </w:pPr>
            <w:r>
              <w:rPr>
                <w:rFonts w:hint="eastAsia" w:ascii="Times New Roman" w:hAnsi="Times New Roman" w:cs="Times New Roman"/>
                <w:b/>
                <w:szCs w:val="21"/>
              </w:rPr>
              <w:t>变更前：</w:t>
            </w:r>
            <w:r>
              <w:rPr>
                <w:rFonts w:hint="eastAsia" w:ascii="Times New Roman" w:hAnsi="Times New Roman" w:cs="Times New Roman"/>
                <w:szCs w:val="21"/>
              </w:rPr>
              <w:t>原环评污染物排放标准</w:t>
            </w:r>
            <w:r>
              <w:rPr>
                <w:rFonts w:hint="eastAsia"/>
                <w:bCs/>
                <w:szCs w:val="21"/>
              </w:rPr>
              <w:t>烟尘、</w:t>
            </w:r>
            <w:r>
              <w:rPr>
                <w:szCs w:val="21"/>
              </w:rPr>
              <w:t>SO</w:t>
            </w:r>
            <w:r>
              <w:rPr>
                <w:szCs w:val="21"/>
                <w:vertAlign w:val="subscript"/>
              </w:rPr>
              <w:t>2</w:t>
            </w:r>
            <w:r>
              <w:rPr>
                <w:rFonts w:hint="eastAsia"/>
                <w:szCs w:val="21"/>
              </w:rPr>
              <w:t>排放浓度能</w:t>
            </w:r>
            <w:r>
              <w:rPr>
                <w:rFonts w:hint="eastAsia"/>
                <w:bCs/>
                <w:szCs w:val="21"/>
              </w:rPr>
              <w:t>满足</w:t>
            </w:r>
            <w:r>
              <w:rPr>
                <w:rFonts w:hint="eastAsia"/>
                <w:szCs w:val="21"/>
              </w:rPr>
              <w:t>《锅炉大气污染物排放标准》（</w:t>
            </w:r>
            <w:r>
              <w:rPr>
                <w:szCs w:val="21"/>
              </w:rPr>
              <w:t>GB13271-2001</w:t>
            </w:r>
            <w:r>
              <w:rPr>
                <w:rFonts w:hint="eastAsia"/>
                <w:szCs w:val="21"/>
              </w:rPr>
              <w:t>）中二类区Ⅱ时段标准</w:t>
            </w:r>
            <w:r>
              <w:rPr>
                <w:rFonts w:hint="eastAsia"/>
                <w:bCs/>
                <w:szCs w:val="21"/>
              </w:rPr>
              <w:t>；</w:t>
            </w:r>
            <w:r>
              <w:rPr>
                <w:szCs w:val="21"/>
              </w:rPr>
              <w:t>NO</w:t>
            </w:r>
            <w:r>
              <w:rPr>
                <w:szCs w:val="21"/>
                <w:vertAlign w:val="subscript"/>
              </w:rPr>
              <w:t>x</w:t>
            </w:r>
            <w:r>
              <w:rPr>
                <w:rFonts w:hint="eastAsia"/>
                <w:szCs w:val="21"/>
              </w:rPr>
              <w:t>排放浓度</w:t>
            </w:r>
            <w:r>
              <w:rPr>
                <w:rFonts w:hint="eastAsia"/>
                <w:bCs/>
                <w:szCs w:val="21"/>
              </w:rPr>
              <w:t>参照</w:t>
            </w:r>
            <w:r>
              <w:rPr>
                <w:rFonts w:hint="eastAsia"/>
                <w:szCs w:val="21"/>
              </w:rPr>
              <w:t>《大气污染物综合排放标准》（</w:t>
            </w:r>
            <w:r>
              <w:rPr>
                <w:szCs w:val="21"/>
              </w:rPr>
              <w:t>GB16297-1996</w:t>
            </w:r>
            <w:r>
              <w:rPr>
                <w:rFonts w:hint="eastAsia"/>
                <w:szCs w:val="21"/>
              </w:rPr>
              <w:t>）中表</w:t>
            </w:r>
            <w:r>
              <w:rPr>
                <w:szCs w:val="21"/>
              </w:rPr>
              <w:t>2</w:t>
            </w:r>
            <w:r>
              <w:rPr>
                <w:rFonts w:hint="eastAsia"/>
                <w:szCs w:val="21"/>
              </w:rPr>
              <w:t>中相关标准。</w:t>
            </w:r>
          </w:p>
          <w:p>
            <w:pPr>
              <w:pStyle w:val="90"/>
              <w:jc w:val="left"/>
              <w:rPr>
                <w:rFonts w:ascii="Times New Roman" w:hAnsi="Times New Roman" w:cs="Times New Roman"/>
                <w:b/>
                <w:szCs w:val="21"/>
              </w:rPr>
            </w:pPr>
            <w:r>
              <w:rPr>
                <w:rFonts w:hint="eastAsia" w:ascii="Times New Roman" w:hAnsi="Times New Roman" w:cs="Times New Roman"/>
                <w:b/>
                <w:szCs w:val="21"/>
              </w:rPr>
              <w:t>变更后：</w:t>
            </w:r>
            <w:r>
              <w:rPr>
                <w:rFonts w:hint="eastAsia" w:ascii="Times New Roman" w:hAnsi="Times New Roman" w:cs="Times New Roman"/>
                <w:szCs w:val="21"/>
              </w:rPr>
              <w:t>锅炉烟气执行《锅炉大气污染物排放标准》（DB14 1929-2019）中表3限值，颗粒物5mg/m</w:t>
            </w:r>
            <w:r>
              <w:rPr>
                <w:rFonts w:hint="eastAsia" w:ascii="Times New Roman" w:hAnsi="Times New Roman" w:cs="Times New Roman"/>
                <w:szCs w:val="21"/>
                <w:vertAlign w:val="superscript"/>
              </w:rPr>
              <w:t>3</w:t>
            </w:r>
            <w:r>
              <w:rPr>
                <w:rFonts w:hint="eastAsia" w:ascii="Times New Roman" w:hAnsi="Times New Roman" w:cs="Times New Roman"/>
                <w:szCs w:val="21"/>
              </w:rPr>
              <w:t>，SO</w:t>
            </w:r>
            <w:r>
              <w:rPr>
                <w:rFonts w:hint="eastAsia" w:ascii="Times New Roman" w:hAnsi="Times New Roman" w:cs="Times New Roman"/>
                <w:szCs w:val="21"/>
                <w:vertAlign w:val="subscript"/>
              </w:rPr>
              <w:t>2</w:t>
            </w:r>
            <w:r>
              <w:rPr>
                <w:rFonts w:hint="eastAsia" w:ascii="Times New Roman" w:hAnsi="Times New Roman" w:cs="Times New Roman"/>
                <w:szCs w:val="21"/>
              </w:rPr>
              <w:t>35mg/m</w:t>
            </w:r>
            <w:r>
              <w:rPr>
                <w:rFonts w:hint="eastAsia" w:ascii="Times New Roman" w:hAnsi="Times New Roman" w:cs="Times New Roman"/>
                <w:szCs w:val="21"/>
                <w:vertAlign w:val="superscript"/>
              </w:rPr>
              <w:t>3</w:t>
            </w:r>
            <w:r>
              <w:rPr>
                <w:rFonts w:hint="eastAsia" w:ascii="Times New Roman" w:hAnsi="Times New Roman" w:cs="Times New Roman"/>
                <w:szCs w:val="21"/>
              </w:rPr>
              <w:t>，NO</w:t>
            </w:r>
            <w:r>
              <w:rPr>
                <w:rFonts w:hint="eastAsia" w:ascii="Times New Roman" w:hAnsi="Times New Roman" w:cs="Times New Roman"/>
                <w:szCs w:val="21"/>
                <w:vertAlign w:val="subscript"/>
              </w:rPr>
              <w:t>x</w:t>
            </w:r>
            <w:r>
              <w:rPr>
                <w:rFonts w:hint="eastAsia" w:ascii="Times New Roman" w:hAnsi="Times New Roman" w:cs="Times New Roman"/>
                <w:szCs w:val="21"/>
              </w:rPr>
              <w:t>50mg/m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spacing w:line="240" w:lineRule="auto"/>
              <w:rPr>
                <w:rFonts w:ascii="Times New Roman" w:hAnsi="Times New Roman" w:cs="Times New Roman"/>
                <w:szCs w:val="21"/>
              </w:rPr>
            </w:pPr>
            <w:r>
              <w:rPr>
                <w:rFonts w:ascii="Times New Roman" w:hAnsi="Times New Roman" w:cs="Times New Roman"/>
                <w:szCs w:val="21"/>
              </w:rPr>
              <w:t>储煤粉尘</w:t>
            </w:r>
          </w:p>
        </w:tc>
        <w:tc>
          <w:tcPr>
            <w:tcW w:w="1497" w:type="pct"/>
            <w:tcBorders>
              <w:top w:val="single" w:color="auto" w:sz="4" w:space="0"/>
              <w:bottom w:val="single" w:color="auto" w:sz="4" w:space="0"/>
            </w:tcBorders>
            <w:vAlign w:val="center"/>
          </w:tcPr>
          <w:p>
            <w:pPr>
              <w:pStyle w:val="39"/>
              <w:spacing w:line="240" w:lineRule="auto"/>
              <w:ind w:firstLine="0" w:firstLineChars="0"/>
              <w:jc w:val="center"/>
              <w:rPr>
                <w:rFonts w:ascii="Times New Roman" w:hAnsi="Times New Roman" w:eastAsiaTheme="minorEastAsia"/>
                <w:sz w:val="21"/>
                <w:szCs w:val="21"/>
              </w:rPr>
            </w:pPr>
            <w:r>
              <w:rPr>
                <w:rFonts w:hint="eastAsia" w:ascii="Times New Roman" w:hAnsi="Times New Roman" w:eastAsiaTheme="minorEastAsia"/>
                <w:sz w:val="21"/>
                <w:szCs w:val="21"/>
              </w:rPr>
              <w:t>建设2个φ18m、H=34m的</w:t>
            </w:r>
            <w:r>
              <w:rPr>
                <w:rFonts w:ascii="Times New Roman" w:hAnsi="Times New Roman" w:eastAsiaTheme="minorEastAsia"/>
                <w:sz w:val="21"/>
                <w:szCs w:val="21"/>
              </w:rPr>
              <w:t>圆筒仓，总容量</w:t>
            </w:r>
            <w:r>
              <w:rPr>
                <w:rFonts w:hint="eastAsia" w:ascii="Times New Roman" w:hAnsi="Times New Roman" w:eastAsiaTheme="minorEastAsia"/>
                <w:sz w:val="21"/>
                <w:szCs w:val="21"/>
              </w:rPr>
              <w:t>11000</w:t>
            </w:r>
            <w:r>
              <w:rPr>
                <w:rFonts w:ascii="Times New Roman" w:hAnsi="Times New Roman" w:eastAsiaTheme="minorEastAsia"/>
                <w:sz w:val="21"/>
                <w:szCs w:val="21"/>
              </w:rPr>
              <w:t>t，相当于矿井</w:t>
            </w:r>
            <w:r>
              <w:rPr>
                <w:rFonts w:hint="eastAsia" w:ascii="Times New Roman" w:hAnsi="Times New Roman" w:eastAsiaTheme="minorEastAsia"/>
                <w:sz w:val="21"/>
                <w:szCs w:val="21"/>
              </w:rPr>
              <w:t>3</w:t>
            </w:r>
            <w:r>
              <w:rPr>
                <w:rFonts w:ascii="Times New Roman" w:hAnsi="Times New Roman" w:eastAsiaTheme="minorEastAsia"/>
                <w:sz w:val="21"/>
                <w:szCs w:val="21"/>
              </w:rPr>
              <w:t>天的产量，</w:t>
            </w:r>
            <w:r>
              <w:rPr>
                <w:rFonts w:hint="eastAsia" w:ascii="Times New Roman" w:hAnsi="Times New Roman" w:eastAsiaTheme="minorEastAsia"/>
                <w:sz w:val="21"/>
                <w:szCs w:val="21"/>
              </w:rPr>
              <w:t>无措施。</w:t>
            </w:r>
          </w:p>
        </w:tc>
        <w:tc>
          <w:tcPr>
            <w:tcW w:w="1252" w:type="pct"/>
            <w:tcBorders>
              <w:top w:val="single" w:color="auto" w:sz="4" w:space="0"/>
              <w:bottom w:val="single" w:color="auto" w:sz="4" w:space="0"/>
              <w:right w:val="single" w:color="auto" w:sz="4" w:space="0"/>
            </w:tcBorders>
            <w:vAlign w:val="center"/>
          </w:tcPr>
          <w:p>
            <w:pPr>
              <w:jc w:val="center"/>
              <w:rPr>
                <w:rFonts w:eastAsiaTheme="minorEastAsia"/>
                <w:szCs w:val="21"/>
              </w:rPr>
            </w:pPr>
            <w:r>
              <w:rPr>
                <w:rFonts w:hint="eastAsia" w:eastAsiaTheme="minorEastAsia"/>
                <w:szCs w:val="21"/>
              </w:rPr>
              <w:t>储煤场</w:t>
            </w:r>
            <w:r>
              <w:rPr>
                <w:rFonts w:eastAsiaTheme="minorEastAsia"/>
                <w:szCs w:val="21"/>
              </w:rPr>
              <w:t>基础压实，</w:t>
            </w:r>
            <w:r>
              <w:rPr>
                <w:rFonts w:hint="eastAsia" w:eastAsiaTheme="minorEastAsia"/>
                <w:szCs w:val="21"/>
              </w:rPr>
              <w:t>采用混凝土进行防渗处理</w:t>
            </w:r>
            <w:r>
              <w:rPr>
                <w:rFonts w:eastAsiaTheme="minorEastAsia"/>
                <w:szCs w:val="21"/>
              </w:rPr>
              <w:t>，储煤场四周设2m高钢筋混凝土挡煤墙。主体结构采用双层网壳钢结构，棚顶高度13米~19.4m，煤场四面全封闭。储煤场</w:t>
            </w:r>
            <w:r>
              <w:rPr>
                <w:rFonts w:hint="eastAsia" w:eastAsiaTheme="minorEastAsia"/>
                <w:szCs w:val="21"/>
              </w:rPr>
              <w:t>内</w:t>
            </w:r>
            <w:r>
              <w:rPr>
                <w:rFonts w:eastAsiaTheme="minorEastAsia"/>
                <w:szCs w:val="21"/>
              </w:rPr>
              <w:t>设置</w:t>
            </w:r>
            <w:r>
              <w:rPr>
                <w:rFonts w:hint="eastAsia" w:eastAsiaTheme="minorEastAsia"/>
                <w:szCs w:val="21"/>
              </w:rPr>
              <w:t>了两台雾炮机，</w:t>
            </w:r>
            <w:r>
              <w:rPr>
                <w:rFonts w:eastAsiaTheme="minorEastAsia"/>
                <w:szCs w:val="21"/>
              </w:rPr>
              <w:t>每日定期洒水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根据实际建设调整</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eastAsiaTheme="minorEastAsia"/>
                <w:szCs w:val="21"/>
              </w:rPr>
              <w:t>依托已收购的龙宇洗煤厂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破碎、</w:t>
            </w:r>
            <w:r>
              <w:rPr>
                <w:rFonts w:ascii="Times New Roman" w:hAnsi="Times New Roman" w:cs="Times New Roman"/>
                <w:szCs w:val="21"/>
              </w:rPr>
              <w:t>筛分粉尘</w:t>
            </w:r>
          </w:p>
        </w:tc>
        <w:tc>
          <w:tcPr>
            <w:tcW w:w="1497" w:type="pct"/>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集尘罩+布袋除尘器</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破碎、筛分粉尘采用布袋除尘器除尘，除尘效率99%，过滤面积250m</w:t>
            </w:r>
            <w:r>
              <w:rPr>
                <w:rFonts w:hint="eastAsia" w:ascii="Times New Roman" w:hAnsi="Times New Roman" w:cs="Times New Roman"/>
                <w:szCs w:val="21"/>
                <w:vertAlign w:val="superscript"/>
              </w:rPr>
              <w:t>2</w:t>
            </w:r>
            <w:r>
              <w:rPr>
                <w:rFonts w:hint="eastAsia" w:ascii="Times New Roman" w:hAnsi="Times New Roman" w:cs="Times New Roman"/>
                <w:szCs w:val="21"/>
              </w:rPr>
              <w:t>，过滤风速1.2m</w:t>
            </w:r>
            <w:r>
              <w:rPr>
                <w:rFonts w:hint="eastAsia" w:ascii="Times New Roman" w:hAnsi="Times New Roman" w:cs="Times New Roman"/>
                <w:szCs w:val="21"/>
                <w:vertAlign w:val="superscript"/>
              </w:rPr>
              <w:t>3</w:t>
            </w:r>
            <w:r>
              <w:rPr>
                <w:rFonts w:hint="eastAsia" w:ascii="Times New Roman" w:hAnsi="Times New Roman" w:cs="Times New Roman"/>
                <w:szCs w:val="21"/>
              </w:rPr>
              <w:t>/s</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依托龙宇洗煤厂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bottom w:val="single" w:color="auto" w:sz="4" w:space="0"/>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道路扬尘</w:t>
            </w:r>
          </w:p>
        </w:tc>
        <w:tc>
          <w:tcPr>
            <w:tcW w:w="1497" w:type="pct"/>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道路洒水，厢式汽车运输、严禁超载</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8"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restart"/>
            <w:tcBorders>
              <w:top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废水</w:t>
            </w: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矿井水</w:t>
            </w:r>
          </w:p>
        </w:tc>
        <w:tc>
          <w:tcPr>
            <w:tcW w:w="1497" w:type="pct"/>
            <w:tcBorders>
              <w:top w:val="single" w:color="auto" w:sz="4" w:space="0"/>
              <w:bottom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台J-</w:t>
            </w:r>
            <w:r>
              <w:rPr>
                <w:rFonts w:hint="eastAsia" w:ascii="Times New Roman" w:hAnsi="Times New Roman" w:cs="Times New Roman"/>
                <w:szCs w:val="21"/>
              </w:rPr>
              <w:t>30</w:t>
            </w:r>
            <w:r>
              <w:rPr>
                <w:rFonts w:ascii="Times New Roman" w:hAnsi="Times New Roman" w:cs="Times New Roman"/>
                <w:szCs w:val="21"/>
              </w:rPr>
              <w:t>型全自动高效一体化净水器，单台处理能力为</w:t>
            </w:r>
            <w:r>
              <w:rPr>
                <w:rFonts w:hint="eastAsia" w:ascii="Times New Roman" w:hAnsi="Times New Roman" w:cs="Times New Roman"/>
                <w:szCs w:val="21"/>
              </w:rPr>
              <w:t>30</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/h，采用调节、混凝、沉淀、过滤、消毒等工艺对矿井水处理</w:t>
            </w:r>
          </w:p>
        </w:tc>
        <w:tc>
          <w:tcPr>
            <w:tcW w:w="1252" w:type="pct"/>
            <w:tcBorders>
              <w:top w:val="single" w:color="auto" w:sz="4" w:space="0"/>
              <w:bottom w:val="single" w:color="auto" w:sz="4" w:space="0"/>
              <w:right w:val="single" w:color="auto" w:sz="4" w:space="0"/>
            </w:tcBorders>
            <w:vAlign w:val="center"/>
          </w:tcPr>
          <w:p>
            <w:pPr>
              <w:pStyle w:val="39"/>
              <w:spacing w:line="240" w:lineRule="auto"/>
              <w:ind w:firstLine="0" w:firstLineChars="0"/>
              <w:jc w:val="center"/>
              <w:rPr>
                <w:rFonts w:ascii="Times New Roman" w:hAnsi="Times New Roman"/>
                <w:sz w:val="21"/>
                <w:szCs w:val="21"/>
              </w:rPr>
            </w:pPr>
            <w:r>
              <w:rPr>
                <w:rFonts w:ascii="Times New Roman" w:hAnsi="Times New Roman"/>
                <w:bCs/>
                <w:sz w:val="21"/>
                <w:szCs w:val="21"/>
              </w:rPr>
              <w:t>本项目配套建设一座污水处理站，</w:t>
            </w:r>
            <w:r>
              <w:rPr>
                <w:rFonts w:hint="eastAsia" w:ascii="Times New Roman" w:hAnsi="Times New Roman"/>
                <w:bCs/>
                <w:sz w:val="21"/>
                <w:szCs w:val="21"/>
              </w:rPr>
              <w:t>设计处理规模分别为6120m</w:t>
            </w:r>
            <w:r>
              <w:rPr>
                <w:rFonts w:hint="eastAsia" w:ascii="Times New Roman" w:hAnsi="Times New Roman"/>
                <w:bCs/>
                <w:sz w:val="21"/>
                <w:szCs w:val="21"/>
                <w:vertAlign w:val="superscript"/>
              </w:rPr>
              <w:t>3</w:t>
            </w:r>
            <w:r>
              <w:rPr>
                <w:rFonts w:hint="eastAsia" w:ascii="Times New Roman" w:hAnsi="Times New Roman"/>
                <w:bCs/>
                <w:sz w:val="21"/>
                <w:szCs w:val="21"/>
              </w:rPr>
              <w:t>/d，</w:t>
            </w:r>
            <w:r>
              <w:rPr>
                <w:rFonts w:ascii="Times New Roman" w:hAnsi="Times New Roman"/>
                <w:bCs/>
                <w:sz w:val="21"/>
                <w:szCs w:val="21"/>
              </w:rPr>
              <w:t>采用调节→混凝→沉淀→过滤→消毒的处理工艺，矿井水经处理后达到《煤矿井下消防、洒水设计规范》（GB50383-2016）标准，</w:t>
            </w:r>
            <w:r>
              <w:rPr>
                <w:rFonts w:hint="eastAsia" w:ascii="Times New Roman" w:hAnsi="Times New Roman"/>
                <w:bCs/>
                <w:sz w:val="21"/>
                <w:szCs w:val="21"/>
              </w:rPr>
              <w:t>全部</w:t>
            </w:r>
            <w:r>
              <w:rPr>
                <w:rFonts w:ascii="Times New Roman" w:hAnsi="Times New Roman"/>
                <w:bCs/>
                <w:sz w:val="21"/>
                <w:szCs w:val="21"/>
              </w:rPr>
              <w:t>回用于井下洒水</w:t>
            </w:r>
            <w:r>
              <w:rPr>
                <w:rFonts w:hint="eastAsia" w:ascii="Times New Roman" w:hAnsi="Times New Roman"/>
                <w:bCs/>
                <w:sz w:val="21"/>
                <w:szCs w:val="21"/>
              </w:rPr>
              <w:t>、</w:t>
            </w:r>
            <w:r>
              <w:rPr>
                <w:rFonts w:ascii="Times New Roman" w:hAnsi="Times New Roman"/>
                <w:bCs/>
                <w:sz w:val="21"/>
                <w:szCs w:val="21"/>
              </w:rPr>
              <w:t>洗车平台</w:t>
            </w:r>
            <w:r>
              <w:rPr>
                <w:rFonts w:hint="eastAsia" w:ascii="Times New Roman" w:hAnsi="Times New Roman"/>
                <w:bCs/>
                <w:sz w:val="21"/>
                <w:szCs w:val="21"/>
              </w:rPr>
              <w:t>几锅炉补充用水</w:t>
            </w:r>
            <w:r>
              <w:rPr>
                <w:rFonts w:ascii="Times New Roman" w:hAnsi="Times New Roman"/>
                <w:bCs/>
                <w:sz w:val="21"/>
                <w:szCs w:val="21"/>
              </w:rPr>
              <w:t>，</w:t>
            </w:r>
            <w:r>
              <w:rPr>
                <w:rFonts w:hint="eastAsia" w:ascii="Times New Roman" w:hAnsi="Times New Roman"/>
                <w:bCs/>
                <w:sz w:val="21"/>
                <w:szCs w:val="21"/>
              </w:rPr>
              <w:t>不外排。</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满足现行的环保要求</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生活污水</w:t>
            </w:r>
          </w:p>
        </w:tc>
        <w:tc>
          <w:tcPr>
            <w:tcW w:w="1497" w:type="pct"/>
            <w:tcBorders>
              <w:top w:val="single" w:color="auto" w:sz="4" w:space="0"/>
              <w:bottom w:val="single" w:color="auto" w:sz="4" w:space="0"/>
            </w:tcBorders>
            <w:vAlign w:val="center"/>
          </w:tcPr>
          <w:p>
            <w:pPr>
              <w:pStyle w:val="90"/>
              <w:rPr>
                <w:b/>
                <w:szCs w:val="21"/>
              </w:rPr>
            </w:pPr>
            <w:r>
              <w:rPr>
                <w:rFonts w:ascii="Times New Roman" w:hAnsi="Times New Roman" w:eastAsia="宋体" w:cs="Times New Roman"/>
                <w:szCs w:val="21"/>
              </w:rPr>
              <w:t>采用WSZ-1</w:t>
            </w:r>
            <w:r>
              <w:rPr>
                <w:rFonts w:hint="eastAsia" w:ascii="Times New Roman" w:hAnsi="Times New Roman" w:eastAsia="宋体" w:cs="Times New Roman"/>
                <w:szCs w:val="21"/>
              </w:rPr>
              <w:t>5</w:t>
            </w:r>
            <w:r>
              <w:rPr>
                <w:rFonts w:ascii="Times New Roman" w:hAnsi="Times New Roman" w:eastAsia="宋体" w:cs="Times New Roman"/>
                <w:szCs w:val="21"/>
              </w:rPr>
              <w:t>F型地埋式生活污水处理装置处理，处理能力为1</w:t>
            </w:r>
            <w:r>
              <w:rPr>
                <w:rFonts w:hint="eastAsia" w:ascii="Times New Roman" w:hAnsi="Times New Roman" w:eastAsia="宋体" w:cs="Times New Roman"/>
                <w:szCs w:val="21"/>
              </w:rPr>
              <w:t>5</w:t>
            </w:r>
            <w:r>
              <w:rPr>
                <w:rFonts w:ascii="Times New Roman" w:hAnsi="Times New Roman" w:eastAsia="宋体" w:cs="Times New Roman"/>
                <w:szCs w:val="21"/>
              </w:rPr>
              <w:t>m</w:t>
            </w:r>
            <w:r>
              <w:rPr>
                <w:rFonts w:ascii="Times New Roman" w:hAnsi="Times New Roman" w:eastAsia="宋体" w:cs="Times New Roman"/>
                <w:szCs w:val="21"/>
                <w:vertAlign w:val="superscript"/>
              </w:rPr>
              <w:t>3</w:t>
            </w:r>
            <w:r>
              <w:rPr>
                <w:rFonts w:ascii="Times New Roman" w:hAnsi="Times New Roman" w:eastAsia="宋体" w:cs="Times New Roman"/>
                <w:szCs w:val="21"/>
              </w:rPr>
              <w:t>/h，</w:t>
            </w:r>
            <w:r>
              <w:rPr>
                <w:szCs w:val="21"/>
              </w:rPr>
              <w:t>采用生物膜法：缺氧----好氧(A/</w:t>
            </w:r>
            <w:r>
              <w:rPr>
                <w:rFonts w:hint="eastAsia"/>
                <w:szCs w:val="21"/>
              </w:rPr>
              <w:t>O</w:t>
            </w:r>
            <w:r>
              <w:rPr>
                <w:szCs w:val="21"/>
              </w:rPr>
              <w:t>)</w:t>
            </w:r>
            <w:r>
              <w:rPr>
                <w:rFonts w:hint="eastAsia"/>
                <w:szCs w:val="21"/>
              </w:rPr>
              <w:t>+活性炭吸附</w:t>
            </w:r>
            <w:r>
              <w:rPr>
                <w:szCs w:val="21"/>
              </w:rPr>
              <w:t>处理工艺。</w:t>
            </w:r>
          </w:p>
        </w:tc>
        <w:tc>
          <w:tcPr>
            <w:tcW w:w="1252" w:type="pct"/>
            <w:tcBorders>
              <w:top w:val="single" w:color="auto" w:sz="4" w:space="0"/>
              <w:bottom w:val="single" w:color="auto" w:sz="4" w:space="0"/>
              <w:right w:val="single" w:color="auto" w:sz="4" w:space="0"/>
            </w:tcBorders>
            <w:vAlign w:val="center"/>
          </w:tcPr>
          <w:p>
            <w:pPr>
              <w:pStyle w:val="39"/>
              <w:spacing w:line="240" w:lineRule="auto"/>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与原环评一致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满足现行的环保要求</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已建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车辆清洗废水</w:t>
            </w:r>
          </w:p>
        </w:tc>
        <w:tc>
          <w:tcPr>
            <w:tcW w:w="1497" w:type="pct"/>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工业场地大门口配套</w:t>
            </w:r>
            <w:r>
              <w:rPr>
                <w:rFonts w:ascii="Times New Roman" w:hAnsi="Times New Roman" w:cs="Times New Roman"/>
                <w:szCs w:val="21"/>
              </w:rPr>
              <w:t>设置一套洗车</w:t>
            </w:r>
            <w:r>
              <w:rPr>
                <w:rFonts w:hint="eastAsia" w:ascii="Times New Roman" w:hAnsi="Times New Roman" w:cs="Times New Roman"/>
                <w:szCs w:val="21"/>
              </w:rPr>
              <w:t>平台</w:t>
            </w:r>
            <w:r>
              <w:rPr>
                <w:rFonts w:ascii="Times New Roman" w:hAnsi="Times New Roman" w:cs="Times New Roman"/>
                <w:szCs w:val="21"/>
              </w:rPr>
              <w:t>，设沉淀池和清水池</w:t>
            </w:r>
            <w:r>
              <w:rPr>
                <w:rFonts w:hint="eastAsia" w:ascii="Times New Roman" w:hAnsi="Times New Roman" w:cs="Times New Roman"/>
                <w:szCs w:val="21"/>
              </w:rPr>
              <w:t>各一个</w:t>
            </w:r>
            <w:r>
              <w:rPr>
                <w:rFonts w:ascii="Times New Roman" w:hAnsi="Times New Roman" w:cs="Times New Roman"/>
                <w:szCs w:val="21"/>
              </w:rPr>
              <w:t>，用于喷洗车辆，废水经沉淀后、清水进入清水池，循环利用，不外排</w:t>
            </w:r>
            <w:r>
              <w:rPr>
                <w:rFonts w:hint="eastAsia" w:ascii="Times New Roman" w:hAnsi="Times New Roman" w:cs="Times New Roman"/>
                <w:szCs w:val="21"/>
              </w:rPr>
              <w:t>，沉淀池和清水池的容积均为15m</w:t>
            </w:r>
            <w:r>
              <w:rPr>
                <w:rFonts w:hint="eastAsia" w:ascii="Times New Roman" w:hAnsi="Times New Roman" w:cs="Times New Roman"/>
                <w:szCs w:val="21"/>
                <w:vertAlign w:val="superscript"/>
              </w:rPr>
              <w:t>3</w:t>
            </w:r>
            <w:r>
              <w:rPr>
                <w:rFonts w:hint="eastAsia" w:ascii="Times New Roman" w:hAnsi="Times New Roman" w:cs="Times New Roman"/>
                <w:szCs w:val="21"/>
              </w:rPr>
              <w:t>。洗车平台装160个喷头，长6米，宽4米，高1.1米，冬季有彩钢瓦房加门帘保暖。</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满足现行的环保要求</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bottom w:val="single" w:color="auto" w:sz="4" w:space="0"/>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初期雨水</w:t>
            </w:r>
          </w:p>
        </w:tc>
        <w:tc>
          <w:tcPr>
            <w:tcW w:w="1497" w:type="pct"/>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cs="Times New Roman" w:hAnsiTheme="minorEastAsia"/>
                <w:szCs w:val="21"/>
              </w:rPr>
              <w:t>工业场地中部偏东侧设一座</w:t>
            </w:r>
            <w:r>
              <w:rPr>
                <w:rFonts w:ascii="Times New Roman" w:hAnsi="Times New Roman" w:cs="Times New Roman"/>
                <w:szCs w:val="21"/>
              </w:rPr>
              <w:t>500m</w:t>
            </w:r>
            <w:r>
              <w:rPr>
                <w:rFonts w:ascii="Times New Roman" w:hAnsi="Times New Roman" w:cs="Times New Roman"/>
                <w:szCs w:val="21"/>
                <w:vertAlign w:val="superscript"/>
              </w:rPr>
              <w:t>3</w:t>
            </w:r>
            <w:r>
              <w:rPr>
                <w:rFonts w:ascii="Times New Roman" w:cs="Times New Roman" w:hAnsiTheme="minorEastAsia"/>
                <w:szCs w:val="21"/>
              </w:rPr>
              <w:t>的初期雨水收集池。</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噪声</w:t>
            </w: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各类噪声</w:t>
            </w:r>
          </w:p>
        </w:tc>
        <w:tc>
          <w:tcPr>
            <w:tcW w:w="1497" w:type="pct"/>
            <w:tcBorders>
              <w:top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选用低噪设备、隔声、减振、安装消音器。</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restart"/>
            <w:tcBorders>
              <w:top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固废</w:t>
            </w: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矸石</w:t>
            </w:r>
          </w:p>
        </w:tc>
        <w:tc>
          <w:tcPr>
            <w:tcW w:w="1497" w:type="pct"/>
            <w:tcBorders>
              <w:top w:val="single" w:color="auto" w:sz="4" w:space="0"/>
              <w:bottom w:val="single" w:color="auto" w:sz="4" w:space="0"/>
            </w:tcBorders>
            <w:vAlign w:val="center"/>
          </w:tcPr>
          <w:p>
            <w:pPr>
              <w:pStyle w:val="90"/>
              <w:rPr>
                <w:rFonts w:ascii="Times New Roman" w:hAnsi="Times New Roman" w:cs="Times New Roman"/>
                <w:bCs/>
                <w:szCs w:val="21"/>
              </w:rPr>
            </w:pPr>
            <w:r>
              <w:rPr>
                <w:rFonts w:ascii="Times New Roman" w:hAnsi="Times New Roman" w:cs="Times New Roman"/>
                <w:bCs/>
                <w:szCs w:val="21"/>
              </w:rPr>
              <w:t>场内设矸石临时堆场，集中后运至矸石场合理处置，矸石沟底要填土夯实防渗</w:t>
            </w:r>
          </w:p>
        </w:tc>
        <w:tc>
          <w:tcPr>
            <w:tcW w:w="1252" w:type="pct"/>
            <w:tcBorders>
              <w:top w:val="single" w:color="auto" w:sz="4" w:space="0"/>
              <w:bottom w:val="single" w:color="auto" w:sz="4" w:space="0"/>
              <w:right w:val="single" w:color="auto" w:sz="4" w:space="0"/>
            </w:tcBorders>
            <w:vAlign w:val="center"/>
          </w:tcPr>
          <w:p>
            <w:pPr>
              <w:pStyle w:val="90"/>
              <w:rPr>
                <w:szCs w:val="21"/>
              </w:rPr>
            </w:pPr>
            <w:r>
              <w:rPr>
                <w:rFonts w:hint="eastAsia"/>
                <w:szCs w:val="21"/>
              </w:rPr>
              <w:t>产生的煤矸石全部送往山西华光发电有限责任公司综合利用，综合利用不畅的情况下，临时</w:t>
            </w:r>
            <w:r>
              <w:rPr>
                <w:szCs w:val="21"/>
              </w:rPr>
              <w:t>运至</w:t>
            </w:r>
            <w:r>
              <w:rPr>
                <w:rFonts w:hint="eastAsia"/>
                <w:szCs w:val="21"/>
              </w:rPr>
              <w:t>原环评批复的临时矸石堆场填埋处理</w:t>
            </w:r>
            <w:r>
              <w:rPr>
                <w:szCs w:val="21"/>
              </w:rPr>
              <w:t>。</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top w:val="single" w:color="auto" w:sz="4" w:space="0"/>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煤泥和污泥</w:t>
            </w:r>
          </w:p>
        </w:tc>
        <w:tc>
          <w:tcPr>
            <w:tcW w:w="1497" w:type="pct"/>
            <w:tcBorders>
              <w:top w:val="single" w:color="auto" w:sz="4" w:space="0"/>
              <w:bottom w:val="single" w:color="auto" w:sz="4" w:space="0"/>
            </w:tcBorders>
            <w:vAlign w:val="center"/>
          </w:tcPr>
          <w:p>
            <w:pPr>
              <w:pStyle w:val="90"/>
              <w:rPr>
                <w:rFonts w:ascii="Times New Roman" w:hAnsi="Times New Roman" w:cs="Times New Roman"/>
                <w:bCs/>
                <w:szCs w:val="21"/>
                <w:highlight w:val="yellow"/>
              </w:rPr>
            </w:pPr>
            <w:r>
              <w:rPr>
                <w:rFonts w:hint="eastAsia" w:ascii="Times New Roman" w:hAnsi="Times New Roman" w:cs="Times New Roman"/>
                <w:bCs/>
                <w:szCs w:val="21"/>
              </w:rPr>
              <w:t>晾干后与原煤一起销售</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highlight w:val="yellow"/>
              </w:rPr>
            </w:pPr>
            <w:r>
              <w:rPr>
                <w:rFonts w:hint="eastAsia" w:ascii="Times New Roman" w:hAnsi="Times New Roman" w:cs="Times New Roman"/>
                <w:szCs w:val="21"/>
              </w:rPr>
              <w:t>同原环评，无变更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炉渣、</w:t>
            </w:r>
          </w:p>
          <w:p>
            <w:pPr>
              <w:pStyle w:val="90"/>
              <w:rPr>
                <w:rFonts w:ascii="Times New Roman" w:hAnsi="Times New Roman" w:cs="Times New Roman"/>
                <w:szCs w:val="21"/>
              </w:rPr>
            </w:pPr>
            <w:r>
              <w:rPr>
                <w:rFonts w:ascii="Times New Roman" w:hAnsi="Times New Roman" w:cs="Times New Roman"/>
                <w:szCs w:val="21"/>
              </w:rPr>
              <w:t>脱硫渣</w:t>
            </w:r>
          </w:p>
        </w:tc>
        <w:tc>
          <w:tcPr>
            <w:tcW w:w="1497" w:type="pct"/>
            <w:tcBorders>
              <w:top w:val="single" w:color="auto" w:sz="4" w:space="0"/>
              <w:bottom w:val="single" w:color="auto" w:sz="4" w:space="0"/>
            </w:tcBorders>
            <w:vAlign w:val="center"/>
          </w:tcPr>
          <w:p>
            <w:pPr>
              <w:jc w:val="center"/>
              <w:rPr>
                <w:rFonts w:eastAsiaTheme="minorEastAsia"/>
                <w:bCs/>
                <w:szCs w:val="21"/>
                <w:highlight w:val="yellow"/>
              </w:rPr>
            </w:pPr>
            <w:r>
              <w:rPr>
                <w:rFonts w:eastAsiaTheme="minorEastAsia"/>
                <w:bCs/>
                <w:szCs w:val="21"/>
              </w:rPr>
              <w:t>炉渣暂存场地面硬化，周围建围墙；部分综合利用，剩余清运至矸石场处置，脱硫渣矸石场单独填埋</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highlight w:val="yellow"/>
              </w:rPr>
            </w:pPr>
            <w:r>
              <w:rPr>
                <w:rFonts w:ascii="Times New Roman" w:hAnsi="Times New Roman" w:cs="Times New Roman"/>
                <w:szCs w:val="21"/>
              </w:rPr>
              <w:t>使用燃气锅炉，天然气为清洁能源，没有炉渣及脱硫产生的脱硫渣</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生活垃圾</w:t>
            </w:r>
          </w:p>
        </w:tc>
        <w:tc>
          <w:tcPr>
            <w:tcW w:w="1497" w:type="pct"/>
            <w:tcBorders>
              <w:top w:val="single" w:color="auto" w:sz="4" w:space="0"/>
              <w:bottom w:val="single" w:color="auto" w:sz="4" w:space="0"/>
            </w:tcBorders>
            <w:vAlign w:val="center"/>
          </w:tcPr>
          <w:p>
            <w:pPr>
              <w:jc w:val="center"/>
              <w:rPr>
                <w:rFonts w:eastAsiaTheme="minorEastAsia"/>
                <w:bCs/>
                <w:szCs w:val="21"/>
              </w:rPr>
            </w:pPr>
            <w:r>
              <w:rPr>
                <w:rFonts w:eastAsiaTheme="minorEastAsia"/>
                <w:bCs/>
                <w:szCs w:val="21"/>
              </w:rPr>
              <w:t>设置了垃圾箱，当地环卫部门集中处理</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bottom w:val="single" w:color="auto" w:sz="4" w:space="0"/>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废机油等危险废物</w:t>
            </w:r>
          </w:p>
        </w:tc>
        <w:tc>
          <w:tcPr>
            <w:tcW w:w="1497" w:type="pct"/>
            <w:tcBorders>
              <w:top w:val="single" w:color="auto" w:sz="4" w:space="0"/>
              <w:bottom w:val="single" w:color="auto" w:sz="4" w:space="0"/>
            </w:tcBorders>
            <w:vAlign w:val="center"/>
          </w:tcPr>
          <w:p>
            <w:pPr>
              <w:jc w:val="center"/>
              <w:rPr>
                <w:rFonts w:eastAsiaTheme="minorEastAsia"/>
                <w:bCs/>
                <w:szCs w:val="21"/>
              </w:rPr>
            </w:pPr>
            <w:r>
              <w:rPr>
                <w:szCs w:val="21"/>
              </w:rPr>
              <w:t>—</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废机油等危险废物收集暂存于危废暂存间，委托有资质单位进行专业处置。危废暂存间</w:t>
            </w:r>
            <w:r>
              <w:rPr>
                <w:rFonts w:hint="eastAsia" w:ascii="宋体" w:hAnsi="宋体" w:eastAsia="宋体" w:cs="宋体"/>
                <w:kern w:val="0"/>
                <w:szCs w:val="21"/>
                <w:shd w:val="clear" w:color="auto" w:fill="FFFFFF"/>
              </w:rPr>
              <w:t>地面与裙脚要用坚固、防渗的材料建造，建筑材料必须与危险废物相容。必须有泄漏液体收集装置、气体导出口及气体净化装置。设施内要有安全照明设施和观察窗口。用以存放装载液体、半固体危险废物容器的地方，必须有耐腐蚀的硬化地面，且表面无裂隙。应设计堵截泄漏的裙脚，地面与裙脚所围建的容积不低于堵截最大容器的最大储量或总储量的五分之一。不相容的危险废物必须分开存放，并设有隔离间隔断。</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满足现行的环保要求</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restart"/>
            <w:tcBorders>
              <w:top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生态</w:t>
            </w:r>
          </w:p>
        </w:tc>
        <w:tc>
          <w:tcPr>
            <w:tcW w:w="314" w:type="pct"/>
            <w:tcBorders>
              <w:top w:val="single" w:color="auto" w:sz="4" w:space="0"/>
              <w:left w:val="single" w:color="auto" w:sz="4" w:space="0"/>
              <w:bottom w:val="single" w:color="auto" w:sz="4" w:space="0"/>
            </w:tcBorders>
            <w:vAlign w:val="center"/>
          </w:tcPr>
          <w:p>
            <w:pPr>
              <w:pStyle w:val="90"/>
              <w:rPr>
                <w:rFonts w:ascii="Times New Roman" w:hAnsi="Times New Roman" w:cs="Times New Roman"/>
                <w:szCs w:val="21"/>
              </w:rPr>
            </w:pPr>
            <w:r>
              <w:rPr>
                <w:rFonts w:hAnsiTheme="minorEastAsia"/>
                <w:szCs w:val="21"/>
              </w:rPr>
              <w:t>工业场地、风井场地</w:t>
            </w:r>
          </w:p>
        </w:tc>
        <w:tc>
          <w:tcPr>
            <w:tcW w:w="1497" w:type="pct"/>
            <w:tcBorders>
              <w:top w:val="single" w:color="auto" w:sz="4" w:space="0"/>
              <w:bottom w:val="single" w:color="auto" w:sz="4" w:space="0"/>
            </w:tcBorders>
            <w:vAlign w:val="center"/>
          </w:tcPr>
          <w:p>
            <w:pPr>
              <w:pStyle w:val="90"/>
              <w:rPr>
                <w:rFonts w:ascii="Times New Roman" w:hAnsi="Times New Roman" w:cs="Times New Roman"/>
                <w:bCs/>
                <w:szCs w:val="21"/>
              </w:rPr>
            </w:pPr>
            <w:r>
              <w:rPr>
                <w:rFonts w:ascii="Times New Roman" w:hAnsi="Times New Roman" w:cs="Times New Roman"/>
                <w:bCs/>
                <w:szCs w:val="21"/>
              </w:rPr>
              <w:t>工业场地、道路两边进行绿化，进行水土保持、土地复垦和生态恢复重建措施</w:t>
            </w:r>
          </w:p>
        </w:tc>
        <w:tc>
          <w:tcPr>
            <w:tcW w:w="1252" w:type="pct"/>
            <w:tcBorders>
              <w:top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bottom w:val="single" w:color="auto" w:sz="4" w:space="0"/>
              <w:right w:val="single" w:color="auto" w:sz="4" w:space="0"/>
            </w:tcBorders>
            <w:vAlign w:val="center"/>
          </w:tcPr>
          <w:p>
            <w:pPr>
              <w:pStyle w:val="90"/>
              <w:rPr>
                <w:rFonts w:ascii="Times New Roman" w:hAnsi="Times New Roman" w:cs="Times New Roman"/>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top w:val="single" w:color="auto" w:sz="4" w:space="0"/>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hAnsiTheme="minorEastAsia"/>
                <w:szCs w:val="21"/>
              </w:rPr>
            </w:pPr>
            <w:r>
              <w:rPr>
                <w:rFonts w:hint="eastAsia" w:hAnsiTheme="minorEastAsia"/>
                <w:szCs w:val="21"/>
              </w:rPr>
              <w:t>排矸场</w:t>
            </w:r>
          </w:p>
        </w:tc>
        <w:tc>
          <w:tcPr>
            <w:tcW w:w="1497" w:type="pct"/>
            <w:tcBorders>
              <w:top w:val="single" w:color="auto" w:sz="4" w:space="0"/>
              <w:bottom w:val="single" w:color="auto" w:sz="4" w:space="0"/>
            </w:tcBorders>
            <w:vAlign w:val="center"/>
          </w:tcPr>
          <w:p>
            <w:pPr>
              <w:pStyle w:val="90"/>
              <w:rPr>
                <w:rFonts w:ascii="Times New Roman" w:hAnsi="Times New Roman" w:cs="Times New Roman"/>
                <w:bCs/>
                <w:szCs w:val="21"/>
              </w:rPr>
            </w:pPr>
            <w:r>
              <w:rPr>
                <w:rFonts w:hint="eastAsia" w:ascii="Times New Roman" w:hAnsi="Times New Roman" w:cs="Times New Roman"/>
                <w:bCs/>
                <w:szCs w:val="21"/>
              </w:rPr>
              <w:t>表面覆土，植被恢复</w:t>
            </w:r>
          </w:p>
        </w:tc>
        <w:tc>
          <w:tcPr>
            <w:tcW w:w="1252" w:type="pct"/>
            <w:tcBorders>
              <w:top w:val="single" w:color="auto" w:sz="4" w:space="0"/>
              <w:bottom w:val="single" w:color="auto" w:sz="4" w:space="0"/>
              <w:right w:val="single" w:color="auto" w:sz="4" w:space="0"/>
            </w:tcBorders>
          </w:tcPr>
          <w:p>
            <w:pPr>
              <w:jc w:val="center"/>
            </w:pPr>
            <w:r>
              <w:rPr>
                <w:szCs w:val="21"/>
              </w:rPr>
              <w:t>与原环评一致</w:t>
            </w:r>
          </w:p>
        </w:tc>
        <w:tc>
          <w:tcPr>
            <w:tcW w:w="693" w:type="pct"/>
            <w:tcBorders>
              <w:top w:val="single" w:color="auto" w:sz="4" w:space="0"/>
              <w:left w:val="single" w:color="auto" w:sz="4" w:space="0"/>
              <w:bottom w:val="single" w:color="auto" w:sz="4" w:space="0"/>
              <w:right w:val="single" w:color="auto" w:sz="4" w:space="0"/>
            </w:tcBorders>
          </w:tcPr>
          <w:p>
            <w:pPr>
              <w:jc w:val="center"/>
            </w:pPr>
            <w:r>
              <w:rPr>
                <w:szCs w:val="21"/>
              </w:rPr>
              <w:t>—</w:t>
            </w:r>
          </w:p>
        </w:tc>
        <w:tc>
          <w:tcPr>
            <w:tcW w:w="794" w:type="pct"/>
            <w:tcBorders>
              <w:top w:val="single" w:color="auto" w:sz="4" w:space="0"/>
              <w:left w:val="single" w:color="auto" w:sz="4" w:space="0"/>
              <w:bottom w:val="single" w:color="auto" w:sz="4" w:space="0"/>
              <w:right w:val="single" w:color="auto" w:sz="4" w:space="0"/>
            </w:tcBorders>
          </w:tcPr>
          <w:p>
            <w:pPr>
              <w:jc w:val="cente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top w:val="single" w:color="auto" w:sz="4" w:space="0"/>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bottom w:val="single" w:color="auto" w:sz="4" w:space="0"/>
            </w:tcBorders>
            <w:vAlign w:val="center"/>
          </w:tcPr>
          <w:p>
            <w:pPr>
              <w:pStyle w:val="90"/>
              <w:rPr>
                <w:rFonts w:hAnsiTheme="minorEastAsia"/>
                <w:szCs w:val="21"/>
              </w:rPr>
            </w:pPr>
            <w:r>
              <w:rPr>
                <w:rFonts w:hint="eastAsia" w:hAnsiTheme="minorEastAsia"/>
                <w:szCs w:val="21"/>
              </w:rPr>
              <w:t>取土场</w:t>
            </w:r>
          </w:p>
        </w:tc>
        <w:tc>
          <w:tcPr>
            <w:tcW w:w="1497" w:type="pct"/>
            <w:tcBorders>
              <w:top w:val="single" w:color="auto" w:sz="4" w:space="0"/>
              <w:bottom w:val="single" w:color="auto" w:sz="4" w:space="0"/>
            </w:tcBorders>
            <w:vAlign w:val="center"/>
          </w:tcPr>
          <w:p>
            <w:pPr>
              <w:pStyle w:val="90"/>
              <w:rPr>
                <w:rFonts w:ascii="Times New Roman" w:hAnsi="Times New Roman" w:cs="Times New Roman"/>
                <w:bCs/>
                <w:szCs w:val="21"/>
              </w:rPr>
            </w:pPr>
            <w:r>
              <w:rPr>
                <w:rFonts w:hint="eastAsia" w:ascii="Times New Roman" w:hAnsi="Times New Roman" w:cs="Times New Roman"/>
                <w:bCs/>
                <w:szCs w:val="21"/>
              </w:rPr>
              <w:t>表面剥离，植被恢复</w:t>
            </w:r>
          </w:p>
        </w:tc>
        <w:tc>
          <w:tcPr>
            <w:tcW w:w="1252" w:type="pct"/>
            <w:tcBorders>
              <w:top w:val="single" w:color="auto" w:sz="4" w:space="0"/>
              <w:bottom w:val="single" w:color="auto" w:sz="4" w:space="0"/>
              <w:right w:val="single" w:color="auto" w:sz="4" w:space="0"/>
            </w:tcBorders>
          </w:tcPr>
          <w:p>
            <w:pPr>
              <w:jc w:val="center"/>
            </w:pPr>
            <w:r>
              <w:rPr>
                <w:szCs w:val="21"/>
              </w:rPr>
              <w:t>与原环评一致</w:t>
            </w:r>
          </w:p>
        </w:tc>
        <w:tc>
          <w:tcPr>
            <w:tcW w:w="693" w:type="pct"/>
            <w:tcBorders>
              <w:top w:val="single" w:color="auto" w:sz="4" w:space="0"/>
              <w:left w:val="single" w:color="auto" w:sz="4" w:space="0"/>
              <w:bottom w:val="single" w:color="auto" w:sz="4" w:space="0"/>
              <w:right w:val="single" w:color="auto" w:sz="4" w:space="0"/>
            </w:tcBorders>
          </w:tcPr>
          <w:p>
            <w:pPr>
              <w:jc w:val="center"/>
            </w:pPr>
            <w:r>
              <w:rPr>
                <w:szCs w:val="21"/>
              </w:rPr>
              <w:t>—</w:t>
            </w:r>
          </w:p>
        </w:tc>
        <w:tc>
          <w:tcPr>
            <w:tcW w:w="794" w:type="pct"/>
            <w:tcBorders>
              <w:top w:val="single" w:color="auto" w:sz="4" w:space="0"/>
              <w:left w:val="single" w:color="auto" w:sz="4" w:space="0"/>
              <w:bottom w:val="single" w:color="auto" w:sz="4" w:space="0"/>
              <w:right w:val="single" w:color="auto" w:sz="4" w:space="0"/>
            </w:tcBorders>
          </w:tcPr>
          <w:p>
            <w:pPr>
              <w:jc w:val="cente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84" w:type="pct"/>
            <w:vMerge w:val="continue"/>
            <w:vAlign w:val="center"/>
          </w:tcPr>
          <w:p>
            <w:pPr>
              <w:pStyle w:val="90"/>
              <w:rPr>
                <w:rFonts w:ascii="Times New Roman" w:hAnsi="Times New Roman" w:cs="Times New Roman"/>
                <w:szCs w:val="21"/>
              </w:rPr>
            </w:pPr>
          </w:p>
        </w:tc>
        <w:tc>
          <w:tcPr>
            <w:tcW w:w="266" w:type="pct"/>
            <w:gridSpan w:val="2"/>
            <w:vMerge w:val="continue"/>
            <w:tcBorders>
              <w:right w:val="single" w:color="auto" w:sz="4" w:space="0"/>
            </w:tcBorders>
            <w:vAlign w:val="center"/>
          </w:tcPr>
          <w:p>
            <w:pPr>
              <w:pStyle w:val="90"/>
              <w:rPr>
                <w:rFonts w:ascii="Times New Roman" w:hAnsi="Times New Roman" w:cs="Times New Roman"/>
                <w:szCs w:val="21"/>
              </w:rPr>
            </w:pPr>
          </w:p>
        </w:tc>
        <w:tc>
          <w:tcPr>
            <w:tcW w:w="314" w:type="pct"/>
            <w:tcBorders>
              <w:top w:val="single" w:color="auto" w:sz="4" w:space="0"/>
              <w:left w:val="single" w:color="auto" w:sz="4" w:space="0"/>
            </w:tcBorders>
            <w:vAlign w:val="center"/>
          </w:tcPr>
          <w:p>
            <w:pPr>
              <w:pStyle w:val="90"/>
              <w:rPr>
                <w:rFonts w:ascii="Times New Roman" w:hAnsi="Times New Roman" w:cs="Times New Roman"/>
                <w:szCs w:val="21"/>
              </w:rPr>
            </w:pPr>
            <w:r>
              <w:rPr>
                <w:rFonts w:hint="eastAsia" w:ascii="Times New Roman" w:hAnsi="Times New Roman" w:cs="Times New Roman"/>
                <w:szCs w:val="21"/>
              </w:rPr>
              <w:t>地表塌陷</w:t>
            </w:r>
          </w:p>
        </w:tc>
        <w:tc>
          <w:tcPr>
            <w:tcW w:w="1497" w:type="pct"/>
            <w:tcBorders>
              <w:top w:val="single" w:color="auto" w:sz="4" w:space="0"/>
            </w:tcBorders>
            <w:vAlign w:val="center"/>
          </w:tcPr>
          <w:p>
            <w:pPr>
              <w:pStyle w:val="90"/>
              <w:rPr>
                <w:rFonts w:ascii="Times New Roman" w:hAnsi="Times New Roman" w:cs="Times New Roman"/>
                <w:bCs/>
                <w:szCs w:val="21"/>
              </w:rPr>
            </w:pPr>
            <w:r>
              <w:rPr>
                <w:rFonts w:ascii="Times New Roman" w:hAnsi="Times New Roman" w:cs="Times New Roman"/>
                <w:bCs/>
                <w:szCs w:val="21"/>
              </w:rPr>
              <w:t>对井田范围内的工业场地等留足保护煤柱，建构筑物加固、土地复垦、植被恢复、水土保持</w:t>
            </w:r>
          </w:p>
        </w:tc>
        <w:tc>
          <w:tcPr>
            <w:tcW w:w="1252" w:type="pct"/>
            <w:tcBorders>
              <w:top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与原环评一致</w:t>
            </w:r>
          </w:p>
        </w:tc>
        <w:tc>
          <w:tcPr>
            <w:tcW w:w="693" w:type="pct"/>
            <w:tcBorders>
              <w:top w:val="single" w:color="auto" w:sz="4" w:space="0"/>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c>
          <w:tcPr>
            <w:tcW w:w="794" w:type="pct"/>
            <w:tcBorders>
              <w:top w:val="single" w:color="auto" w:sz="4" w:space="0"/>
              <w:left w:val="single" w:color="auto" w:sz="4" w:space="0"/>
              <w:right w:val="single" w:color="auto" w:sz="4" w:space="0"/>
            </w:tcBorders>
            <w:vAlign w:val="center"/>
          </w:tcPr>
          <w:p>
            <w:pPr>
              <w:pStyle w:val="90"/>
              <w:rPr>
                <w:rFonts w:ascii="Times New Roman" w:hAnsi="Times New Roman" w:cs="Times New Roman"/>
                <w:szCs w:val="21"/>
              </w:rPr>
            </w:pPr>
            <w:r>
              <w:rPr>
                <w:rFonts w:ascii="Times New Roman" w:hAnsi="Times New Roman" w:cs="Times New Roman"/>
                <w:szCs w:val="21"/>
              </w:rPr>
              <w:t>—</w:t>
            </w:r>
          </w:p>
        </w:tc>
      </w:tr>
    </w:tbl>
    <w:p>
      <w:pPr>
        <w:spacing w:line="360" w:lineRule="auto"/>
        <w:outlineLvl w:val="2"/>
        <w:rPr>
          <w:rFonts w:hAnsiTheme="minorEastAsia" w:eastAsiaTheme="minorEastAsia"/>
          <w:b/>
          <w:sz w:val="24"/>
        </w:rPr>
        <w:sectPr>
          <w:pgSz w:w="16838" w:h="11906" w:orient="landscape"/>
          <w:pgMar w:top="1418" w:right="1701" w:bottom="1418" w:left="1701" w:header="992" w:footer="992" w:gutter="0"/>
          <w:cols w:space="720" w:num="1"/>
          <w:docGrid w:linePitch="318" w:charSpace="0"/>
        </w:sectPr>
      </w:pPr>
    </w:p>
    <w:p>
      <w:pPr>
        <w:spacing w:line="360" w:lineRule="auto"/>
        <w:outlineLvl w:val="2"/>
        <w:rPr>
          <w:rFonts w:eastAsiaTheme="minorEastAsia"/>
          <w:b/>
          <w:sz w:val="24"/>
        </w:rPr>
      </w:pPr>
      <w:r>
        <w:rPr>
          <w:rFonts w:eastAsiaTheme="minorEastAsia"/>
          <w:b/>
          <w:sz w:val="24"/>
        </w:rPr>
        <w:t>3.2.</w:t>
      </w:r>
      <w:r>
        <w:rPr>
          <w:rFonts w:hint="eastAsia" w:eastAsiaTheme="minorEastAsia"/>
          <w:b/>
          <w:sz w:val="24"/>
        </w:rPr>
        <w:t>2</w:t>
      </w:r>
      <w:r>
        <w:rPr>
          <w:rFonts w:hAnsiTheme="minorEastAsia" w:eastAsiaTheme="minorEastAsia"/>
          <w:b/>
          <w:sz w:val="24"/>
        </w:rPr>
        <w:t>总平面布置</w:t>
      </w:r>
    </w:p>
    <w:p>
      <w:pPr>
        <w:pStyle w:val="77"/>
        <w:ind w:firstLine="482"/>
        <w:rPr>
          <w:b/>
        </w:rPr>
      </w:pPr>
      <w:r>
        <w:rPr>
          <w:rFonts w:hint="eastAsia"/>
          <w:b/>
        </w:rPr>
        <w:t>变更内容：</w:t>
      </w:r>
      <w:r>
        <w:rPr>
          <w:rFonts w:hint="eastAsia"/>
        </w:rPr>
        <w:t>主、副斜井均已施工420m，井筒方位角未变，井口实际施工位置与原初步设计相比分别向西平移了118m及55m ，井口标高由+970m改为+983.8m。矿井工业场地根据实际施工现状做相应变更；将工业场地内的防火灌浆站移至风井场地；取消矿井消防站，矿方与相关部门签订消防协议；矿井风井场地变更后设在原后庄矿主井西北约28m处。</w:t>
      </w:r>
    </w:p>
    <w:p>
      <w:pPr>
        <w:pStyle w:val="77"/>
        <w:ind w:firstLine="482"/>
        <w:rPr>
          <w:b/>
        </w:rPr>
      </w:pPr>
      <w:r>
        <w:rPr>
          <w:rFonts w:hint="eastAsia"/>
          <w:b/>
        </w:rPr>
        <w:t>1、工业场地</w:t>
      </w:r>
    </w:p>
    <w:p>
      <w:pPr>
        <w:pStyle w:val="77"/>
        <w:ind w:firstLine="482"/>
      </w:pPr>
      <w:r>
        <w:rPr>
          <w:rFonts w:hint="eastAsia"/>
          <w:b/>
        </w:rPr>
        <w:t>原环评：</w:t>
      </w:r>
      <w:r>
        <w:rPr>
          <w:rFonts w:hint="eastAsia"/>
        </w:rPr>
        <w:t>工业场地位于井田东南部，总</w:t>
      </w:r>
      <w:r>
        <w:t>占地面积</w:t>
      </w:r>
      <w:r>
        <w:rPr>
          <w:rFonts w:hint="eastAsia"/>
        </w:rPr>
        <w:t>14.71</w:t>
      </w:r>
      <w:r>
        <w:t>hm</w:t>
      </w:r>
      <w:r>
        <w:rPr>
          <w:vertAlign w:val="superscript"/>
        </w:rPr>
        <w:t>2</w:t>
      </w:r>
      <w:r>
        <w:rPr>
          <w:rFonts w:hint="eastAsia"/>
        </w:rPr>
        <w:t>（包括洗煤厂占地面积）。分为生产区、辅助生产区、场前区和其它独立站区，北部为原祥宇煤业有限公司工业场地（不予利用），南部为既有选煤厂（作为本矿选煤厂直接利用）。</w:t>
      </w:r>
    </w:p>
    <w:p>
      <w:pPr>
        <w:pStyle w:val="77"/>
        <w:ind w:firstLine="480"/>
      </w:pPr>
      <w:r>
        <w:rPr>
          <w:rFonts w:hint="eastAsia"/>
        </w:rPr>
        <w:t>生产区位于工业场地的中部及南部，主要布置主斜井井口房、筛分车间及矸石仓、缓冲仓、既有选煤厂、1号转载点、2号转载点、产品仓及其间的带式输送机栈桥。</w:t>
      </w:r>
    </w:p>
    <w:p>
      <w:pPr>
        <w:pStyle w:val="77"/>
        <w:ind w:firstLine="480"/>
      </w:pPr>
      <w:r>
        <w:rPr>
          <w:rFonts w:hint="eastAsia"/>
        </w:rPr>
        <w:t>辅助生产区主要位于工业场地的中偏北部，内设副斜井井口房、副斜井提升机房、35kV变电所、压风机房、消防材料库、器材库（棚）、综采设备库及机修车间联合建筑、木材加工房、支护材料场、门式起重机场地、电机车库、日用消防泵房及水池、井下消防洒水水池、锅炉房和由矸石翻车机房、矸石仓及其间的带式输送机栈桥组成的矸石翻车系统等，而油脂库则设在1号转载点的西侧。</w:t>
      </w:r>
    </w:p>
    <w:p>
      <w:pPr>
        <w:pStyle w:val="77"/>
        <w:ind w:firstLine="480"/>
      </w:pPr>
      <w:r>
        <w:rPr>
          <w:rFonts w:hint="eastAsia"/>
        </w:rPr>
        <w:t>场前区位于工业场地的北端，紧邻场地出入口，主要设置由办公楼、浴室、矿灯房、任务交待室和职工食堂等组成的综合服务楼。</w:t>
      </w:r>
    </w:p>
    <w:p>
      <w:pPr>
        <w:pStyle w:val="77"/>
        <w:ind w:firstLine="480"/>
      </w:pPr>
      <w:r>
        <w:rPr>
          <w:rFonts w:hint="eastAsia"/>
        </w:rPr>
        <w:t>其它独立站区中的消防、救护站位于场地的中偏南部，主要由消防站与救护队及其训练场地组成。矿井水及污水处理站设在筛分车间的南侧，其中南部为矿井水处理设施，北部为污水处理设施。防火灌浆站位于消防、救护站西侧，主要由东侧的防火灌浆站与西侧的堆泥场地组成。单身宿舍区位于场地的南端，内设单身宿舍1幢。</w:t>
      </w:r>
    </w:p>
    <w:p>
      <w:pPr>
        <w:pStyle w:val="77"/>
        <w:ind w:firstLine="482"/>
      </w:pPr>
      <w:r>
        <w:rPr>
          <w:rFonts w:hint="eastAsia"/>
          <w:b/>
        </w:rPr>
        <w:t>变更内容：</w:t>
      </w:r>
      <w:r>
        <w:rPr>
          <w:rFonts w:hint="eastAsia"/>
        </w:rPr>
        <w:t>紧临矿井工业场地的既有选煤厂设施已完善，生产区利用既有选煤厂设施，矿井工业场地西南侧布置带式输送机栈桥至既有选煤厂原煤棚；工业场地东南侧新增预留原煤仓及其栈桥；工业场地内的防火灌浆站移至风井场地；取消矿井消防站，矿方与相关部门自行签订消防协议。</w:t>
      </w:r>
      <w:r>
        <w:t xml:space="preserve"> </w:t>
      </w:r>
    </w:p>
    <w:p>
      <w:pPr>
        <w:pStyle w:val="77"/>
        <w:ind w:firstLine="482"/>
        <w:rPr>
          <w:color w:val="FF0000"/>
        </w:rPr>
      </w:pPr>
      <w:r>
        <w:rPr>
          <w:rFonts w:hint="eastAsia"/>
          <w:b/>
        </w:rPr>
        <w:t>变更后：</w:t>
      </w:r>
      <w:r>
        <w:rPr>
          <w:rFonts w:hint="eastAsia"/>
        </w:rPr>
        <w:t>工业场地位于井田东南部，占地面积9.58hm</w:t>
      </w:r>
      <w:r>
        <w:rPr>
          <w:rFonts w:hint="eastAsia"/>
          <w:vertAlign w:val="superscript"/>
        </w:rPr>
        <w:t>2</w:t>
      </w:r>
      <w:r>
        <w:rPr>
          <w:rFonts w:hint="eastAsia"/>
        </w:rPr>
        <w:t>（不包括洗煤厂占地）。分为生产区、辅助生产区、场前区和其它独立站区。</w:t>
      </w:r>
    </w:p>
    <w:p>
      <w:pPr>
        <w:pStyle w:val="77"/>
        <w:ind w:firstLine="480"/>
      </w:pPr>
      <w:r>
        <w:rPr>
          <w:rFonts w:hint="eastAsia"/>
        </w:rPr>
        <w:t>生产区位于工业场地的西侧，主要布置主斜井井口房、1号转载点、2号转载点及其间的带式输送机栈桥、预留原煤仓及其栈桥。</w:t>
      </w:r>
    </w:p>
    <w:p>
      <w:pPr>
        <w:pStyle w:val="77"/>
        <w:ind w:firstLine="480"/>
      </w:pPr>
      <w:r>
        <w:rPr>
          <w:rFonts w:hint="eastAsia"/>
        </w:rPr>
        <w:t>辅助生产区主要位于工业场地的中部及中北部部分地区，内设副斜井井口房、副斜井提升机房、乳化液泵站、潜水泵电控室、注氮站与压风机站联合布置、35kV变电所、井下消防洒水水池、消防材料库、电机车库、器材库（棚）、综采设备库及机修车间联合建筑、支护材料场、门式起重机场地、日用消防泵房及水池、危废品库、油脂库、锅炉房等。</w:t>
      </w:r>
    </w:p>
    <w:p>
      <w:pPr>
        <w:pStyle w:val="77"/>
        <w:ind w:firstLine="480"/>
      </w:pPr>
      <w:r>
        <w:rPr>
          <w:rFonts w:hint="eastAsia"/>
        </w:rPr>
        <w:t>场前区位于工业场地的北段南部，紧邻场地出入口，主要设置办公楼、职工食堂、生活福利联合建筑及区队楼等。</w:t>
      </w:r>
    </w:p>
    <w:p>
      <w:pPr>
        <w:pStyle w:val="77"/>
        <w:ind w:firstLine="480"/>
      </w:pPr>
      <w:r>
        <w:rPr>
          <w:rFonts w:hint="eastAsia"/>
        </w:rPr>
        <w:t>其它独立站区中的救护楼及其训练场地位于场地的北段东部。矿井水及污水处理站设在西北角，其中南部为矿井水处理设施，北部为生活污水处理设施。单身生活区设在场地北部南段，内设职工宿舍1幢。</w:t>
      </w:r>
    </w:p>
    <w:p>
      <w:pPr>
        <w:spacing w:line="360" w:lineRule="auto"/>
        <w:ind w:firstLine="480" w:firstLineChars="200"/>
        <w:rPr>
          <w:rFonts w:hAnsiTheme="minorEastAsia" w:eastAsiaTheme="minorEastAsia"/>
          <w:sz w:val="24"/>
        </w:rPr>
      </w:pPr>
      <w:r>
        <w:rPr>
          <w:rFonts w:hAnsiTheme="minorEastAsia" w:eastAsiaTheme="minorEastAsia"/>
          <w:sz w:val="24"/>
        </w:rPr>
        <w:t>工业场地</w:t>
      </w:r>
      <w:r>
        <w:rPr>
          <w:rFonts w:hint="eastAsia" w:hAnsiTheme="minorEastAsia" w:eastAsiaTheme="minorEastAsia"/>
          <w:sz w:val="24"/>
        </w:rPr>
        <w:t>变更前后</w:t>
      </w:r>
      <w:r>
        <w:rPr>
          <w:rFonts w:hAnsiTheme="minorEastAsia" w:eastAsiaTheme="minorEastAsia"/>
          <w:sz w:val="24"/>
        </w:rPr>
        <w:t>地面总平面布置见图</w:t>
      </w:r>
      <w:r>
        <w:rPr>
          <w:rFonts w:eastAsiaTheme="minorEastAsia"/>
          <w:sz w:val="24"/>
        </w:rPr>
        <w:t>3.</w:t>
      </w:r>
      <w:r>
        <w:rPr>
          <w:rFonts w:hint="eastAsia" w:eastAsiaTheme="minorEastAsia"/>
          <w:sz w:val="24"/>
        </w:rPr>
        <w:t>2</w:t>
      </w:r>
      <w:r>
        <w:rPr>
          <w:rFonts w:eastAsiaTheme="minorEastAsia"/>
          <w:sz w:val="24"/>
        </w:rPr>
        <w:t>-1~</w:t>
      </w:r>
      <w:r>
        <w:rPr>
          <w:rFonts w:hAnsiTheme="minorEastAsia" w:eastAsiaTheme="minorEastAsia"/>
          <w:sz w:val="24"/>
        </w:rPr>
        <w:t>图</w:t>
      </w:r>
      <w:r>
        <w:rPr>
          <w:rFonts w:eastAsiaTheme="minorEastAsia"/>
          <w:sz w:val="24"/>
        </w:rPr>
        <w:t>3.</w:t>
      </w:r>
      <w:r>
        <w:rPr>
          <w:rFonts w:hint="eastAsia" w:eastAsiaTheme="minorEastAsia"/>
          <w:sz w:val="24"/>
        </w:rPr>
        <w:t>2</w:t>
      </w:r>
      <w:r>
        <w:rPr>
          <w:rFonts w:eastAsiaTheme="minorEastAsia"/>
          <w:sz w:val="24"/>
        </w:rPr>
        <w:t>-</w:t>
      </w:r>
      <w:r>
        <w:rPr>
          <w:rFonts w:hint="eastAsia" w:eastAsiaTheme="minorEastAsia"/>
          <w:sz w:val="24"/>
        </w:rPr>
        <w:t>2</w:t>
      </w:r>
      <w:r>
        <w:rPr>
          <w:rFonts w:hAnsiTheme="minorEastAsia" w:eastAsiaTheme="minorEastAsia"/>
          <w:sz w:val="24"/>
        </w:rPr>
        <w:t>。</w:t>
      </w:r>
    </w:p>
    <w:p>
      <w:pPr>
        <w:pStyle w:val="77"/>
        <w:ind w:firstLine="482"/>
        <w:rPr>
          <w:b/>
        </w:rPr>
      </w:pPr>
      <w:r>
        <w:rPr>
          <w:rFonts w:hint="eastAsia"/>
          <w:b/>
        </w:rPr>
        <w:t>2、风井场地</w:t>
      </w:r>
    </w:p>
    <w:p>
      <w:pPr>
        <w:spacing w:line="360" w:lineRule="auto"/>
        <w:ind w:firstLine="482" w:firstLineChars="200"/>
        <w:rPr>
          <w:rFonts w:eastAsiaTheme="minorEastAsia"/>
          <w:sz w:val="24"/>
        </w:rPr>
      </w:pPr>
      <w:r>
        <w:rPr>
          <w:rFonts w:hint="eastAsia" w:eastAsiaTheme="minorEastAsia"/>
          <w:b/>
          <w:sz w:val="24"/>
        </w:rPr>
        <w:t>原环评：</w:t>
      </w:r>
      <w:r>
        <w:rPr>
          <w:rFonts w:hint="eastAsia" w:eastAsiaTheme="minorEastAsia"/>
          <w:sz w:val="24"/>
        </w:rPr>
        <w:t>风井场地位于工业场地北约1500m处的原宏宇煤业有限公司工业场地附近，风井场地设通风机房及电控室等，占地1.63hm</w:t>
      </w:r>
      <w:r>
        <w:rPr>
          <w:rFonts w:hint="eastAsia" w:eastAsiaTheme="minorEastAsia"/>
          <w:sz w:val="24"/>
          <w:vertAlign w:val="superscript"/>
        </w:rPr>
        <w:t>2</w:t>
      </w:r>
      <w:r>
        <w:rPr>
          <w:rFonts w:hint="eastAsia" w:eastAsiaTheme="minorEastAsia"/>
          <w:sz w:val="24"/>
        </w:rPr>
        <w:t>。</w:t>
      </w:r>
    </w:p>
    <w:p>
      <w:pPr>
        <w:spacing w:line="360" w:lineRule="auto"/>
        <w:ind w:firstLine="422" w:firstLineChars="200"/>
      </w:pPr>
      <w:r>
        <w:rPr>
          <w:rFonts w:hint="eastAsia"/>
          <w:b/>
        </w:rPr>
        <w:t>变更内容：</w:t>
      </w:r>
      <w:r>
        <w:rPr>
          <w:rFonts w:hint="eastAsia" w:eastAsiaTheme="minorEastAsia"/>
          <w:sz w:val="24"/>
        </w:rPr>
        <w:t>为缩短井下通风线路长度，减少巷道工程量，回风立井井口位置改在原后庄矿工业场地（后庄矿工业场地在原初步设计期间，因地方关系问题，不能进入，现已解决）。矿井风井场地变更后设在原后庄矿工业场地附近。防火灌浆站从工业场地移至风井场地，并在风井场地内增设10kV变电所、通风机房电控室、消防水池及泵房、沉淀池等。</w:t>
      </w:r>
    </w:p>
    <w:p>
      <w:pPr>
        <w:spacing w:line="360" w:lineRule="auto"/>
        <w:ind w:firstLine="482" w:firstLineChars="200"/>
        <w:rPr>
          <w:rFonts w:eastAsiaTheme="minorEastAsia"/>
          <w:sz w:val="24"/>
        </w:rPr>
      </w:pPr>
      <w:r>
        <w:rPr>
          <w:rFonts w:hint="eastAsia" w:eastAsiaTheme="minorEastAsia"/>
          <w:b/>
          <w:sz w:val="24"/>
        </w:rPr>
        <w:t>变更后：</w:t>
      </w:r>
      <w:r>
        <w:rPr>
          <w:rFonts w:hint="eastAsia" w:eastAsiaTheme="minorEastAsia"/>
          <w:sz w:val="24"/>
        </w:rPr>
        <w:t>风井场地位于工业场地西北约1600m的原后庄矿工业场地附近。防火灌浆站从工业场地移至风井场地，并在风井场地内增设10kV变电所、通风机房电控室、消防水池及泵房、沉淀池等。占地1.32hm</w:t>
      </w:r>
      <w:r>
        <w:rPr>
          <w:rFonts w:hint="eastAsia" w:eastAsiaTheme="minorEastAsia"/>
          <w:sz w:val="24"/>
          <w:vertAlign w:val="superscript"/>
        </w:rPr>
        <w:t>2</w:t>
      </w:r>
      <w:r>
        <w:rPr>
          <w:rFonts w:hint="eastAsia" w:eastAsiaTheme="minorEastAsia"/>
          <w:sz w:val="24"/>
        </w:rPr>
        <w:t>。</w:t>
      </w:r>
    </w:p>
    <w:p>
      <w:pPr>
        <w:spacing w:line="360" w:lineRule="auto"/>
        <w:ind w:firstLine="480" w:firstLineChars="200"/>
        <w:rPr>
          <w:rFonts w:hAnsiTheme="minorEastAsia" w:eastAsiaTheme="minorEastAsia"/>
          <w:sz w:val="24"/>
        </w:rPr>
      </w:pPr>
      <w:r>
        <w:rPr>
          <w:rFonts w:hint="eastAsia" w:hAnsiTheme="minorEastAsia" w:eastAsiaTheme="minorEastAsia"/>
          <w:sz w:val="24"/>
        </w:rPr>
        <w:t>风井</w:t>
      </w:r>
      <w:r>
        <w:rPr>
          <w:rFonts w:hAnsiTheme="minorEastAsia" w:eastAsiaTheme="minorEastAsia"/>
          <w:sz w:val="24"/>
        </w:rPr>
        <w:t>场地</w:t>
      </w:r>
      <w:r>
        <w:rPr>
          <w:rFonts w:hint="eastAsia" w:hAnsiTheme="minorEastAsia" w:eastAsiaTheme="minorEastAsia"/>
          <w:sz w:val="24"/>
        </w:rPr>
        <w:t>变更前后</w:t>
      </w:r>
      <w:r>
        <w:rPr>
          <w:rFonts w:hAnsiTheme="minorEastAsia" w:eastAsiaTheme="minorEastAsia"/>
          <w:sz w:val="24"/>
        </w:rPr>
        <w:t>地面总平面布置见图</w:t>
      </w:r>
      <w:r>
        <w:rPr>
          <w:rFonts w:eastAsiaTheme="minorEastAsia"/>
          <w:sz w:val="24"/>
        </w:rPr>
        <w:t>3.</w:t>
      </w:r>
      <w:r>
        <w:rPr>
          <w:rFonts w:hint="eastAsia" w:eastAsiaTheme="minorEastAsia"/>
          <w:sz w:val="24"/>
        </w:rPr>
        <w:t>2</w:t>
      </w:r>
      <w:r>
        <w:rPr>
          <w:rFonts w:eastAsiaTheme="minorEastAsia"/>
          <w:sz w:val="24"/>
        </w:rPr>
        <w:t>-</w:t>
      </w:r>
      <w:r>
        <w:rPr>
          <w:rFonts w:hint="eastAsia" w:eastAsiaTheme="minorEastAsia"/>
          <w:sz w:val="24"/>
        </w:rPr>
        <w:t>3</w:t>
      </w:r>
      <w:r>
        <w:rPr>
          <w:rFonts w:eastAsiaTheme="minorEastAsia"/>
          <w:sz w:val="24"/>
        </w:rPr>
        <w:t>~</w:t>
      </w:r>
      <w:r>
        <w:rPr>
          <w:rFonts w:hAnsiTheme="minorEastAsia" w:eastAsiaTheme="minorEastAsia"/>
          <w:sz w:val="24"/>
        </w:rPr>
        <w:t>图</w:t>
      </w:r>
      <w:r>
        <w:rPr>
          <w:rFonts w:eastAsiaTheme="minorEastAsia"/>
          <w:sz w:val="24"/>
        </w:rPr>
        <w:t>3.</w:t>
      </w:r>
      <w:r>
        <w:rPr>
          <w:rFonts w:hint="eastAsia" w:eastAsiaTheme="minorEastAsia"/>
          <w:sz w:val="24"/>
        </w:rPr>
        <w:t>2</w:t>
      </w:r>
      <w:r>
        <w:rPr>
          <w:rFonts w:eastAsiaTheme="minorEastAsia"/>
          <w:sz w:val="24"/>
        </w:rPr>
        <w:t>-</w:t>
      </w:r>
      <w:r>
        <w:rPr>
          <w:rFonts w:hint="eastAsia" w:eastAsiaTheme="minorEastAsia"/>
          <w:sz w:val="24"/>
        </w:rPr>
        <w:t>4</w:t>
      </w:r>
      <w:r>
        <w:rPr>
          <w:rFonts w:hAnsiTheme="minorEastAsia" w:eastAsiaTheme="minorEastAsia"/>
          <w:sz w:val="24"/>
        </w:rPr>
        <w:t>。</w:t>
      </w:r>
    </w:p>
    <w:p>
      <w:pPr>
        <w:spacing w:line="360" w:lineRule="auto"/>
        <w:ind w:firstLine="482" w:firstLineChars="200"/>
        <w:rPr>
          <w:rFonts w:eastAsiaTheme="minorEastAsia"/>
          <w:b/>
          <w:sz w:val="24"/>
        </w:rPr>
      </w:pPr>
      <w:r>
        <w:rPr>
          <w:rFonts w:hint="eastAsia" w:eastAsiaTheme="minorEastAsia"/>
          <w:b/>
          <w:sz w:val="24"/>
        </w:rPr>
        <w:t>3、排矸场</w:t>
      </w:r>
    </w:p>
    <w:p>
      <w:pPr>
        <w:spacing w:line="360" w:lineRule="auto"/>
        <w:ind w:firstLine="482" w:firstLineChars="200"/>
        <w:rPr>
          <w:rFonts w:eastAsiaTheme="minorEastAsia"/>
          <w:b/>
          <w:sz w:val="24"/>
          <w:highlight w:val="yellow"/>
        </w:rPr>
      </w:pPr>
      <w:r>
        <w:rPr>
          <w:rFonts w:hint="eastAsia" w:eastAsiaTheme="minorEastAsia"/>
          <w:b/>
          <w:sz w:val="24"/>
        </w:rPr>
        <w:t>原环评：</w:t>
      </w:r>
      <w:r>
        <w:rPr>
          <w:rFonts w:eastAsiaTheme="minorEastAsia"/>
          <w:sz w:val="24"/>
        </w:rPr>
        <w:t>矸石沟位于工业场地西北侧约500m处荒沟。拟选矸石沟为一盲沟，上游及两侧地势相对较为平整，基本无汇水面积，该沟谷呈近东西走向，沟口朝东，该沟深10-40m，沟长约300m，宽约50～130m，占地面积2.85hm</w:t>
      </w:r>
      <w:r>
        <w:rPr>
          <w:rFonts w:eastAsiaTheme="minorEastAsia"/>
          <w:sz w:val="24"/>
          <w:vertAlign w:val="superscript"/>
        </w:rPr>
        <w:t>2</w:t>
      </w:r>
      <w:r>
        <w:rPr>
          <w:rFonts w:eastAsiaTheme="minorEastAsia"/>
          <w:sz w:val="24"/>
        </w:rPr>
        <w:t>，容积约60万m</w:t>
      </w:r>
      <w:r>
        <w:rPr>
          <w:rFonts w:eastAsiaTheme="minorEastAsia"/>
          <w:sz w:val="24"/>
          <w:vertAlign w:val="superscript"/>
        </w:rPr>
        <w:t>3</w:t>
      </w:r>
      <w:r>
        <w:rPr>
          <w:rFonts w:eastAsiaTheme="minorEastAsia"/>
          <w:sz w:val="24"/>
        </w:rPr>
        <w:t>，可容纳120万吨矸石，可供使用约10年，满足该矿的堆矸需要。</w:t>
      </w:r>
    </w:p>
    <w:p>
      <w:pPr>
        <w:spacing w:line="360" w:lineRule="auto"/>
        <w:ind w:firstLine="482" w:firstLineChars="200"/>
        <w:rPr>
          <w:rFonts w:eastAsiaTheme="minorEastAsia"/>
          <w:sz w:val="24"/>
        </w:rPr>
      </w:pPr>
      <w:r>
        <w:rPr>
          <w:rFonts w:hint="eastAsia" w:eastAsiaTheme="minorEastAsia"/>
          <w:b/>
          <w:sz w:val="24"/>
        </w:rPr>
        <w:t>变更后：</w:t>
      </w:r>
      <w:r>
        <w:rPr>
          <w:rFonts w:hint="eastAsia" w:eastAsiaTheme="minorEastAsia"/>
          <w:sz w:val="24"/>
        </w:rPr>
        <w:t>同原环评，无变化。根据现场踏勘，矸石场设置了高2.5m的拦矸坝，尚未设置截水沟和排水沟，矸石场已堆矸38</w:t>
      </w:r>
      <w:r>
        <w:rPr>
          <w:rFonts w:eastAsiaTheme="minorEastAsia"/>
          <w:sz w:val="24"/>
        </w:rPr>
        <w:t>万m</w:t>
      </w:r>
      <w:r>
        <w:rPr>
          <w:rFonts w:eastAsiaTheme="minorEastAsia"/>
          <w:sz w:val="24"/>
          <w:vertAlign w:val="superscript"/>
        </w:rPr>
        <w:t>3</w:t>
      </w:r>
      <w:r>
        <w:rPr>
          <w:rFonts w:hint="eastAsia" w:eastAsiaTheme="minorEastAsia"/>
          <w:sz w:val="24"/>
        </w:rPr>
        <w:t>，剩余库容约22万m</w:t>
      </w:r>
      <w:r>
        <w:rPr>
          <w:rFonts w:hint="eastAsia" w:eastAsiaTheme="minorEastAsia"/>
          <w:sz w:val="24"/>
          <w:vertAlign w:val="superscript"/>
        </w:rPr>
        <w:t>3</w:t>
      </w:r>
      <w:r>
        <w:rPr>
          <w:rFonts w:hint="eastAsia" w:eastAsiaTheme="minorEastAsia"/>
          <w:sz w:val="24"/>
        </w:rPr>
        <w:t>，本矿井变更后矸石产生量为6万吨/a，</w:t>
      </w:r>
      <w:r>
        <w:rPr>
          <w:rFonts w:eastAsiaTheme="minorEastAsia"/>
          <w:sz w:val="24"/>
        </w:rPr>
        <w:t>可</w:t>
      </w:r>
      <w:r>
        <w:rPr>
          <w:rFonts w:hint="eastAsia" w:eastAsiaTheme="minorEastAsia"/>
          <w:sz w:val="24"/>
        </w:rPr>
        <w:t>作为临时矸石周转场地，服务年限</w:t>
      </w:r>
      <w:r>
        <w:rPr>
          <w:rFonts w:eastAsiaTheme="minorEastAsia"/>
          <w:sz w:val="24"/>
        </w:rPr>
        <w:t>约</w:t>
      </w:r>
      <w:r>
        <w:rPr>
          <w:rFonts w:hint="eastAsia" w:eastAsiaTheme="minorEastAsia"/>
          <w:sz w:val="24"/>
        </w:rPr>
        <w:t>3</w:t>
      </w:r>
      <w:r>
        <w:rPr>
          <w:rFonts w:eastAsiaTheme="minorEastAsia"/>
          <w:sz w:val="24"/>
        </w:rPr>
        <w:t>年，满足该矿的堆矸需要。</w:t>
      </w:r>
    </w:p>
    <w:p>
      <w:pPr>
        <w:spacing w:line="360" w:lineRule="auto"/>
        <w:ind w:firstLine="480" w:firstLineChars="200"/>
        <w:rPr>
          <w:rFonts w:hAnsiTheme="minorEastAsia" w:eastAsiaTheme="minorEastAsia"/>
          <w:sz w:val="24"/>
        </w:rPr>
      </w:pPr>
      <w:r>
        <w:rPr>
          <w:rFonts w:hint="eastAsia" w:hAnsiTheme="minorEastAsia" w:eastAsiaTheme="minorEastAsia"/>
          <w:sz w:val="24"/>
        </w:rPr>
        <w:t>变更前、后井田总平面布置对比图，详见图3.2-5。</w:t>
      </w:r>
    </w:p>
    <w:p>
      <w:pPr>
        <w:spacing w:line="360" w:lineRule="auto"/>
        <w:outlineLvl w:val="2"/>
        <w:rPr>
          <w:rFonts w:eastAsiaTheme="minorEastAsia"/>
          <w:b/>
          <w:sz w:val="24"/>
        </w:rPr>
      </w:pPr>
      <w:r>
        <w:rPr>
          <w:rFonts w:eastAsiaTheme="minorEastAsia"/>
          <w:b/>
          <w:sz w:val="24"/>
        </w:rPr>
        <w:t>3.2.</w:t>
      </w:r>
      <w:r>
        <w:rPr>
          <w:rFonts w:hint="eastAsia" w:eastAsiaTheme="minorEastAsia"/>
          <w:b/>
          <w:sz w:val="24"/>
        </w:rPr>
        <w:t>3井田</w:t>
      </w:r>
      <w:r>
        <w:rPr>
          <w:rFonts w:hint="eastAsia" w:hAnsiTheme="minorEastAsia" w:eastAsiaTheme="minorEastAsia"/>
          <w:b/>
          <w:sz w:val="24"/>
        </w:rPr>
        <w:t>四邻关系</w:t>
      </w:r>
    </w:p>
    <w:p>
      <w:pPr>
        <w:spacing w:line="360" w:lineRule="auto"/>
        <w:ind w:firstLine="482" w:firstLineChars="200"/>
        <w:rPr>
          <w:rFonts w:eastAsiaTheme="minorEastAsia"/>
          <w:sz w:val="24"/>
        </w:rPr>
      </w:pPr>
      <w:r>
        <w:rPr>
          <w:rFonts w:hint="eastAsia" w:eastAsiaTheme="minorEastAsia"/>
          <w:b/>
          <w:sz w:val="24"/>
        </w:rPr>
        <w:t>原环评：</w:t>
      </w:r>
      <w:r>
        <w:rPr>
          <w:rFonts w:hint="eastAsia" w:eastAsiaTheme="minorEastAsia"/>
          <w:sz w:val="24"/>
        </w:rPr>
        <w:t>本井田北与山西省临县胜利煤焦有限责任公司相邻，西与山西中铝煤业有限公司碛口煤矿相邻，南与山西临县紫鑫煤业有限公司相邻，东为已关闭的小塔则煤矿。</w:t>
      </w:r>
    </w:p>
    <w:p>
      <w:pPr>
        <w:spacing w:line="360" w:lineRule="auto"/>
        <w:ind w:firstLine="482" w:firstLineChars="200"/>
        <w:rPr>
          <w:rFonts w:eastAsiaTheme="minorEastAsia"/>
          <w:sz w:val="24"/>
        </w:rPr>
      </w:pPr>
      <w:r>
        <w:rPr>
          <w:rFonts w:hint="eastAsia" w:eastAsiaTheme="minorEastAsia"/>
          <w:b/>
          <w:sz w:val="24"/>
        </w:rPr>
        <w:t>变更后：</w:t>
      </w:r>
      <w:r>
        <w:rPr>
          <w:rFonts w:hint="eastAsia" w:eastAsiaTheme="minorEastAsia"/>
          <w:sz w:val="24"/>
        </w:rPr>
        <w:t>同原环评，无变化。</w:t>
      </w:r>
    </w:p>
    <w:p>
      <w:pPr>
        <w:spacing w:line="360" w:lineRule="auto"/>
        <w:ind w:firstLine="480" w:firstLineChars="200"/>
        <w:rPr>
          <w:rFonts w:eastAsiaTheme="minorEastAsia"/>
          <w:sz w:val="24"/>
        </w:rPr>
      </w:pPr>
      <w:r>
        <w:rPr>
          <w:rFonts w:hint="eastAsia" w:eastAsiaTheme="minorEastAsia"/>
          <w:sz w:val="24"/>
        </w:rPr>
        <w:t>井田四邻关系见图3.2-6。</w:t>
      </w:r>
    </w:p>
    <w:p>
      <w:pPr>
        <w:spacing w:line="360" w:lineRule="auto"/>
        <w:outlineLvl w:val="2"/>
        <w:rPr>
          <w:rFonts w:eastAsiaTheme="minorEastAsia"/>
          <w:b/>
          <w:sz w:val="24"/>
        </w:rPr>
      </w:pPr>
      <w:r>
        <w:rPr>
          <w:rFonts w:eastAsiaTheme="minorEastAsia"/>
          <w:b/>
          <w:sz w:val="24"/>
        </w:rPr>
        <w:t>3.2.</w:t>
      </w:r>
      <w:r>
        <w:rPr>
          <w:rFonts w:hint="eastAsia" w:eastAsiaTheme="minorEastAsia"/>
          <w:b/>
          <w:sz w:val="24"/>
        </w:rPr>
        <w:t>4</w:t>
      </w:r>
      <w:r>
        <w:rPr>
          <w:rFonts w:hAnsiTheme="minorEastAsia" w:eastAsiaTheme="minorEastAsia"/>
          <w:b/>
          <w:sz w:val="24"/>
        </w:rPr>
        <w:t>项目主要经济技术指标</w:t>
      </w:r>
    </w:p>
    <w:p>
      <w:pPr>
        <w:adjustRightInd w:val="0"/>
        <w:ind w:firstLine="480"/>
        <w:rPr>
          <w:rFonts w:eastAsiaTheme="minorEastAsia"/>
          <w:bCs/>
          <w:kern w:val="0"/>
        </w:rPr>
      </w:pPr>
      <w:r>
        <w:rPr>
          <w:rFonts w:hint="eastAsia" w:hAnsiTheme="minorEastAsia" w:eastAsiaTheme="minorEastAsia"/>
          <w:bCs/>
          <w:kern w:val="0"/>
        </w:rPr>
        <w:t>变更后</w:t>
      </w:r>
      <w:r>
        <w:rPr>
          <w:rFonts w:hAnsiTheme="minorEastAsia" w:eastAsiaTheme="minorEastAsia"/>
          <w:bCs/>
          <w:kern w:val="0"/>
        </w:rPr>
        <w:t>矿井主要技术经济指标见表</w:t>
      </w:r>
      <w:r>
        <w:rPr>
          <w:rFonts w:eastAsiaTheme="minorEastAsia"/>
          <w:bCs/>
          <w:kern w:val="0"/>
        </w:rPr>
        <w:t>3.2-</w:t>
      </w:r>
      <w:r>
        <w:rPr>
          <w:rFonts w:hint="eastAsia" w:eastAsiaTheme="minorEastAsia"/>
          <w:bCs/>
          <w:kern w:val="0"/>
        </w:rPr>
        <w:t>2。</w:t>
      </w:r>
    </w:p>
    <w:p>
      <w:pPr>
        <w:spacing w:line="360" w:lineRule="auto"/>
        <w:jc w:val="center"/>
        <w:rPr>
          <w:rFonts w:hAnsiTheme="minorEastAsia" w:eastAsiaTheme="minorEastAsia"/>
          <w:b/>
          <w:bCs/>
          <w:kern w:val="0"/>
          <w:szCs w:val="21"/>
        </w:rPr>
      </w:pPr>
      <w:r>
        <w:rPr>
          <w:rFonts w:hAnsiTheme="minorEastAsia" w:eastAsiaTheme="minorEastAsia"/>
          <w:b/>
          <w:bCs/>
          <w:kern w:val="0"/>
          <w:szCs w:val="21"/>
        </w:rPr>
        <w:t>表</w:t>
      </w:r>
      <w:r>
        <w:rPr>
          <w:rFonts w:eastAsiaTheme="minorEastAsia"/>
          <w:b/>
          <w:bCs/>
          <w:kern w:val="0"/>
          <w:szCs w:val="21"/>
        </w:rPr>
        <w:t>3.2-</w:t>
      </w:r>
      <w:r>
        <w:rPr>
          <w:rFonts w:hint="eastAsia" w:eastAsiaTheme="minorEastAsia"/>
          <w:b/>
          <w:bCs/>
          <w:kern w:val="0"/>
          <w:szCs w:val="21"/>
        </w:rPr>
        <w:t>2</w:t>
      </w:r>
      <w:r>
        <w:rPr>
          <w:rFonts w:eastAsiaTheme="minorEastAsia"/>
          <w:b/>
          <w:bCs/>
          <w:kern w:val="0"/>
          <w:szCs w:val="21"/>
        </w:rPr>
        <w:t xml:space="preserve"> </w:t>
      </w:r>
      <w:r>
        <w:rPr>
          <w:rFonts w:hint="eastAsia" w:hAnsiTheme="minorEastAsia" w:eastAsiaTheme="minorEastAsia"/>
          <w:b/>
          <w:bCs/>
          <w:kern w:val="0"/>
          <w:szCs w:val="21"/>
        </w:rPr>
        <w:t>变更后矿井</w:t>
      </w:r>
      <w:r>
        <w:rPr>
          <w:rFonts w:hAnsiTheme="minorEastAsia" w:eastAsiaTheme="minorEastAsia"/>
          <w:b/>
          <w:bCs/>
          <w:kern w:val="0"/>
          <w:szCs w:val="21"/>
        </w:rPr>
        <w:t>主要经济技术指标表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28" w:type="dxa"/>
          <w:left w:w="0" w:type="dxa"/>
          <w:bottom w:w="0" w:type="dxa"/>
          <w:right w:w="0" w:type="dxa"/>
        </w:tblCellMar>
      </w:tblPr>
      <w:tblGrid>
        <w:gridCol w:w="897"/>
        <w:gridCol w:w="3369"/>
        <w:gridCol w:w="852"/>
        <w:gridCol w:w="2408"/>
        <w:gridCol w:w="15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b/>
                <w:sz w:val="21"/>
                <w:szCs w:val="21"/>
              </w:rPr>
            </w:pPr>
            <w:r>
              <w:rPr>
                <w:rFonts w:ascii="Times New Roman" w:cs="Times New Roman" w:hAnsiTheme="minorEastAsia"/>
                <w:b/>
                <w:sz w:val="21"/>
                <w:szCs w:val="21"/>
              </w:rPr>
              <w:t>序号</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b/>
                <w:sz w:val="21"/>
                <w:szCs w:val="21"/>
              </w:rPr>
            </w:pPr>
            <w:r>
              <w:rPr>
                <w:rFonts w:ascii="Times New Roman" w:cs="Times New Roman" w:hAnsiTheme="minorEastAsia"/>
                <w:b/>
                <w:sz w:val="21"/>
                <w:szCs w:val="21"/>
              </w:rPr>
              <w:t>指</w:t>
            </w:r>
            <w:r>
              <w:rPr>
                <w:rFonts w:ascii="Times New Roman" w:hAnsi="Times New Roman" w:cs="Times New Roman"/>
                <w:b/>
                <w:sz w:val="21"/>
                <w:szCs w:val="21"/>
              </w:rPr>
              <w:t xml:space="preserve">  </w:t>
            </w:r>
            <w:r>
              <w:rPr>
                <w:rFonts w:ascii="Times New Roman" w:cs="Times New Roman" w:hAnsiTheme="minorEastAsia"/>
                <w:b/>
                <w:sz w:val="21"/>
                <w:szCs w:val="21"/>
              </w:rPr>
              <w:t>标</w:t>
            </w:r>
            <w:r>
              <w:rPr>
                <w:rFonts w:ascii="Times New Roman" w:hAnsi="Times New Roman" w:cs="Times New Roman"/>
                <w:b/>
                <w:sz w:val="21"/>
                <w:szCs w:val="21"/>
              </w:rPr>
              <w:t xml:space="preserve">  </w:t>
            </w:r>
            <w:r>
              <w:rPr>
                <w:rFonts w:ascii="Times New Roman" w:cs="Times New Roman" w:hAnsiTheme="minorEastAsia"/>
                <w:b/>
                <w:sz w:val="21"/>
                <w:szCs w:val="21"/>
              </w:rPr>
              <w:t>名</w:t>
            </w:r>
            <w:r>
              <w:rPr>
                <w:rFonts w:ascii="Times New Roman" w:hAnsi="Times New Roman" w:cs="Times New Roman"/>
                <w:b/>
                <w:sz w:val="21"/>
                <w:szCs w:val="21"/>
              </w:rPr>
              <w:t xml:space="preserve">  </w:t>
            </w:r>
            <w:r>
              <w:rPr>
                <w:rFonts w:ascii="Times New Roman" w:cs="Times New Roman" w:hAnsiTheme="minorEastAsia"/>
                <w:b/>
                <w:sz w:val="21"/>
                <w:szCs w:val="21"/>
              </w:rPr>
              <w:t>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b/>
                <w:sz w:val="21"/>
                <w:szCs w:val="21"/>
              </w:rPr>
            </w:pPr>
            <w:r>
              <w:rPr>
                <w:rFonts w:ascii="Times New Roman" w:cs="Times New Roman" w:hAnsiTheme="minorEastAsia"/>
                <w:b/>
                <w:sz w:val="21"/>
                <w:szCs w:val="21"/>
              </w:rPr>
              <w:t>单位</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b/>
                <w:sz w:val="21"/>
                <w:szCs w:val="21"/>
              </w:rPr>
            </w:pPr>
            <w:r>
              <w:rPr>
                <w:rFonts w:ascii="Times New Roman" w:cs="Times New Roman" w:hAnsiTheme="minorEastAsia"/>
                <w:b/>
                <w:sz w:val="21"/>
                <w:szCs w:val="21"/>
              </w:rPr>
              <w:t>指</w:t>
            </w:r>
            <w:r>
              <w:rPr>
                <w:rFonts w:ascii="Times New Roman" w:hAnsi="Times New Roman" w:cs="Times New Roman"/>
                <w:b/>
                <w:sz w:val="21"/>
                <w:szCs w:val="21"/>
              </w:rPr>
              <w:t xml:space="preserve">     </w:t>
            </w:r>
            <w:r>
              <w:rPr>
                <w:rFonts w:ascii="Times New Roman" w:cs="Times New Roman" w:hAnsiTheme="minorEastAsia"/>
                <w:b/>
                <w:sz w:val="21"/>
                <w:szCs w:val="21"/>
              </w:rPr>
              <w:t>标</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b/>
                <w:sz w:val="21"/>
                <w:szCs w:val="21"/>
              </w:rPr>
            </w:pPr>
            <w:r>
              <w:rPr>
                <w:rFonts w:ascii="Times New Roman" w:cs="Times New Roman" w:hAnsiTheme="minorEastAsia"/>
                <w:b/>
                <w:sz w:val="21"/>
                <w:szCs w:val="21"/>
              </w:rPr>
              <w:t>备</w:t>
            </w:r>
            <w:r>
              <w:rPr>
                <w:rFonts w:ascii="Times New Roman" w:hAnsi="Times New Roman" w:cs="Times New Roman"/>
                <w:b/>
                <w:sz w:val="21"/>
                <w:szCs w:val="21"/>
              </w:rPr>
              <w:t xml:space="preserve">  </w:t>
            </w:r>
            <w:r>
              <w:rPr>
                <w:rFonts w:ascii="Times New Roman" w:cs="Times New Roman" w:hAnsiTheme="minorEastAsia"/>
                <w:b/>
                <w:sz w:val="21"/>
                <w:szCs w:val="21"/>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井田范围</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南北长度</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km</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2.98</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东西宽度</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km</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3.26</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3</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井田面积</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vertAlign w:val="superscript"/>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5.4518</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2</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煤层</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4</w:t>
            </w:r>
            <w:r>
              <w:rPr>
                <w:rFonts w:ascii="Times New Roman" w:cs="Times New Roman" w:hAnsiTheme="minorEastAsia"/>
                <w:sz w:val="21"/>
                <w:szCs w:val="21"/>
              </w:rPr>
              <w:t>号、</w:t>
            </w:r>
            <w:r>
              <w:rPr>
                <w:rFonts w:ascii="Times New Roman" w:hAnsi="Times New Roman" w:cs="Times New Roman"/>
                <w:sz w:val="21"/>
                <w:szCs w:val="21"/>
              </w:rPr>
              <w:t>5</w:t>
            </w:r>
            <w:r>
              <w:rPr>
                <w:rFonts w:ascii="Times New Roman" w:cs="Times New Roman" w:hAnsiTheme="minorEastAsia"/>
                <w:sz w:val="21"/>
                <w:szCs w:val="21"/>
              </w:rPr>
              <w:t>号、</w:t>
            </w:r>
            <w:r>
              <w:rPr>
                <w:rFonts w:ascii="Times New Roman" w:hAnsi="Times New Roman" w:cs="Times New Roman"/>
                <w:sz w:val="21"/>
                <w:szCs w:val="21"/>
              </w:rPr>
              <w:t>8</w:t>
            </w:r>
            <w:r>
              <w:rPr>
                <w:rFonts w:ascii="Times New Roman" w:cs="Times New Roman" w:hAnsiTheme="minorEastAsia"/>
                <w:sz w:val="21"/>
                <w:szCs w:val="21"/>
              </w:rPr>
              <w:t>号、</w:t>
            </w:r>
            <w:r>
              <w:rPr>
                <w:rFonts w:ascii="Times New Roman" w:hAnsi="Times New Roman" w:cs="Times New Roman"/>
                <w:sz w:val="21"/>
                <w:szCs w:val="21"/>
              </w:rPr>
              <w:t>9</w:t>
            </w:r>
            <w:r>
              <w:rPr>
                <w:rFonts w:ascii="Times New Roman" w:cs="Times New Roman" w:hAnsiTheme="minorEastAsia"/>
                <w:sz w:val="21"/>
                <w:szCs w:val="21"/>
              </w:rPr>
              <w:t>号</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批准可采煤层数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层</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4</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可采煤层总厚度</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10.88</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3</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首采煤层厚度</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3.62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平均厚度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4</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煤层倾角</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w:t>
            </w:r>
            <w:r>
              <w:rPr>
                <w:rFonts w:ascii="Times New Roman" w:cs="Times New Roman" w:hAnsiTheme="minorEastAsia"/>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4</w:t>
            </w:r>
            <w:r>
              <w:rPr>
                <w:rFonts w:ascii="Times New Roman" w:cs="Times New Roman" w:hAnsiTheme="minorEastAsia"/>
                <w:sz w:val="21"/>
                <w:szCs w:val="21"/>
              </w:rPr>
              <w:t>～</w:t>
            </w:r>
            <w:r>
              <w:rPr>
                <w:rFonts w:ascii="Times New Roman" w:hAnsi="Times New Roman" w:cs="Times New Roman"/>
                <w:sz w:val="21"/>
                <w:szCs w:val="21"/>
              </w:rPr>
              <w:t>10°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资源</w:t>
            </w:r>
            <w:r>
              <w:rPr>
                <w:rFonts w:ascii="Times New Roman" w:hAnsi="Times New Roman" w:cs="Times New Roman"/>
                <w:sz w:val="21"/>
                <w:szCs w:val="21"/>
              </w:rPr>
              <w:t>/</w:t>
            </w:r>
            <w:r>
              <w:rPr>
                <w:rFonts w:ascii="Times New Roman" w:cs="Times New Roman" w:hAnsiTheme="minorEastAsia"/>
                <w:sz w:val="21"/>
                <w:szCs w:val="21"/>
              </w:rPr>
              <w:t>储量</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现保有资源量</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kern w:val="0"/>
                <w:sz w:val="21"/>
                <w:szCs w:val="21"/>
              </w:rPr>
              <w:t>58.75</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工业资源</w:t>
            </w:r>
            <w:r>
              <w:rPr>
                <w:rFonts w:ascii="Times New Roman" w:hAnsi="Times New Roman" w:cs="Times New Roman"/>
                <w:sz w:val="21"/>
                <w:szCs w:val="21"/>
              </w:rPr>
              <w:t>/</w:t>
            </w:r>
            <w:r>
              <w:rPr>
                <w:rFonts w:ascii="Times New Roman" w:cs="Times New Roman" w:hAnsiTheme="minorEastAsia"/>
                <w:sz w:val="21"/>
                <w:szCs w:val="21"/>
              </w:rPr>
              <w:t>储量</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kern w:val="0"/>
                <w:sz w:val="21"/>
                <w:szCs w:val="21"/>
              </w:rPr>
              <w:t>58.64</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3</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设计资源</w:t>
            </w:r>
            <w:r>
              <w:rPr>
                <w:rFonts w:ascii="Times New Roman" w:hAnsi="Times New Roman" w:cs="Times New Roman"/>
                <w:sz w:val="21"/>
                <w:szCs w:val="21"/>
              </w:rPr>
              <w:t>/</w:t>
            </w:r>
            <w:r>
              <w:rPr>
                <w:rFonts w:ascii="Times New Roman" w:cs="Times New Roman" w:hAnsiTheme="minorEastAsia"/>
                <w:sz w:val="21"/>
                <w:szCs w:val="21"/>
              </w:rPr>
              <w:t>储量</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48.24</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4</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设计可采储量</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29.54</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4</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煤类</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4</w:t>
            </w:r>
            <w:r>
              <w:rPr>
                <w:rFonts w:ascii="Times New Roman" w:cs="Times New Roman" w:hAnsiTheme="minorEastAsia"/>
                <w:sz w:val="21"/>
                <w:szCs w:val="21"/>
              </w:rPr>
              <w:t>号煤层</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肥煤</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5</w:t>
            </w:r>
            <w:r>
              <w:rPr>
                <w:rFonts w:ascii="Times New Roman" w:cs="Times New Roman" w:hAnsiTheme="minorEastAsia"/>
                <w:sz w:val="21"/>
                <w:szCs w:val="21"/>
              </w:rPr>
              <w:t>、</w:t>
            </w:r>
            <w:r>
              <w:rPr>
                <w:rFonts w:ascii="Times New Roman" w:hAnsi="Times New Roman" w:cs="Times New Roman"/>
                <w:sz w:val="21"/>
                <w:szCs w:val="21"/>
              </w:rPr>
              <w:t>8</w:t>
            </w:r>
            <w:r>
              <w:rPr>
                <w:rFonts w:ascii="Times New Roman" w:cs="Times New Roman" w:hAnsiTheme="minorEastAsia"/>
                <w:sz w:val="21"/>
                <w:szCs w:val="21"/>
              </w:rPr>
              <w:t>、</w:t>
            </w:r>
            <w:r>
              <w:rPr>
                <w:rFonts w:ascii="Times New Roman" w:hAnsi="Times New Roman" w:cs="Times New Roman"/>
                <w:sz w:val="21"/>
                <w:szCs w:val="21"/>
              </w:rPr>
              <w:t>9</w:t>
            </w:r>
            <w:r>
              <w:rPr>
                <w:rFonts w:ascii="Times New Roman" w:cs="Times New Roman" w:hAnsiTheme="minorEastAsia"/>
                <w:sz w:val="21"/>
                <w:szCs w:val="21"/>
              </w:rPr>
              <w:t>号煤层</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焦煤</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5</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煤质</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灰分（原煤）</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24.14</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5</w:t>
            </w:r>
            <w:r>
              <w:rPr>
                <w:rFonts w:ascii="Times New Roman" w:cs="Times New Roman" w:hAnsiTheme="minorEastAsia"/>
                <w:sz w:val="21"/>
                <w:szCs w:val="21"/>
              </w:rPr>
              <w:t>号煤层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硫分（原煤）</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0.72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3</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原煤挥发分</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26.82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4</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发热量</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MJ/kg</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30.47</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6</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矿井设计生产能力</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年设计生产能力</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Mt/a</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日设计生产能力</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t/d</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3636</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7</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矿井服务年限</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设计生产年限</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a</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18.2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+785m</w:t>
            </w:r>
            <w:r>
              <w:rPr>
                <w:rFonts w:ascii="Times New Roman" w:cs="Times New Roman" w:hAnsiTheme="minorEastAsia"/>
                <w:sz w:val="21"/>
                <w:szCs w:val="21"/>
              </w:rPr>
              <w:t>水平以上</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a</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4.2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8</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矿井设计工作制度</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年工作天数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d</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330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日工作班数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班</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w:t>
            </w:r>
            <w:r>
              <w:rPr>
                <w:rFonts w:ascii="Times New Roman" w:cs="Times New Roman" w:hAnsiTheme="minorEastAsia"/>
                <w:sz w:val="21"/>
                <w:szCs w:val="21"/>
              </w:rPr>
              <w:t>（地面）、</w:t>
            </w:r>
            <w:r>
              <w:rPr>
                <w:rFonts w:ascii="Times New Roman" w:hAnsi="Times New Roman" w:cs="Times New Roman"/>
                <w:sz w:val="21"/>
                <w:szCs w:val="21"/>
              </w:rPr>
              <w:t>4</w:t>
            </w:r>
            <w:r>
              <w:rPr>
                <w:rFonts w:ascii="Times New Roman" w:cs="Times New Roman" w:hAnsiTheme="minorEastAsia"/>
                <w:sz w:val="21"/>
                <w:szCs w:val="21"/>
              </w:rPr>
              <w:t>（井下）</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地面</w:t>
            </w:r>
            <w:r>
              <w:rPr>
                <w:rFonts w:ascii="Times New Roman" w:hAnsi="Times New Roman" w:cs="Times New Roman"/>
                <w:sz w:val="21"/>
                <w:szCs w:val="21"/>
              </w:rPr>
              <w:t>“</w:t>
            </w:r>
            <w:r>
              <w:rPr>
                <w:rFonts w:ascii="Times New Roman" w:cs="Times New Roman" w:hAnsiTheme="minorEastAsia"/>
                <w:sz w:val="21"/>
                <w:szCs w:val="21"/>
              </w:rPr>
              <w:t>三八</w:t>
            </w:r>
            <w:r>
              <w:rPr>
                <w:rFonts w:ascii="Times New Roman" w:hAnsi="Times New Roman" w:cs="Times New Roman"/>
                <w:sz w:val="21"/>
                <w:szCs w:val="21"/>
              </w:rPr>
              <w:t>”</w:t>
            </w:r>
            <w:r>
              <w:rPr>
                <w:rFonts w:ascii="Times New Roman" w:cs="Times New Roman" w:hAnsiTheme="minorEastAsia"/>
                <w:sz w:val="21"/>
                <w:szCs w:val="21"/>
              </w:rPr>
              <w:t>、</w:t>
            </w:r>
          </w:p>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井下</w:t>
            </w:r>
            <w:r>
              <w:rPr>
                <w:rFonts w:ascii="Times New Roman" w:hAnsi="Times New Roman" w:cs="Times New Roman"/>
                <w:sz w:val="21"/>
                <w:szCs w:val="21"/>
              </w:rPr>
              <w:t>“</w:t>
            </w:r>
            <w:r>
              <w:rPr>
                <w:rFonts w:ascii="Times New Roman" w:cs="Times New Roman" w:hAnsiTheme="minorEastAsia"/>
                <w:sz w:val="21"/>
                <w:szCs w:val="21"/>
              </w:rPr>
              <w:t>四六</w:t>
            </w:r>
            <w:r>
              <w:rPr>
                <w:rFonts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9</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井田开拓</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开拓方式</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斜井开拓</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水平数目</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个</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3</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一水平标高</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+750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4</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大巷煤炭运输方式</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ST</w:t>
            </w:r>
            <w:r>
              <w:rPr>
                <w:rFonts w:ascii="Times New Roman" w:cs="Times New Roman" w:hAnsiTheme="minorEastAsia"/>
                <w:sz w:val="21"/>
                <w:szCs w:val="21"/>
              </w:rPr>
              <w:t>系列胶带输送机</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5</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辅助运输方式</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轨道、串车运输</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10</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移交采区</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采煤工作面个数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个</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掘进工作面个数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个</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pacing w:val="-20"/>
                <w:sz w:val="21"/>
                <w:szCs w:val="21"/>
              </w:rPr>
              <w:t>3</w:t>
            </w:r>
          </w:p>
        </w:tc>
        <w:tc>
          <w:tcPr>
            <w:tcW w:w="865" w:type="pct"/>
            <w:tcMar>
              <w:top w:w="15" w:type="dxa"/>
              <w:left w:w="15" w:type="dxa"/>
              <w:bottom w:w="0" w:type="dxa"/>
              <w:right w:w="15" w:type="dxa"/>
            </w:tcMar>
            <w:vAlign w:val="center"/>
          </w:tcPr>
          <w:p>
            <w:pPr>
              <w:pStyle w:val="145"/>
              <w:spacing w:line="240" w:lineRule="auto"/>
              <w:rPr>
                <w:rFonts w:ascii="Times New Roman" w:hAnsi="Times New Roman" w:eastAsiaTheme="minorEastAsia"/>
                <w:color w:val="auto"/>
                <w:sz w:val="21"/>
                <w:szCs w:val="21"/>
              </w:rPr>
            </w:pPr>
            <w:r>
              <w:rPr>
                <w:rFonts w:ascii="Times New Roman" w:hAnsi="Times New Roman" w:eastAsiaTheme="minorEastAsia"/>
                <w:color w:val="auto"/>
                <w:sz w:val="21"/>
                <w:szCs w:val="21"/>
              </w:rPr>
              <w:t>2个煤综、</w:t>
            </w:r>
          </w:p>
          <w:p>
            <w:pPr>
              <w:pStyle w:val="145"/>
              <w:spacing w:line="240" w:lineRule="auto"/>
              <w:rPr>
                <w:rFonts w:ascii="Times New Roman" w:hAnsi="Times New Roman" w:eastAsiaTheme="minorEastAsia"/>
                <w:color w:val="auto"/>
                <w:sz w:val="21"/>
                <w:szCs w:val="21"/>
              </w:rPr>
            </w:pPr>
            <w:r>
              <w:rPr>
                <w:rFonts w:ascii="Times New Roman" w:hAnsi="Times New Roman" w:eastAsiaTheme="minorEastAsia"/>
                <w:color w:val="auto"/>
                <w:sz w:val="21"/>
                <w:szCs w:val="21"/>
              </w:rPr>
              <w:t>1个煤（岩）普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3</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采煤方法</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综采（放）</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4</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主要采煤设备</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采煤机</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45"/>
              <w:spacing w:line="240" w:lineRule="auto"/>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MG400/730-WD</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w:t>
            </w:r>
            <w:r>
              <w:rPr>
                <w:rFonts w:ascii="Times New Roman" w:cs="Times New Roman" w:hAnsiTheme="minorEastAsia"/>
                <w:sz w:val="21"/>
                <w:szCs w:val="21"/>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液压支架</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ZF8600/17/38</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133</w:t>
            </w:r>
            <w:r>
              <w:rPr>
                <w:rFonts w:ascii="Times New Roman" w:cs="Times New Roman" w:hAnsiTheme="minorEastAsia"/>
                <w:sz w:val="21"/>
                <w:szCs w:val="21"/>
              </w:rPr>
              <w:t>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刮板输送机</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SGZ764/315</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2</w:t>
            </w:r>
            <w:r>
              <w:rPr>
                <w:rFonts w:ascii="Times New Roman" w:cs="Times New Roman" w:hAnsiTheme="minorEastAsia"/>
                <w:sz w:val="21"/>
                <w:szCs w:val="21"/>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11</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矿井主要设备</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主井提升设备</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45"/>
              <w:spacing w:line="240" w:lineRule="auto"/>
              <w:rPr>
                <w:rFonts w:ascii="Times New Roman" w:hAnsi="Times New Roman" w:eastAsiaTheme="minorEastAsia"/>
                <w:color w:val="auto"/>
                <w:sz w:val="21"/>
                <w:szCs w:val="21"/>
              </w:rPr>
            </w:pPr>
            <w:r>
              <w:rPr>
                <w:rFonts w:ascii="Times New Roman" w:hAnsi="Times New Roman" w:eastAsiaTheme="minorEastAsia"/>
                <w:color w:val="auto"/>
                <w:sz w:val="21"/>
                <w:szCs w:val="21"/>
              </w:rPr>
              <w:t>ST系列带式输送机</w:t>
            </w:r>
          </w:p>
        </w:tc>
        <w:tc>
          <w:tcPr>
            <w:tcW w:w="865" w:type="pct"/>
            <w:tcMar>
              <w:top w:w="15" w:type="dxa"/>
              <w:left w:w="15" w:type="dxa"/>
              <w:bottom w:w="0" w:type="dxa"/>
              <w:right w:w="15" w:type="dxa"/>
            </w:tcMar>
            <w:vAlign w:val="center"/>
          </w:tcPr>
          <w:p>
            <w:pPr>
              <w:pStyle w:val="145"/>
              <w:spacing w:line="240" w:lineRule="auto"/>
              <w:rPr>
                <w:rFonts w:ascii="Times New Roman" w:hAnsi="Times New Roman" w:eastAsiaTheme="minorEastAsia"/>
                <w:color w:val="auto"/>
                <w:sz w:val="21"/>
                <w:szCs w:val="21"/>
              </w:rPr>
            </w:pPr>
            <w:r>
              <w:rPr>
                <w:rFonts w:ascii="Times New Roman" w:hAnsi="Times New Roman" w:eastAsiaTheme="minorEastAsia"/>
                <w:color w:val="auto"/>
                <w:sz w:val="21"/>
                <w:szCs w:val="21"/>
              </w:rPr>
              <w:t>配450kW电机2台（一用一备）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副井提升设备</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45"/>
              <w:spacing w:line="240" w:lineRule="auto"/>
              <w:rPr>
                <w:rFonts w:ascii="Times New Roman" w:hAnsi="Times New Roman" w:eastAsiaTheme="minorEastAsia"/>
                <w:color w:val="auto"/>
                <w:sz w:val="21"/>
                <w:szCs w:val="21"/>
              </w:rPr>
            </w:pPr>
            <w:r>
              <w:rPr>
                <w:rFonts w:ascii="Times New Roman" w:hAnsi="Times New Roman" w:eastAsiaTheme="minorEastAsia"/>
                <w:color w:val="auto"/>
                <w:sz w:val="21"/>
                <w:szCs w:val="21"/>
              </w:rPr>
              <w:t>JK-3.5×2.2型</w:t>
            </w:r>
          </w:p>
          <w:p>
            <w:pPr>
              <w:pStyle w:val="145"/>
              <w:spacing w:line="240" w:lineRule="auto"/>
              <w:rPr>
                <w:rFonts w:ascii="Times New Roman" w:hAnsi="Times New Roman" w:eastAsiaTheme="minorEastAsia"/>
                <w:color w:val="auto"/>
                <w:sz w:val="21"/>
                <w:szCs w:val="21"/>
              </w:rPr>
            </w:pPr>
            <w:r>
              <w:rPr>
                <w:rFonts w:ascii="Times New Roman" w:hAnsi="Times New Roman" w:eastAsiaTheme="minorEastAsia"/>
                <w:color w:val="auto"/>
                <w:sz w:val="21"/>
                <w:szCs w:val="21"/>
              </w:rPr>
              <w:t>单滚筒单绳提升机</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kern w:val="0"/>
                <w:sz w:val="21"/>
                <w:szCs w:val="21"/>
              </w:rPr>
            </w:pPr>
            <w:r>
              <w:rPr>
                <w:rFonts w:ascii="Times New Roman" w:hAnsi="Times New Roman" w:cs="Times New Roman"/>
                <w:kern w:val="0"/>
                <w:sz w:val="21"/>
                <w:szCs w:val="21"/>
              </w:rPr>
              <w:t>配560kW电机1台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3</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通风设备</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45"/>
              <w:spacing w:line="240" w:lineRule="auto"/>
              <w:rPr>
                <w:rFonts w:ascii="Times New Roman" w:hAnsi="Times New Roman" w:eastAsiaTheme="minorEastAsia"/>
                <w:color w:val="auto"/>
                <w:sz w:val="21"/>
                <w:szCs w:val="21"/>
              </w:rPr>
            </w:pPr>
            <w:r>
              <w:rPr>
                <w:rFonts w:ascii="Times New Roman" w:hAnsi="Times New Roman" w:eastAsiaTheme="minorEastAsia"/>
                <w:color w:val="auto"/>
                <w:sz w:val="21"/>
                <w:szCs w:val="21"/>
              </w:rPr>
              <w:t>FBCDZ-8-NO26</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kern w:val="0"/>
                <w:sz w:val="21"/>
                <w:szCs w:val="21"/>
              </w:rPr>
            </w:pPr>
            <w:r>
              <w:rPr>
                <w:rFonts w:ascii="Times New Roman" w:hAnsi="Times New Roman" w:cs="Times New Roman"/>
                <w:kern w:val="0"/>
                <w:sz w:val="21"/>
                <w:szCs w:val="21"/>
              </w:rPr>
              <w:t>配355kW电机2台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4</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排水设备</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45"/>
              <w:spacing w:line="240" w:lineRule="auto"/>
              <w:rPr>
                <w:rFonts w:ascii="Times New Roman" w:hAnsi="Times New Roman" w:eastAsiaTheme="minorEastAsia"/>
                <w:color w:val="auto"/>
                <w:kern w:val="2"/>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1"/>
              <w:spacing w:line="240" w:lineRule="auto"/>
              <w:ind w:firstLine="0"/>
              <w:jc w:val="center"/>
              <w:rPr>
                <w:rFonts w:eastAsiaTheme="minorEastAsia"/>
                <w:b w:val="0"/>
                <w:sz w:val="21"/>
                <w:szCs w:val="21"/>
              </w:rPr>
            </w:pPr>
            <w:r>
              <w:rPr>
                <w:rFonts w:eastAsiaTheme="minorEastAsia"/>
                <w:b w:val="0"/>
                <w:sz w:val="21"/>
                <w:szCs w:val="21"/>
              </w:rPr>
              <w:t>+750m</w:t>
            </w:r>
            <w:r>
              <w:rPr>
                <w:rFonts w:hAnsiTheme="minorEastAsia" w:eastAsiaTheme="minorEastAsia"/>
                <w:b w:val="0"/>
                <w:sz w:val="21"/>
                <w:szCs w:val="21"/>
              </w:rPr>
              <w:t>水平主排水设备</w:t>
            </w:r>
          </w:p>
        </w:tc>
        <w:tc>
          <w:tcPr>
            <w:tcW w:w="468" w:type="pct"/>
            <w:tcMar>
              <w:top w:w="15" w:type="dxa"/>
              <w:left w:w="15" w:type="dxa"/>
              <w:bottom w:w="0" w:type="dxa"/>
              <w:right w:w="15" w:type="dxa"/>
            </w:tcMar>
            <w:vAlign w:val="center"/>
          </w:tcPr>
          <w:p>
            <w:pPr>
              <w:pStyle w:val="11"/>
              <w:spacing w:line="240" w:lineRule="auto"/>
              <w:ind w:firstLine="0"/>
              <w:jc w:val="center"/>
              <w:rPr>
                <w:rFonts w:eastAsiaTheme="minorEastAsia"/>
                <w:b w:val="0"/>
                <w:sz w:val="21"/>
                <w:szCs w:val="21"/>
              </w:rPr>
            </w:pPr>
          </w:p>
        </w:tc>
        <w:tc>
          <w:tcPr>
            <w:tcW w:w="1323" w:type="pct"/>
            <w:tcMar>
              <w:top w:w="15" w:type="dxa"/>
              <w:left w:w="15" w:type="dxa"/>
              <w:bottom w:w="0" w:type="dxa"/>
              <w:right w:w="15" w:type="dxa"/>
            </w:tcMar>
            <w:vAlign w:val="center"/>
          </w:tcPr>
          <w:p>
            <w:pPr>
              <w:pStyle w:val="11"/>
              <w:spacing w:line="240" w:lineRule="auto"/>
              <w:ind w:firstLine="0"/>
              <w:jc w:val="center"/>
              <w:rPr>
                <w:rFonts w:eastAsiaTheme="minorEastAsia"/>
                <w:b w:val="0"/>
                <w:sz w:val="21"/>
                <w:szCs w:val="21"/>
              </w:rPr>
            </w:pPr>
            <w:r>
              <w:rPr>
                <w:rFonts w:eastAsiaTheme="minorEastAsia"/>
                <w:b w:val="0"/>
                <w:sz w:val="21"/>
                <w:szCs w:val="21"/>
              </w:rPr>
              <w:t>MD300-65×5T1</w:t>
            </w:r>
            <w:r>
              <w:rPr>
                <w:rFonts w:hAnsiTheme="minorEastAsia" w:eastAsiaTheme="minorEastAsia"/>
                <w:b w:val="0"/>
                <w:sz w:val="21"/>
                <w:szCs w:val="21"/>
              </w:rPr>
              <w:t>型</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w:t>
            </w:r>
            <w:r>
              <w:rPr>
                <w:rFonts w:ascii="Times New Roman" w:cs="Times New Roman" w:hAnsiTheme="minorEastAsia"/>
                <w:sz w:val="21"/>
                <w:szCs w:val="21"/>
              </w:rPr>
              <w:t>台（电机</w:t>
            </w:r>
            <w:r>
              <w:rPr>
                <w:rFonts w:ascii="Times New Roman" w:hAnsi="Times New Roman" w:cs="Times New Roman"/>
                <w:sz w:val="21"/>
                <w:szCs w:val="21"/>
              </w:rPr>
              <w:t>400kW</w:t>
            </w:r>
            <w:r>
              <w:rPr>
                <w:rFonts w:ascii="Times New Roman" w:cs="Times New Roman" w:hAnsi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1"/>
              <w:spacing w:line="240" w:lineRule="auto"/>
              <w:ind w:firstLine="0"/>
              <w:jc w:val="center"/>
              <w:rPr>
                <w:rFonts w:eastAsiaTheme="minorEastAsia"/>
                <w:b w:val="0"/>
                <w:sz w:val="21"/>
                <w:szCs w:val="21"/>
              </w:rPr>
            </w:pPr>
            <w:r>
              <w:rPr>
                <w:rFonts w:eastAsiaTheme="minorEastAsia"/>
                <w:b w:val="0"/>
                <w:sz w:val="21"/>
                <w:szCs w:val="21"/>
              </w:rPr>
              <w:t>+576m</w:t>
            </w:r>
            <w:r>
              <w:rPr>
                <w:rFonts w:hAnsiTheme="minorEastAsia" w:eastAsiaTheme="minorEastAsia"/>
                <w:b w:val="0"/>
                <w:sz w:val="21"/>
                <w:szCs w:val="21"/>
              </w:rPr>
              <w:t>采区排水设备</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45"/>
              <w:spacing w:line="240" w:lineRule="auto"/>
              <w:rPr>
                <w:rFonts w:ascii="Times New Roman" w:hAnsi="Times New Roman" w:eastAsiaTheme="minorEastAsia"/>
                <w:color w:val="auto"/>
                <w:sz w:val="21"/>
                <w:szCs w:val="21"/>
              </w:rPr>
            </w:pPr>
            <w:r>
              <w:rPr>
                <w:rFonts w:ascii="Times New Roman" w:hAnsi="Times New Roman" w:eastAsiaTheme="minorEastAsia"/>
                <w:color w:val="auto"/>
                <w:sz w:val="21"/>
                <w:szCs w:val="21"/>
              </w:rPr>
              <w:t>MD155-30×8</w:t>
            </w:r>
            <w:r>
              <w:rPr>
                <w:rFonts w:ascii="Times New Roman" w:hAnsiTheme="minorEastAsia" w:eastAsiaTheme="minorEastAsia"/>
                <w:color w:val="auto"/>
                <w:sz w:val="21"/>
                <w:szCs w:val="21"/>
              </w:rPr>
              <w:t>型</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w:t>
            </w:r>
            <w:r>
              <w:rPr>
                <w:rFonts w:ascii="Times New Roman" w:cs="Times New Roman" w:hAnsiTheme="minorEastAsia"/>
                <w:sz w:val="21"/>
                <w:szCs w:val="21"/>
              </w:rPr>
              <w:t>台（电机</w:t>
            </w:r>
            <w:r>
              <w:rPr>
                <w:rFonts w:ascii="Times New Roman" w:hAnsi="Times New Roman" w:cs="Times New Roman"/>
                <w:sz w:val="21"/>
                <w:szCs w:val="21"/>
              </w:rPr>
              <w:t>200kW</w:t>
            </w:r>
            <w:r>
              <w:rPr>
                <w:rFonts w:ascii="Times New Roman" w:cs="Times New Roman" w:hAnsi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1"/>
              <w:spacing w:line="240" w:lineRule="auto"/>
              <w:ind w:firstLine="0"/>
              <w:jc w:val="center"/>
              <w:rPr>
                <w:rFonts w:eastAsiaTheme="minorEastAsia"/>
                <w:b w:val="0"/>
                <w:sz w:val="21"/>
                <w:szCs w:val="21"/>
              </w:rPr>
            </w:pPr>
            <w:r>
              <w:rPr>
                <w:rFonts w:eastAsiaTheme="minorEastAsia"/>
                <w:b w:val="0"/>
                <w:sz w:val="21"/>
                <w:szCs w:val="21"/>
              </w:rPr>
              <w:t>+576m</w:t>
            </w:r>
            <w:r>
              <w:rPr>
                <w:rFonts w:hAnsiTheme="minorEastAsia" w:eastAsiaTheme="minorEastAsia"/>
                <w:b w:val="0"/>
                <w:sz w:val="21"/>
                <w:szCs w:val="21"/>
              </w:rPr>
              <w:t>潜水泵</w:t>
            </w:r>
          </w:p>
        </w:tc>
        <w:tc>
          <w:tcPr>
            <w:tcW w:w="468" w:type="pct"/>
            <w:tcMar>
              <w:top w:w="15" w:type="dxa"/>
              <w:left w:w="15" w:type="dxa"/>
              <w:bottom w:w="0" w:type="dxa"/>
              <w:right w:w="15" w:type="dxa"/>
            </w:tcMar>
            <w:vAlign w:val="center"/>
          </w:tcPr>
          <w:p>
            <w:pPr>
              <w:pStyle w:val="11"/>
              <w:spacing w:line="240" w:lineRule="auto"/>
              <w:ind w:firstLine="0"/>
              <w:jc w:val="center"/>
              <w:rPr>
                <w:rFonts w:eastAsiaTheme="minorEastAsia"/>
                <w:b w:val="0"/>
                <w:sz w:val="21"/>
                <w:szCs w:val="21"/>
              </w:rPr>
            </w:pPr>
          </w:p>
        </w:tc>
        <w:tc>
          <w:tcPr>
            <w:tcW w:w="1323" w:type="pct"/>
            <w:tcMar>
              <w:top w:w="15" w:type="dxa"/>
              <w:left w:w="15" w:type="dxa"/>
              <w:bottom w:w="0" w:type="dxa"/>
              <w:right w:w="15" w:type="dxa"/>
            </w:tcMar>
            <w:vAlign w:val="center"/>
          </w:tcPr>
          <w:p>
            <w:pPr>
              <w:pStyle w:val="11"/>
              <w:spacing w:line="240" w:lineRule="auto"/>
              <w:ind w:firstLine="0"/>
              <w:jc w:val="center"/>
              <w:rPr>
                <w:rFonts w:eastAsiaTheme="minorEastAsia"/>
                <w:b w:val="0"/>
                <w:sz w:val="21"/>
                <w:szCs w:val="21"/>
              </w:rPr>
            </w:pPr>
            <w:r>
              <w:rPr>
                <w:rFonts w:eastAsiaTheme="minorEastAsia"/>
                <w:b w:val="0"/>
                <w:sz w:val="21"/>
                <w:szCs w:val="21"/>
              </w:rPr>
              <w:t>BQ275-383/10-450/W-S</w:t>
            </w:r>
            <w:r>
              <w:rPr>
                <w:rFonts w:hAnsiTheme="minorEastAsia" w:eastAsiaTheme="minorEastAsia"/>
                <w:b w:val="0"/>
                <w:sz w:val="21"/>
                <w:szCs w:val="21"/>
              </w:rPr>
              <w:t>型</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kern w:val="0"/>
                <w:sz w:val="21"/>
                <w:szCs w:val="21"/>
              </w:rPr>
            </w:pPr>
            <w:r>
              <w:rPr>
                <w:rFonts w:ascii="Times New Roman" w:hAnsi="Times New Roman" w:cs="Times New Roman"/>
                <w:kern w:val="0"/>
                <w:sz w:val="21"/>
                <w:szCs w:val="21"/>
              </w:rPr>
              <w:t>2</w:t>
            </w:r>
            <w:r>
              <w:rPr>
                <w:rFonts w:ascii="Times New Roman" w:cs="Times New Roman" w:hAnsiTheme="minorEastAsia"/>
                <w:kern w:val="0"/>
                <w:sz w:val="21"/>
                <w:szCs w:val="21"/>
              </w:rPr>
              <w:t>台</w:t>
            </w:r>
            <w:r>
              <w:rPr>
                <w:rFonts w:ascii="Times New Roman" w:cs="Times New Roman" w:hAnsiTheme="minorEastAsia"/>
                <w:sz w:val="21"/>
                <w:szCs w:val="21"/>
              </w:rPr>
              <w:t>（电机</w:t>
            </w:r>
            <w:r>
              <w:rPr>
                <w:rFonts w:ascii="Times New Roman" w:hAnsi="Times New Roman" w:cs="Times New Roman"/>
                <w:sz w:val="21"/>
                <w:szCs w:val="21"/>
              </w:rPr>
              <w:t>450kW</w:t>
            </w:r>
            <w:r>
              <w:rPr>
                <w:rFonts w:ascii="Times New Roman" w:cs="Times New Roman" w:hAnsi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5</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压缩空气设备</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45"/>
              <w:spacing w:line="240" w:lineRule="auto"/>
              <w:rPr>
                <w:rFonts w:ascii="Times New Roman" w:hAnsi="Times New Roman" w:eastAsiaTheme="minorEastAsia"/>
                <w:color w:val="auto"/>
                <w:kern w:val="2"/>
                <w:sz w:val="21"/>
                <w:szCs w:val="21"/>
              </w:rPr>
            </w:pPr>
            <w:r>
              <w:rPr>
                <w:rFonts w:ascii="Times New Roman" w:hAnsi="Times New Roman" w:eastAsiaTheme="minorEastAsia"/>
                <w:color w:val="auto"/>
                <w:sz w:val="21"/>
                <w:szCs w:val="21"/>
              </w:rPr>
              <w:t>34.2m</w:t>
            </w:r>
            <w:r>
              <w:rPr>
                <w:rFonts w:ascii="Times New Roman" w:hAnsi="Times New Roman" w:eastAsiaTheme="minorEastAsia"/>
                <w:color w:val="auto"/>
                <w:sz w:val="21"/>
                <w:szCs w:val="21"/>
                <w:vertAlign w:val="superscript"/>
              </w:rPr>
              <w:t>3</w:t>
            </w:r>
            <w:r>
              <w:rPr>
                <w:rFonts w:ascii="Times New Roman" w:hAnsi="Times New Roman" w:eastAsiaTheme="minorEastAsia"/>
                <w:color w:val="auto"/>
                <w:sz w:val="21"/>
                <w:szCs w:val="21"/>
              </w:rPr>
              <w:t>/min</w:t>
            </w:r>
            <w:r>
              <w:rPr>
                <w:rFonts w:ascii="Times New Roman" w:hAnsiTheme="minorEastAsia" w:eastAsiaTheme="minorEastAsia"/>
                <w:color w:val="auto"/>
                <w:sz w:val="21"/>
                <w:szCs w:val="21"/>
              </w:rPr>
              <w:t>、</w:t>
            </w:r>
            <w:r>
              <w:rPr>
                <w:rFonts w:ascii="Times New Roman" w:hAnsi="Times New Roman" w:eastAsiaTheme="minorEastAsia"/>
                <w:color w:val="auto"/>
                <w:sz w:val="21"/>
                <w:szCs w:val="21"/>
              </w:rPr>
              <w:t>0.8MPa</w:t>
            </w:r>
            <w:r>
              <w:rPr>
                <w:rFonts w:ascii="Times New Roman" w:hAnsiTheme="minorEastAsia" w:eastAsiaTheme="minorEastAsia"/>
                <w:color w:val="auto"/>
                <w:sz w:val="21"/>
                <w:szCs w:val="21"/>
              </w:rPr>
              <w:t>螺杆式</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w:t>
            </w:r>
            <w:r>
              <w:rPr>
                <w:rFonts w:ascii="Times New Roman" w:cs="Times New Roman" w:hAnsiTheme="minorEastAsia"/>
                <w:sz w:val="21"/>
                <w:szCs w:val="21"/>
              </w:rPr>
              <w:t>台（</w:t>
            </w:r>
            <w:r>
              <w:rPr>
                <w:rFonts w:ascii="Times New Roman" w:cs="Times New Roman" w:hAnsiTheme="minorEastAsia"/>
                <w:spacing w:val="-20"/>
                <w:sz w:val="21"/>
                <w:szCs w:val="21"/>
              </w:rPr>
              <w:t>电机</w:t>
            </w:r>
            <w:r>
              <w:rPr>
                <w:rFonts w:ascii="Times New Roman" w:hAnsi="Times New Roman" w:cs="Times New Roman"/>
                <w:spacing w:val="-20"/>
                <w:sz w:val="21"/>
                <w:szCs w:val="21"/>
              </w:rPr>
              <w:t>185kW</w:t>
            </w:r>
            <w:r>
              <w:rPr>
                <w:rFonts w:ascii="Times New Roman" w:cs="Times New Roman" w:hAnsiTheme="minorEastAsia"/>
                <w:spacing w:val="-2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12</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地面运输</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工业场地场外公路长度</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1076</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工业场地场外公路辅助路长度</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60.5</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13</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建设用地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用地总面积</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kern w:val="28"/>
                <w:sz w:val="21"/>
                <w:szCs w:val="21"/>
              </w:rPr>
              <w:t>hm</w:t>
            </w:r>
            <w:r>
              <w:rPr>
                <w:rFonts w:ascii="Times New Roman" w:hAnsi="Times New Roman" w:cs="Times New Roman"/>
                <w:kern w:val="28"/>
                <w:sz w:val="21"/>
                <w:szCs w:val="21"/>
                <w:vertAlign w:val="superscript"/>
              </w:rPr>
              <w:t>2</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14.96</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其中：工业场地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kern w:val="28"/>
                <w:sz w:val="21"/>
                <w:szCs w:val="21"/>
              </w:rPr>
              <w:t>hm</w:t>
            </w:r>
            <w:r>
              <w:rPr>
                <w:rFonts w:ascii="Times New Roman" w:hAnsi="Times New Roman" w:cs="Times New Roman"/>
                <w:kern w:val="28"/>
                <w:sz w:val="21"/>
                <w:szCs w:val="21"/>
                <w:vertAlign w:val="superscript"/>
              </w:rPr>
              <w:t>2</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9.58</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风井场地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kern w:val="28"/>
                <w:sz w:val="21"/>
                <w:szCs w:val="21"/>
              </w:rPr>
              <w:t>hm</w:t>
            </w:r>
            <w:r>
              <w:rPr>
                <w:rFonts w:ascii="Times New Roman" w:hAnsi="Times New Roman" w:cs="Times New Roman"/>
                <w:kern w:val="28"/>
                <w:sz w:val="21"/>
                <w:szCs w:val="21"/>
                <w:vertAlign w:val="superscript"/>
              </w:rPr>
              <w:t>2</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1.32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道路</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kern w:val="28"/>
                <w:sz w:val="21"/>
                <w:szCs w:val="21"/>
              </w:rPr>
            </w:pPr>
            <w:r>
              <w:rPr>
                <w:rFonts w:ascii="Times New Roman" w:hAnsi="Times New Roman" w:cs="Times New Roman"/>
                <w:kern w:val="28"/>
                <w:sz w:val="21"/>
                <w:szCs w:val="21"/>
              </w:rPr>
              <w:t>hm</w:t>
            </w:r>
            <w:r>
              <w:rPr>
                <w:rFonts w:ascii="Times New Roman" w:hAnsi="Times New Roman" w:cs="Times New Roman"/>
                <w:kern w:val="28"/>
                <w:sz w:val="21"/>
                <w:szCs w:val="21"/>
                <w:vertAlign w:val="superscript"/>
              </w:rPr>
              <w:t>2</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3.96</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其他</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kern w:val="28"/>
                <w:sz w:val="21"/>
                <w:szCs w:val="21"/>
              </w:rPr>
            </w:pPr>
            <w:r>
              <w:rPr>
                <w:rFonts w:ascii="Times New Roman" w:hAnsi="Times New Roman" w:cs="Times New Roman"/>
                <w:kern w:val="28"/>
                <w:sz w:val="21"/>
                <w:szCs w:val="21"/>
              </w:rPr>
              <w:t>hm</w:t>
            </w:r>
            <w:r>
              <w:rPr>
                <w:rFonts w:ascii="Times New Roman" w:hAnsi="Times New Roman" w:cs="Times New Roman"/>
                <w:kern w:val="28"/>
                <w:sz w:val="21"/>
                <w:szCs w:val="21"/>
                <w:vertAlign w:val="superscript"/>
              </w:rPr>
              <w:t>2</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0.10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14</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地面建筑</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工业建（构）筑物总体积</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m³</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77181</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行政公共建筑物总面积</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kern w:val="28"/>
                <w:sz w:val="21"/>
                <w:szCs w:val="21"/>
              </w:rPr>
              <w:t>m</w:t>
            </w:r>
            <w:r>
              <w:rPr>
                <w:rFonts w:ascii="Times New Roman" w:hAnsi="Times New Roman" w:cs="Times New Roman"/>
                <w:kern w:val="28"/>
                <w:sz w:val="21"/>
                <w:szCs w:val="21"/>
                <w:vertAlign w:val="superscript"/>
              </w:rPr>
              <w:t>2</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20170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15</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人员配置</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在籍员工总数</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人</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627</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其中：原煤生产人员</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人</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32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生产工人</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人</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395</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原煤生产率</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t/</w:t>
            </w:r>
            <w:r>
              <w:rPr>
                <w:rFonts w:ascii="Times New Roman" w:cs="Times New Roman" w:hAnsiTheme="minorEastAsia"/>
                <w:sz w:val="21"/>
                <w:szCs w:val="21"/>
              </w:rPr>
              <w:t>工</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8.42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16</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概算投资</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静态投资</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kern w:val="0"/>
                <w:sz w:val="21"/>
                <w:szCs w:val="21"/>
              </w:rPr>
              <w:t>100736.72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其中：矿建工程</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widowControl/>
              <w:jc w:val="center"/>
              <w:rPr>
                <w:rFonts w:eastAsiaTheme="minorEastAsia"/>
                <w:kern w:val="0"/>
                <w:szCs w:val="21"/>
              </w:rPr>
            </w:pPr>
            <w:r>
              <w:rPr>
                <w:rFonts w:eastAsiaTheme="minorEastAsia"/>
                <w:kern w:val="0"/>
                <w:szCs w:val="21"/>
              </w:rPr>
              <w:t>28349.36</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土建工程</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widowControl/>
              <w:jc w:val="center"/>
              <w:rPr>
                <w:rFonts w:eastAsiaTheme="minorEastAsia"/>
                <w:kern w:val="0"/>
                <w:szCs w:val="21"/>
              </w:rPr>
            </w:pPr>
            <w:r>
              <w:rPr>
                <w:rFonts w:eastAsiaTheme="minorEastAsia"/>
                <w:kern w:val="0"/>
                <w:szCs w:val="21"/>
              </w:rPr>
              <w:t>15495.04</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设备与工器具购置</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widowControl/>
              <w:jc w:val="center"/>
              <w:rPr>
                <w:rFonts w:eastAsiaTheme="minorEastAsia"/>
                <w:kern w:val="0"/>
                <w:szCs w:val="21"/>
              </w:rPr>
            </w:pPr>
            <w:r>
              <w:rPr>
                <w:rFonts w:eastAsiaTheme="minorEastAsia"/>
                <w:kern w:val="0"/>
                <w:szCs w:val="21"/>
              </w:rPr>
              <w:t>24640.70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安装工程</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widowControl/>
              <w:jc w:val="center"/>
              <w:rPr>
                <w:rFonts w:eastAsiaTheme="minorEastAsia"/>
                <w:kern w:val="0"/>
                <w:szCs w:val="21"/>
              </w:rPr>
            </w:pPr>
            <w:r>
              <w:rPr>
                <w:rFonts w:eastAsiaTheme="minorEastAsia"/>
                <w:kern w:val="0"/>
                <w:szCs w:val="21"/>
              </w:rPr>
              <w:t>10395.27</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其他费用</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widowControl/>
              <w:jc w:val="center"/>
              <w:rPr>
                <w:rFonts w:eastAsiaTheme="minorEastAsia"/>
                <w:kern w:val="0"/>
                <w:szCs w:val="21"/>
              </w:rPr>
            </w:pPr>
            <w:r>
              <w:rPr>
                <w:rFonts w:eastAsiaTheme="minorEastAsia"/>
                <w:kern w:val="0"/>
                <w:szCs w:val="21"/>
              </w:rPr>
              <w:t>13260.14</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工程预备费</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highlight w:val="yellow"/>
              </w:rPr>
            </w:pPr>
            <w:r>
              <w:rPr>
                <w:rFonts w:ascii="Times New Roman" w:hAnsi="Times New Roman" w:cs="Times New Roman"/>
                <w:sz w:val="21"/>
                <w:szCs w:val="21"/>
              </w:rPr>
              <w:t>8596.20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建设投资贷款利息</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5103.00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建设项目总造价</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105839.72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3</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铺底流动资金</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1119.90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建设项目总资金</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106959.62</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4</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吨煤投资</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万元</w:t>
            </w:r>
            <w:r>
              <w:rPr>
                <w:rFonts w:ascii="Times New Roman" w:hAnsi="Times New Roman" w:cs="Times New Roman"/>
                <w:sz w:val="21"/>
                <w:szCs w:val="21"/>
              </w:rPr>
              <w:t>/t</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882.00</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17</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项目建设工期</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1</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建设总工期</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月</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42.5</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2</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工期</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月</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36.5</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0" w:type="dxa"/>
            <w:bottom w:w="0" w:type="dxa"/>
            <w:right w:w="0" w:type="dxa"/>
          </w:tblCellMar>
        </w:tblPrEx>
        <w:trPr>
          <w:trHeight w:val="340" w:hRule="atLeast"/>
          <w:jc w:val="center"/>
        </w:trPr>
        <w:tc>
          <w:tcPr>
            <w:tcW w:w="49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w:t>
            </w:r>
            <w:r>
              <w:rPr>
                <w:rFonts w:ascii="Times New Roman" w:hAnsi="Times New Roman" w:cs="Times New Roman"/>
                <w:sz w:val="21"/>
                <w:szCs w:val="21"/>
              </w:rPr>
              <w:t>3</w:t>
            </w:r>
            <w:r>
              <w:rPr>
                <w:rFonts w:ascii="Times New Roman" w:cs="Times New Roman" w:hAnsiTheme="minorEastAsia"/>
                <w:sz w:val="21"/>
                <w:szCs w:val="21"/>
              </w:rPr>
              <w:t>）</w:t>
            </w:r>
          </w:p>
        </w:tc>
        <w:tc>
          <w:tcPr>
            <w:tcW w:w="1851"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项目投产至达产的时间</w:t>
            </w:r>
          </w:p>
        </w:tc>
        <w:tc>
          <w:tcPr>
            <w:tcW w:w="468"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月</w:t>
            </w:r>
          </w:p>
        </w:tc>
        <w:tc>
          <w:tcPr>
            <w:tcW w:w="1323"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w:t>
            </w:r>
          </w:p>
        </w:tc>
        <w:tc>
          <w:tcPr>
            <w:tcW w:w="865" w:type="pct"/>
            <w:tcMar>
              <w:top w:w="15" w:type="dxa"/>
              <w:left w:w="15" w:type="dxa"/>
              <w:bottom w:w="0" w:type="dxa"/>
              <w:right w:w="15" w:type="dxa"/>
            </w:tcMar>
            <w:vAlign w:val="center"/>
          </w:tcPr>
          <w:p>
            <w:pPr>
              <w:pStyle w:val="122"/>
              <w:spacing w:line="240" w:lineRule="auto"/>
              <w:rPr>
                <w:rFonts w:ascii="Times New Roman" w:hAnsi="Times New Roman" w:cs="Times New Roman"/>
                <w:sz w:val="21"/>
                <w:szCs w:val="21"/>
              </w:rPr>
            </w:pPr>
          </w:p>
        </w:tc>
      </w:tr>
    </w:tbl>
    <w:p>
      <w:pPr>
        <w:spacing w:line="360" w:lineRule="auto"/>
        <w:outlineLvl w:val="2"/>
        <w:rPr>
          <w:rFonts w:eastAsiaTheme="minorEastAsia"/>
          <w:b/>
          <w:sz w:val="24"/>
        </w:rPr>
      </w:pPr>
      <w:r>
        <w:rPr>
          <w:rFonts w:eastAsiaTheme="minorEastAsia"/>
          <w:b/>
          <w:sz w:val="24"/>
        </w:rPr>
        <w:t>3.2.</w:t>
      </w:r>
      <w:r>
        <w:rPr>
          <w:rFonts w:hint="eastAsia" w:eastAsiaTheme="minorEastAsia"/>
          <w:b/>
          <w:sz w:val="24"/>
        </w:rPr>
        <w:t>5</w:t>
      </w:r>
      <w:r>
        <w:rPr>
          <w:rFonts w:hAnsiTheme="minorEastAsia" w:eastAsiaTheme="minorEastAsia"/>
          <w:b/>
          <w:sz w:val="24"/>
        </w:rPr>
        <w:t>公用工程</w:t>
      </w:r>
    </w:p>
    <w:p>
      <w:pPr>
        <w:spacing w:line="360" w:lineRule="auto"/>
        <w:outlineLvl w:val="3"/>
        <w:rPr>
          <w:rFonts w:eastAsiaTheme="minorEastAsia"/>
          <w:b/>
          <w:sz w:val="24"/>
        </w:rPr>
      </w:pPr>
      <w:r>
        <w:rPr>
          <w:rFonts w:hint="eastAsia" w:hAnsiTheme="minorEastAsia" w:eastAsiaTheme="minorEastAsia"/>
          <w:b/>
          <w:sz w:val="24"/>
        </w:rPr>
        <w:t>3.2.5.1</w:t>
      </w:r>
      <w:r>
        <w:rPr>
          <w:rFonts w:hAnsiTheme="minorEastAsia" w:eastAsiaTheme="minorEastAsia"/>
          <w:b/>
          <w:sz w:val="24"/>
        </w:rPr>
        <w:t>给</w:t>
      </w:r>
      <w:r>
        <w:rPr>
          <w:rFonts w:hint="eastAsia" w:hAnsiTheme="minorEastAsia" w:eastAsiaTheme="minorEastAsia"/>
          <w:b/>
          <w:sz w:val="24"/>
        </w:rPr>
        <w:t>排</w:t>
      </w:r>
      <w:r>
        <w:rPr>
          <w:rFonts w:hAnsiTheme="minorEastAsia" w:eastAsiaTheme="minorEastAsia"/>
          <w:b/>
          <w:sz w:val="24"/>
        </w:rPr>
        <w:t>水</w:t>
      </w:r>
    </w:p>
    <w:p>
      <w:pPr>
        <w:spacing w:line="360" w:lineRule="auto"/>
        <w:ind w:firstLine="482" w:firstLineChars="200"/>
        <w:rPr>
          <w:rFonts w:eastAsiaTheme="minorEastAsia"/>
          <w:b/>
          <w:sz w:val="24"/>
        </w:rPr>
      </w:pPr>
      <w:r>
        <w:rPr>
          <w:rFonts w:hAnsiTheme="minorEastAsia" w:eastAsiaTheme="minorEastAsia"/>
          <w:b/>
          <w:sz w:val="24"/>
        </w:rPr>
        <w:t>（</w:t>
      </w:r>
      <w:r>
        <w:rPr>
          <w:rFonts w:hint="eastAsia" w:eastAsiaTheme="minorEastAsia"/>
          <w:b/>
          <w:sz w:val="24"/>
        </w:rPr>
        <w:t>一</w:t>
      </w:r>
      <w:r>
        <w:rPr>
          <w:rFonts w:hAnsiTheme="minorEastAsia" w:eastAsiaTheme="minorEastAsia"/>
          <w:b/>
          <w:sz w:val="24"/>
        </w:rPr>
        <w:t>）给水系统</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原环评：</w:t>
      </w:r>
    </w:p>
    <w:p>
      <w:pPr>
        <w:spacing w:line="360" w:lineRule="auto"/>
        <w:ind w:firstLine="480" w:firstLineChars="200"/>
        <w:rPr>
          <w:rFonts w:hAnsiTheme="minorEastAsia" w:eastAsiaTheme="minorEastAsia"/>
          <w:sz w:val="24"/>
        </w:rPr>
      </w:pPr>
      <w:r>
        <w:rPr>
          <w:rFonts w:hint="eastAsia" w:hAnsiTheme="minorEastAsia" w:eastAsiaTheme="minorEastAsia"/>
          <w:sz w:val="24"/>
        </w:rPr>
        <w:t>A、供水水源</w:t>
      </w:r>
    </w:p>
    <w:p>
      <w:pPr>
        <w:spacing w:line="360" w:lineRule="auto"/>
        <w:ind w:firstLine="480" w:firstLineChars="200"/>
        <w:rPr>
          <w:rFonts w:eastAsiaTheme="minorEastAsia"/>
          <w:sz w:val="24"/>
        </w:rPr>
      </w:pPr>
      <w:r>
        <w:rPr>
          <w:rFonts w:hAnsiTheme="minorEastAsia" w:eastAsiaTheme="minorEastAsia"/>
          <w:sz w:val="24"/>
        </w:rPr>
        <w:t>①</w:t>
      </w:r>
      <w:r>
        <w:rPr>
          <w:rFonts w:hint="eastAsia" w:hAnsiTheme="minorEastAsia" w:eastAsiaTheme="minorEastAsia"/>
          <w:sz w:val="24"/>
        </w:rPr>
        <w:t>深水井</w:t>
      </w:r>
    </w:p>
    <w:p>
      <w:pPr>
        <w:spacing w:line="360" w:lineRule="auto"/>
        <w:ind w:firstLine="480" w:firstLineChars="200"/>
        <w:rPr>
          <w:rFonts w:eastAsiaTheme="minorEastAsia"/>
          <w:sz w:val="24"/>
        </w:rPr>
      </w:pPr>
      <w:r>
        <w:rPr>
          <w:rFonts w:hAnsiTheme="minorEastAsia" w:eastAsiaTheme="minorEastAsia"/>
          <w:sz w:val="24"/>
        </w:rPr>
        <w:t>矿井地面生产生活用水采用新打深井，取自奥陶系岩溶水，涌水量</w:t>
      </w:r>
      <w:r>
        <w:rPr>
          <w:rFonts w:eastAsiaTheme="minorEastAsia"/>
          <w:sz w:val="24"/>
        </w:rPr>
        <w:t>60m</w:t>
      </w:r>
      <w:r>
        <w:rPr>
          <w:rFonts w:eastAsiaTheme="minorEastAsia"/>
          <w:sz w:val="24"/>
          <w:vertAlign w:val="superscript"/>
        </w:rPr>
        <w:t>3</w:t>
      </w:r>
      <w:r>
        <w:rPr>
          <w:rFonts w:eastAsiaTheme="minorEastAsia"/>
          <w:sz w:val="24"/>
        </w:rPr>
        <w:t>/h</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②</w:t>
      </w:r>
      <w:r>
        <w:rPr>
          <w:rFonts w:hint="eastAsia" w:hAnsiTheme="minorEastAsia" w:eastAsiaTheme="minorEastAsia"/>
          <w:sz w:val="24"/>
        </w:rPr>
        <w:t>井下涌水</w:t>
      </w:r>
    </w:p>
    <w:p>
      <w:pPr>
        <w:spacing w:line="360" w:lineRule="auto"/>
        <w:ind w:firstLine="480" w:firstLineChars="200"/>
        <w:rPr>
          <w:rFonts w:eastAsiaTheme="minorEastAsia"/>
          <w:sz w:val="24"/>
        </w:rPr>
      </w:pPr>
      <w:r>
        <w:rPr>
          <w:rFonts w:hAnsiTheme="minorEastAsia" w:eastAsiaTheme="minorEastAsia"/>
          <w:sz w:val="24"/>
        </w:rPr>
        <w:t>生产规模扩大到</w:t>
      </w:r>
      <w:r>
        <w:rPr>
          <w:rFonts w:eastAsiaTheme="minorEastAsia"/>
          <w:sz w:val="24"/>
        </w:rPr>
        <w:t>120</w:t>
      </w:r>
      <w:r>
        <w:rPr>
          <w:rFonts w:hAnsiTheme="minorEastAsia" w:eastAsiaTheme="minorEastAsia"/>
          <w:sz w:val="24"/>
        </w:rPr>
        <w:t>万</w:t>
      </w:r>
      <w:r>
        <w:rPr>
          <w:rFonts w:eastAsiaTheme="minorEastAsia"/>
          <w:sz w:val="24"/>
        </w:rPr>
        <w:t>t/a</w:t>
      </w:r>
      <w:r>
        <w:rPr>
          <w:rFonts w:hAnsiTheme="minorEastAsia" w:eastAsiaTheme="minorEastAsia"/>
          <w:sz w:val="24"/>
        </w:rPr>
        <w:t>时，</w:t>
      </w:r>
      <w:r>
        <w:rPr>
          <w:rFonts w:eastAsiaTheme="minorEastAsia"/>
          <w:sz w:val="24"/>
        </w:rPr>
        <w:t>4</w:t>
      </w:r>
      <w:r>
        <w:rPr>
          <w:rFonts w:hAnsiTheme="minorEastAsia" w:eastAsiaTheme="minorEastAsia"/>
          <w:sz w:val="24"/>
        </w:rPr>
        <w:t>、</w:t>
      </w:r>
      <w:r>
        <w:rPr>
          <w:rFonts w:eastAsiaTheme="minorEastAsia"/>
          <w:sz w:val="24"/>
        </w:rPr>
        <w:t>5</w:t>
      </w:r>
      <w:r>
        <w:rPr>
          <w:rFonts w:hAnsiTheme="minorEastAsia" w:eastAsiaTheme="minorEastAsia"/>
          <w:sz w:val="24"/>
        </w:rPr>
        <w:t>号煤层矿井正常涌水量</w:t>
      </w:r>
      <w:r>
        <w:rPr>
          <w:rFonts w:eastAsiaTheme="minorEastAsia"/>
          <w:sz w:val="24"/>
        </w:rPr>
        <w:t>576m</w:t>
      </w:r>
      <w:r>
        <w:rPr>
          <w:rFonts w:eastAsiaTheme="minorEastAsia"/>
          <w:sz w:val="24"/>
          <w:vertAlign w:val="superscript"/>
        </w:rPr>
        <w:t>3</w:t>
      </w:r>
      <w:r>
        <w:rPr>
          <w:rFonts w:eastAsiaTheme="minorEastAsia"/>
          <w:sz w:val="24"/>
        </w:rPr>
        <w:t>/d</w:t>
      </w:r>
      <w:r>
        <w:rPr>
          <w:rFonts w:hAnsiTheme="minorEastAsia" w:eastAsiaTheme="minorEastAsia"/>
          <w:sz w:val="24"/>
        </w:rPr>
        <w:t>，最大涌水量</w:t>
      </w:r>
      <w:r>
        <w:rPr>
          <w:rFonts w:eastAsiaTheme="minorEastAsia"/>
          <w:sz w:val="24"/>
        </w:rPr>
        <w:t>1152m</w:t>
      </w:r>
      <w:r>
        <w:rPr>
          <w:rFonts w:eastAsiaTheme="minorEastAsia"/>
          <w:sz w:val="24"/>
          <w:vertAlign w:val="superscript"/>
        </w:rPr>
        <w:t>3</w:t>
      </w:r>
      <w:r>
        <w:rPr>
          <w:rFonts w:eastAsiaTheme="minorEastAsia"/>
          <w:sz w:val="24"/>
        </w:rPr>
        <w:t>/d</w:t>
      </w:r>
      <w:r>
        <w:rPr>
          <w:rFonts w:hAnsiTheme="minorEastAsia" w:eastAsiaTheme="minorEastAsia"/>
          <w:sz w:val="24"/>
        </w:rPr>
        <w:t>。</w:t>
      </w:r>
      <w:r>
        <w:rPr>
          <w:rFonts w:eastAsiaTheme="minorEastAsia"/>
          <w:sz w:val="24"/>
        </w:rPr>
        <w:t>8</w:t>
      </w:r>
      <w:r>
        <w:rPr>
          <w:rFonts w:hAnsiTheme="minorEastAsia" w:eastAsiaTheme="minorEastAsia"/>
          <w:sz w:val="24"/>
        </w:rPr>
        <w:t>、</w:t>
      </w:r>
      <w:r>
        <w:rPr>
          <w:rFonts w:eastAsiaTheme="minorEastAsia"/>
          <w:sz w:val="24"/>
        </w:rPr>
        <w:t>9</w:t>
      </w:r>
      <w:r>
        <w:rPr>
          <w:rFonts w:hAnsiTheme="minorEastAsia" w:eastAsiaTheme="minorEastAsia"/>
          <w:sz w:val="24"/>
        </w:rPr>
        <w:t>号煤层矿井正常涌水量</w:t>
      </w:r>
      <w:r>
        <w:rPr>
          <w:rFonts w:eastAsiaTheme="minorEastAsia"/>
          <w:sz w:val="24"/>
        </w:rPr>
        <w:t>960m</w:t>
      </w:r>
      <w:r>
        <w:rPr>
          <w:rFonts w:eastAsiaTheme="minorEastAsia"/>
          <w:sz w:val="24"/>
          <w:vertAlign w:val="superscript"/>
        </w:rPr>
        <w:t>3</w:t>
      </w:r>
      <w:r>
        <w:rPr>
          <w:rFonts w:eastAsiaTheme="minorEastAsia"/>
          <w:sz w:val="24"/>
        </w:rPr>
        <w:t>/d</w:t>
      </w:r>
      <w:r>
        <w:rPr>
          <w:rFonts w:hAnsiTheme="minorEastAsia" w:eastAsiaTheme="minorEastAsia"/>
          <w:sz w:val="24"/>
        </w:rPr>
        <w:t>，最大涌水量</w:t>
      </w:r>
      <w:r>
        <w:rPr>
          <w:rFonts w:eastAsiaTheme="minorEastAsia"/>
          <w:sz w:val="24"/>
        </w:rPr>
        <w:t>1920m</w:t>
      </w:r>
      <w:r>
        <w:rPr>
          <w:rFonts w:eastAsiaTheme="minorEastAsia"/>
          <w:sz w:val="24"/>
          <w:vertAlign w:val="superscript"/>
        </w:rPr>
        <w:t>3</w:t>
      </w:r>
      <w:r>
        <w:rPr>
          <w:rFonts w:eastAsiaTheme="minorEastAsia"/>
          <w:sz w:val="24"/>
        </w:rPr>
        <w:t>/d</w:t>
      </w:r>
      <w:r>
        <w:rPr>
          <w:rFonts w:hAnsiTheme="minorEastAsia" w:eastAsiaTheme="minorEastAsia"/>
          <w:sz w:val="24"/>
        </w:rPr>
        <w:t>。井下排水经地面净化处理后，可作为井下消防洒水用水水源。</w:t>
      </w:r>
    </w:p>
    <w:p>
      <w:pPr>
        <w:spacing w:line="360" w:lineRule="auto"/>
        <w:ind w:firstLine="480" w:firstLineChars="200"/>
        <w:rPr>
          <w:rFonts w:hAnsiTheme="minorEastAsia" w:eastAsiaTheme="minorEastAsia"/>
          <w:sz w:val="24"/>
        </w:rPr>
      </w:pPr>
      <w:r>
        <w:rPr>
          <w:rFonts w:hint="eastAsia" w:hAnsiTheme="minorEastAsia" w:eastAsiaTheme="minorEastAsia"/>
          <w:sz w:val="24"/>
        </w:rPr>
        <w:t>B、给水系统</w:t>
      </w:r>
    </w:p>
    <w:p>
      <w:pPr>
        <w:spacing w:line="360" w:lineRule="auto"/>
        <w:ind w:firstLine="480" w:firstLineChars="200"/>
        <w:rPr>
          <w:rFonts w:hAnsiTheme="minorEastAsia" w:eastAsiaTheme="minorEastAsia"/>
          <w:sz w:val="24"/>
        </w:rPr>
      </w:pPr>
      <w:r>
        <w:rPr>
          <w:rFonts w:hint="eastAsia" w:hAnsiTheme="minorEastAsia" w:eastAsiaTheme="minorEastAsia"/>
          <w:sz w:val="24"/>
        </w:rPr>
        <w:t>矿井采取分质供水。根据水源和用水水质、用水条件的不同，供水系统分为三个：</w:t>
      </w:r>
    </w:p>
    <w:p>
      <w:pPr>
        <w:spacing w:line="360" w:lineRule="auto"/>
        <w:ind w:firstLine="480" w:firstLineChars="200"/>
        <w:rPr>
          <w:rFonts w:hAnsiTheme="minorEastAsia" w:eastAsiaTheme="minorEastAsia"/>
          <w:sz w:val="24"/>
        </w:rPr>
      </w:pPr>
      <w:r>
        <w:rPr>
          <w:rFonts w:hint="eastAsia" w:hAnsiTheme="minorEastAsia" w:eastAsiaTheme="minorEastAsia"/>
          <w:sz w:val="24"/>
        </w:rPr>
        <w:t>①工业场地生活供水及地面消防给水系统</w:t>
      </w:r>
    </w:p>
    <w:p>
      <w:pPr>
        <w:spacing w:line="360" w:lineRule="auto"/>
        <w:ind w:firstLine="480" w:firstLineChars="200"/>
        <w:rPr>
          <w:rFonts w:hAnsiTheme="minorEastAsia" w:eastAsiaTheme="minorEastAsia"/>
          <w:sz w:val="24"/>
        </w:rPr>
      </w:pPr>
      <w:r>
        <w:rPr>
          <w:rFonts w:hint="eastAsia" w:hAnsiTheme="minorEastAsia" w:eastAsiaTheme="minorEastAsia"/>
          <w:sz w:val="24"/>
        </w:rPr>
        <w:t>本系统水源取自新打深水井。经水泵加压输送至位于工业场地的生活水池。</w:t>
      </w:r>
    </w:p>
    <w:p>
      <w:pPr>
        <w:spacing w:line="360" w:lineRule="auto"/>
        <w:ind w:firstLine="480" w:firstLineChars="200"/>
        <w:rPr>
          <w:rFonts w:hAnsiTheme="minorEastAsia" w:eastAsiaTheme="minorEastAsia"/>
          <w:sz w:val="24"/>
        </w:rPr>
      </w:pPr>
      <w:r>
        <w:rPr>
          <w:rFonts w:hint="eastAsia" w:hAnsiTheme="minorEastAsia" w:eastAsiaTheme="minorEastAsia"/>
          <w:sz w:val="24"/>
        </w:rPr>
        <w:t>②生活污水回用水系统</w:t>
      </w:r>
    </w:p>
    <w:p>
      <w:pPr>
        <w:spacing w:line="360" w:lineRule="auto"/>
        <w:ind w:firstLine="480" w:firstLineChars="200"/>
        <w:rPr>
          <w:rFonts w:hAnsiTheme="minorEastAsia" w:eastAsiaTheme="minorEastAsia"/>
          <w:sz w:val="24"/>
        </w:rPr>
      </w:pPr>
      <w:r>
        <w:rPr>
          <w:rFonts w:hint="eastAsia" w:hAnsiTheme="minorEastAsia" w:eastAsiaTheme="minorEastAsia"/>
          <w:sz w:val="24"/>
        </w:rPr>
        <w:t>生活废水经地埋式水处理设备生化处理及消毒后，作为工业场地绿化及道路降尘洒水，多余回用于洗煤补充水。</w:t>
      </w:r>
    </w:p>
    <w:p>
      <w:pPr>
        <w:spacing w:line="360" w:lineRule="auto"/>
        <w:ind w:firstLine="480" w:firstLineChars="200"/>
        <w:rPr>
          <w:rFonts w:hAnsiTheme="minorEastAsia" w:eastAsiaTheme="minorEastAsia"/>
          <w:sz w:val="24"/>
        </w:rPr>
      </w:pPr>
      <w:r>
        <w:rPr>
          <w:rFonts w:hint="eastAsia" w:hAnsiTheme="minorEastAsia" w:eastAsiaTheme="minorEastAsia"/>
          <w:sz w:val="24"/>
        </w:rPr>
        <w:t>③井下排水回用水系统</w:t>
      </w:r>
    </w:p>
    <w:p>
      <w:pPr>
        <w:spacing w:line="360" w:lineRule="auto"/>
        <w:ind w:firstLine="480" w:firstLineChars="200"/>
        <w:rPr>
          <w:rFonts w:hAnsiTheme="minorEastAsia" w:eastAsiaTheme="minorEastAsia"/>
          <w:sz w:val="24"/>
          <w:highlight w:val="yellow"/>
        </w:rPr>
      </w:pPr>
      <w:r>
        <w:rPr>
          <w:rFonts w:hint="eastAsia" w:hAnsiTheme="minorEastAsia" w:eastAsiaTheme="minorEastAsia"/>
          <w:sz w:val="24"/>
        </w:rPr>
        <w:t>本系统水源取自处理后的井下排水。井下排水排至地面水处理站经混凝、沉淀、过滤、消毒，处理后水质符合井下防尘洒水用水水质标准，复用于井下消防洒水用水和黄泥灌浆。</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变更后：</w:t>
      </w:r>
    </w:p>
    <w:p>
      <w:pPr>
        <w:spacing w:line="360" w:lineRule="auto"/>
        <w:ind w:firstLine="480" w:firstLineChars="200"/>
        <w:rPr>
          <w:rFonts w:hAnsiTheme="minorEastAsia" w:eastAsiaTheme="minorEastAsia"/>
          <w:sz w:val="24"/>
        </w:rPr>
      </w:pPr>
      <w:r>
        <w:rPr>
          <w:rFonts w:hint="eastAsia" w:hAnsiTheme="minorEastAsia" w:eastAsiaTheme="minorEastAsia"/>
          <w:sz w:val="24"/>
        </w:rPr>
        <w:t>A、供水水源</w:t>
      </w:r>
    </w:p>
    <w:p>
      <w:pPr>
        <w:spacing w:line="360" w:lineRule="auto"/>
        <w:ind w:firstLine="480" w:firstLineChars="200"/>
        <w:rPr>
          <w:rFonts w:eastAsiaTheme="minorEastAsia"/>
          <w:sz w:val="24"/>
        </w:rPr>
      </w:pPr>
      <w:r>
        <w:rPr>
          <w:rFonts w:hAnsiTheme="minorEastAsia" w:eastAsiaTheme="minorEastAsia"/>
          <w:sz w:val="24"/>
        </w:rPr>
        <w:t>①</w:t>
      </w:r>
      <w:r>
        <w:rPr>
          <w:rFonts w:hint="eastAsia" w:hAnsiTheme="minorEastAsia" w:eastAsiaTheme="minorEastAsia"/>
          <w:sz w:val="24"/>
        </w:rPr>
        <w:t>深水井</w:t>
      </w:r>
    </w:p>
    <w:p>
      <w:pPr>
        <w:spacing w:line="360" w:lineRule="auto"/>
        <w:ind w:firstLine="480" w:firstLineChars="200"/>
        <w:rPr>
          <w:rFonts w:hAnsiTheme="minorEastAsia" w:eastAsiaTheme="minorEastAsia"/>
          <w:sz w:val="24"/>
        </w:rPr>
      </w:pPr>
      <w:r>
        <w:rPr>
          <w:rFonts w:hint="eastAsia" w:hAnsiTheme="minorEastAsia" w:eastAsiaTheme="minorEastAsia"/>
          <w:kern w:val="0"/>
          <w:sz w:val="24"/>
          <w:lang w:val="en-GB"/>
        </w:rPr>
        <w:t>本矿生活用水</w:t>
      </w:r>
      <w:r>
        <w:rPr>
          <w:rFonts w:hint="eastAsia" w:hAnsiTheme="minorEastAsia" w:eastAsiaTheme="minorEastAsia"/>
          <w:sz w:val="24"/>
        </w:rPr>
        <w:t>由2座水源井供给，一座为选煤厂场地中既有水源井，一座备用水井。既有水源井井径0.45m，井深220m，出水量约为60m</w:t>
      </w:r>
      <w:r>
        <w:rPr>
          <w:rFonts w:hint="eastAsia" w:hAnsiTheme="minorEastAsia" w:eastAsiaTheme="minorEastAsia"/>
          <w:sz w:val="24"/>
          <w:vertAlign w:val="superscript"/>
        </w:rPr>
        <w:t>3</w:t>
      </w:r>
      <w:r>
        <w:rPr>
          <w:rFonts w:hint="eastAsia" w:hAnsiTheme="minorEastAsia" w:eastAsiaTheme="minorEastAsia"/>
          <w:sz w:val="24"/>
        </w:rPr>
        <w:t>/h，满足矿井生活及部分生产用水量要求；备用井位于已有水源井500m, 井径0.3m，井深220m；每座水源井设1座深井泵房，配备1台深井泵，型号为150QZJ20-260/31（Q=20m</w:t>
      </w:r>
      <w:r>
        <w:rPr>
          <w:rFonts w:hint="eastAsia" w:hAnsiTheme="minorEastAsia" w:eastAsiaTheme="minorEastAsia"/>
          <w:sz w:val="24"/>
          <w:vertAlign w:val="superscript"/>
        </w:rPr>
        <w:t>3</w:t>
      </w:r>
      <w:r>
        <w:rPr>
          <w:rFonts w:hint="eastAsia" w:hAnsiTheme="minorEastAsia" w:eastAsiaTheme="minorEastAsia"/>
          <w:sz w:val="24"/>
        </w:rPr>
        <w:t>/h，H=240m，N=30kW）。2座水井均</w:t>
      </w:r>
      <w:r>
        <w:rPr>
          <w:rFonts w:hAnsiTheme="minorEastAsia" w:eastAsiaTheme="minorEastAsia"/>
          <w:sz w:val="24"/>
        </w:rPr>
        <w:t>取自奥陶系岩溶水。</w:t>
      </w:r>
    </w:p>
    <w:p>
      <w:pPr>
        <w:spacing w:line="360" w:lineRule="auto"/>
        <w:ind w:firstLine="480" w:firstLineChars="200"/>
        <w:rPr>
          <w:rFonts w:eastAsiaTheme="minorEastAsia"/>
          <w:sz w:val="24"/>
        </w:rPr>
      </w:pPr>
      <w:r>
        <w:rPr>
          <w:rFonts w:hAnsiTheme="minorEastAsia" w:eastAsiaTheme="minorEastAsia"/>
          <w:sz w:val="24"/>
        </w:rPr>
        <w:t>②</w:t>
      </w:r>
      <w:r>
        <w:rPr>
          <w:rFonts w:hint="eastAsia" w:hAnsiTheme="minorEastAsia" w:eastAsiaTheme="minorEastAsia"/>
          <w:sz w:val="24"/>
        </w:rPr>
        <w:t>井下涌水</w:t>
      </w:r>
    </w:p>
    <w:p>
      <w:pPr>
        <w:spacing w:line="360" w:lineRule="auto"/>
        <w:ind w:firstLine="480" w:firstLineChars="200"/>
        <w:rPr>
          <w:rFonts w:eastAsiaTheme="minorEastAsia"/>
          <w:sz w:val="24"/>
        </w:rPr>
      </w:pPr>
      <w:r>
        <w:rPr>
          <w:rFonts w:hint="eastAsia" w:hAnsiTheme="minorEastAsia" w:eastAsiaTheme="minorEastAsia"/>
          <w:sz w:val="24"/>
        </w:rPr>
        <w:t>矿井涌水量同原环评，无变化。矿井涌水量</w:t>
      </w:r>
      <w:r>
        <w:rPr>
          <w:rFonts w:hAnsiTheme="minorEastAsia" w:eastAsiaTheme="minorEastAsia"/>
          <w:sz w:val="24"/>
        </w:rPr>
        <w:t>经处理后，可作为井下消防洒水</w:t>
      </w:r>
      <w:r>
        <w:rPr>
          <w:rFonts w:hint="eastAsia" w:hAnsiTheme="minorEastAsia" w:eastAsiaTheme="minorEastAsia"/>
          <w:sz w:val="24"/>
        </w:rPr>
        <w:t>用水、地面消防用水、绿化</w:t>
      </w:r>
      <w:r>
        <w:rPr>
          <w:rFonts w:hAnsiTheme="minorEastAsia" w:eastAsiaTheme="minorEastAsia"/>
          <w:sz w:val="24"/>
        </w:rPr>
        <w:t>用水</w:t>
      </w:r>
      <w:r>
        <w:rPr>
          <w:rFonts w:hint="eastAsia" w:hAnsiTheme="minorEastAsia" w:eastAsiaTheme="minorEastAsia"/>
          <w:sz w:val="24"/>
        </w:rPr>
        <w:t>及道路洒水抑尘等，剩余部分达标排放</w:t>
      </w:r>
      <w:r>
        <w:rPr>
          <w:rFonts w:hAnsiTheme="minorEastAsia" w:eastAsiaTheme="minorEastAsia"/>
          <w:sz w:val="24"/>
        </w:rPr>
        <w:t>。</w:t>
      </w:r>
    </w:p>
    <w:p>
      <w:pPr>
        <w:spacing w:line="360" w:lineRule="auto"/>
        <w:ind w:firstLine="480" w:firstLineChars="200"/>
        <w:rPr>
          <w:rFonts w:hAnsiTheme="minorEastAsia" w:eastAsiaTheme="minorEastAsia"/>
          <w:sz w:val="24"/>
        </w:rPr>
      </w:pPr>
      <w:r>
        <w:rPr>
          <w:rFonts w:hint="eastAsia" w:hAnsiTheme="minorEastAsia" w:eastAsiaTheme="minorEastAsia"/>
          <w:sz w:val="24"/>
        </w:rPr>
        <w:t>B、给水系统</w:t>
      </w:r>
    </w:p>
    <w:p>
      <w:pPr>
        <w:spacing w:line="360" w:lineRule="auto"/>
        <w:ind w:firstLine="480" w:firstLineChars="200"/>
        <w:rPr>
          <w:rFonts w:hAnsiTheme="minorEastAsia" w:eastAsiaTheme="minorEastAsia"/>
          <w:sz w:val="24"/>
        </w:rPr>
      </w:pPr>
      <w:r>
        <w:rPr>
          <w:rFonts w:hint="eastAsia" w:hAnsiTheme="minorEastAsia" w:eastAsiaTheme="minorEastAsia"/>
          <w:sz w:val="24"/>
        </w:rPr>
        <w:t>矿井采取分质供水。根据水源和用水水质、用水条件的不同，供水系统分为两个：</w:t>
      </w:r>
    </w:p>
    <w:p>
      <w:pPr>
        <w:spacing w:line="360" w:lineRule="auto"/>
        <w:ind w:firstLine="480" w:firstLineChars="200"/>
        <w:rPr>
          <w:rFonts w:hAnsiTheme="minorEastAsia" w:eastAsiaTheme="minorEastAsia"/>
          <w:sz w:val="24"/>
        </w:rPr>
      </w:pPr>
      <w:r>
        <w:rPr>
          <w:rFonts w:hint="eastAsia" w:hAnsiTheme="minorEastAsia" w:eastAsiaTheme="minorEastAsia"/>
          <w:sz w:val="24"/>
        </w:rPr>
        <w:t>①生活给水系统</w:t>
      </w:r>
    </w:p>
    <w:p>
      <w:pPr>
        <w:spacing w:line="360" w:lineRule="auto"/>
        <w:ind w:firstLine="480" w:firstLineChars="200"/>
        <w:rPr>
          <w:rFonts w:hAnsiTheme="minorEastAsia" w:eastAsiaTheme="minorEastAsia"/>
          <w:sz w:val="24"/>
        </w:rPr>
      </w:pPr>
      <w:r>
        <w:rPr>
          <w:rFonts w:hint="eastAsia" w:hAnsiTheme="minorEastAsia" w:eastAsiaTheme="minorEastAsia"/>
          <w:sz w:val="24"/>
        </w:rPr>
        <w:t>工业场地水源取自选煤厂场地中既有水井。经水泵加压输送至位于工业场地的生活水池。</w:t>
      </w:r>
    </w:p>
    <w:p>
      <w:pPr>
        <w:spacing w:line="360" w:lineRule="auto"/>
        <w:ind w:firstLine="480" w:firstLineChars="200"/>
        <w:rPr>
          <w:rFonts w:hAnsiTheme="minorEastAsia" w:eastAsiaTheme="minorEastAsia"/>
          <w:sz w:val="24"/>
        </w:rPr>
      </w:pPr>
      <w:r>
        <w:rPr>
          <w:rFonts w:hint="eastAsia" w:hAnsiTheme="minorEastAsia" w:eastAsiaTheme="minorEastAsia"/>
          <w:sz w:val="24"/>
        </w:rPr>
        <w:t>风井工业场地劳动定员较少，生活饮用水采用桶装水供给。</w:t>
      </w:r>
    </w:p>
    <w:p>
      <w:pPr>
        <w:spacing w:line="360" w:lineRule="auto"/>
        <w:ind w:firstLine="480" w:firstLineChars="200"/>
        <w:rPr>
          <w:rFonts w:hAnsiTheme="minorEastAsia" w:eastAsiaTheme="minorEastAsia"/>
          <w:sz w:val="24"/>
        </w:rPr>
      </w:pPr>
      <w:r>
        <w:rPr>
          <w:rFonts w:hint="eastAsia" w:hAnsiTheme="minorEastAsia" w:eastAsiaTheme="minorEastAsia"/>
          <w:sz w:val="24"/>
        </w:rPr>
        <w:t>②生产给水系统</w:t>
      </w:r>
    </w:p>
    <w:p>
      <w:pPr>
        <w:spacing w:line="360" w:lineRule="auto"/>
        <w:ind w:firstLine="480" w:firstLineChars="200"/>
        <w:rPr>
          <w:rFonts w:hAnsiTheme="minorEastAsia" w:eastAsiaTheme="minorEastAsia"/>
          <w:sz w:val="24"/>
        </w:rPr>
      </w:pPr>
      <w:r>
        <w:rPr>
          <w:rFonts w:hint="eastAsia" w:hAnsiTheme="minorEastAsia" w:eastAsiaTheme="minorEastAsia"/>
          <w:sz w:val="24"/>
        </w:rPr>
        <w:t>a、工业场地</w:t>
      </w:r>
    </w:p>
    <w:p>
      <w:pPr>
        <w:spacing w:line="360" w:lineRule="auto"/>
        <w:ind w:firstLine="480" w:firstLineChars="200"/>
        <w:rPr>
          <w:rFonts w:hAnsiTheme="minorEastAsia" w:eastAsiaTheme="minorEastAsia"/>
          <w:sz w:val="24"/>
        </w:rPr>
      </w:pPr>
      <w:r>
        <w:rPr>
          <w:rFonts w:hint="eastAsia" w:hAnsiTheme="minorEastAsia" w:eastAsiaTheme="minorEastAsia"/>
          <w:sz w:val="24"/>
        </w:rPr>
        <w:t>工业场地生产给水系统服务于井下消防洒水、绿化用水、防火灌浆用水、洗煤厂生产涌水等。用水均由处理后的矿井水及处理后的生产生活污水供给。</w:t>
      </w:r>
    </w:p>
    <w:p>
      <w:pPr>
        <w:spacing w:line="360" w:lineRule="auto"/>
        <w:ind w:firstLine="480" w:firstLineChars="200"/>
        <w:rPr>
          <w:rFonts w:hAnsiTheme="minorEastAsia" w:eastAsiaTheme="minorEastAsia"/>
          <w:sz w:val="24"/>
        </w:rPr>
      </w:pPr>
      <w:r>
        <w:rPr>
          <w:rFonts w:hint="eastAsia" w:hAnsiTheme="minorEastAsia" w:eastAsiaTheme="minorEastAsia"/>
          <w:sz w:val="24"/>
        </w:rPr>
        <w:t>生产生活污水处理站供水的生产给水系统由水池、变频回用水泵、生产给水回用管网等组成。处理后的生产生活污水经水泵加压供给既有选煤厂生产补水。</w:t>
      </w:r>
    </w:p>
    <w:p>
      <w:pPr>
        <w:spacing w:line="360" w:lineRule="auto"/>
        <w:ind w:firstLine="480" w:firstLineChars="200"/>
        <w:rPr>
          <w:rFonts w:hAnsiTheme="minorEastAsia" w:eastAsiaTheme="minorEastAsia"/>
          <w:sz w:val="24"/>
        </w:rPr>
      </w:pPr>
      <w:r>
        <w:rPr>
          <w:rFonts w:hint="eastAsia" w:hAnsiTheme="minorEastAsia" w:eastAsiaTheme="minorEastAsia"/>
          <w:sz w:val="24"/>
        </w:rPr>
        <w:t>生产系统给水管采用PE管，热熔连接，管顶覆土1.3m。</w:t>
      </w:r>
    </w:p>
    <w:p>
      <w:pPr>
        <w:spacing w:line="360" w:lineRule="auto"/>
        <w:ind w:firstLine="480" w:firstLineChars="200"/>
        <w:rPr>
          <w:rFonts w:hAnsiTheme="minorEastAsia" w:eastAsiaTheme="minorEastAsia"/>
          <w:sz w:val="24"/>
        </w:rPr>
      </w:pPr>
      <w:r>
        <w:rPr>
          <w:rFonts w:hint="eastAsia" w:hAnsiTheme="minorEastAsia" w:eastAsiaTheme="minorEastAsia"/>
          <w:sz w:val="24"/>
        </w:rPr>
        <w:t>b、风井场地</w:t>
      </w:r>
    </w:p>
    <w:p>
      <w:pPr>
        <w:spacing w:line="360" w:lineRule="auto"/>
        <w:ind w:firstLine="480" w:firstLineChars="200"/>
        <w:rPr>
          <w:rFonts w:hAnsiTheme="minorEastAsia" w:eastAsiaTheme="minorEastAsia"/>
          <w:sz w:val="24"/>
        </w:rPr>
      </w:pPr>
      <w:r>
        <w:rPr>
          <w:rFonts w:hint="eastAsia" w:hAnsiTheme="minorEastAsia" w:eastAsiaTheme="minorEastAsia"/>
          <w:sz w:val="24"/>
        </w:rPr>
        <w:t>风工业场地的冲厕、绿化、道路、浇洒用水与生产用水合用一套给水系统，均采用主、副斜井工业场地矿井水处理站处理后的矿井水供给。</w:t>
      </w:r>
    </w:p>
    <w:p>
      <w:pPr>
        <w:spacing w:line="360" w:lineRule="auto"/>
        <w:ind w:firstLine="482" w:firstLineChars="200"/>
        <w:rPr>
          <w:rFonts w:eastAsiaTheme="minorEastAsia"/>
          <w:b/>
          <w:sz w:val="24"/>
        </w:rPr>
      </w:pPr>
      <w:r>
        <w:rPr>
          <w:rFonts w:hAnsiTheme="minorEastAsia" w:eastAsiaTheme="minorEastAsia"/>
          <w:b/>
          <w:sz w:val="24"/>
        </w:rPr>
        <w:t>（</w:t>
      </w:r>
      <w:r>
        <w:rPr>
          <w:rFonts w:hint="eastAsia" w:eastAsiaTheme="minorEastAsia"/>
          <w:b/>
          <w:sz w:val="24"/>
        </w:rPr>
        <w:t>二</w:t>
      </w:r>
      <w:r>
        <w:rPr>
          <w:rFonts w:hAnsiTheme="minorEastAsia" w:eastAsiaTheme="minorEastAsia"/>
          <w:b/>
          <w:sz w:val="24"/>
        </w:rPr>
        <w:t>）排水系统</w:t>
      </w:r>
    </w:p>
    <w:p>
      <w:pPr>
        <w:pStyle w:val="39"/>
        <w:ind w:firstLine="482"/>
        <w:rPr>
          <w:rFonts w:ascii="Times New Roman" w:hAnsiTheme="minorEastAsia" w:eastAsiaTheme="minorEastAsia"/>
          <w:b/>
          <w:bCs/>
        </w:rPr>
      </w:pPr>
      <w:r>
        <w:rPr>
          <w:rFonts w:hint="eastAsia" w:ascii="Times New Roman" w:hAnsiTheme="minorEastAsia" w:eastAsiaTheme="minorEastAsia"/>
          <w:b/>
          <w:bCs/>
        </w:rPr>
        <w:t>原环评：</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w:t>
      </w:r>
      <w:r>
        <w:rPr>
          <w:rFonts w:hint="eastAsia" w:hAnsiTheme="minorEastAsia" w:eastAsiaTheme="minorEastAsia"/>
          <w:sz w:val="24"/>
        </w:rPr>
        <w:t>井下涌水</w:t>
      </w:r>
    </w:p>
    <w:p>
      <w:pPr>
        <w:spacing w:line="360" w:lineRule="auto"/>
        <w:ind w:firstLine="480" w:firstLineChars="200"/>
        <w:rPr>
          <w:rFonts w:eastAsiaTheme="minorEastAsia"/>
          <w:sz w:val="24"/>
        </w:rPr>
      </w:pPr>
      <w:r>
        <w:rPr>
          <w:rFonts w:hint="eastAsia" w:eastAsiaTheme="minorEastAsia"/>
          <w:sz w:val="24"/>
        </w:rPr>
        <w:t>矿井达设计生产能力时，4、5号煤层矿井正常涌水量576m</w:t>
      </w:r>
      <w:r>
        <w:rPr>
          <w:rFonts w:hint="eastAsia" w:eastAsiaTheme="minorEastAsia"/>
          <w:sz w:val="24"/>
          <w:vertAlign w:val="superscript"/>
        </w:rPr>
        <w:t>3</w:t>
      </w:r>
      <w:r>
        <w:rPr>
          <w:rFonts w:hint="eastAsia" w:eastAsiaTheme="minorEastAsia"/>
          <w:sz w:val="24"/>
        </w:rPr>
        <w:t>/d，最大涌水量1152m</w:t>
      </w:r>
      <w:r>
        <w:rPr>
          <w:rFonts w:hint="eastAsia" w:eastAsiaTheme="minorEastAsia"/>
          <w:sz w:val="24"/>
          <w:vertAlign w:val="superscript"/>
        </w:rPr>
        <w:t>3</w:t>
      </w:r>
      <w:r>
        <w:rPr>
          <w:rFonts w:hint="eastAsia" w:eastAsiaTheme="minorEastAsia"/>
          <w:sz w:val="24"/>
        </w:rPr>
        <w:t>/d。8、9号煤层矿井正常涌水量960m</w:t>
      </w:r>
      <w:r>
        <w:rPr>
          <w:rFonts w:hint="eastAsia" w:eastAsiaTheme="minorEastAsia"/>
          <w:sz w:val="24"/>
          <w:vertAlign w:val="superscript"/>
        </w:rPr>
        <w:t>3</w:t>
      </w:r>
      <w:r>
        <w:rPr>
          <w:rFonts w:hint="eastAsia" w:eastAsiaTheme="minorEastAsia"/>
          <w:sz w:val="24"/>
        </w:rPr>
        <w:t>/d，最大涌水量1920m</w:t>
      </w:r>
      <w:r>
        <w:rPr>
          <w:rFonts w:hint="eastAsia" w:eastAsiaTheme="minorEastAsia"/>
          <w:sz w:val="24"/>
          <w:vertAlign w:val="superscript"/>
        </w:rPr>
        <w:t>3</w:t>
      </w:r>
      <w:r>
        <w:rPr>
          <w:rFonts w:hint="eastAsia" w:eastAsiaTheme="minorEastAsia"/>
          <w:sz w:val="24"/>
        </w:rPr>
        <w:t>/d。采用</w:t>
      </w:r>
      <w:r>
        <w:rPr>
          <w:rFonts w:eastAsiaTheme="minorEastAsia"/>
          <w:sz w:val="24"/>
        </w:rPr>
        <w:t>3</w:t>
      </w:r>
      <w:r>
        <w:rPr>
          <w:rFonts w:hint="eastAsia" w:eastAsiaTheme="minorEastAsia"/>
          <w:sz w:val="24"/>
        </w:rPr>
        <w:t>台</w:t>
      </w:r>
      <w:r>
        <w:rPr>
          <w:rFonts w:eastAsiaTheme="minorEastAsia"/>
          <w:sz w:val="24"/>
        </w:rPr>
        <w:t>J-30</w:t>
      </w:r>
      <w:r>
        <w:rPr>
          <w:rFonts w:hint="eastAsia" w:eastAsiaTheme="minorEastAsia"/>
          <w:sz w:val="24"/>
        </w:rPr>
        <w:t>型全自动高效一体化净水器，处理能力均为</w:t>
      </w:r>
      <w:r>
        <w:rPr>
          <w:rFonts w:eastAsiaTheme="minorEastAsia"/>
          <w:sz w:val="24"/>
        </w:rPr>
        <w:t>30m</w:t>
      </w:r>
      <w:r>
        <w:rPr>
          <w:rFonts w:eastAsiaTheme="minorEastAsia"/>
          <w:sz w:val="24"/>
          <w:vertAlign w:val="superscript"/>
        </w:rPr>
        <w:t>3</w:t>
      </w:r>
      <w:r>
        <w:rPr>
          <w:rFonts w:eastAsiaTheme="minorEastAsia"/>
          <w:sz w:val="24"/>
        </w:rPr>
        <w:t>/h</w:t>
      </w:r>
      <w:r>
        <w:rPr>
          <w:rFonts w:hint="eastAsia" w:eastAsiaTheme="minorEastAsia"/>
          <w:sz w:val="24"/>
        </w:rPr>
        <w:t>，经矿井水处理器处理后全部回用于井下洒水和黄泥灌浆，不外排。</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）生活废水</w:t>
      </w:r>
    </w:p>
    <w:p>
      <w:pPr>
        <w:tabs>
          <w:tab w:val="left" w:pos="1050"/>
        </w:tabs>
        <w:spacing w:line="360" w:lineRule="auto"/>
        <w:ind w:firstLine="470" w:firstLineChars="196"/>
        <w:rPr>
          <w:rFonts w:eastAsiaTheme="minorEastAsia"/>
          <w:color w:val="FF0000"/>
          <w:sz w:val="24"/>
        </w:rPr>
      </w:pPr>
      <w:r>
        <w:rPr>
          <w:rFonts w:hAnsiTheme="minorEastAsia" w:eastAsiaTheme="minorEastAsia"/>
          <w:sz w:val="24"/>
        </w:rPr>
        <w:t>矿生活污水，包括浴室、食堂、宿舍、办公楼等产生的生活污水，非采暖期产生量为</w:t>
      </w:r>
      <w:r>
        <w:rPr>
          <w:rFonts w:eastAsiaTheme="minorEastAsia"/>
          <w:sz w:val="24"/>
        </w:rPr>
        <w:t>282.34m</w:t>
      </w:r>
      <w:r>
        <w:rPr>
          <w:rFonts w:eastAsiaTheme="minorEastAsia"/>
          <w:sz w:val="24"/>
          <w:vertAlign w:val="superscript"/>
        </w:rPr>
        <w:t>3</w:t>
      </w:r>
      <w:r>
        <w:rPr>
          <w:rFonts w:eastAsiaTheme="minorEastAsia"/>
          <w:sz w:val="24"/>
        </w:rPr>
        <w:t>/d</w:t>
      </w:r>
      <w:r>
        <w:rPr>
          <w:rFonts w:hAnsiTheme="minorEastAsia" w:eastAsiaTheme="minorEastAsia"/>
          <w:sz w:val="24"/>
        </w:rPr>
        <w:t>，采暖期产生量为</w:t>
      </w:r>
      <w:r>
        <w:rPr>
          <w:rFonts w:eastAsiaTheme="minorEastAsia"/>
          <w:sz w:val="24"/>
        </w:rPr>
        <w:t>269.38m</w:t>
      </w:r>
      <w:r>
        <w:rPr>
          <w:rFonts w:eastAsiaTheme="minorEastAsia"/>
          <w:sz w:val="24"/>
          <w:vertAlign w:val="superscript"/>
        </w:rPr>
        <w:t>3</w:t>
      </w:r>
      <w:r>
        <w:rPr>
          <w:rFonts w:eastAsiaTheme="minorEastAsia"/>
          <w:sz w:val="24"/>
        </w:rPr>
        <w:t>/d</w:t>
      </w:r>
      <w:r>
        <w:rPr>
          <w:rFonts w:hAnsiTheme="minorEastAsia" w:eastAsiaTheme="minorEastAsia"/>
          <w:sz w:val="24"/>
        </w:rPr>
        <w:t>。</w:t>
      </w:r>
    </w:p>
    <w:p>
      <w:pPr>
        <w:tabs>
          <w:tab w:val="left" w:pos="1050"/>
        </w:tabs>
        <w:spacing w:line="360" w:lineRule="auto"/>
        <w:ind w:firstLine="470" w:firstLineChars="196"/>
        <w:rPr>
          <w:rFonts w:hAnsiTheme="minorEastAsia" w:eastAsiaTheme="minorEastAsia"/>
          <w:sz w:val="24"/>
        </w:rPr>
      </w:pPr>
      <w:r>
        <w:rPr>
          <w:rFonts w:hint="eastAsia" w:hAnsiTheme="minorEastAsia" w:eastAsiaTheme="minorEastAsia"/>
          <w:sz w:val="24"/>
        </w:rPr>
        <w:t>项目生活污水全部回用于洗煤厂补水，不外排。</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变更后：</w:t>
      </w:r>
    </w:p>
    <w:p>
      <w:pPr>
        <w:spacing w:line="360" w:lineRule="auto"/>
        <w:ind w:firstLine="480" w:firstLineChars="200"/>
        <w:rPr>
          <w:rFonts w:eastAsiaTheme="minorEastAsia"/>
          <w:sz w:val="24"/>
        </w:rPr>
      </w:pPr>
      <w:r>
        <w:rPr>
          <w:rFonts w:hAnsiTheme="minorEastAsia" w:eastAsiaTheme="minorEastAsia"/>
          <w:sz w:val="24"/>
        </w:rPr>
        <w:t>①井下涌水</w:t>
      </w:r>
    </w:p>
    <w:p>
      <w:pPr>
        <w:spacing w:line="360" w:lineRule="auto"/>
        <w:ind w:firstLine="480" w:firstLineChars="200"/>
        <w:rPr>
          <w:rFonts w:eastAsiaTheme="minorEastAsia"/>
          <w:bCs/>
          <w:sz w:val="24"/>
        </w:rPr>
      </w:pPr>
      <w:r>
        <w:rPr>
          <w:rFonts w:hint="eastAsia" w:eastAsiaTheme="minorEastAsia"/>
          <w:bCs/>
          <w:sz w:val="24"/>
        </w:rPr>
        <w:t>矿井生产能力达120t/a后，</w:t>
      </w:r>
      <w:r>
        <w:rPr>
          <w:rFonts w:eastAsiaTheme="minorEastAsia"/>
          <w:sz w:val="24"/>
        </w:rPr>
        <w:t>4</w:t>
      </w:r>
      <w:r>
        <w:rPr>
          <w:rFonts w:hAnsiTheme="minorEastAsia" w:eastAsiaTheme="minorEastAsia"/>
          <w:sz w:val="24"/>
        </w:rPr>
        <w:t>、</w:t>
      </w:r>
      <w:r>
        <w:rPr>
          <w:rFonts w:eastAsiaTheme="minorEastAsia"/>
          <w:sz w:val="24"/>
        </w:rPr>
        <w:t>5</w:t>
      </w:r>
      <w:r>
        <w:rPr>
          <w:rFonts w:hAnsiTheme="minorEastAsia" w:eastAsiaTheme="minorEastAsia"/>
          <w:sz w:val="24"/>
        </w:rPr>
        <w:t>号煤层矿井正常涌水量</w:t>
      </w:r>
      <w:r>
        <w:rPr>
          <w:rFonts w:eastAsiaTheme="minorEastAsia"/>
          <w:sz w:val="24"/>
        </w:rPr>
        <w:t>576m</w:t>
      </w:r>
      <w:r>
        <w:rPr>
          <w:rFonts w:eastAsiaTheme="minorEastAsia"/>
          <w:sz w:val="24"/>
          <w:vertAlign w:val="superscript"/>
        </w:rPr>
        <w:t>3</w:t>
      </w:r>
      <w:r>
        <w:rPr>
          <w:rFonts w:eastAsiaTheme="minorEastAsia"/>
          <w:sz w:val="24"/>
        </w:rPr>
        <w:t>/d</w:t>
      </w:r>
      <w:r>
        <w:rPr>
          <w:rFonts w:hAnsiTheme="minorEastAsia" w:eastAsiaTheme="minorEastAsia"/>
          <w:sz w:val="24"/>
        </w:rPr>
        <w:t>，最大涌水量</w:t>
      </w:r>
      <w:r>
        <w:rPr>
          <w:rFonts w:eastAsiaTheme="minorEastAsia"/>
          <w:sz w:val="24"/>
        </w:rPr>
        <w:t>1152m</w:t>
      </w:r>
      <w:r>
        <w:rPr>
          <w:rFonts w:eastAsiaTheme="minorEastAsia"/>
          <w:sz w:val="24"/>
          <w:vertAlign w:val="superscript"/>
        </w:rPr>
        <w:t>3</w:t>
      </w:r>
      <w:r>
        <w:rPr>
          <w:rFonts w:eastAsiaTheme="minorEastAsia"/>
          <w:sz w:val="24"/>
        </w:rPr>
        <w:t>/d</w:t>
      </w:r>
      <w:r>
        <w:rPr>
          <w:rFonts w:hAnsiTheme="minorEastAsia" w:eastAsiaTheme="minorEastAsia"/>
          <w:sz w:val="24"/>
        </w:rPr>
        <w:t>。</w:t>
      </w:r>
      <w:r>
        <w:rPr>
          <w:rFonts w:eastAsiaTheme="minorEastAsia"/>
          <w:sz w:val="24"/>
        </w:rPr>
        <w:t>8</w:t>
      </w:r>
      <w:r>
        <w:rPr>
          <w:rFonts w:hAnsiTheme="minorEastAsia" w:eastAsiaTheme="minorEastAsia"/>
          <w:sz w:val="24"/>
        </w:rPr>
        <w:t>、</w:t>
      </w:r>
      <w:r>
        <w:rPr>
          <w:rFonts w:eastAsiaTheme="minorEastAsia"/>
          <w:sz w:val="24"/>
        </w:rPr>
        <w:t>9</w:t>
      </w:r>
      <w:r>
        <w:rPr>
          <w:rFonts w:hAnsiTheme="minorEastAsia" w:eastAsiaTheme="minorEastAsia"/>
          <w:sz w:val="24"/>
        </w:rPr>
        <w:t>号煤层矿井正常涌水量</w:t>
      </w:r>
      <w:r>
        <w:rPr>
          <w:rFonts w:eastAsiaTheme="minorEastAsia"/>
          <w:sz w:val="24"/>
        </w:rPr>
        <w:t>960m</w:t>
      </w:r>
      <w:r>
        <w:rPr>
          <w:rFonts w:eastAsiaTheme="minorEastAsia"/>
          <w:sz w:val="24"/>
          <w:vertAlign w:val="superscript"/>
        </w:rPr>
        <w:t>3</w:t>
      </w:r>
      <w:r>
        <w:rPr>
          <w:rFonts w:eastAsiaTheme="minorEastAsia"/>
          <w:sz w:val="24"/>
        </w:rPr>
        <w:t>/d</w:t>
      </w:r>
      <w:r>
        <w:rPr>
          <w:rFonts w:hAnsiTheme="minorEastAsia" w:eastAsiaTheme="minorEastAsia"/>
          <w:sz w:val="24"/>
        </w:rPr>
        <w:t>，最大涌水量</w:t>
      </w:r>
      <w:r>
        <w:rPr>
          <w:rFonts w:eastAsiaTheme="minorEastAsia"/>
          <w:sz w:val="24"/>
        </w:rPr>
        <w:t>1920m</w:t>
      </w:r>
      <w:r>
        <w:rPr>
          <w:rFonts w:eastAsiaTheme="minorEastAsia"/>
          <w:sz w:val="24"/>
          <w:vertAlign w:val="superscript"/>
        </w:rPr>
        <w:t>3</w:t>
      </w:r>
      <w:r>
        <w:rPr>
          <w:rFonts w:eastAsiaTheme="minorEastAsia"/>
          <w:sz w:val="24"/>
        </w:rPr>
        <w:t>/d</w:t>
      </w:r>
      <w:r>
        <w:rPr>
          <w:rFonts w:hAnsiTheme="minorEastAsia" w:eastAsiaTheme="minorEastAsia"/>
          <w:sz w:val="24"/>
        </w:rPr>
        <w:t>。</w:t>
      </w:r>
    </w:p>
    <w:p>
      <w:pPr>
        <w:spacing w:line="360" w:lineRule="auto"/>
        <w:ind w:firstLine="480" w:firstLineChars="200"/>
        <w:rPr>
          <w:rFonts w:hAnsiTheme="minorEastAsia" w:eastAsiaTheme="minorEastAsia"/>
          <w:sz w:val="24"/>
        </w:rPr>
      </w:pPr>
      <w:r>
        <w:rPr>
          <w:rFonts w:hint="eastAsia" w:hAnsiTheme="minorEastAsia" w:eastAsiaTheme="minorEastAsia"/>
          <w:sz w:val="24"/>
        </w:rPr>
        <w:t>工业场地设有一座矿井水处理站，设计处理能力为6120m</w:t>
      </w:r>
      <w:r>
        <w:rPr>
          <w:rFonts w:hint="eastAsia" w:hAnsiTheme="minorEastAsia" w:eastAsiaTheme="minorEastAsia"/>
          <w:sz w:val="24"/>
          <w:vertAlign w:val="superscript"/>
        </w:rPr>
        <w:t>3</w:t>
      </w:r>
      <w:r>
        <w:rPr>
          <w:rFonts w:hint="eastAsia" w:hAnsiTheme="minorEastAsia" w:eastAsiaTheme="minorEastAsia"/>
          <w:sz w:val="24"/>
        </w:rPr>
        <w:t>/d，矿井水处理采用“高效旋流过滤、压力式超滤”处理工艺。开采4、5号煤层时，处理达标后的矿井水全部回用于井下生产用水；开采8、9号煤层时，处理达标后的矿井水部分回用于井下生产用水，采暖季多余部分回用于洗车平台用水，非采暖季多余部分回用于锅炉补充用水，处理后的矿井水全部回用，不外排。</w:t>
      </w:r>
    </w:p>
    <w:p>
      <w:pPr>
        <w:spacing w:line="360" w:lineRule="auto"/>
        <w:ind w:firstLine="480" w:firstLineChars="200"/>
        <w:rPr>
          <w:rFonts w:hAnsiTheme="minorEastAsia" w:eastAsiaTheme="minorEastAsia"/>
          <w:sz w:val="24"/>
        </w:rPr>
      </w:pPr>
      <w:r>
        <w:rPr>
          <w:rFonts w:hint="eastAsia" w:hAnsiTheme="minorEastAsia" w:eastAsiaTheme="minorEastAsia"/>
          <w:sz w:val="24"/>
        </w:rPr>
        <w:t>矿井水处理站设有效容积400m</w:t>
      </w:r>
      <w:r>
        <w:rPr>
          <w:rFonts w:hint="eastAsia" w:hAnsiTheme="minorEastAsia" w:eastAsiaTheme="minorEastAsia"/>
          <w:sz w:val="24"/>
          <w:vertAlign w:val="superscript"/>
        </w:rPr>
        <w:t>3</w:t>
      </w:r>
      <w:r>
        <w:rPr>
          <w:rFonts w:hint="eastAsia" w:hAnsiTheme="minorEastAsia" w:eastAsiaTheme="minorEastAsia"/>
          <w:sz w:val="24"/>
        </w:rPr>
        <w:t>清水池1座，有效容积350m</w:t>
      </w:r>
      <w:r>
        <w:rPr>
          <w:rFonts w:hint="eastAsia" w:hAnsiTheme="minorEastAsia" w:eastAsiaTheme="minorEastAsia"/>
          <w:sz w:val="24"/>
          <w:vertAlign w:val="superscript"/>
        </w:rPr>
        <w:t>3</w:t>
      </w:r>
      <w:r>
        <w:rPr>
          <w:rFonts w:hint="eastAsia" w:hAnsiTheme="minorEastAsia" w:eastAsiaTheme="minorEastAsia"/>
          <w:sz w:val="24"/>
        </w:rPr>
        <w:t>超滤产水池1座，有效容积189m</w:t>
      </w:r>
      <w:r>
        <w:rPr>
          <w:rFonts w:hint="eastAsia" w:hAnsiTheme="minorEastAsia" w:eastAsiaTheme="minorEastAsia"/>
          <w:sz w:val="24"/>
          <w:vertAlign w:val="superscript"/>
        </w:rPr>
        <w:t>3</w:t>
      </w:r>
      <w:r>
        <w:rPr>
          <w:rFonts w:hint="eastAsia" w:hAnsiTheme="minorEastAsia" w:eastAsiaTheme="minorEastAsia"/>
          <w:sz w:val="24"/>
        </w:rPr>
        <w:t>排池1座，有效容积168m</w:t>
      </w:r>
      <w:r>
        <w:rPr>
          <w:rFonts w:hint="eastAsia" w:hAnsiTheme="minorEastAsia" w:eastAsiaTheme="minorEastAsia"/>
          <w:sz w:val="24"/>
          <w:vertAlign w:val="superscript"/>
        </w:rPr>
        <w:t>3</w:t>
      </w:r>
      <w:r>
        <w:rPr>
          <w:rFonts w:hint="eastAsia" w:hAnsiTheme="minorEastAsia" w:eastAsiaTheme="minorEastAsia"/>
          <w:sz w:val="24"/>
        </w:rPr>
        <w:t>煤泥池1座：其中清水池作为中间水池储存高效旋流器、净化器出水并作为其反冲洗用水，超滤产水池储存超滤处理后的矿井水。</w:t>
      </w:r>
    </w:p>
    <w:p>
      <w:pPr>
        <w:spacing w:line="360" w:lineRule="auto"/>
        <w:ind w:firstLine="480" w:firstLineChars="200"/>
        <w:rPr>
          <w:rFonts w:eastAsiaTheme="minorEastAsia"/>
          <w:sz w:val="24"/>
        </w:rPr>
      </w:pPr>
      <w:r>
        <w:rPr>
          <w:rFonts w:hAnsiTheme="minorEastAsia" w:eastAsiaTheme="minorEastAsia"/>
          <w:sz w:val="24"/>
        </w:rPr>
        <w:t>②生活污水</w:t>
      </w:r>
    </w:p>
    <w:p>
      <w:pPr>
        <w:tabs>
          <w:tab w:val="left" w:pos="1050"/>
        </w:tabs>
        <w:spacing w:line="360" w:lineRule="auto"/>
        <w:ind w:firstLine="470" w:firstLineChars="196"/>
        <w:rPr>
          <w:rFonts w:eastAsiaTheme="minorEastAsia"/>
          <w:color w:val="FF0000"/>
          <w:sz w:val="24"/>
        </w:rPr>
      </w:pPr>
      <w:r>
        <w:rPr>
          <w:rFonts w:hint="eastAsia" w:hAnsiTheme="minorEastAsia" w:eastAsiaTheme="minorEastAsia"/>
          <w:bCs/>
          <w:sz w:val="24"/>
        </w:rPr>
        <w:t>矿井生产生活污水主要包括办公生活用水、宿舍用水、食堂用水、浴室用水及洗衣房用水等产生的生活污水，</w:t>
      </w:r>
      <w:r>
        <w:rPr>
          <w:rFonts w:hAnsiTheme="minorEastAsia" w:eastAsiaTheme="minorEastAsia"/>
          <w:sz w:val="24"/>
        </w:rPr>
        <w:t>非采暖期产生量为</w:t>
      </w:r>
      <w:r>
        <w:rPr>
          <w:rFonts w:eastAsiaTheme="minorEastAsia"/>
          <w:sz w:val="24"/>
        </w:rPr>
        <w:t>2</w:t>
      </w:r>
      <w:r>
        <w:rPr>
          <w:rFonts w:hint="eastAsia" w:eastAsiaTheme="minorEastAsia"/>
          <w:sz w:val="24"/>
        </w:rPr>
        <w:t>09.61</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，采暖期产生量为</w:t>
      </w:r>
      <w:r>
        <w:rPr>
          <w:rFonts w:eastAsiaTheme="minorEastAsia"/>
          <w:sz w:val="24"/>
        </w:rPr>
        <w:t>2</w:t>
      </w:r>
      <w:r>
        <w:rPr>
          <w:rFonts w:hint="eastAsia" w:eastAsiaTheme="minorEastAsia"/>
          <w:sz w:val="24"/>
        </w:rPr>
        <w:t>15.62</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w:t>
      </w:r>
    </w:p>
    <w:p>
      <w:pPr>
        <w:spacing w:line="360" w:lineRule="auto"/>
        <w:ind w:firstLine="480" w:firstLineChars="200"/>
        <w:jc w:val="left"/>
        <w:rPr>
          <w:rFonts w:hAnsiTheme="minorEastAsia" w:eastAsiaTheme="minorEastAsia"/>
          <w:bCs/>
          <w:sz w:val="24"/>
        </w:rPr>
      </w:pPr>
      <w:r>
        <w:rPr>
          <w:rFonts w:hint="eastAsia" w:hAnsiTheme="minorEastAsia" w:eastAsiaTheme="minorEastAsia"/>
          <w:bCs/>
          <w:sz w:val="24"/>
        </w:rPr>
        <w:t>本矿井在工业场地设置一座生活污水处理站，处理规模为</w:t>
      </w:r>
      <w:r>
        <w:rPr>
          <w:rFonts w:hAnsiTheme="minorEastAsia" w:eastAsiaTheme="minorEastAsia"/>
          <w:bCs/>
          <w:sz w:val="24"/>
        </w:rPr>
        <w:t>450m</w:t>
      </w:r>
      <w:r>
        <w:rPr>
          <w:rFonts w:hAnsiTheme="minorEastAsia" w:eastAsiaTheme="minorEastAsia"/>
          <w:bCs/>
          <w:sz w:val="24"/>
          <w:vertAlign w:val="superscript"/>
        </w:rPr>
        <w:t>3</w:t>
      </w:r>
      <w:r>
        <w:rPr>
          <w:rFonts w:hAnsiTheme="minorEastAsia" w:eastAsiaTheme="minorEastAsia"/>
          <w:bCs/>
          <w:sz w:val="24"/>
        </w:rPr>
        <w:t>/d</w:t>
      </w:r>
      <w:r>
        <w:rPr>
          <w:rFonts w:hint="eastAsia" w:hAnsiTheme="minorEastAsia" w:eastAsiaTheme="minorEastAsia"/>
          <w:bCs/>
          <w:sz w:val="24"/>
        </w:rPr>
        <w:t>。处理工艺采用“厌氧、缺氧、好氧同步脱碳除磷生物处理法</w:t>
      </w:r>
      <w:r>
        <w:rPr>
          <w:rFonts w:hAnsiTheme="minorEastAsia" w:eastAsiaTheme="minorEastAsia"/>
          <w:bCs/>
          <w:sz w:val="24"/>
        </w:rPr>
        <w:t>+</w:t>
      </w:r>
      <w:r>
        <w:rPr>
          <w:rFonts w:hint="eastAsia" w:hAnsiTheme="minorEastAsia" w:eastAsiaTheme="minorEastAsia"/>
          <w:bCs/>
          <w:sz w:val="24"/>
        </w:rPr>
        <w:t>臭氧氧化、活性炭过滤”工艺，经处理后的生活污水回用于储煤场洒水、厂区道路洒水、绿化洒水、洗车平台用水，其余送至龙宇洗煤厂作为洗煤厂补充水，生活污水全部回用，不外排。</w:t>
      </w:r>
    </w:p>
    <w:p>
      <w:pPr>
        <w:tabs>
          <w:tab w:val="left" w:pos="1050"/>
        </w:tabs>
        <w:spacing w:line="360" w:lineRule="auto"/>
        <w:ind w:firstLine="470" w:firstLineChars="196"/>
        <w:rPr>
          <w:rFonts w:hAnsiTheme="minorEastAsia" w:eastAsiaTheme="minorEastAsia"/>
          <w:sz w:val="24"/>
        </w:rPr>
      </w:pPr>
      <w:r>
        <w:rPr>
          <w:rFonts w:hint="eastAsia" w:hAnsiTheme="minorEastAsia" w:eastAsiaTheme="minorEastAsia"/>
          <w:sz w:val="24"/>
        </w:rPr>
        <w:t>③本矿多余生活污水回用于洗煤厂补水的可行性分析</w:t>
      </w:r>
    </w:p>
    <w:p>
      <w:pPr>
        <w:tabs>
          <w:tab w:val="left" w:pos="1050"/>
        </w:tabs>
        <w:spacing w:line="360" w:lineRule="auto"/>
        <w:ind w:firstLine="470" w:firstLineChars="196"/>
        <w:rPr>
          <w:rFonts w:eastAsiaTheme="minorEastAsia"/>
          <w:sz w:val="24"/>
        </w:rPr>
      </w:pPr>
      <w:r>
        <w:rPr>
          <w:rFonts w:hAnsiTheme="minorEastAsia" w:eastAsiaTheme="minorEastAsia"/>
          <w:sz w:val="24"/>
        </w:rPr>
        <w:t>吕梁龙宇洗煤有限公司</w:t>
      </w:r>
      <w:r>
        <w:rPr>
          <w:rFonts w:eastAsiaTheme="minorEastAsia"/>
          <w:sz w:val="24"/>
        </w:rPr>
        <w:t>180</w:t>
      </w:r>
      <w:r>
        <w:rPr>
          <w:rFonts w:hAnsiTheme="minorEastAsia" w:eastAsiaTheme="minorEastAsia"/>
          <w:sz w:val="24"/>
        </w:rPr>
        <w:t>万</w:t>
      </w:r>
      <w:r>
        <w:rPr>
          <w:rFonts w:eastAsiaTheme="minorEastAsia"/>
          <w:sz w:val="24"/>
        </w:rPr>
        <w:t>t/a</w:t>
      </w:r>
      <w:r>
        <w:rPr>
          <w:rFonts w:hAnsiTheme="minorEastAsia" w:eastAsiaTheme="minorEastAsia"/>
          <w:sz w:val="24"/>
        </w:rPr>
        <w:t>选煤厂，已被本</w:t>
      </w:r>
      <w:r>
        <w:rPr>
          <w:rFonts w:hint="eastAsia" w:hAnsiTheme="minorEastAsia" w:eastAsiaTheme="minorEastAsia"/>
          <w:sz w:val="24"/>
        </w:rPr>
        <w:t>公司</w:t>
      </w:r>
      <w:r>
        <w:rPr>
          <w:rFonts w:hAnsiTheme="minorEastAsia" w:eastAsiaTheme="minorEastAsia"/>
          <w:sz w:val="24"/>
        </w:rPr>
        <w:t>收购，</w:t>
      </w:r>
      <w:r>
        <w:rPr>
          <w:rFonts w:hint="eastAsia" w:hAnsiTheme="minorEastAsia" w:eastAsiaTheme="minorEastAsia"/>
          <w:sz w:val="24"/>
        </w:rPr>
        <w:t>2009年9月28日该</w:t>
      </w:r>
      <w:r>
        <w:rPr>
          <w:rFonts w:hAnsiTheme="minorEastAsia" w:eastAsiaTheme="minorEastAsia"/>
          <w:sz w:val="24"/>
        </w:rPr>
        <w:t>洗煤厂经吕梁市环境保护局吕环行审</w:t>
      </w:r>
      <w:r>
        <w:rPr>
          <w:rFonts w:eastAsiaTheme="minorEastAsia"/>
          <w:sz w:val="24"/>
        </w:rPr>
        <w:t>[2009]123</w:t>
      </w:r>
      <w:r>
        <w:rPr>
          <w:rFonts w:hAnsiTheme="minorEastAsia" w:eastAsiaTheme="minorEastAsia"/>
          <w:sz w:val="24"/>
        </w:rPr>
        <w:t>号文批复</w:t>
      </w:r>
      <w:r>
        <w:rPr>
          <w:rFonts w:hint="eastAsia" w:hAnsiTheme="minorEastAsia" w:eastAsiaTheme="minorEastAsia"/>
          <w:sz w:val="24"/>
        </w:rPr>
        <w:t>；2019年6月13日，临县环境保护局以临环行备</w:t>
      </w:r>
      <w:r>
        <w:rPr>
          <w:rFonts w:eastAsiaTheme="minorEastAsia"/>
          <w:sz w:val="24"/>
        </w:rPr>
        <w:t>[20</w:t>
      </w:r>
      <w:r>
        <w:rPr>
          <w:rFonts w:hint="eastAsia" w:eastAsiaTheme="minorEastAsia"/>
          <w:sz w:val="24"/>
        </w:rPr>
        <w:t>1</w:t>
      </w:r>
      <w:r>
        <w:rPr>
          <w:rFonts w:eastAsiaTheme="minorEastAsia"/>
          <w:sz w:val="24"/>
        </w:rPr>
        <w:t>9]1</w:t>
      </w:r>
      <w:r>
        <w:rPr>
          <w:rFonts w:hint="eastAsia" w:eastAsiaTheme="minorEastAsia"/>
          <w:sz w:val="24"/>
        </w:rPr>
        <w:t>5</w:t>
      </w:r>
      <w:r>
        <w:rPr>
          <w:rFonts w:hAnsiTheme="minorEastAsia" w:eastAsiaTheme="minorEastAsia"/>
          <w:sz w:val="24"/>
        </w:rPr>
        <w:t>号</w:t>
      </w:r>
      <w:r>
        <w:rPr>
          <w:rFonts w:hint="eastAsia" w:hAnsiTheme="minorEastAsia" w:eastAsiaTheme="minorEastAsia"/>
          <w:sz w:val="24"/>
        </w:rPr>
        <w:t>文对该洗煤厂进行了环境保护竣工验收。</w:t>
      </w:r>
      <w:r>
        <w:rPr>
          <w:rFonts w:hAnsiTheme="minorEastAsia" w:eastAsiaTheme="minorEastAsia"/>
          <w:sz w:val="24"/>
        </w:rPr>
        <w:t>该洗煤厂洗煤补充水取自工业场地内自打深水井，洗煤工艺采用重介</w:t>
      </w:r>
      <w:r>
        <w:rPr>
          <w:rFonts w:eastAsiaTheme="minorEastAsia"/>
          <w:sz w:val="24"/>
        </w:rPr>
        <w:t>+</w:t>
      </w:r>
      <w:r>
        <w:rPr>
          <w:rFonts w:hAnsiTheme="minorEastAsia" w:eastAsiaTheme="minorEastAsia"/>
          <w:sz w:val="24"/>
        </w:rPr>
        <w:t>浮选，洗煤清水补充量为</w:t>
      </w:r>
      <w:r>
        <w:rPr>
          <w:rFonts w:hint="eastAsia" w:eastAsiaTheme="minorEastAsia"/>
          <w:sz w:val="24"/>
        </w:rPr>
        <w:t>9.23</w:t>
      </w:r>
      <w:r>
        <w:rPr>
          <w:rFonts w:eastAsiaTheme="minorEastAsia"/>
          <w:sz w:val="24"/>
        </w:rPr>
        <w:t>m</w:t>
      </w:r>
      <w:r>
        <w:rPr>
          <w:rFonts w:eastAsiaTheme="minorEastAsia"/>
          <w:sz w:val="24"/>
          <w:vertAlign w:val="superscript"/>
        </w:rPr>
        <w:t>3</w:t>
      </w:r>
      <w:r>
        <w:rPr>
          <w:rFonts w:eastAsiaTheme="minorEastAsia"/>
          <w:sz w:val="24"/>
        </w:rPr>
        <w:t>/</w:t>
      </w:r>
      <w:r>
        <w:rPr>
          <w:rFonts w:hint="eastAsia" w:eastAsiaTheme="minorEastAsia"/>
          <w:sz w:val="24"/>
        </w:rPr>
        <w:t>h</w:t>
      </w:r>
      <w:r>
        <w:rPr>
          <w:rFonts w:hAnsiTheme="minorEastAsia" w:eastAsiaTheme="minorEastAsia"/>
          <w:sz w:val="24"/>
        </w:rPr>
        <w:t>，日补充水量约为</w:t>
      </w:r>
      <w:r>
        <w:rPr>
          <w:rFonts w:hint="eastAsia" w:eastAsiaTheme="minorEastAsia"/>
          <w:sz w:val="24"/>
        </w:rPr>
        <w:t>147.68</w:t>
      </w:r>
      <w:r>
        <w:rPr>
          <w:rFonts w:eastAsiaTheme="minorEastAsia"/>
          <w:sz w:val="24"/>
        </w:rPr>
        <w:t>m</w:t>
      </w:r>
      <w:r>
        <w:rPr>
          <w:rFonts w:eastAsiaTheme="minorEastAsia"/>
          <w:sz w:val="24"/>
          <w:vertAlign w:val="superscript"/>
        </w:rPr>
        <w:t>3</w:t>
      </w:r>
      <w:r>
        <w:rPr>
          <w:rFonts w:hAnsiTheme="minorEastAsia" w:eastAsiaTheme="minorEastAsia"/>
          <w:sz w:val="24"/>
        </w:rPr>
        <w:t>，洗煤厂工作制度为年运行</w:t>
      </w:r>
      <w:r>
        <w:rPr>
          <w:rFonts w:eastAsiaTheme="minorEastAsia"/>
          <w:sz w:val="24"/>
        </w:rPr>
        <w:t>330</w:t>
      </w:r>
      <w:r>
        <w:rPr>
          <w:rFonts w:hAnsiTheme="minorEastAsia" w:eastAsiaTheme="minorEastAsia"/>
          <w:sz w:val="24"/>
        </w:rPr>
        <w:t>天，每天</w:t>
      </w:r>
      <w:r>
        <w:rPr>
          <w:rFonts w:eastAsiaTheme="minorEastAsia"/>
          <w:sz w:val="24"/>
        </w:rPr>
        <w:t>16h</w:t>
      </w:r>
      <w:r>
        <w:rPr>
          <w:rFonts w:hAnsiTheme="minorEastAsia" w:eastAsiaTheme="minorEastAsia"/>
          <w:sz w:val="24"/>
        </w:rPr>
        <w:t>，</w:t>
      </w:r>
      <w:r>
        <w:rPr>
          <w:rFonts w:hint="eastAsia" w:hAnsiTheme="minorEastAsia" w:eastAsiaTheme="minorEastAsia"/>
          <w:sz w:val="24"/>
        </w:rPr>
        <w:t>本矿多余的</w:t>
      </w:r>
      <w:r>
        <w:rPr>
          <w:rFonts w:hAnsiTheme="minorEastAsia" w:eastAsiaTheme="minorEastAsia"/>
          <w:sz w:val="24"/>
        </w:rPr>
        <w:t>生活废水</w:t>
      </w:r>
      <w:r>
        <w:rPr>
          <w:rFonts w:hint="eastAsia" w:hAnsiTheme="minorEastAsia" w:eastAsiaTheme="minorEastAsia"/>
          <w:sz w:val="24"/>
        </w:rPr>
        <w:t>可回用</w:t>
      </w:r>
      <w:r>
        <w:rPr>
          <w:rFonts w:hAnsiTheme="minorEastAsia" w:eastAsiaTheme="minorEastAsia"/>
          <w:sz w:val="24"/>
        </w:rPr>
        <w:t>于洗煤补充水，无外排。</w:t>
      </w:r>
    </w:p>
    <w:p>
      <w:pPr>
        <w:spacing w:line="360" w:lineRule="auto"/>
        <w:jc w:val="center"/>
        <w:rPr>
          <w:rFonts w:hAnsi="宋体"/>
          <w:b/>
          <w:szCs w:val="21"/>
        </w:rPr>
      </w:pPr>
      <w:r>
        <w:rPr>
          <w:rFonts w:hint="eastAsia" w:hAnsi="宋体"/>
          <w:b/>
          <w:szCs w:val="21"/>
        </w:rPr>
        <w:t>表</w:t>
      </w:r>
      <w:r>
        <w:rPr>
          <w:b/>
          <w:szCs w:val="21"/>
        </w:rPr>
        <w:t>3.1-4</w:t>
      </w:r>
      <w:r>
        <w:rPr>
          <w:rFonts w:hint="eastAsia" w:hAnsi="宋体"/>
          <w:b/>
          <w:szCs w:val="21"/>
        </w:rPr>
        <w:t>本项目生产、生活用水量表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2"/>
        <w:gridCol w:w="674"/>
        <w:gridCol w:w="787"/>
        <w:gridCol w:w="1842"/>
        <w:gridCol w:w="284"/>
        <w:gridCol w:w="1276"/>
        <w:gridCol w:w="992"/>
        <w:gridCol w:w="1133"/>
        <w:gridCol w:w="16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340" w:type="pct"/>
            <w:vMerge w:val="restart"/>
            <w:vAlign w:val="center"/>
          </w:tcPr>
          <w:p>
            <w:pPr>
              <w:widowControl/>
              <w:spacing w:line="288" w:lineRule="auto"/>
              <w:jc w:val="center"/>
              <w:rPr>
                <w:rFonts w:eastAsiaTheme="minorEastAsia"/>
                <w:kern w:val="0"/>
                <w:szCs w:val="21"/>
              </w:rPr>
            </w:pPr>
            <w:r>
              <w:rPr>
                <w:rFonts w:hAnsiTheme="minorEastAsia" w:eastAsiaTheme="minorEastAsia"/>
                <w:kern w:val="0"/>
                <w:szCs w:val="21"/>
              </w:rPr>
              <w:t>序号</w:t>
            </w:r>
          </w:p>
        </w:tc>
        <w:tc>
          <w:tcPr>
            <w:tcW w:w="787" w:type="pct"/>
            <w:gridSpan w:val="2"/>
            <w:vMerge w:val="restart"/>
            <w:vAlign w:val="center"/>
          </w:tcPr>
          <w:p>
            <w:pPr>
              <w:widowControl/>
              <w:spacing w:line="288" w:lineRule="auto"/>
              <w:jc w:val="center"/>
              <w:rPr>
                <w:rFonts w:eastAsiaTheme="minorEastAsia"/>
                <w:kern w:val="0"/>
                <w:szCs w:val="21"/>
              </w:rPr>
            </w:pPr>
            <w:r>
              <w:rPr>
                <w:rFonts w:hAnsiTheme="minorEastAsia" w:eastAsiaTheme="minorEastAsia"/>
                <w:kern w:val="0"/>
                <w:szCs w:val="21"/>
              </w:rPr>
              <w:t>用水名称</w:t>
            </w:r>
          </w:p>
        </w:tc>
        <w:tc>
          <w:tcPr>
            <w:tcW w:w="1145" w:type="pct"/>
            <w:gridSpan w:val="2"/>
            <w:vMerge w:val="restart"/>
            <w:vAlign w:val="center"/>
          </w:tcPr>
          <w:p>
            <w:pPr>
              <w:widowControl/>
              <w:spacing w:line="288" w:lineRule="auto"/>
              <w:jc w:val="center"/>
              <w:rPr>
                <w:rFonts w:eastAsiaTheme="minorEastAsia"/>
                <w:kern w:val="0"/>
                <w:szCs w:val="21"/>
              </w:rPr>
            </w:pPr>
            <w:r>
              <w:rPr>
                <w:rFonts w:hAnsiTheme="minorEastAsia" w:eastAsiaTheme="minorEastAsia"/>
                <w:kern w:val="0"/>
                <w:szCs w:val="21"/>
              </w:rPr>
              <w:t>规格</w:t>
            </w:r>
          </w:p>
        </w:tc>
        <w:tc>
          <w:tcPr>
            <w:tcW w:w="687" w:type="pct"/>
            <w:vMerge w:val="restart"/>
            <w:vAlign w:val="center"/>
          </w:tcPr>
          <w:p>
            <w:pPr>
              <w:widowControl/>
              <w:spacing w:line="288" w:lineRule="auto"/>
              <w:jc w:val="center"/>
              <w:rPr>
                <w:rFonts w:eastAsiaTheme="minorEastAsia"/>
                <w:kern w:val="0"/>
                <w:szCs w:val="21"/>
              </w:rPr>
            </w:pPr>
            <w:r>
              <w:rPr>
                <w:rFonts w:hAnsiTheme="minorEastAsia" w:eastAsiaTheme="minorEastAsia"/>
                <w:kern w:val="0"/>
                <w:szCs w:val="21"/>
              </w:rPr>
              <w:t>用水量标准</w:t>
            </w:r>
          </w:p>
        </w:tc>
        <w:tc>
          <w:tcPr>
            <w:tcW w:w="1144"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日用水量（</w:t>
            </w:r>
            <w:r>
              <w:rPr>
                <w:rFonts w:eastAsiaTheme="minorEastAsia"/>
                <w:kern w:val="0"/>
                <w:szCs w:val="21"/>
              </w:rPr>
              <w:t>m</w:t>
            </w:r>
            <w:r>
              <w:rPr>
                <w:rFonts w:eastAsiaTheme="minorEastAsia"/>
                <w:kern w:val="0"/>
                <w:szCs w:val="21"/>
                <w:vertAlign w:val="superscript"/>
              </w:rPr>
              <w:t>3</w:t>
            </w:r>
            <w:r>
              <w:rPr>
                <w:rFonts w:eastAsiaTheme="minorEastAsia"/>
                <w:kern w:val="0"/>
                <w:szCs w:val="21"/>
              </w:rPr>
              <w:t>/d</w:t>
            </w:r>
            <w:r>
              <w:rPr>
                <w:rFonts w:hAnsiTheme="minorEastAsia" w:eastAsiaTheme="minorEastAsia"/>
                <w:kern w:val="0"/>
                <w:szCs w:val="21"/>
              </w:rPr>
              <w:t>）</w:t>
            </w:r>
          </w:p>
        </w:tc>
        <w:tc>
          <w:tcPr>
            <w:tcW w:w="897" w:type="pct"/>
            <w:vMerge w:val="restart"/>
            <w:vAlign w:val="center"/>
          </w:tcPr>
          <w:p>
            <w:pPr>
              <w:widowControl/>
              <w:spacing w:line="288" w:lineRule="auto"/>
              <w:jc w:val="center"/>
              <w:rPr>
                <w:rFonts w:eastAsiaTheme="minorEastAsia"/>
                <w:kern w:val="0"/>
                <w:szCs w:val="21"/>
              </w:rPr>
            </w:pPr>
            <w:r>
              <w:rPr>
                <w:rFonts w:hAnsiTheme="minorEastAsia" w:eastAsiaTheme="minorEastAsia"/>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0" w:type="pct"/>
            <w:vMerge w:val="continue"/>
            <w:vAlign w:val="center"/>
          </w:tcPr>
          <w:p>
            <w:pPr>
              <w:widowControl/>
              <w:spacing w:line="288" w:lineRule="auto"/>
              <w:jc w:val="left"/>
              <w:rPr>
                <w:rFonts w:eastAsiaTheme="minorEastAsia"/>
                <w:kern w:val="0"/>
                <w:szCs w:val="21"/>
              </w:rPr>
            </w:pPr>
          </w:p>
        </w:tc>
        <w:tc>
          <w:tcPr>
            <w:tcW w:w="787" w:type="pct"/>
            <w:gridSpan w:val="2"/>
            <w:vMerge w:val="continue"/>
            <w:vAlign w:val="center"/>
          </w:tcPr>
          <w:p>
            <w:pPr>
              <w:widowControl/>
              <w:spacing w:line="288" w:lineRule="auto"/>
              <w:jc w:val="left"/>
              <w:rPr>
                <w:rFonts w:eastAsiaTheme="minorEastAsia"/>
                <w:kern w:val="0"/>
                <w:szCs w:val="21"/>
              </w:rPr>
            </w:pPr>
          </w:p>
        </w:tc>
        <w:tc>
          <w:tcPr>
            <w:tcW w:w="1145" w:type="pct"/>
            <w:gridSpan w:val="2"/>
            <w:vMerge w:val="continue"/>
            <w:vAlign w:val="center"/>
          </w:tcPr>
          <w:p>
            <w:pPr>
              <w:widowControl/>
              <w:spacing w:line="288" w:lineRule="auto"/>
              <w:jc w:val="left"/>
              <w:rPr>
                <w:rFonts w:eastAsiaTheme="minorEastAsia"/>
                <w:kern w:val="0"/>
                <w:szCs w:val="21"/>
              </w:rPr>
            </w:pPr>
          </w:p>
        </w:tc>
        <w:tc>
          <w:tcPr>
            <w:tcW w:w="687" w:type="pct"/>
            <w:vMerge w:val="continue"/>
            <w:vAlign w:val="center"/>
          </w:tcPr>
          <w:p>
            <w:pPr>
              <w:widowControl/>
              <w:spacing w:line="288" w:lineRule="auto"/>
              <w:jc w:val="left"/>
              <w:rPr>
                <w:rFonts w:eastAsiaTheme="minorEastAsia"/>
                <w:kern w:val="0"/>
                <w:szCs w:val="21"/>
              </w:rPr>
            </w:pPr>
          </w:p>
        </w:tc>
        <w:tc>
          <w:tcPr>
            <w:tcW w:w="534"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采暖期</w:t>
            </w:r>
          </w:p>
        </w:tc>
        <w:tc>
          <w:tcPr>
            <w:tcW w:w="610"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非采暖期</w:t>
            </w:r>
          </w:p>
        </w:tc>
        <w:tc>
          <w:tcPr>
            <w:tcW w:w="897" w:type="pct"/>
            <w:vMerge w:val="continue"/>
            <w:vAlign w:val="center"/>
          </w:tcPr>
          <w:p>
            <w:pPr>
              <w:widowControl/>
              <w:spacing w:line="288" w:lineRule="auto"/>
              <w:jc w:val="left"/>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0"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一</w:t>
            </w:r>
          </w:p>
        </w:tc>
        <w:tc>
          <w:tcPr>
            <w:tcW w:w="4660" w:type="pct"/>
            <w:gridSpan w:val="8"/>
            <w:vAlign w:val="center"/>
          </w:tcPr>
          <w:p>
            <w:pPr>
              <w:widowControl/>
              <w:spacing w:line="288" w:lineRule="auto"/>
              <w:jc w:val="center"/>
              <w:rPr>
                <w:rFonts w:eastAsiaTheme="minorEastAsia"/>
                <w:kern w:val="0"/>
                <w:szCs w:val="21"/>
              </w:rPr>
            </w:pPr>
            <w:r>
              <w:rPr>
                <w:rFonts w:hAnsiTheme="minorEastAsia" w:eastAsiaTheme="minorEastAsia"/>
                <w:kern w:val="0"/>
                <w:szCs w:val="21"/>
              </w:rPr>
              <w:t>生活用水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0" w:type="pct"/>
            <w:vAlign w:val="center"/>
          </w:tcPr>
          <w:p>
            <w:pPr>
              <w:widowControl/>
              <w:spacing w:line="288" w:lineRule="auto"/>
              <w:jc w:val="center"/>
              <w:rPr>
                <w:rFonts w:eastAsiaTheme="minorEastAsia"/>
                <w:kern w:val="0"/>
                <w:szCs w:val="21"/>
              </w:rPr>
            </w:pPr>
            <w:r>
              <w:rPr>
                <w:rFonts w:eastAsiaTheme="minorEastAsia"/>
                <w:kern w:val="0"/>
                <w:szCs w:val="21"/>
              </w:rPr>
              <w:t>1</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办公区生活用水</w:t>
            </w:r>
          </w:p>
        </w:tc>
        <w:tc>
          <w:tcPr>
            <w:tcW w:w="992" w:type="pct"/>
            <w:vAlign w:val="center"/>
          </w:tcPr>
          <w:p>
            <w:pPr>
              <w:widowControl/>
              <w:spacing w:line="288" w:lineRule="auto"/>
              <w:jc w:val="center"/>
              <w:rPr>
                <w:rFonts w:eastAsiaTheme="minorEastAsia"/>
                <w:kern w:val="0"/>
                <w:szCs w:val="21"/>
              </w:rPr>
            </w:pPr>
            <w:r>
              <w:rPr>
                <w:rFonts w:eastAsiaTheme="minorEastAsia"/>
                <w:kern w:val="0"/>
                <w:szCs w:val="21"/>
              </w:rPr>
              <w:t>627</w:t>
            </w:r>
            <w:r>
              <w:rPr>
                <w:rFonts w:hAnsiTheme="minorEastAsia" w:eastAsiaTheme="minorEastAsia"/>
                <w:kern w:val="0"/>
                <w:szCs w:val="21"/>
              </w:rPr>
              <w:t>人</w:t>
            </w:r>
          </w:p>
        </w:tc>
        <w:tc>
          <w:tcPr>
            <w:tcW w:w="839" w:type="pct"/>
            <w:gridSpan w:val="2"/>
            <w:vAlign w:val="center"/>
          </w:tcPr>
          <w:p>
            <w:pPr>
              <w:widowControl/>
              <w:spacing w:line="288" w:lineRule="auto"/>
              <w:jc w:val="center"/>
              <w:rPr>
                <w:rFonts w:eastAsiaTheme="minorEastAsia"/>
                <w:kern w:val="0"/>
                <w:szCs w:val="21"/>
              </w:rPr>
            </w:pPr>
            <w:r>
              <w:rPr>
                <w:rFonts w:eastAsiaTheme="minorEastAsia"/>
                <w:kern w:val="0"/>
                <w:szCs w:val="21"/>
              </w:rPr>
              <w:t>40L/</w:t>
            </w:r>
            <w:r>
              <w:rPr>
                <w:rFonts w:hAnsiTheme="minorEastAsia" w:eastAsiaTheme="minorEastAsia"/>
                <w:kern w:val="0"/>
                <w:szCs w:val="21"/>
              </w:rPr>
              <w:t>人</w:t>
            </w:r>
            <w:r>
              <w:rPr>
                <w:rFonts w:eastAsiaTheme="minorEastAsia"/>
                <w:kern w:val="0"/>
                <w:szCs w:val="21"/>
              </w:rPr>
              <w:t>·</w:t>
            </w:r>
            <w:r>
              <w:rPr>
                <w:rFonts w:hAnsiTheme="minorEastAsia" w:eastAsiaTheme="minorEastAsia"/>
                <w:kern w:val="0"/>
                <w:szCs w:val="21"/>
              </w:rPr>
              <w:t>班</w:t>
            </w:r>
          </w:p>
        </w:tc>
        <w:tc>
          <w:tcPr>
            <w:tcW w:w="534" w:type="pct"/>
            <w:vAlign w:val="center"/>
          </w:tcPr>
          <w:p>
            <w:pPr>
              <w:widowControl/>
              <w:spacing w:line="288" w:lineRule="auto"/>
              <w:jc w:val="center"/>
              <w:rPr>
                <w:rFonts w:eastAsiaTheme="minorEastAsia"/>
                <w:kern w:val="0"/>
                <w:szCs w:val="21"/>
              </w:rPr>
            </w:pPr>
            <w:r>
              <w:rPr>
                <w:rFonts w:eastAsiaTheme="minorEastAsia"/>
                <w:kern w:val="0"/>
                <w:szCs w:val="21"/>
              </w:rPr>
              <w:t>25.08</w:t>
            </w:r>
          </w:p>
        </w:tc>
        <w:tc>
          <w:tcPr>
            <w:tcW w:w="610" w:type="pct"/>
            <w:vAlign w:val="center"/>
          </w:tcPr>
          <w:p>
            <w:pPr>
              <w:widowControl/>
              <w:spacing w:line="288" w:lineRule="auto"/>
              <w:jc w:val="center"/>
              <w:rPr>
                <w:rFonts w:eastAsiaTheme="minorEastAsia"/>
                <w:kern w:val="0"/>
                <w:szCs w:val="21"/>
              </w:rPr>
            </w:pPr>
            <w:r>
              <w:rPr>
                <w:rFonts w:eastAsiaTheme="minorEastAsia"/>
                <w:kern w:val="0"/>
                <w:szCs w:val="21"/>
              </w:rPr>
              <w:t>25.08</w:t>
            </w:r>
          </w:p>
        </w:tc>
        <w:tc>
          <w:tcPr>
            <w:tcW w:w="897"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用水</w:t>
            </w:r>
            <w:r>
              <w:rPr>
                <w:rFonts w:eastAsiaTheme="minorEastAsia"/>
                <w:kern w:val="0"/>
                <w:szCs w:val="21"/>
              </w:rPr>
              <w:t>8h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0" w:type="pct"/>
            <w:vAlign w:val="center"/>
          </w:tcPr>
          <w:p>
            <w:pPr>
              <w:widowControl/>
              <w:spacing w:line="288" w:lineRule="auto"/>
              <w:jc w:val="center"/>
              <w:rPr>
                <w:rFonts w:eastAsiaTheme="minorEastAsia"/>
                <w:kern w:val="0"/>
                <w:szCs w:val="21"/>
              </w:rPr>
            </w:pPr>
            <w:r>
              <w:rPr>
                <w:rFonts w:eastAsiaTheme="minorEastAsia"/>
                <w:kern w:val="0"/>
                <w:szCs w:val="21"/>
              </w:rPr>
              <w:t>2</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宿舍用水</w:t>
            </w:r>
          </w:p>
        </w:tc>
        <w:tc>
          <w:tcPr>
            <w:tcW w:w="992" w:type="pct"/>
            <w:vAlign w:val="center"/>
          </w:tcPr>
          <w:p>
            <w:pPr>
              <w:widowControl/>
              <w:spacing w:line="288" w:lineRule="auto"/>
              <w:jc w:val="center"/>
              <w:rPr>
                <w:rFonts w:eastAsiaTheme="minorEastAsia"/>
                <w:kern w:val="0"/>
                <w:szCs w:val="21"/>
              </w:rPr>
            </w:pPr>
            <w:r>
              <w:rPr>
                <w:rFonts w:eastAsiaTheme="minorEastAsia"/>
                <w:kern w:val="0"/>
                <w:szCs w:val="21"/>
              </w:rPr>
              <w:t>502</w:t>
            </w:r>
            <w:r>
              <w:rPr>
                <w:rFonts w:hAnsiTheme="minorEastAsia" w:eastAsiaTheme="minorEastAsia"/>
                <w:kern w:val="0"/>
                <w:szCs w:val="21"/>
              </w:rPr>
              <w:t>人</w:t>
            </w:r>
          </w:p>
        </w:tc>
        <w:tc>
          <w:tcPr>
            <w:tcW w:w="839" w:type="pct"/>
            <w:gridSpan w:val="2"/>
            <w:vAlign w:val="center"/>
          </w:tcPr>
          <w:p>
            <w:pPr>
              <w:widowControl/>
              <w:spacing w:line="288" w:lineRule="auto"/>
              <w:jc w:val="center"/>
              <w:rPr>
                <w:rFonts w:eastAsiaTheme="minorEastAsia"/>
                <w:kern w:val="0"/>
                <w:szCs w:val="21"/>
              </w:rPr>
            </w:pPr>
            <w:r>
              <w:rPr>
                <w:rFonts w:eastAsiaTheme="minorEastAsia"/>
                <w:kern w:val="0"/>
                <w:szCs w:val="21"/>
              </w:rPr>
              <w:t>150L/</w:t>
            </w:r>
            <w:r>
              <w:rPr>
                <w:rFonts w:hAnsiTheme="minorEastAsia" w:eastAsiaTheme="minorEastAsia"/>
                <w:kern w:val="0"/>
                <w:szCs w:val="21"/>
              </w:rPr>
              <w:t>人</w:t>
            </w:r>
            <w:r>
              <w:rPr>
                <w:rFonts w:eastAsiaTheme="minorEastAsia"/>
                <w:kern w:val="0"/>
                <w:szCs w:val="21"/>
              </w:rPr>
              <w:t>·d</w:t>
            </w:r>
          </w:p>
        </w:tc>
        <w:tc>
          <w:tcPr>
            <w:tcW w:w="534" w:type="pct"/>
            <w:vAlign w:val="center"/>
          </w:tcPr>
          <w:p>
            <w:pPr>
              <w:widowControl/>
              <w:spacing w:line="288" w:lineRule="auto"/>
              <w:jc w:val="center"/>
              <w:rPr>
                <w:rFonts w:eastAsiaTheme="minorEastAsia"/>
                <w:kern w:val="0"/>
                <w:szCs w:val="21"/>
              </w:rPr>
            </w:pPr>
            <w:r>
              <w:rPr>
                <w:rFonts w:eastAsiaTheme="minorEastAsia"/>
                <w:kern w:val="0"/>
                <w:szCs w:val="21"/>
              </w:rPr>
              <w:t>75.30</w:t>
            </w:r>
          </w:p>
        </w:tc>
        <w:tc>
          <w:tcPr>
            <w:tcW w:w="610" w:type="pct"/>
            <w:vAlign w:val="center"/>
          </w:tcPr>
          <w:p>
            <w:pPr>
              <w:widowControl/>
              <w:spacing w:line="288" w:lineRule="auto"/>
              <w:jc w:val="center"/>
              <w:rPr>
                <w:rFonts w:eastAsiaTheme="minorEastAsia"/>
                <w:kern w:val="0"/>
                <w:szCs w:val="21"/>
              </w:rPr>
            </w:pPr>
            <w:r>
              <w:rPr>
                <w:rFonts w:eastAsiaTheme="minorEastAsia"/>
                <w:kern w:val="0"/>
                <w:szCs w:val="21"/>
              </w:rPr>
              <w:t>75.30</w:t>
            </w:r>
          </w:p>
        </w:tc>
        <w:tc>
          <w:tcPr>
            <w:tcW w:w="897" w:type="pct"/>
            <w:vAlign w:val="center"/>
          </w:tcPr>
          <w:p>
            <w:pPr>
              <w:widowControl/>
              <w:spacing w:line="288" w:lineRule="auto"/>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0" w:type="pct"/>
            <w:vAlign w:val="center"/>
          </w:tcPr>
          <w:p>
            <w:pPr>
              <w:widowControl/>
              <w:spacing w:line="288" w:lineRule="auto"/>
              <w:jc w:val="center"/>
              <w:rPr>
                <w:rFonts w:eastAsiaTheme="minorEastAsia"/>
                <w:kern w:val="0"/>
                <w:szCs w:val="21"/>
              </w:rPr>
            </w:pPr>
            <w:r>
              <w:rPr>
                <w:rFonts w:eastAsiaTheme="minorEastAsia"/>
                <w:kern w:val="0"/>
                <w:szCs w:val="21"/>
              </w:rPr>
              <w:t>3</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食堂用水</w:t>
            </w:r>
          </w:p>
        </w:tc>
        <w:tc>
          <w:tcPr>
            <w:tcW w:w="992" w:type="pct"/>
            <w:vAlign w:val="center"/>
          </w:tcPr>
          <w:p>
            <w:pPr>
              <w:widowControl/>
              <w:spacing w:line="288" w:lineRule="auto"/>
              <w:jc w:val="center"/>
              <w:rPr>
                <w:rFonts w:eastAsiaTheme="minorEastAsia"/>
                <w:kern w:val="0"/>
                <w:szCs w:val="21"/>
              </w:rPr>
            </w:pPr>
            <w:r>
              <w:rPr>
                <w:rFonts w:eastAsiaTheme="minorEastAsia"/>
                <w:kern w:val="0"/>
                <w:szCs w:val="21"/>
              </w:rPr>
              <w:t>477</w:t>
            </w:r>
            <w:r>
              <w:rPr>
                <w:rFonts w:hAnsiTheme="minorEastAsia" w:eastAsiaTheme="minorEastAsia"/>
                <w:kern w:val="0"/>
                <w:szCs w:val="21"/>
              </w:rPr>
              <w:t>人</w:t>
            </w:r>
          </w:p>
        </w:tc>
        <w:tc>
          <w:tcPr>
            <w:tcW w:w="839" w:type="pct"/>
            <w:gridSpan w:val="2"/>
            <w:vAlign w:val="center"/>
          </w:tcPr>
          <w:p>
            <w:pPr>
              <w:widowControl/>
              <w:spacing w:line="288" w:lineRule="auto"/>
              <w:jc w:val="center"/>
              <w:rPr>
                <w:rFonts w:eastAsiaTheme="minorEastAsia"/>
                <w:kern w:val="0"/>
                <w:szCs w:val="21"/>
              </w:rPr>
            </w:pPr>
            <w:r>
              <w:rPr>
                <w:rFonts w:eastAsiaTheme="minorEastAsia"/>
                <w:kern w:val="0"/>
                <w:szCs w:val="21"/>
              </w:rPr>
              <w:t>20L/</w:t>
            </w:r>
            <w:r>
              <w:rPr>
                <w:rFonts w:hAnsiTheme="minorEastAsia" w:eastAsiaTheme="minorEastAsia"/>
                <w:kern w:val="0"/>
                <w:szCs w:val="21"/>
              </w:rPr>
              <w:t>人</w:t>
            </w:r>
            <w:r>
              <w:rPr>
                <w:rFonts w:eastAsiaTheme="minorEastAsia"/>
                <w:kern w:val="0"/>
                <w:szCs w:val="21"/>
              </w:rPr>
              <w:t>·</w:t>
            </w:r>
            <w:r>
              <w:rPr>
                <w:rFonts w:hAnsiTheme="minorEastAsia" w:eastAsiaTheme="minorEastAsia"/>
                <w:kern w:val="0"/>
                <w:szCs w:val="21"/>
              </w:rPr>
              <w:t>餐</w:t>
            </w:r>
          </w:p>
        </w:tc>
        <w:tc>
          <w:tcPr>
            <w:tcW w:w="534" w:type="pct"/>
            <w:vAlign w:val="center"/>
          </w:tcPr>
          <w:p>
            <w:pPr>
              <w:widowControl/>
              <w:spacing w:line="288" w:lineRule="auto"/>
              <w:jc w:val="center"/>
              <w:rPr>
                <w:rFonts w:eastAsiaTheme="minorEastAsia"/>
                <w:kern w:val="0"/>
                <w:szCs w:val="21"/>
              </w:rPr>
            </w:pPr>
            <w:r>
              <w:rPr>
                <w:rFonts w:eastAsiaTheme="minorEastAsia"/>
                <w:kern w:val="0"/>
                <w:szCs w:val="21"/>
              </w:rPr>
              <w:t>19.08</w:t>
            </w:r>
          </w:p>
        </w:tc>
        <w:tc>
          <w:tcPr>
            <w:tcW w:w="610" w:type="pct"/>
            <w:vAlign w:val="center"/>
          </w:tcPr>
          <w:p>
            <w:pPr>
              <w:widowControl/>
              <w:spacing w:line="288" w:lineRule="auto"/>
              <w:jc w:val="center"/>
              <w:rPr>
                <w:rFonts w:eastAsiaTheme="minorEastAsia"/>
                <w:kern w:val="0"/>
                <w:szCs w:val="21"/>
              </w:rPr>
            </w:pPr>
            <w:r>
              <w:rPr>
                <w:rFonts w:eastAsiaTheme="minorEastAsia"/>
                <w:kern w:val="0"/>
                <w:szCs w:val="21"/>
              </w:rPr>
              <w:t>19.08</w:t>
            </w:r>
          </w:p>
        </w:tc>
        <w:tc>
          <w:tcPr>
            <w:tcW w:w="897"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每日两餐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trPr>
        <w:tc>
          <w:tcPr>
            <w:tcW w:w="340" w:type="pct"/>
            <w:vMerge w:val="restart"/>
            <w:vAlign w:val="center"/>
          </w:tcPr>
          <w:p>
            <w:pPr>
              <w:widowControl/>
              <w:spacing w:line="288" w:lineRule="auto"/>
              <w:jc w:val="center"/>
              <w:rPr>
                <w:rFonts w:eastAsiaTheme="minorEastAsia"/>
                <w:kern w:val="0"/>
                <w:szCs w:val="21"/>
              </w:rPr>
            </w:pPr>
            <w:r>
              <w:rPr>
                <w:rFonts w:eastAsiaTheme="minorEastAsia"/>
                <w:kern w:val="0"/>
                <w:szCs w:val="21"/>
              </w:rPr>
              <w:t>4</w:t>
            </w:r>
          </w:p>
        </w:tc>
        <w:tc>
          <w:tcPr>
            <w:tcW w:w="363" w:type="pct"/>
            <w:vMerge w:val="restart"/>
            <w:vAlign w:val="center"/>
          </w:tcPr>
          <w:p>
            <w:pPr>
              <w:widowControl/>
              <w:spacing w:line="288" w:lineRule="auto"/>
              <w:jc w:val="center"/>
              <w:rPr>
                <w:rFonts w:eastAsiaTheme="minorEastAsia"/>
                <w:kern w:val="0"/>
                <w:szCs w:val="21"/>
              </w:rPr>
            </w:pPr>
            <w:r>
              <w:rPr>
                <w:rFonts w:hAnsiTheme="minorEastAsia" w:eastAsiaTheme="minorEastAsia"/>
                <w:kern w:val="0"/>
                <w:szCs w:val="21"/>
              </w:rPr>
              <w:t>浴室用水</w:t>
            </w:r>
          </w:p>
        </w:tc>
        <w:tc>
          <w:tcPr>
            <w:tcW w:w="424"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淋浴</w:t>
            </w:r>
          </w:p>
        </w:tc>
        <w:tc>
          <w:tcPr>
            <w:tcW w:w="992"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淋浴器</w:t>
            </w:r>
            <w:r>
              <w:rPr>
                <w:rFonts w:eastAsiaTheme="minorEastAsia"/>
                <w:kern w:val="0"/>
                <w:szCs w:val="21"/>
              </w:rPr>
              <w:t>24</w:t>
            </w:r>
            <w:r>
              <w:rPr>
                <w:rFonts w:hAnsiTheme="minorEastAsia" w:eastAsiaTheme="minorEastAsia"/>
                <w:kern w:val="0"/>
                <w:szCs w:val="21"/>
              </w:rPr>
              <w:t>个</w:t>
            </w:r>
          </w:p>
        </w:tc>
        <w:tc>
          <w:tcPr>
            <w:tcW w:w="839" w:type="pct"/>
            <w:gridSpan w:val="2"/>
            <w:vAlign w:val="center"/>
          </w:tcPr>
          <w:p>
            <w:pPr>
              <w:widowControl/>
              <w:spacing w:line="288" w:lineRule="auto"/>
              <w:jc w:val="center"/>
              <w:rPr>
                <w:rFonts w:eastAsiaTheme="minorEastAsia"/>
                <w:kern w:val="0"/>
                <w:szCs w:val="21"/>
              </w:rPr>
            </w:pPr>
            <w:r>
              <w:rPr>
                <w:rFonts w:eastAsiaTheme="minorEastAsia"/>
                <w:kern w:val="0"/>
                <w:szCs w:val="21"/>
              </w:rPr>
              <w:t>540L/h·</w:t>
            </w:r>
            <w:r>
              <w:rPr>
                <w:rFonts w:hAnsiTheme="minorEastAsia" w:eastAsiaTheme="minorEastAsia"/>
                <w:kern w:val="0"/>
                <w:szCs w:val="21"/>
              </w:rPr>
              <w:t>个</w:t>
            </w:r>
          </w:p>
        </w:tc>
        <w:tc>
          <w:tcPr>
            <w:tcW w:w="534" w:type="pct"/>
            <w:vAlign w:val="center"/>
          </w:tcPr>
          <w:p>
            <w:pPr>
              <w:widowControl/>
              <w:spacing w:line="288" w:lineRule="auto"/>
              <w:jc w:val="center"/>
              <w:rPr>
                <w:rFonts w:eastAsiaTheme="minorEastAsia"/>
                <w:kern w:val="0"/>
                <w:szCs w:val="21"/>
              </w:rPr>
            </w:pPr>
            <w:r>
              <w:rPr>
                <w:rFonts w:hint="eastAsia" w:eastAsiaTheme="minorEastAsia"/>
                <w:kern w:val="0"/>
                <w:szCs w:val="21"/>
              </w:rPr>
              <w:t>51.84</w:t>
            </w:r>
          </w:p>
        </w:tc>
        <w:tc>
          <w:tcPr>
            <w:tcW w:w="610" w:type="pct"/>
            <w:vAlign w:val="center"/>
          </w:tcPr>
          <w:p>
            <w:pPr>
              <w:widowControl/>
              <w:spacing w:line="288" w:lineRule="auto"/>
              <w:jc w:val="center"/>
              <w:rPr>
                <w:rFonts w:eastAsiaTheme="minorEastAsia"/>
                <w:kern w:val="0"/>
                <w:szCs w:val="21"/>
              </w:rPr>
            </w:pPr>
            <w:r>
              <w:rPr>
                <w:rFonts w:hint="eastAsia" w:eastAsiaTheme="minorEastAsia"/>
                <w:kern w:val="0"/>
                <w:szCs w:val="21"/>
              </w:rPr>
              <w:t>51.84</w:t>
            </w:r>
          </w:p>
        </w:tc>
        <w:tc>
          <w:tcPr>
            <w:tcW w:w="897" w:type="pct"/>
            <w:vAlign w:val="center"/>
          </w:tcPr>
          <w:p>
            <w:pPr>
              <w:widowControl/>
              <w:spacing w:line="288" w:lineRule="auto"/>
              <w:jc w:val="center"/>
              <w:rPr>
                <w:rFonts w:eastAsiaTheme="minorEastAsia"/>
                <w:kern w:val="0"/>
                <w:szCs w:val="21"/>
              </w:rPr>
            </w:pPr>
            <w:r>
              <w:rPr>
                <w:rFonts w:eastAsiaTheme="minorEastAsia"/>
                <w:kern w:val="0"/>
                <w:szCs w:val="21"/>
              </w:rPr>
              <w:t>1h/</w:t>
            </w:r>
            <w:r>
              <w:rPr>
                <w:rFonts w:hAnsiTheme="minorEastAsia" w:eastAsiaTheme="minorEastAsia"/>
                <w:kern w:val="0"/>
                <w:szCs w:val="21"/>
              </w:rPr>
              <w:t>班，最大班淋浴用量的</w:t>
            </w:r>
            <w:r>
              <w:rPr>
                <w:rFonts w:hint="eastAsia" w:eastAsiaTheme="minorEastAsia"/>
                <w:kern w:val="0"/>
                <w:szCs w:val="21"/>
              </w:rPr>
              <w:t>4</w:t>
            </w:r>
            <w:r>
              <w:rPr>
                <w:rFonts w:hAnsiTheme="minorEastAsia" w:eastAsiaTheme="minorEastAsia"/>
                <w:kern w:val="0"/>
                <w:szCs w:val="21"/>
              </w:rPr>
              <w:t>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340" w:type="pct"/>
            <w:vMerge w:val="continue"/>
            <w:vAlign w:val="center"/>
          </w:tcPr>
          <w:p>
            <w:pPr>
              <w:widowControl/>
              <w:spacing w:line="288" w:lineRule="auto"/>
              <w:jc w:val="left"/>
              <w:rPr>
                <w:rFonts w:eastAsiaTheme="minorEastAsia"/>
                <w:kern w:val="0"/>
                <w:szCs w:val="21"/>
              </w:rPr>
            </w:pPr>
          </w:p>
        </w:tc>
        <w:tc>
          <w:tcPr>
            <w:tcW w:w="363" w:type="pct"/>
            <w:vMerge w:val="continue"/>
            <w:vAlign w:val="center"/>
          </w:tcPr>
          <w:p>
            <w:pPr>
              <w:widowControl/>
              <w:spacing w:line="288" w:lineRule="auto"/>
              <w:jc w:val="left"/>
              <w:rPr>
                <w:rFonts w:eastAsiaTheme="minorEastAsia"/>
                <w:kern w:val="0"/>
                <w:szCs w:val="21"/>
              </w:rPr>
            </w:pPr>
          </w:p>
        </w:tc>
        <w:tc>
          <w:tcPr>
            <w:tcW w:w="424" w:type="pct"/>
            <w:vMerge w:val="restart"/>
            <w:vAlign w:val="center"/>
          </w:tcPr>
          <w:p>
            <w:pPr>
              <w:widowControl/>
              <w:spacing w:line="288" w:lineRule="auto"/>
              <w:jc w:val="center"/>
              <w:rPr>
                <w:rFonts w:eastAsiaTheme="minorEastAsia"/>
                <w:kern w:val="0"/>
                <w:szCs w:val="21"/>
              </w:rPr>
            </w:pPr>
            <w:r>
              <w:rPr>
                <w:rFonts w:hAnsiTheme="minorEastAsia" w:eastAsiaTheme="minorEastAsia"/>
                <w:kern w:val="0"/>
                <w:szCs w:val="21"/>
              </w:rPr>
              <w:t>池浴</w:t>
            </w:r>
          </w:p>
        </w:tc>
        <w:tc>
          <w:tcPr>
            <w:tcW w:w="992" w:type="pct"/>
            <w:vMerge w:val="restart"/>
            <w:vAlign w:val="center"/>
          </w:tcPr>
          <w:p>
            <w:pPr>
              <w:widowControl/>
              <w:spacing w:line="288" w:lineRule="auto"/>
              <w:jc w:val="center"/>
              <w:rPr>
                <w:rFonts w:eastAsiaTheme="minorEastAsia"/>
                <w:kern w:val="0"/>
                <w:szCs w:val="21"/>
              </w:rPr>
            </w:pPr>
            <w:r>
              <w:rPr>
                <w:rFonts w:hAnsiTheme="minorEastAsia" w:eastAsiaTheme="minorEastAsia"/>
                <w:kern w:val="0"/>
                <w:szCs w:val="21"/>
              </w:rPr>
              <w:t>浴池面积</w:t>
            </w:r>
            <w:r>
              <w:rPr>
                <w:rFonts w:eastAsiaTheme="minorEastAsia"/>
                <w:kern w:val="0"/>
                <w:szCs w:val="21"/>
              </w:rPr>
              <w:t>16.2m</w:t>
            </w:r>
            <w:r>
              <w:rPr>
                <w:rFonts w:eastAsiaTheme="minorEastAsia"/>
                <w:kern w:val="0"/>
                <w:szCs w:val="21"/>
                <w:vertAlign w:val="superscript"/>
              </w:rPr>
              <w:t>2</w:t>
            </w:r>
          </w:p>
        </w:tc>
        <w:tc>
          <w:tcPr>
            <w:tcW w:w="839"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浴池面积</w:t>
            </w:r>
          </w:p>
        </w:tc>
        <w:tc>
          <w:tcPr>
            <w:tcW w:w="534" w:type="pct"/>
            <w:vMerge w:val="restart"/>
            <w:vAlign w:val="center"/>
          </w:tcPr>
          <w:p>
            <w:pPr>
              <w:widowControl/>
              <w:spacing w:line="288" w:lineRule="auto"/>
              <w:jc w:val="center"/>
              <w:rPr>
                <w:rFonts w:eastAsiaTheme="minorEastAsia"/>
                <w:kern w:val="0"/>
                <w:szCs w:val="21"/>
              </w:rPr>
            </w:pPr>
            <w:r>
              <w:rPr>
                <w:rFonts w:hint="eastAsia" w:eastAsiaTheme="minorEastAsia"/>
                <w:kern w:val="0"/>
                <w:szCs w:val="21"/>
              </w:rPr>
              <w:t>45.36</w:t>
            </w:r>
          </w:p>
        </w:tc>
        <w:tc>
          <w:tcPr>
            <w:tcW w:w="610" w:type="pct"/>
            <w:vMerge w:val="restart"/>
            <w:vAlign w:val="center"/>
          </w:tcPr>
          <w:p>
            <w:pPr>
              <w:widowControl/>
              <w:spacing w:line="288" w:lineRule="auto"/>
              <w:jc w:val="center"/>
              <w:rPr>
                <w:rFonts w:eastAsiaTheme="minorEastAsia"/>
                <w:kern w:val="0"/>
                <w:szCs w:val="21"/>
              </w:rPr>
            </w:pPr>
            <w:r>
              <w:rPr>
                <w:rFonts w:hint="eastAsia" w:eastAsiaTheme="minorEastAsia"/>
                <w:kern w:val="0"/>
                <w:szCs w:val="21"/>
              </w:rPr>
              <w:t>45.36</w:t>
            </w:r>
          </w:p>
        </w:tc>
        <w:tc>
          <w:tcPr>
            <w:tcW w:w="897" w:type="pct"/>
            <w:vMerge w:val="restart"/>
            <w:vAlign w:val="center"/>
          </w:tcPr>
          <w:p>
            <w:pPr>
              <w:widowControl/>
              <w:spacing w:line="288" w:lineRule="auto"/>
              <w:jc w:val="center"/>
              <w:rPr>
                <w:rFonts w:eastAsiaTheme="minorEastAsia"/>
                <w:kern w:val="0"/>
                <w:szCs w:val="21"/>
              </w:rPr>
            </w:pPr>
            <w:r>
              <w:rPr>
                <w:rFonts w:hAnsiTheme="minorEastAsia" w:eastAsiaTheme="minorEastAsia"/>
                <w:kern w:val="0"/>
                <w:szCs w:val="21"/>
              </w:rPr>
              <w:t>充水时间</w:t>
            </w:r>
            <w:r>
              <w:rPr>
                <w:rFonts w:eastAsiaTheme="minorEastAsia"/>
                <w:kern w:val="0"/>
                <w:szCs w:val="21"/>
              </w:rPr>
              <w:t>2h/</w:t>
            </w:r>
            <w:r>
              <w:rPr>
                <w:rFonts w:hAnsiTheme="minorEastAsia" w:eastAsiaTheme="minorEastAsia"/>
                <w:kern w:val="0"/>
                <w:szCs w:val="21"/>
              </w:rPr>
              <w:t>班，每日</w:t>
            </w:r>
            <w:r>
              <w:rPr>
                <w:rFonts w:hint="eastAsia" w:eastAsiaTheme="minorEastAsia"/>
                <w:kern w:val="0"/>
                <w:szCs w:val="21"/>
              </w:rPr>
              <w:t>4</w:t>
            </w:r>
            <w:r>
              <w:rPr>
                <w:rFonts w:hAnsiTheme="minorEastAsia" w:eastAsiaTheme="minorEastAsia"/>
                <w:kern w:val="0"/>
                <w:szCs w:val="21"/>
              </w:rPr>
              <w:t>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0" w:type="pct"/>
            <w:vMerge w:val="continue"/>
            <w:vAlign w:val="center"/>
          </w:tcPr>
          <w:p>
            <w:pPr>
              <w:widowControl/>
              <w:spacing w:line="288" w:lineRule="auto"/>
              <w:jc w:val="left"/>
              <w:rPr>
                <w:rFonts w:eastAsiaTheme="minorEastAsia"/>
                <w:kern w:val="0"/>
                <w:szCs w:val="21"/>
              </w:rPr>
            </w:pPr>
          </w:p>
        </w:tc>
        <w:tc>
          <w:tcPr>
            <w:tcW w:w="363" w:type="pct"/>
            <w:vMerge w:val="continue"/>
            <w:vAlign w:val="center"/>
          </w:tcPr>
          <w:p>
            <w:pPr>
              <w:widowControl/>
              <w:spacing w:line="288" w:lineRule="auto"/>
              <w:jc w:val="left"/>
              <w:rPr>
                <w:rFonts w:eastAsiaTheme="minorEastAsia"/>
                <w:kern w:val="0"/>
                <w:szCs w:val="21"/>
              </w:rPr>
            </w:pPr>
          </w:p>
        </w:tc>
        <w:tc>
          <w:tcPr>
            <w:tcW w:w="424" w:type="pct"/>
            <w:vMerge w:val="continue"/>
            <w:vAlign w:val="center"/>
          </w:tcPr>
          <w:p>
            <w:pPr>
              <w:widowControl/>
              <w:spacing w:line="288" w:lineRule="auto"/>
              <w:jc w:val="left"/>
              <w:rPr>
                <w:rFonts w:eastAsiaTheme="minorEastAsia"/>
                <w:kern w:val="0"/>
                <w:szCs w:val="21"/>
              </w:rPr>
            </w:pPr>
          </w:p>
        </w:tc>
        <w:tc>
          <w:tcPr>
            <w:tcW w:w="992" w:type="pct"/>
            <w:vMerge w:val="continue"/>
            <w:vAlign w:val="center"/>
          </w:tcPr>
          <w:p>
            <w:pPr>
              <w:widowControl/>
              <w:spacing w:line="288" w:lineRule="auto"/>
              <w:jc w:val="left"/>
              <w:rPr>
                <w:rFonts w:eastAsiaTheme="minorEastAsia"/>
                <w:kern w:val="0"/>
                <w:szCs w:val="21"/>
              </w:rPr>
            </w:pPr>
          </w:p>
        </w:tc>
        <w:tc>
          <w:tcPr>
            <w:tcW w:w="839" w:type="pct"/>
            <w:gridSpan w:val="2"/>
            <w:vAlign w:val="center"/>
          </w:tcPr>
          <w:p>
            <w:pPr>
              <w:widowControl/>
              <w:spacing w:line="288" w:lineRule="auto"/>
              <w:jc w:val="center"/>
              <w:rPr>
                <w:rFonts w:eastAsiaTheme="minorEastAsia"/>
                <w:kern w:val="0"/>
                <w:szCs w:val="21"/>
              </w:rPr>
            </w:pPr>
            <w:r>
              <w:rPr>
                <w:rFonts w:eastAsiaTheme="minorEastAsia"/>
                <w:kern w:val="0"/>
                <w:szCs w:val="21"/>
              </w:rPr>
              <w:t>×0.7m</w:t>
            </w:r>
            <w:r>
              <w:rPr>
                <w:rFonts w:hAnsiTheme="minorEastAsia" w:eastAsiaTheme="minorEastAsia"/>
                <w:kern w:val="0"/>
                <w:szCs w:val="21"/>
              </w:rPr>
              <w:t>水深</w:t>
            </w:r>
          </w:p>
        </w:tc>
        <w:tc>
          <w:tcPr>
            <w:tcW w:w="534" w:type="pct"/>
            <w:vMerge w:val="continue"/>
            <w:vAlign w:val="center"/>
          </w:tcPr>
          <w:p>
            <w:pPr>
              <w:widowControl/>
              <w:spacing w:line="288" w:lineRule="auto"/>
              <w:jc w:val="left"/>
              <w:rPr>
                <w:rFonts w:eastAsiaTheme="minorEastAsia"/>
                <w:kern w:val="0"/>
                <w:szCs w:val="21"/>
              </w:rPr>
            </w:pPr>
          </w:p>
        </w:tc>
        <w:tc>
          <w:tcPr>
            <w:tcW w:w="610" w:type="pct"/>
            <w:vMerge w:val="continue"/>
            <w:vAlign w:val="center"/>
          </w:tcPr>
          <w:p>
            <w:pPr>
              <w:widowControl/>
              <w:spacing w:line="288" w:lineRule="auto"/>
              <w:jc w:val="left"/>
              <w:rPr>
                <w:rFonts w:eastAsiaTheme="minorEastAsia"/>
                <w:kern w:val="0"/>
                <w:szCs w:val="21"/>
              </w:rPr>
            </w:pPr>
          </w:p>
        </w:tc>
        <w:tc>
          <w:tcPr>
            <w:tcW w:w="897" w:type="pct"/>
            <w:vMerge w:val="continue"/>
            <w:vAlign w:val="center"/>
          </w:tcPr>
          <w:p>
            <w:pPr>
              <w:widowControl/>
              <w:spacing w:line="288" w:lineRule="auto"/>
              <w:jc w:val="left"/>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5" w:hRule="atLeast"/>
        </w:trPr>
        <w:tc>
          <w:tcPr>
            <w:tcW w:w="340" w:type="pct"/>
            <w:vAlign w:val="center"/>
          </w:tcPr>
          <w:p>
            <w:pPr>
              <w:widowControl/>
              <w:spacing w:line="288" w:lineRule="auto"/>
              <w:jc w:val="center"/>
              <w:rPr>
                <w:rFonts w:eastAsiaTheme="minorEastAsia"/>
                <w:kern w:val="0"/>
                <w:szCs w:val="21"/>
              </w:rPr>
            </w:pPr>
            <w:r>
              <w:rPr>
                <w:rFonts w:eastAsiaTheme="minorEastAsia"/>
                <w:kern w:val="0"/>
                <w:szCs w:val="21"/>
              </w:rPr>
              <w:t>5</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洗衣房用水</w:t>
            </w:r>
          </w:p>
        </w:tc>
        <w:tc>
          <w:tcPr>
            <w:tcW w:w="992"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井下</w:t>
            </w:r>
            <w:r>
              <w:rPr>
                <w:rFonts w:eastAsiaTheme="minorEastAsia"/>
                <w:kern w:val="0"/>
                <w:szCs w:val="21"/>
              </w:rPr>
              <w:t>395</w:t>
            </w:r>
            <w:r>
              <w:rPr>
                <w:rFonts w:hAnsiTheme="minorEastAsia" w:eastAsiaTheme="minorEastAsia"/>
                <w:kern w:val="0"/>
                <w:szCs w:val="21"/>
              </w:rPr>
              <w:t>人</w:t>
            </w:r>
          </w:p>
        </w:tc>
        <w:tc>
          <w:tcPr>
            <w:tcW w:w="839" w:type="pct"/>
            <w:gridSpan w:val="2"/>
            <w:vAlign w:val="center"/>
          </w:tcPr>
          <w:p>
            <w:pPr>
              <w:widowControl/>
              <w:spacing w:line="288" w:lineRule="auto"/>
              <w:jc w:val="center"/>
              <w:rPr>
                <w:rFonts w:eastAsiaTheme="minorEastAsia"/>
                <w:kern w:val="0"/>
                <w:szCs w:val="21"/>
                <w:highlight w:val="yellow"/>
              </w:rPr>
            </w:pPr>
            <w:r>
              <w:rPr>
                <w:rFonts w:eastAsiaTheme="minorEastAsia"/>
                <w:kern w:val="0"/>
                <w:szCs w:val="21"/>
              </w:rPr>
              <w:t>80L/kg</w:t>
            </w:r>
            <w:r>
              <w:rPr>
                <w:rFonts w:hAnsiTheme="minorEastAsia" w:eastAsiaTheme="minorEastAsia"/>
                <w:kern w:val="0"/>
                <w:szCs w:val="21"/>
              </w:rPr>
              <w:t>干衣</w:t>
            </w:r>
          </w:p>
        </w:tc>
        <w:tc>
          <w:tcPr>
            <w:tcW w:w="534" w:type="pct"/>
            <w:vAlign w:val="center"/>
          </w:tcPr>
          <w:p>
            <w:pPr>
              <w:widowControl/>
              <w:spacing w:line="288" w:lineRule="auto"/>
              <w:jc w:val="center"/>
              <w:rPr>
                <w:rFonts w:eastAsiaTheme="minorEastAsia"/>
                <w:kern w:val="0"/>
                <w:szCs w:val="21"/>
              </w:rPr>
            </w:pPr>
            <w:r>
              <w:rPr>
                <w:rFonts w:eastAsiaTheme="minorEastAsia"/>
                <w:kern w:val="0"/>
                <w:szCs w:val="21"/>
              </w:rPr>
              <w:t>13.54</w:t>
            </w:r>
          </w:p>
        </w:tc>
        <w:tc>
          <w:tcPr>
            <w:tcW w:w="610" w:type="pct"/>
            <w:vAlign w:val="center"/>
          </w:tcPr>
          <w:p>
            <w:pPr>
              <w:widowControl/>
              <w:spacing w:line="288" w:lineRule="auto"/>
              <w:jc w:val="center"/>
              <w:rPr>
                <w:rFonts w:eastAsiaTheme="minorEastAsia"/>
                <w:kern w:val="0"/>
                <w:szCs w:val="21"/>
              </w:rPr>
            </w:pPr>
            <w:r>
              <w:rPr>
                <w:rFonts w:eastAsiaTheme="minorEastAsia"/>
                <w:kern w:val="0"/>
                <w:szCs w:val="21"/>
              </w:rPr>
              <w:t>13.54</w:t>
            </w:r>
          </w:p>
        </w:tc>
        <w:tc>
          <w:tcPr>
            <w:tcW w:w="897" w:type="pct"/>
            <w:vAlign w:val="center"/>
          </w:tcPr>
          <w:p>
            <w:pPr>
              <w:widowControl/>
              <w:spacing w:line="288" w:lineRule="auto"/>
              <w:jc w:val="center"/>
              <w:rPr>
                <w:rFonts w:eastAsiaTheme="minorEastAsia"/>
                <w:kern w:val="0"/>
                <w:szCs w:val="21"/>
              </w:rPr>
            </w:pPr>
            <w:r>
              <w:rPr>
                <w:rFonts w:hAnsiTheme="minorEastAsia" w:eastAsiaTheme="minorEastAsia"/>
                <w:bCs/>
                <w:kern w:val="0"/>
                <w:szCs w:val="21"/>
              </w:rPr>
              <w:t>井下每人每天按</w:t>
            </w:r>
            <w:r>
              <w:rPr>
                <w:rFonts w:eastAsiaTheme="minorEastAsia"/>
                <w:bCs/>
                <w:kern w:val="0"/>
                <w:szCs w:val="21"/>
              </w:rPr>
              <w:t>1.5kg</w:t>
            </w:r>
            <w:r>
              <w:rPr>
                <w:rFonts w:hAnsiTheme="minorEastAsia" w:eastAsiaTheme="minorEastAsia"/>
                <w:bCs/>
                <w:kern w:val="0"/>
                <w:szCs w:val="21"/>
              </w:rPr>
              <w:t>干衣</w:t>
            </w:r>
            <w:r>
              <w:rPr>
                <w:rFonts w:hAnsiTheme="minorEastAsia" w:eastAsiaTheme="minorEastAsia"/>
                <w:kern w:val="0"/>
                <w:szCs w:val="21"/>
              </w:rPr>
              <w:t>每周洗</w:t>
            </w:r>
            <w:r>
              <w:rPr>
                <w:rFonts w:eastAsiaTheme="minorEastAsia"/>
                <w:kern w:val="0"/>
                <w:szCs w:val="21"/>
              </w:rPr>
              <w:t>2</w:t>
            </w:r>
            <w:r>
              <w:rPr>
                <w:rFonts w:hAnsiTheme="minorEastAsia" w:eastAsiaTheme="minorEastAsia"/>
                <w:kern w:val="0"/>
                <w:szCs w:val="21"/>
              </w:rPr>
              <w:t>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9" w:hRule="atLeast"/>
        </w:trPr>
        <w:tc>
          <w:tcPr>
            <w:tcW w:w="340" w:type="pct"/>
            <w:vAlign w:val="center"/>
          </w:tcPr>
          <w:p>
            <w:pPr>
              <w:widowControl/>
              <w:spacing w:line="288" w:lineRule="auto"/>
              <w:jc w:val="center"/>
              <w:rPr>
                <w:rFonts w:eastAsiaTheme="minorEastAsia"/>
                <w:kern w:val="0"/>
                <w:szCs w:val="21"/>
              </w:rPr>
            </w:pPr>
            <w:r>
              <w:rPr>
                <w:rFonts w:eastAsiaTheme="minorEastAsia"/>
                <w:kern w:val="0"/>
                <w:szCs w:val="21"/>
              </w:rPr>
              <w:t>6</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锅炉补充水</w:t>
            </w:r>
          </w:p>
        </w:tc>
        <w:tc>
          <w:tcPr>
            <w:tcW w:w="992" w:type="pct"/>
            <w:vAlign w:val="center"/>
          </w:tcPr>
          <w:p>
            <w:pPr>
              <w:jc w:val="center"/>
              <w:rPr>
                <w:rFonts w:eastAsiaTheme="minorEastAsia"/>
                <w:szCs w:val="21"/>
              </w:rPr>
            </w:pPr>
            <w:r>
              <w:rPr>
                <w:rFonts w:eastAsiaTheme="minorEastAsia"/>
                <w:szCs w:val="21"/>
              </w:rPr>
              <w:t>2</w:t>
            </w:r>
            <w:r>
              <w:rPr>
                <w:rFonts w:hAnsiTheme="minorEastAsia" w:eastAsiaTheme="minorEastAsia"/>
                <w:szCs w:val="21"/>
              </w:rPr>
              <w:t>台</w:t>
            </w:r>
            <w:r>
              <w:rPr>
                <w:rFonts w:eastAsiaTheme="minorEastAsia"/>
                <w:szCs w:val="21"/>
              </w:rPr>
              <w:t>8t/h</w:t>
            </w:r>
            <w:r>
              <w:rPr>
                <w:rFonts w:hAnsiTheme="minorEastAsia" w:eastAsiaTheme="minorEastAsia"/>
                <w:szCs w:val="21"/>
              </w:rPr>
              <w:t>锅炉</w:t>
            </w:r>
          </w:p>
          <w:p>
            <w:pPr>
              <w:widowControl/>
              <w:spacing w:line="288" w:lineRule="auto"/>
              <w:jc w:val="center"/>
              <w:rPr>
                <w:rFonts w:eastAsiaTheme="minorEastAsia"/>
                <w:kern w:val="0"/>
                <w:szCs w:val="21"/>
              </w:rPr>
            </w:pPr>
            <w:r>
              <w:rPr>
                <w:rFonts w:hAnsiTheme="minorEastAsia" w:eastAsiaTheme="minorEastAsia"/>
                <w:kern w:val="0"/>
                <w:szCs w:val="21"/>
              </w:rPr>
              <w:t>（采暖期运行</w:t>
            </w:r>
            <w:r>
              <w:rPr>
                <w:rFonts w:hint="eastAsia" w:hAnsiTheme="minorEastAsia" w:eastAsiaTheme="minorEastAsia"/>
                <w:kern w:val="0"/>
                <w:szCs w:val="21"/>
              </w:rPr>
              <w:t>2台，非暖期运行1台</w:t>
            </w:r>
            <w:r>
              <w:rPr>
                <w:rFonts w:hAnsiTheme="minorEastAsia" w:eastAsiaTheme="minorEastAsia"/>
                <w:kern w:val="0"/>
                <w:szCs w:val="21"/>
              </w:rPr>
              <w:t>）</w:t>
            </w:r>
          </w:p>
        </w:tc>
        <w:tc>
          <w:tcPr>
            <w:tcW w:w="839" w:type="pct"/>
            <w:gridSpan w:val="2"/>
            <w:vAlign w:val="center"/>
          </w:tcPr>
          <w:p>
            <w:pPr>
              <w:jc w:val="center"/>
              <w:rPr>
                <w:rFonts w:eastAsiaTheme="minorEastAsia"/>
                <w:szCs w:val="21"/>
              </w:rPr>
            </w:pPr>
            <w:r>
              <w:rPr>
                <w:rFonts w:hAnsiTheme="minorEastAsia" w:eastAsiaTheme="minorEastAsia"/>
                <w:szCs w:val="21"/>
              </w:rPr>
              <w:t>补充水按</w:t>
            </w:r>
          </w:p>
          <w:p>
            <w:pPr>
              <w:widowControl/>
              <w:spacing w:line="288" w:lineRule="auto"/>
              <w:jc w:val="center"/>
              <w:rPr>
                <w:rFonts w:eastAsiaTheme="minorEastAsia"/>
                <w:kern w:val="0"/>
                <w:szCs w:val="21"/>
              </w:rPr>
            </w:pPr>
            <w:r>
              <w:rPr>
                <w:rFonts w:hAnsiTheme="minorEastAsia" w:eastAsiaTheme="minorEastAsia"/>
                <w:kern w:val="0"/>
                <w:szCs w:val="21"/>
              </w:rPr>
              <w:t>蒸发量</w:t>
            </w:r>
            <w:r>
              <w:rPr>
                <w:rFonts w:eastAsiaTheme="minorEastAsia"/>
                <w:kern w:val="0"/>
                <w:szCs w:val="21"/>
              </w:rPr>
              <w:t>30%</w:t>
            </w:r>
            <w:r>
              <w:rPr>
                <w:rFonts w:hint="eastAsia" w:eastAsiaTheme="minorEastAsia"/>
                <w:kern w:val="0"/>
                <w:szCs w:val="21"/>
              </w:rPr>
              <w:t>，</w:t>
            </w:r>
            <w:r>
              <w:rPr>
                <w:rFonts w:hint="eastAsia" w:hAnsiTheme="minorEastAsia" w:eastAsiaTheme="minorEastAsia"/>
                <w:kern w:val="0"/>
              </w:rPr>
              <w:t>非采暖期补充水按蒸发量的</w:t>
            </w:r>
            <w:r>
              <w:rPr>
                <w:rFonts w:eastAsiaTheme="minorEastAsia"/>
                <w:kern w:val="0"/>
              </w:rPr>
              <w:t>70%</w:t>
            </w:r>
          </w:p>
        </w:tc>
        <w:tc>
          <w:tcPr>
            <w:tcW w:w="534" w:type="pct"/>
            <w:vAlign w:val="center"/>
          </w:tcPr>
          <w:p>
            <w:pPr>
              <w:widowControl/>
              <w:spacing w:line="288" w:lineRule="auto"/>
              <w:jc w:val="center"/>
              <w:rPr>
                <w:rFonts w:eastAsiaTheme="minorEastAsia"/>
                <w:kern w:val="0"/>
                <w:szCs w:val="21"/>
              </w:rPr>
            </w:pPr>
            <w:r>
              <w:rPr>
                <w:rFonts w:eastAsiaTheme="minorEastAsia"/>
                <w:kern w:val="0"/>
                <w:szCs w:val="21"/>
              </w:rPr>
              <w:t>76.8</w:t>
            </w:r>
          </w:p>
        </w:tc>
        <w:tc>
          <w:tcPr>
            <w:tcW w:w="610" w:type="pct"/>
            <w:vAlign w:val="center"/>
          </w:tcPr>
          <w:p>
            <w:pPr>
              <w:widowControl/>
              <w:spacing w:line="288" w:lineRule="auto"/>
              <w:jc w:val="center"/>
              <w:rPr>
                <w:rFonts w:eastAsiaTheme="minorEastAsia"/>
                <w:kern w:val="0"/>
                <w:szCs w:val="21"/>
              </w:rPr>
            </w:pPr>
            <w:r>
              <w:rPr>
                <w:rFonts w:hint="eastAsia" w:eastAsiaTheme="minorEastAsia"/>
                <w:kern w:val="0"/>
                <w:szCs w:val="21"/>
              </w:rPr>
              <w:t>44.8</w:t>
            </w:r>
          </w:p>
        </w:tc>
        <w:tc>
          <w:tcPr>
            <w:tcW w:w="897" w:type="pct"/>
            <w:vAlign w:val="center"/>
          </w:tcPr>
          <w:p>
            <w:pPr>
              <w:widowControl/>
              <w:spacing w:line="288" w:lineRule="auto"/>
              <w:jc w:val="center"/>
              <w:rPr>
                <w:rFonts w:eastAsiaTheme="minorEastAsia"/>
                <w:bCs/>
                <w:kern w:val="0"/>
                <w:szCs w:val="21"/>
              </w:rPr>
            </w:pPr>
            <w:r>
              <w:rPr>
                <w:rFonts w:hAnsiTheme="minorEastAsia" w:eastAsiaTheme="minorEastAsia"/>
                <w:kern w:val="0"/>
                <w:szCs w:val="21"/>
              </w:rPr>
              <w:t>采暖期用水</w:t>
            </w:r>
            <w:r>
              <w:rPr>
                <w:rFonts w:eastAsiaTheme="minorEastAsia"/>
                <w:kern w:val="0"/>
                <w:szCs w:val="21"/>
              </w:rPr>
              <w:t>16h</w:t>
            </w:r>
            <w:r>
              <w:rPr>
                <w:rFonts w:hint="eastAsia" w:eastAsiaTheme="minorEastAsia"/>
                <w:kern w:val="0"/>
                <w:szCs w:val="21"/>
              </w:rPr>
              <w:t>，</w:t>
            </w:r>
            <w:r>
              <w:rPr>
                <w:rFonts w:hint="eastAsia" w:hAnsiTheme="minorEastAsia" w:eastAsiaTheme="minorEastAsia"/>
                <w:kern w:val="0"/>
              </w:rPr>
              <w:t>非采暖期运行一台，用水</w:t>
            </w:r>
            <w:r>
              <w:rPr>
                <w:rFonts w:eastAsiaTheme="minorEastAsia"/>
                <w:kern w:val="0"/>
              </w:rPr>
              <w:t>8h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0" w:type="pct"/>
            <w:vAlign w:val="center"/>
          </w:tcPr>
          <w:p>
            <w:pPr>
              <w:widowControl/>
              <w:spacing w:line="288" w:lineRule="auto"/>
              <w:jc w:val="center"/>
              <w:rPr>
                <w:rFonts w:eastAsiaTheme="minorEastAsia"/>
                <w:kern w:val="0"/>
                <w:szCs w:val="21"/>
              </w:rPr>
            </w:pPr>
            <w:r>
              <w:rPr>
                <w:rFonts w:eastAsiaTheme="minorEastAsia"/>
                <w:kern w:val="0"/>
                <w:szCs w:val="21"/>
              </w:rPr>
              <w:t>7</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未预见用水</w:t>
            </w:r>
            <w:r>
              <w:rPr>
                <w:rFonts w:hint="eastAsia" w:hAnsiTheme="minorEastAsia" w:eastAsiaTheme="minorEastAsia"/>
                <w:kern w:val="0"/>
                <w:szCs w:val="21"/>
              </w:rPr>
              <w:t>量</w:t>
            </w:r>
          </w:p>
        </w:tc>
        <w:tc>
          <w:tcPr>
            <w:tcW w:w="992"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按日用水量的</w:t>
            </w:r>
            <w:r>
              <w:rPr>
                <w:rFonts w:eastAsiaTheme="minorEastAsia"/>
                <w:kern w:val="0"/>
                <w:szCs w:val="21"/>
              </w:rPr>
              <w:t>10%</w:t>
            </w:r>
          </w:p>
        </w:tc>
        <w:tc>
          <w:tcPr>
            <w:tcW w:w="839" w:type="pct"/>
            <w:gridSpan w:val="2"/>
            <w:vAlign w:val="center"/>
          </w:tcPr>
          <w:p>
            <w:pPr>
              <w:widowControl/>
              <w:spacing w:line="288" w:lineRule="auto"/>
              <w:jc w:val="center"/>
              <w:rPr>
                <w:rFonts w:eastAsiaTheme="minorEastAsia"/>
                <w:kern w:val="0"/>
                <w:szCs w:val="21"/>
              </w:rPr>
            </w:pPr>
          </w:p>
        </w:tc>
        <w:tc>
          <w:tcPr>
            <w:tcW w:w="534" w:type="pct"/>
            <w:vAlign w:val="center"/>
          </w:tcPr>
          <w:p>
            <w:pPr>
              <w:widowControl/>
              <w:spacing w:line="288" w:lineRule="auto"/>
              <w:jc w:val="center"/>
              <w:rPr>
                <w:rFonts w:eastAsiaTheme="minorEastAsia"/>
                <w:kern w:val="0"/>
                <w:szCs w:val="21"/>
              </w:rPr>
            </w:pPr>
            <w:r>
              <w:rPr>
                <w:rFonts w:hint="eastAsia" w:eastAsiaTheme="minorEastAsia"/>
                <w:kern w:val="0"/>
                <w:szCs w:val="21"/>
              </w:rPr>
              <w:t>30.7</w:t>
            </w:r>
          </w:p>
        </w:tc>
        <w:tc>
          <w:tcPr>
            <w:tcW w:w="610" w:type="pct"/>
            <w:vAlign w:val="center"/>
          </w:tcPr>
          <w:p>
            <w:pPr>
              <w:widowControl/>
              <w:spacing w:line="288" w:lineRule="auto"/>
              <w:jc w:val="center"/>
              <w:rPr>
                <w:rFonts w:eastAsiaTheme="minorEastAsia"/>
                <w:kern w:val="0"/>
                <w:szCs w:val="21"/>
              </w:rPr>
            </w:pPr>
            <w:r>
              <w:rPr>
                <w:rFonts w:eastAsiaTheme="minorEastAsia"/>
                <w:kern w:val="0"/>
                <w:szCs w:val="21"/>
              </w:rPr>
              <w:t>2</w:t>
            </w:r>
            <w:r>
              <w:rPr>
                <w:rFonts w:hint="eastAsia" w:eastAsiaTheme="minorEastAsia"/>
                <w:kern w:val="0"/>
                <w:szCs w:val="21"/>
              </w:rPr>
              <w:t>7.5</w:t>
            </w:r>
          </w:p>
        </w:tc>
        <w:tc>
          <w:tcPr>
            <w:tcW w:w="897" w:type="pct"/>
            <w:vAlign w:val="center"/>
          </w:tcPr>
          <w:p>
            <w:pPr>
              <w:widowControl/>
              <w:spacing w:line="288" w:lineRule="auto"/>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0"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二</w:t>
            </w:r>
          </w:p>
        </w:tc>
        <w:tc>
          <w:tcPr>
            <w:tcW w:w="4660" w:type="pct"/>
            <w:gridSpan w:val="8"/>
            <w:vAlign w:val="center"/>
          </w:tcPr>
          <w:p>
            <w:pPr>
              <w:widowControl/>
              <w:spacing w:line="288" w:lineRule="auto"/>
              <w:jc w:val="center"/>
              <w:rPr>
                <w:rFonts w:eastAsiaTheme="minorEastAsia"/>
                <w:kern w:val="0"/>
                <w:szCs w:val="21"/>
                <w:highlight w:val="yellow"/>
              </w:rPr>
            </w:pPr>
            <w:r>
              <w:rPr>
                <w:rFonts w:hAnsiTheme="minorEastAsia" w:eastAsiaTheme="minorEastAsia"/>
                <w:kern w:val="0"/>
                <w:szCs w:val="21"/>
              </w:rPr>
              <w:t>生产用水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340" w:type="pct"/>
            <w:vAlign w:val="center"/>
          </w:tcPr>
          <w:p>
            <w:pPr>
              <w:widowControl/>
              <w:spacing w:line="288" w:lineRule="auto"/>
              <w:jc w:val="center"/>
              <w:rPr>
                <w:rFonts w:eastAsiaTheme="minorEastAsia"/>
                <w:kern w:val="0"/>
                <w:szCs w:val="21"/>
              </w:rPr>
            </w:pPr>
            <w:r>
              <w:rPr>
                <w:rFonts w:hint="eastAsia" w:eastAsiaTheme="minorEastAsia"/>
                <w:kern w:val="0"/>
                <w:szCs w:val="21"/>
              </w:rPr>
              <w:t>8</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井下生产</w:t>
            </w:r>
          </w:p>
        </w:tc>
        <w:tc>
          <w:tcPr>
            <w:tcW w:w="1145" w:type="pct"/>
            <w:gridSpan w:val="2"/>
            <w:vAlign w:val="center"/>
          </w:tcPr>
          <w:p>
            <w:pPr>
              <w:widowControl/>
              <w:spacing w:line="288" w:lineRule="auto"/>
              <w:jc w:val="center"/>
              <w:rPr>
                <w:rFonts w:eastAsiaTheme="minorEastAsia"/>
                <w:kern w:val="0"/>
                <w:szCs w:val="21"/>
              </w:rPr>
            </w:pPr>
            <w:r>
              <w:rPr>
                <w:rFonts w:hint="eastAsia" w:eastAsiaTheme="minorEastAsia"/>
                <w:kern w:val="0"/>
                <w:szCs w:val="21"/>
              </w:rPr>
              <w:t>12</w:t>
            </w:r>
            <w:r>
              <w:rPr>
                <w:rFonts w:eastAsiaTheme="minorEastAsia"/>
                <w:kern w:val="0"/>
                <w:szCs w:val="21"/>
              </w:rPr>
              <w:t>0</w:t>
            </w:r>
            <w:r>
              <w:rPr>
                <w:rFonts w:hAnsiTheme="minorEastAsia" w:eastAsiaTheme="minorEastAsia"/>
                <w:kern w:val="0"/>
                <w:szCs w:val="21"/>
              </w:rPr>
              <w:t>万吨</w:t>
            </w:r>
            <w:r>
              <w:rPr>
                <w:rFonts w:eastAsiaTheme="minorEastAsia"/>
                <w:kern w:val="0"/>
                <w:szCs w:val="21"/>
              </w:rPr>
              <w:t>/a</w:t>
            </w:r>
          </w:p>
        </w:tc>
        <w:tc>
          <w:tcPr>
            <w:tcW w:w="687" w:type="pct"/>
            <w:vAlign w:val="center"/>
          </w:tcPr>
          <w:p>
            <w:pPr>
              <w:widowControl/>
              <w:spacing w:line="288" w:lineRule="auto"/>
              <w:jc w:val="center"/>
              <w:rPr>
                <w:rFonts w:eastAsiaTheme="minorEastAsia"/>
                <w:kern w:val="0"/>
                <w:szCs w:val="21"/>
              </w:rPr>
            </w:pPr>
            <w:r>
              <w:rPr>
                <w:rFonts w:eastAsiaTheme="minorEastAsia"/>
                <w:kern w:val="0"/>
                <w:szCs w:val="21"/>
              </w:rPr>
              <w:t>0.2</w:t>
            </w:r>
            <w:r>
              <w:rPr>
                <w:rFonts w:hint="eastAsia" w:eastAsiaTheme="minorEastAsia"/>
                <w:kern w:val="0"/>
                <w:szCs w:val="21"/>
              </w:rPr>
              <w:t>5</w:t>
            </w:r>
            <w:r>
              <w:rPr>
                <w:rFonts w:eastAsiaTheme="minorEastAsia"/>
                <w:kern w:val="0"/>
                <w:szCs w:val="21"/>
              </w:rPr>
              <w:t>m</w:t>
            </w:r>
            <w:r>
              <w:rPr>
                <w:rFonts w:eastAsiaTheme="minorEastAsia"/>
                <w:kern w:val="0"/>
                <w:szCs w:val="21"/>
                <w:vertAlign w:val="superscript"/>
              </w:rPr>
              <w:t>3</w:t>
            </w:r>
            <w:r>
              <w:rPr>
                <w:rFonts w:eastAsiaTheme="minorEastAsia"/>
                <w:kern w:val="0"/>
                <w:szCs w:val="21"/>
              </w:rPr>
              <w:t>/t</w:t>
            </w:r>
          </w:p>
        </w:tc>
        <w:tc>
          <w:tcPr>
            <w:tcW w:w="534" w:type="pct"/>
            <w:vAlign w:val="center"/>
          </w:tcPr>
          <w:p>
            <w:pPr>
              <w:widowControl/>
              <w:spacing w:line="288" w:lineRule="auto"/>
              <w:jc w:val="center"/>
              <w:rPr>
                <w:rFonts w:eastAsiaTheme="minorEastAsia"/>
                <w:kern w:val="0"/>
                <w:szCs w:val="21"/>
              </w:rPr>
            </w:pPr>
            <w:r>
              <w:rPr>
                <w:rFonts w:hint="eastAsia" w:eastAsiaTheme="minorEastAsia"/>
                <w:kern w:val="0"/>
                <w:szCs w:val="21"/>
              </w:rPr>
              <w:t>909.09</w:t>
            </w:r>
          </w:p>
        </w:tc>
        <w:tc>
          <w:tcPr>
            <w:tcW w:w="610" w:type="pct"/>
            <w:vAlign w:val="center"/>
          </w:tcPr>
          <w:p>
            <w:pPr>
              <w:widowControl/>
              <w:spacing w:line="288" w:lineRule="auto"/>
              <w:jc w:val="center"/>
              <w:rPr>
                <w:rFonts w:eastAsiaTheme="minorEastAsia"/>
                <w:kern w:val="0"/>
                <w:szCs w:val="21"/>
              </w:rPr>
            </w:pPr>
            <w:r>
              <w:rPr>
                <w:rFonts w:hint="eastAsia" w:eastAsiaTheme="minorEastAsia"/>
                <w:kern w:val="0"/>
                <w:szCs w:val="21"/>
              </w:rPr>
              <w:t>909.09</w:t>
            </w:r>
          </w:p>
        </w:tc>
        <w:tc>
          <w:tcPr>
            <w:tcW w:w="897" w:type="pct"/>
            <w:vAlign w:val="center"/>
          </w:tcPr>
          <w:p>
            <w:pPr>
              <w:widowControl/>
              <w:spacing w:line="288" w:lineRule="auto"/>
              <w:jc w:val="left"/>
              <w:rPr>
                <w:rFonts w:eastAsiaTheme="minorEastAsia"/>
                <w:kern w:val="0"/>
                <w:szCs w:val="21"/>
              </w:rPr>
            </w:pPr>
            <w:r>
              <w:rPr>
                <w:rFonts w:hint="eastAsia" w:hAnsiTheme="minorEastAsia" w:eastAsiaTheme="minorEastAsia"/>
                <w:kern w:val="0"/>
                <w:szCs w:val="21"/>
              </w:rPr>
              <w:t>包括井下黄泥灌浆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340" w:type="pct"/>
            <w:vAlign w:val="center"/>
          </w:tcPr>
          <w:p>
            <w:pPr>
              <w:widowControl/>
              <w:spacing w:line="288" w:lineRule="auto"/>
              <w:jc w:val="center"/>
              <w:rPr>
                <w:rFonts w:eastAsiaTheme="minorEastAsia"/>
                <w:kern w:val="0"/>
                <w:szCs w:val="21"/>
              </w:rPr>
            </w:pPr>
            <w:r>
              <w:rPr>
                <w:rFonts w:hint="eastAsia" w:eastAsiaTheme="minorEastAsia"/>
                <w:kern w:val="0"/>
                <w:szCs w:val="21"/>
              </w:rPr>
              <w:t>9</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储煤场洒水</w:t>
            </w:r>
          </w:p>
        </w:tc>
        <w:tc>
          <w:tcPr>
            <w:tcW w:w="1145" w:type="pct"/>
            <w:gridSpan w:val="2"/>
            <w:vAlign w:val="center"/>
          </w:tcPr>
          <w:p>
            <w:pPr>
              <w:widowControl/>
              <w:spacing w:line="288" w:lineRule="auto"/>
              <w:jc w:val="center"/>
              <w:rPr>
                <w:rFonts w:eastAsiaTheme="minorEastAsia"/>
                <w:kern w:val="0"/>
                <w:szCs w:val="21"/>
              </w:rPr>
            </w:pPr>
            <w:r>
              <w:rPr>
                <w:rFonts w:eastAsiaTheme="minorEastAsia"/>
                <w:kern w:val="0"/>
                <w:szCs w:val="21"/>
              </w:rPr>
              <w:t>1</w:t>
            </w:r>
            <w:r>
              <w:rPr>
                <w:rFonts w:hint="eastAsia" w:eastAsiaTheme="minorEastAsia"/>
                <w:kern w:val="0"/>
                <w:szCs w:val="21"/>
              </w:rPr>
              <w:t>8200</w:t>
            </w:r>
            <w:r>
              <w:rPr>
                <w:rFonts w:eastAsiaTheme="minorEastAsia"/>
                <w:kern w:val="0"/>
                <w:szCs w:val="21"/>
              </w:rPr>
              <w:t>m</w:t>
            </w:r>
            <w:r>
              <w:rPr>
                <w:rFonts w:eastAsiaTheme="minorEastAsia"/>
                <w:kern w:val="0"/>
                <w:szCs w:val="21"/>
                <w:vertAlign w:val="superscript"/>
              </w:rPr>
              <w:t>2</w:t>
            </w:r>
          </w:p>
        </w:tc>
        <w:tc>
          <w:tcPr>
            <w:tcW w:w="687" w:type="pct"/>
            <w:vAlign w:val="center"/>
          </w:tcPr>
          <w:p>
            <w:pPr>
              <w:widowControl/>
              <w:spacing w:line="288" w:lineRule="auto"/>
              <w:jc w:val="center"/>
              <w:rPr>
                <w:rFonts w:eastAsiaTheme="minorEastAsia"/>
                <w:kern w:val="0"/>
                <w:szCs w:val="21"/>
              </w:rPr>
            </w:pPr>
            <w:r>
              <w:rPr>
                <w:rFonts w:hint="eastAsia" w:eastAsiaTheme="minorEastAsia"/>
                <w:kern w:val="0"/>
                <w:szCs w:val="21"/>
              </w:rPr>
              <w:t>1.0</w:t>
            </w:r>
            <w:r>
              <w:rPr>
                <w:rFonts w:eastAsiaTheme="minorEastAsia"/>
                <w:kern w:val="0"/>
                <w:szCs w:val="21"/>
              </w:rPr>
              <w:t>L/m</w:t>
            </w:r>
            <w:r>
              <w:rPr>
                <w:rFonts w:eastAsiaTheme="minorEastAsia"/>
                <w:kern w:val="0"/>
                <w:szCs w:val="21"/>
                <w:vertAlign w:val="superscript"/>
              </w:rPr>
              <w:t>2</w:t>
            </w:r>
            <w:r>
              <w:rPr>
                <w:rFonts w:eastAsiaTheme="minorEastAsia"/>
                <w:kern w:val="0"/>
                <w:szCs w:val="21"/>
              </w:rPr>
              <w:t>•</w:t>
            </w:r>
            <w:r>
              <w:rPr>
                <w:rFonts w:hAnsiTheme="minorEastAsia" w:eastAsiaTheme="minorEastAsia"/>
                <w:kern w:val="0"/>
                <w:szCs w:val="21"/>
              </w:rPr>
              <w:t>次</w:t>
            </w:r>
          </w:p>
        </w:tc>
        <w:tc>
          <w:tcPr>
            <w:tcW w:w="534" w:type="pct"/>
            <w:vAlign w:val="center"/>
          </w:tcPr>
          <w:p>
            <w:pPr>
              <w:widowControl/>
              <w:spacing w:line="288" w:lineRule="auto"/>
              <w:jc w:val="center"/>
              <w:rPr>
                <w:rFonts w:eastAsiaTheme="minorEastAsia"/>
                <w:kern w:val="0"/>
                <w:szCs w:val="21"/>
              </w:rPr>
            </w:pPr>
            <w:r>
              <w:rPr>
                <w:rFonts w:hint="eastAsia" w:eastAsiaTheme="minorEastAsia"/>
                <w:kern w:val="0"/>
                <w:szCs w:val="21"/>
              </w:rPr>
              <w:t>36.40</w:t>
            </w:r>
          </w:p>
        </w:tc>
        <w:tc>
          <w:tcPr>
            <w:tcW w:w="610" w:type="pct"/>
            <w:vAlign w:val="center"/>
          </w:tcPr>
          <w:p>
            <w:pPr>
              <w:widowControl/>
              <w:spacing w:line="288" w:lineRule="auto"/>
              <w:jc w:val="center"/>
              <w:rPr>
                <w:rFonts w:eastAsiaTheme="minorEastAsia"/>
                <w:kern w:val="0"/>
                <w:szCs w:val="21"/>
              </w:rPr>
            </w:pPr>
            <w:r>
              <w:rPr>
                <w:rFonts w:hint="eastAsia" w:eastAsiaTheme="minorEastAsia"/>
                <w:kern w:val="0"/>
                <w:szCs w:val="21"/>
              </w:rPr>
              <w:t>36.40</w:t>
            </w:r>
          </w:p>
        </w:tc>
        <w:tc>
          <w:tcPr>
            <w:tcW w:w="897"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每天</w:t>
            </w:r>
            <w:r>
              <w:rPr>
                <w:rFonts w:eastAsiaTheme="minorEastAsia"/>
                <w:kern w:val="0"/>
                <w:szCs w:val="21"/>
              </w:rPr>
              <w:t>2</w:t>
            </w:r>
            <w:r>
              <w:rPr>
                <w:rFonts w:hAnsiTheme="minorEastAsia" w:eastAsiaTheme="minorEastAsia"/>
                <w:kern w:val="0"/>
                <w:szCs w:val="21"/>
              </w:rPr>
              <w:t>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340" w:type="pct"/>
            <w:vAlign w:val="center"/>
          </w:tcPr>
          <w:p>
            <w:pPr>
              <w:widowControl/>
              <w:spacing w:line="288" w:lineRule="auto"/>
              <w:jc w:val="center"/>
              <w:rPr>
                <w:rFonts w:eastAsiaTheme="minorEastAsia"/>
                <w:kern w:val="0"/>
                <w:szCs w:val="21"/>
              </w:rPr>
            </w:pPr>
            <w:r>
              <w:rPr>
                <w:rFonts w:hint="eastAsia" w:eastAsiaTheme="minorEastAsia"/>
                <w:kern w:val="0"/>
                <w:szCs w:val="21"/>
              </w:rPr>
              <w:t>10</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厂区绿化洒水</w:t>
            </w:r>
          </w:p>
        </w:tc>
        <w:tc>
          <w:tcPr>
            <w:tcW w:w="1145" w:type="pct"/>
            <w:gridSpan w:val="2"/>
            <w:vAlign w:val="center"/>
          </w:tcPr>
          <w:p>
            <w:pPr>
              <w:widowControl/>
              <w:spacing w:line="288" w:lineRule="auto"/>
              <w:jc w:val="center"/>
              <w:rPr>
                <w:rFonts w:eastAsiaTheme="minorEastAsia"/>
                <w:kern w:val="0"/>
                <w:szCs w:val="21"/>
              </w:rPr>
            </w:pPr>
            <w:r>
              <w:rPr>
                <w:rFonts w:hint="eastAsia" w:eastAsiaTheme="minorEastAsia"/>
                <w:kern w:val="0"/>
                <w:szCs w:val="21"/>
              </w:rPr>
              <w:t>186</w:t>
            </w:r>
            <w:r>
              <w:rPr>
                <w:rFonts w:eastAsiaTheme="minorEastAsia"/>
                <w:kern w:val="0"/>
                <w:szCs w:val="21"/>
              </w:rPr>
              <w:t>00m</w:t>
            </w:r>
            <w:r>
              <w:rPr>
                <w:rFonts w:eastAsiaTheme="minorEastAsia"/>
                <w:kern w:val="0"/>
                <w:szCs w:val="21"/>
                <w:vertAlign w:val="superscript"/>
              </w:rPr>
              <w:t>2</w:t>
            </w:r>
          </w:p>
        </w:tc>
        <w:tc>
          <w:tcPr>
            <w:tcW w:w="687" w:type="pct"/>
            <w:vAlign w:val="center"/>
          </w:tcPr>
          <w:p>
            <w:pPr>
              <w:widowControl/>
              <w:spacing w:line="288" w:lineRule="auto"/>
              <w:jc w:val="center"/>
              <w:rPr>
                <w:rFonts w:eastAsiaTheme="minorEastAsia"/>
                <w:kern w:val="0"/>
                <w:szCs w:val="21"/>
              </w:rPr>
            </w:pPr>
            <w:r>
              <w:rPr>
                <w:rFonts w:eastAsiaTheme="minorEastAsia"/>
                <w:kern w:val="0"/>
                <w:szCs w:val="21"/>
              </w:rPr>
              <w:t>1.5L/m</w:t>
            </w:r>
            <w:r>
              <w:rPr>
                <w:rFonts w:eastAsiaTheme="minorEastAsia"/>
                <w:kern w:val="0"/>
                <w:szCs w:val="21"/>
                <w:vertAlign w:val="superscript"/>
              </w:rPr>
              <w:t>2</w:t>
            </w:r>
            <w:r>
              <w:rPr>
                <w:rFonts w:eastAsiaTheme="minorEastAsia"/>
                <w:kern w:val="0"/>
                <w:szCs w:val="21"/>
              </w:rPr>
              <w:t>·</w:t>
            </w:r>
            <w:r>
              <w:rPr>
                <w:rFonts w:hAnsiTheme="minorEastAsia" w:eastAsiaTheme="minorEastAsia"/>
                <w:kern w:val="0"/>
                <w:szCs w:val="21"/>
              </w:rPr>
              <w:t>次</w:t>
            </w:r>
          </w:p>
        </w:tc>
        <w:tc>
          <w:tcPr>
            <w:tcW w:w="534" w:type="pct"/>
            <w:vAlign w:val="center"/>
          </w:tcPr>
          <w:p>
            <w:pPr>
              <w:widowControl/>
              <w:spacing w:line="288" w:lineRule="auto"/>
              <w:jc w:val="center"/>
              <w:rPr>
                <w:rFonts w:eastAsiaTheme="minorEastAsia"/>
                <w:kern w:val="0"/>
                <w:szCs w:val="21"/>
              </w:rPr>
            </w:pPr>
            <w:r>
              <w:rPr>
                <w:rFonts w:eastAsiaTheme="minorEastAsia"/>
                <w:kern w:val="0"/>
                <w:szCs w:val="21"/>
              </w:rPr>
              <w:t>0</w:t>
            </w:r>
          </w:p>
        </w:tc>
        <w:tc>
          <w:tcPr>
            <w:tcW w:w="610" w:type="pct"/>
            <w:vAlign w:val="center"/>
          </w:tcPr>
          <w:p>
            <w:pPr>
              <w:widowControl/>
              <w:spacing w:line="288" w:lineRule="auto"/>
              <w:jc w:val="center"/>
              <w:rPr>
                <w:rFonts w:eastAsiaTheme="minorEastAsia"/>
                <w:kern w:val="0"/>
                <w:szCs w:val="21"/>
              </w:rPr>
            </w:pPr>
            <w:r>
              <w:rPr>
                <w:rFonts w:hint="eastAsia" w:eastAsiaTheme="minorEastAsia"/>
                <w:kern w:val="0"/>
                <w:szCs w:val="21"/>
              </w:rPr>
              <w:t>55.80</w:t>
            </w:r>
          </w:p>
        </w:tc>
        <w:tc>
          <w:tcPr>
            <w:tcW w:w="897"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每天</w:t>
            </w:r>
            <w:r>
              <w:rPr>
                <w:rFonts w:eastAsiaTheme="minorEastAsia"/>
                <w:kern w:val="0"/>
                <w:szCs w:val="21"/>
              </w:rPr>
              <w:t>2</w:t>
            </w:r>
            <w:r>
              <w:rPr>
                <w:rFonts w:hAnsiTheme="minorEastAsia" w:eastAsiaTheme="minorEastAsia"/>
                <w:kern w:val="0"/>
                <w:szCs w:val="21"/>
              </w:rPr>
              <w:t>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340" w:type="pct"/>
            <w:vAlign w:val="center"/>
          </w:tcPr>
          <w:p>
            <w:pPr>
              <w:widowControl/>
              <w:spacing w:line="288" w:lineRule="auto"/>
              <w:jc w:val="center"/>
              <w:rPr>
                <w:rFonts w:eastAsiaTheme="minorEastAsia"/>
                <w:kern w:val="0"/>
                <w:szCs w:val="21"/>
              </w:rPr>
            </w:pPr>
            <w:r>
              <w:rPr>
                <w:rFonts w:hint="eastAsia" w:eastAsiaTheme="minorEastAsia"/>
                <w:kern w:val="0"/>
                <w:szCs w:val="21"/>
              </w:rPr>
              <w:t>11</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厂区道路洒水</w:t>
            </w:r>
          </w:p>
        </w:tc>
        <w:tc>
          <w:tcPr>
            <w:tcW w:w="1145" w:type="pct"/>
            <w:gridSpan w:val="2"/>
            <w:vAlign w:val="center"/>
          </w:tcPr>
          <w:p>
            <w:pPr>
              <w:widowControl/>
              <w:spacing w:line="288" w:lineRule="auto"/>
              <w:jc w:val="center"/>
              <w:rPr>
                <w:rFonts w:eastAsiaTheme="minorEastAsia"/>
                <w:kern w:val="0"/>
                <w:szCs w:val="21"/>
              </w:rPr>
            </w:pPr>
            <w:r>
              <w:rPr>
                <w:rFonts w:hint="eastAsia" w:eastAsiaTheme="minorEastAsia"/>
                <w:kern w:val="0"/>
                <w:szCs w:val="21"/>
              </w:rPr>
              <w:t>8500</w:t>
            </w:r>
            <w:r>
              <w:rPr>
                <w:rFonts w:eastAsiaTheme="minorEastAsia"/>
                <w:kern w:val="0"/>
                <w:szCs w:val="21"/>
              </w:rPr>
              <w:t>m</w:t>
            </w:r>
            <w:r>
              <w:rPr>
                <w:rFonts w:eastAsiaTheme="minorEastAsia"/>
                <w:kern w:val="0"/>
                <w:szCs w:val="21"/>
                <w:vertAlign w:val="superscript"/>
              </w:rPr>
              <w:t>2</w:t>
            </w:r>
          </w:p>
        </w:tc>
        <w:tc>
          <w:tcPr>
            <w:tcW w:w="687" w:type="pct"/>
            <w:vAlign w:val="center"/>
          </w:tcPr>
          <w:p>
            <w:pPr>
              <w:widowControl/>
              <w:spacing w:line="288" w:lineRule="auto"/>
              <w:jc w:val="center"/>
              <w:rPr>
                <w:rFonts w:eastAsiaTheme="minorEastAsia"/>
                <w:kern w:val="0"/>
                <w:szCs w:val="21"/>
              </w:rPr>
            </w:pPr>
            <w:r>
              <w:rPr>
                <w:rFonts w:hint="eastAsia" w:eastAsiaTheme="minorEastAsia"/>
                <w:kern w:val="0"/>
                <w:szCs w:val="21"/>
              </w:rPr>
              <w:t>2.0</w:t>
            </w:r>
            <w:r>
              <w:rPr>
                <w:rFonts w:eastAsiaTheme="minorEastAsia"/>
                <w:kern w:val="0"/>
                <w:szCs w:val="21"/>
              </w:rPr>
              <w:t>L/m</w:t>
            </w:r>
            <w:r>
              <w:rPr>
                <w:rFonts w:eastAsiaTheme="minorEastAsia"/>
                <w:kern w:val="0"/>
                <w:szCs w:val="21"/>
                <w:vertAlign w:val="superscript"/>
              </w:rPr>
              <w:t>2</w:t>
            </w:r>
            <w:r>
              <w:rPr>
                <w:rFonts w:eastAsiaTheme="minorEastAsia"/>
                <w:kern w:val="0"/>
                <w:szCs w:val="21"/>
              </w:rPr>
              <w:t>·</w:t>
            </w:r>
            <w:r>
              <w:rPr>
                <w:rFonts w:hAnsiTheme="minorEastAsia" w:eastAsiaTheme="minorEastAsia"/>
                <w:kern w:val="0"/>
                <w:szCs w:val="21"/>
              </w:rPr>
              <w:t>次</w:t>
            </w:r>
          </w:p>
        </w:tc>
        <w:tc>
          <w:tcPr>
            <w:tcW w:w="534" w:type="pct"/>
            <w:vAlign w:val="center"/>
          </w:tcPr>
          <w:p>
            <w:pPr>
              <w:widowControl/>
              <w:spacing w:line="288" w:lineRule="auto"/>
              <w:jc w:val="center"/>
              <w:rPr>
                <w:rFonts w:eastAsiaTheme="minorEastAsia"/>
                <w:kern w:val="0"/>
                <w:szCs w:val="21"/>
              </w:rPr>
            </w:pPr>
            <w:r>
              <w:rPr>
                <w:rFonts w:hint="eastAsia" w:eastAsiaTheme="minorEastAsia"/>
                <w:kern w:val="0"/>
                <w:szCs w:val="21"/>
              </w:rPr>
              <w:t>34.00</w:t>
            </w:r>
          </w:p>
        </w:tc>
        <w:tc>
          <w:tcPr>
            <w:tcW w:w="610" w:type="pct"/>
            <w:vAlign w:val="center"/>
          </w:tcPr>
          <w:p>
            <w:pPr>
              <w:widowControl/>
              <w:spacing w:line="288" w:lineRule="auto"/>
              <w:jc w:val="center"/>
              <w:rPr>
                <w:rFonts w:eastAsiaTheme="minorEastAsia"/>
                <w:kern w:val="0"/>
                <w:szCs w:val="21"/>
              </w:rPr>
            </w:pPr>
            <w:r>
              <w:rPr>
                <w:rFonts w:hint="eastAsia" w:eastAsiaTheme="minorEastAsia"/>
                <w:kern w:val="0"/>
                <w:szCs w:val="21"/>
              </w:rPr>
              <w:t>34.00</w:t>
            </w:r>
          </w:p>
        </w:tc>
        <w:tc>
          <w:tcPr>
            <w:tcW w:w="897"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每天</w:t>
            </w:r>
            <w:r>
              <w:rPr>
                <w:rFonts w:eastAsiaTheme="minorEastAsia"/>
                <w:kern w:val="0"/>
                <w:szCs w:val="21"/>
              </w:rPr>
              <w:t>2</w:t>
            </w:r>
            <w:r>
              <w:rPr>
                <w:rFonts w:hAnsiTheme="minorEastAsia" w:eastAsiaTheme="minorEastAsia"/>
                <w:kern w:val="0"/>
                <w:szCs w:val="21"/>
              </w:rPr>
              <w:t>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3" w:hRule="atLeast"/>
        </w:trPr>
        <w:tc>
          <w:tcPr>
            <w:tcW w:w="340" w:type="pct"/>
            <w:vAlign w:val="center"/>
          </w:tcPr>
          <w:p>
            <w:pPr>
              <w:widowControl/>
              <w:spacing w:line="288" w:lineRule="auto"/>
              <w:jc w:val="center"/>
              <w:rPr>
                <w:rFonts w:eastAsiaTheme="minorEastAsia"/>
                <w:kern w:val="0"/>
                <w:szCs w:val="21"/>
              </w:rPr>
            </w:pPr>
            <w:r>
              <w:rPr>
                <w:rFonts w:eastAsiaTheme="minorEastAsia"/>
                <w:kern w:val="0"/>
                <w:szCs w:val="21"/>
              </w:rPr>
              <w:t>1</w:t>
            </w:r>
            <w:r>
              <w:rPr>
                <w:rFonts w:hint="eastAsia" w:eastAsiaTheme="minorEastAsia"/>
                <w:kern w:val="0"/>
                <w:szCs w:val="21"/>
              </w:rPr>
              <w:t>2</w:t>
            </w: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洗车平台用水</w:t>
            </w:r>
          </w:p>
        </w:tc>
        <w:tc>
          <w:tcPr>
            <w:tcW w:w="1145" w:type="pct"/>
            <w:gridSpan w:val="2"/>
            <w:vAlign w:val="center"/>
          </w:tcPr>
          <w:p>
            <w:pPr>
              <w:widowControl/>
              <w:spacing w:line="288" w:lineRule="auto"/>
              <w:jc w:val="center"/>
              <w:rPr>
                <w:rFonts w:eastAsiaTheme="minorEastAsia"/>
                <w:kern w:val="0"/>
                <w:szCs w:val="21"/>
              </w:rPr>
            </w:pPr>
            <w:r>
              <w:rPr>
                <w:rFonts w:hint="eastAsia" w:eastAsiaTheme="minorEastAsia"/>
                <w:kern w:val="0"/>
                <w:szCs w:val="21"/>
              </w:rPr>
              <w:t>363.64</w:t>
            </w:r>
            <w:r>
              <w:rPr>
                <w:rFonts w:hAnsiTheme="minorEastAsia" w:eastAsiaTheme="minorEastAsia"/>
                <w:kern w:val="0"/>
                <w:szCs w:val="21"/>
              </w:rPr>
              <w:t>辆</w:t>
            </w:r>
            <w:r>
              <w:rPr>
                <w:rFonts w:eastAsiaTheme="minorEastAsia"/>
                <w:kern w:val="0"/>
                <w:szCs w:val="21"/>
              </w:rPr>
              <w:t>/</w:t>
            </w:r>
            <w:r>
              <w:rPr>
                <w:rFonts w:hAnsiTheme="minorEastAsia" w:eastAsiaTheme="minorEastAsia"/>
                <w:kern w:val="0"/>
                <w:szCs w:val="21"/>
              </w:rPr>
              <w:t>天循环使用，补充水量为总用水量的</w:t>
            </w:r>
            <w:r>
              <w:rPr>
                <w:rFonts w:eastAsiaTheme="minorEastAsia"/>
                <w:kern w:val="0"/>
                <w:szCs w:val="21"/>
              </w:rPr>
              <w:t>10%</w:t>
            </w:r>
          </w:p>
        </w:tc>
        <w:tc>
          <w:tcPr>
            <w:tcW w:w="687" w:type="pct"/>
            <w:vAlign w:val="center"/>
          </w:tcPr>
          <w:p>
            <w:pPr>
              <w:widowControl/>
              <w:spacing w:line="288" w:lineRule="auto"/>
              <w:jc w:val="center"/>
              <w:rPr>
                <w:rFonts w:eastAsiaTheme="minorEastAsia"/>
                <w:kern w:val="0"/>
                <w:szCs w:val="21"/>
              </w:rPr>
            </w:pPr>
            <w:r>
              <w:rPr>
                <w:szCs w:val="21"/>
              </w:rPr>
              <w:t>1.5m</w:t>
            </w:r>
            <w:r>
              <w:rPr>
                <w:szCs w:val="21"/>
                <w:vertAlign w:val="superscript"/>
              </w:rPr>
              <w:t>3</w:t>
            </w:r>
            <w:r>
              <w:rPr>
                <w:szCs w:val="21"/>
              </w:rPr>
              <w:t>/</w:t>
            </w:r>
            <w:r>
              <w:rPr>
                <w:rFonts w:hint="eastAsia"/>
                <w:szCs w:val="21"/>
              </w:rPr>
              <w:t>辆</w:t>
            </w:r>
            <w:r>
              <w:rPr>
                <w:snapToGrid w:val="0"/>
                <w:szCs w:val="21"/>
              </w:rPr>
              <w:t>•</w:t>
            </w:r>
            <w:r>
              <w:rPr>
                <w:rFonts w:hint="eastAsia"/>
                <w:szCs w:val="21"/>
              </w:rPr>
              <w:t>次</w:t>
            </w:r>
          </w:p>
        </w:tc>
        <w:tc>
          <w:tcPr>
            <w:tcW w:w="534" w:type="pct"/>
            <w:vAlign w:val="center"/>
          </w:tcPr>
          <w:p>
            <w:pPr>
              <w:widowControl/>
              <w:spacing w:line="288" w:lineRule="auto"/>
              <w:jc w:val="center"/>
              <w:rPr>
                <w:rFonts w:eastAsiaTheme="minorEastAsia"/>
                <w:kern w:val="0"/>
                <w:szCs w:val="21"/>
              </w:rPr>
            </w:pPr>
            <w:r>
              <w:rPr>
                <w:rFonts w:hint="eastAsia" w:eastAsiaTheme="minorEastAsia"/>
                <w:kern w:val="0"/>
                <w:szCs w:val="21"/>
              </w:rPr>
              <w:t>54.55</w:t>
            </w:r>
          </w:p>
        </w:tc>
        <w:tc>
          <w:tcPr>
            <w:tcW w:w="610" w:type="pct"/>
            <w:vAlign w:val="center"/>
          </w:tcPr>
          <w:p>
            <w:pPr>
              <w:widowControl/>
              <w:spacing w:line="288" w:lineRule="auto"/>
              <w:jc w:val="center"/>
              <w:rPr>
                <w:rFonts w:eastAsiaTheme="minorEastAsia"/>
                <w:kern w:val="0"/>
                <w:szCs w:val="21"/>
              </w:rPr>
            </w:pPr>
            <w:r>
              <w:rPr>
                <w:rFonts w:hint="eastAsia" w:eastAsiaTheme="minorEastAsia"/>
                <w:kern w:val="0"/>
                <w:szCs w:val="21"/>
              </w:rPr>
              <w:t>54.55</w:t>
            </w:r>
          </w:p>
        </w:tc>
        <w:tc>
          <w:tcPr>
            <w:tcW w:w="897" w:type="pct"/>
            <w:vAlign w:val="center"/>
          </w:tcPr>
          <w:p>
            <w:pPr>
              <w:widowControl/>
              <w:spacing w:line="288" w:lineRule="auto"/>
              <w:jc w:val="center"/>
              <w:rPr>
                <w:rFonts w:eastAsiaTheme="minorEastAsia"/>
                <w:kern w:val="0"/>
                <w:szCs w:val="21"/>
              </w:rPr>
            </w:pPr>
            <w:r>
              <w:rPr>
                <w:rFonts w:hAnsiTheme="minorEastAsia" w:eastAsiaTheme="minorEastAsia"/>
                <w:kern w:val="0"/>
                <w:szCs w:val="21"/>
              </w:rPr>
              <w:t>每天</w:t>
            </w:r>
            <w:r>
              <w:rPr>
                <w:rFonts w:eastAsiaTheme="minorEastAsia"/>
                <w:kern w:val="0"/>
                <w:szCs w:val="21"/>
              </w:rPr>
              <w:t>1</w:t>
            </w:r>
            <w:r>
              <w:rPr>
                <w:rFonts w:hAnsiTheme="minorEastAsia" w:eastAsiaTheme="minorEastAsia"/>
                <w:kern w:val="0"/>
                <w:szCs w:val="21"/>
              </w:rPr>
              <w:t>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0" w:type="pct"/>
            <w:vAlign w:val="center"/>
          </w:tcPr>
          <w:p>
            <w:pPr>
              <w:widowControl/>
              <w:spacing w:line="288" w:lineRule="auto"/>
              <w:jc w:val="center"/>
              <w:rPr>
                <w:rFonts w:eastAsiaTheme="minorEastAsia"/>
                <w:kern w:val="0"/>
                <w:szCs w:val="21"/>
              </w:rPr>
            </w:pPr>
          </w:p>
        </w:tc>
        <w:tc>
          <w:tcPr>
            <w:tcW w:w="787" w:type="pct"/>
            <w:gridSpan w:val="2"/>
            <w:vAlign w:val="center"/>
          </w:tcPr>
          <w:p>
            <w:pPr>
              <w:widowControl/>
              <w:spacing w:line="288" w:lineRule="auto"/>
              <w:jc w:val="center"/>
              <w:rPr>
                <w:rFonts w:eastAsiaTheme="minorEastAsia"/>
                <w:kern w:val="0"/>
                <w:szCs w:val="21"/>
              </w:rPr>
            </w:pPr>
            <w:r>
              <w:rPr>
                <w:rFonts w:hAnsiTheme="minorEastAsia" w:eastAsiaTheme="minorEastAsia"/>
                <w:kern w:val="0"/>
                <w:szCs w:val="21"/>
              </w:rPr>
              <w:t>合计</w:t>
            </w:r>
          </w:p>
        </w:tc>
        <w:tc>
          <w:tcPr>
            <w:tcW w:w="1145" w:type="pct"/>
            <w:gridSpan w:val="2"/>
            <w:vAlign w:val="center"/>
          </w:tcPr>
          <w:p>
            <w:pPr>
              <w:widowControl/>
              <w:spacing w:line="288" w:lineRule="auto"/>
              <w:jc w:val="center"/>
              <w:rPr>
                <w:rFonts w:eastAsiaTheme="minorEastAsia"/>
                <w:kern w:val="0"/>
                <w:szCs w:val="21"/>
              </w:rPr>
            </w:pPr>
          </w:p>
        </w:tc>
        <w:tc>
          <w:tcPr>
            <w:tcW w:w="687" w:type="pct"/>
            <w:vAlign w:val="center"/>
          </w:tcPr>
          <w:p>
            <w:pPr>
              <w:widowControl/>
              <w:spacing w:line="288" w:lineRule="auto"/>
              <w:jc w:val="center"/>
              <w:rPr>
                <w:rFonts w:eastAsiaTheme="minorEastAsia"/>
                <w:kern w:val="0"/>
                <w:szCs w:val="21"/>
              </w:rPr>
            </w:pPr>
          </w:p>
        </w:tc>
        <w:tc>
          <w:tcPr>
            <w:tcW w:w="534" w:type="pct"/>
            <w:vAlign w:val="center"/>
          </w:tcPr>
          <w:p>
            <w:pPr>
              <w:spacing w:line="288" w:lineRule="auto"/>
              <w:jc w:val="center"/>
              <w:rPr>
                <w:rFonts w:eastAsiaTheme="minorEastAsia"/>
                <w:szCs w:val="21"/>
              </w:rPr>
            </w:pPr>
            <w:r>
              <w:rPr>
                <w:rFonts w:hint="eastAsia" w:eastAsiaTheme="minorEastAsia"/>
                <w:szCs w:val="21"/>
              </w:rPr>
              <w:t>1371.74</w:t>
            </w:r>
          </w:p>
        </w:tc>
        <w:tc>
          <w:tcPr>
            <w:tcW w:w="610" w:type="pct"/>
            <w:vAlign w:val="center"/>
          </w:tcPr>
          <w:p>
            <w:pPr>
              <w:spacing w:line="288" w:lineRule="auto"/>
              <w:jc w:val="center"/>
              <w:rPr>
                <w:rFonts w:eastAsiaTheme="minorEastAsia"/>
                <w:szCs w:val="21"/>
              </w:rPr>
            </w:pPr>
            <w:r>
              <w:rPr>
                <w:rFonts w:hint="eastAsia" w:eastAsiaTheme="minorEastAsia"/>
                <w:szCs w:val="21"/>
              </w:rPr>
              <w:t>1392.34</w:t>
            </w:r>
          </w:p>
        </w:tc>
        <w:tc>
          <w:tcPr>
            <w:tcW w:w="897" w:type="pct"/>
            <w:vAlign w:val="center"/>
          </w:tcPr>
          <w:p>
            <w:pPr>
              <w:widowControl/>
              <w:spacing w:line="288" w:lineRule="auto"/>
              <w:jc w:val="center"/>
              <w:rPr>
                <w:rFonts w:eastAsiaTheme="minorEastAsia"/>
                <w:kern w:val="0"/>
                <w:szCs w:val="21"/>
              </w:rPr>
            </w:pPr>
          </w:p>
        </w:tc>
      </w:tr>
    </w:tbl>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r>
        <w:rPr>
          <w:rFonts w:ascii="宋体" w:hAnsi="宋体" w:cs="宋体"/>
          <w:kern w:val="0"/>
          <w:sz w:val="24"/>
        </w:rPr>
        <w:pict>
          <v:group id="_x0000_s230650" o:spid="_x0000_s230650" o:spt="203" style="position:absolute;left:0pt;margin-left:-3.8pt;margin-top:15.35pt;height:614.15pt;width:450.4pt;z-index:251710464;mso-width-relative:page;mso-height-relative:page;" coordorigin="1342,2008" coordsize="9008,12283">
            <o:lock v:ext="edit"/>
            <v:rect id="_x0000_s56117" o:spid="_x0000_s56117" o:spt="1" style="position:absolute;left:3896;top:13800;height:491;width:3889;" filled="f" stroked="f" coordsize="21600,21600">
              <v:path/>
              <v:fill on="f" focussize="0,0"/>
              <v:stroke on="f"/>
              <v:imagedata o:title=""/>
              <o:lock v:ext="edit"/>
              <v:textbox>
                <w:txbxContent>
                  <w:p>
                    <w:pPr>
                      <w:rPr>
                        <w:b/>
                      </w:rPr>
                    </w:pPr>
                    <w:r>
                      <w:rPr>
                        <w:rFonts w:hint="eastAsia"/>
                        <w:b/>
                      </w:rPr>
                      <w:t>图</w:t>
                    </w:r>
                    <w:r>
                      <w:rPr>
                        <w:b/>
                      </w:rPr>
                      <w:t xml:space="preserve">3.2-1  </w:t>
                    </w:r>
                    <w:r>
                      <w:rPr>
                        <w:rFonts w:hint="eastAsia"/>
                        <w:b/>
                      </w:rPr>
                      <w:t>4、5号煤层非采暖期水平衡图</w:t>
                    </w:r>
                  </w:p>
                </w:txbxContent>
              </v:textbox>
            </v:rect>
            <v:shape id="_x0000_s56119" o:spid="_x0000_s56119" o:spt="202" type="#_x0000_t202" style="position:absolute;left:4983;top:8157;height:430;width:1799;" filled="f" coordsize="21600,21600">
              <v:path/>
              <v:fill on="f" focussize="0,0"/>
              <v:stroke joinstyle="miter"/>
              <v:imagedata o:title=""/>
              <o:lock v:ext="edit"/>
              <v:textbox>
                <w:txbxContent>
                  <w:p>
                    <w:pPr>
                      <w:jc w:val="center"/>
                    </w:pPr>
                    <w:r>
                      <w:rPr>
                        <w:rFonts w:hint="eastAsia"/>
                      </w:rPr>
                      <w:t>办公区生活用水</w:t>
                    </w:r>
                  </w:p>
                </w:txbxContent>
              </v:textbox>
            </v:shape>
            <v:shape id="_x0000_s56120" o:spid="_x0000_s56120" o:spt="32" type="#_x0000_t32" style="position:absolute;left:2952;top:8003;height:1;width:991;" o:connectortype="straight" filled="f" coordsize="21600,21600">
              <v:path arrowok="t"/>
              <v:fill on="f" focussize="0,0"/>
              <v:stroke/>
              <v:imagedata o:title=""/>
              <o:lock v:ext="edit"/>
            </v:shape>
            <v:shape id="_x0000_s56122" o:spid="_x0000_s56122" o:spt="202" type="#_x0000_t202" style="position:absolute;left:1865;top:7774;height:450;width:1087;" filled="f" coordsize="21600,21600">
              <v:path/>
              <v:fill on="f" focussize="0,0"/>
              <v:stroke joinstyle="miter"/>
              <v:imagedata o:title=""/>
              <o:lock v:ext="edit"/>
              <v:textbox>
                <w:txbxContent>
                  <w:p>
                    <w:pPr>
                      <w:jc w:val="center"/>
                    </w:pPr>
                    <w:r>
                      <w:rPr>
                        <w:rFonts w:hint="eastAsia"/>
                      </w:rPr>
                      <w:t>水源井</w:t>
                    </w:r>
                  </w:p>
                </w:txbxContent>
              </v:textbox>
            </v:shape>
            <v:shape id="_x0000_s56123" o:spid="_x0000_s56123" o:spt="32" type="#_x0000_t32" style="position:absolute;left:3941;top:8357;height:0;width:1016;" o:connectortype="straight" filled="f" coordsize="21600,21600">
              <v:path arrowok="t"/>
              <v:fill on="f" focussize="0,0"/>
              <v:stroke endarrow="block"/>
              <v:imagedata o:title=""/>
              <o:lock v:ext="edit"/>
            </v:shape>
            <v:shape id="_x0000_s56124" o:spid="_x0000_s56124" o:spt="32" type="#_x0000_t32" style="position:absolute;left:6782;top:8342;height:0;width:867;" o:connectortype="straight" filled="f" coordsize="21600,21600">
              <v:path arrowok="t"/>
              <v:fill on="f" focussize="0,0"/>
              <v:stroke/>
              <v:imagedata o:title=""/>
              <o:lock v:ext="edit"/>
            </v:shape>
            <v:shape id="_x0000_s56125" o:spid="_x0000_s56125" o:spt="32" type="#_x0000_t32" style="position:absolute;left:6537;top:10384;height:0;width:1993;" o:connectortype="straight" filled="f" coordsize="21600,21600">
              <v:path arrowok="t"/>
              <v:fill on="f" focussize="0,0"/>
              <v:stroke endarrow="block"/>
              <v:imagedata o:title=""/>
              <o:lock v:ext="edit"/>
            </v:shape>
            <v:shape id="_x0000_s56126" o:spid="_x0000_s56126" o:spt="202" type="#_x0000_t202" style="position:absolute;left:8512;top:9792;height:1089;width:1322;" filled="f" coordsize="21600,21600">
              <v:path/>
              <v:fill on="f" focussize="0,0"/>
              <v:stroke joinstyle="miter"/>
              <v:imagedata o:title=""/>
              <o:lock v:ext="edit"/>
              <v:textbox>
                <w:txbxContent>
                  <w:p>
                    <w:r>
                      <w:rPr>
                        <w:rFonts w:hint="eastAsia"/>
                      </w:rPr>
                      <w:t>主工业场地生活污水处理站</w:t>
                    </w:r>
                  </w:p>
                </w:txbxContent>
              </v:textbox>
            </v:shape>
            <v:shape id="_x0000_s56129" o:spid="_x0000_s56129" o:spt="32" type="#_x0000_t32" style="position:absolute;left:3911;top:10410;height:0;width:1058;" o:connectortype="straight" filled="f" coordsize="21600,21600">
              <v:path arrowok="t"/>
              <v:fill on="f" focussize="0,0"/>
              <v:stroke endarrow="block"/>
              <v:imagedata o:title=""/>
              <o:lock v:ext="edit"/>
            </v:shape>
            <v:shape id="_x0000_s56130" o:spid="_x0000_s56130" o:spt="202" type="#_x0000_t202" style="position:absolute;left:4969;top:10196;height:436;width:1588;" filled="f" coordsize="21600,21600">
              <v:path/>
              <v:fill on="f" focussize="0,0"/>
              <v:stroke joinstyle="miter"/>
              <v:imagedata o:title=""/>
              <o:lock v:ext="edit"/>
              <v:textbox>
                <w:txbxContent>
                  <w:p>
                    <w:pPr>
                      <w:jc w:val="center"/>
                    </w:pPr>
                    <w:r>
                      <w:rPr>
                        <w:rFonts w:hint="eastAsia"/>
                      </w:rPr>
                      <w:t>食堂用水</w:t>
                    </w:r>
                  </w:p>
                </w:txbxContent>
              </v:textbox>
            </v:shape>
            <v:shape id="_x0000_s56131" o:spid="_x0000_s56131" o:spt="32" type="#_x0000_t32" style="position:absolute;left:6545;top:9372;height:0;width:1104;" o:connectortype="straight" filled="f" coordsize="21600,21600">
              <v:path arrowok="t"/>
              <v:fill on="f" focussize="0,0"/>
              <v:stroke/>
              <v:imagedata o:title=""/>
              <o:lock v:ext="edit"/>
            </v:shape>
            <v:shape id="_x0000_s56132" o:spid="_x0000_s56132" o:spt="202" type="#_x0000_t202" style="position:absolute;left:2879;top:7541;height:416;width:1086;" filled="f" stroked="f" coordsize="21600,21600">
              <v:path/>
              <v:fill on="f" focussize="0,0"/>
              <v:stroke on="f" joinstyle="miter"/>
              <v:imagedata o:title=""/>
              <o:lock v:ext="edit"/>
              <v:textbox>
                <w:txbxContent>
                  <w:p>
                    <w:pPr>
                      <w:jc w:val="center"/>
                    </w:pPr>
                    <w:r>
                      <w:rPr>
                        <w:rFonts w:hint="eastAsia"/>
                      </w:rPr>
                      <w:t>635.59</w:t>
                    </w:r>
                  </w:p>
                  <w:p>
                    <w:pPr>
                      <w:jc w:val="center"/>
                    </w:pPr>
                  </w:p>
                </w:txbxContent>
              </v:textbox>
            </v:shape>
            <v:shape id="_x0000_s56133" o:spid="_x0000_s56133" o:spt="202" type="#_x0000_t202" style="position:absolute;left:3954;top:9953;height:416;width:947;" filled="f" stroked="f" coordsize="21600,21600">
              <v:path/>
              <v:fill on="f" focussize="0,0"/>
              <v:stroke on="f" joinstyle="miter"/>
              <v:imagedata o:title=""/>
              <o:lock v:ext="edit"/>
              <v:textbox>
                <w:txbxContent>
                  <w:p>
                    <w:pPr>
                      <w:jc w:val="center"/>
                    </w:pPr>
                    <w:r>
                      <w:rPr>
                        <w:rFonts w:hint="eastAsia"/>
                      </w:rPr>
                      <w:t>19.08</w:t>
                    </w:r>
                  </w:p>
                  <w:p>
                    <w:pPr>
                      <w:jc w:val="center"/>
                    </w:pPr>
                  </w:p>
                </w:txbxContent>
              </v:textbox>
            </v:shape>
            <v:shape id="_x0000_s56134" o:spid="_x0000_s56134" o:spt="202" type="#_x0000_t202" style="position:absolute;left:3954;top:7938;height:416;width:986;" filled="f" stroked="f" coordsize="21600,21600">
              <v:path/>
              <v:fill on="f" focussize="0,0"/>
              <v:stroke on="f" joinstyle="miter"/>
              <v:imagedata o:title=""/>
              <o:lock v:ext="edit"/>
              <v:textbox>
                <w:txbxContent>
                  <w:p>
                    <w:pPr>
                      <w:jc w:val="center"/>
                    </w:pPr>
                    <w:r>
                      <w:rPr>
                        <w:rFonts w:hint="eastAsia"/>
                      </w:rPr>
                      <w:t>25.08</w:t>
                    </w:r>
                  </w:p>
                  <w:p>
                    <w:pPr>
                      <w:jc w:val="center"/>
                    </w:pPr>
                  </w:p>
                </w:txbxContent>
              </v:textbox>
            </v:shape>
            <v:shape id="_x0000_s56135" o:spid="_x0000_s56135" o:spt="202" type="#_x0000_t202" style="position:absolute;left:7546;top:9980;height:416;width:977;" filled="f" stroked="f" coordsize="21600,21600">
              <v:path/>
              <v:fill on="f" focussize="0,0"/>
              <v:stroke on="f" joinstyle="miter"/>
              <v:imagedata o:title=""/>
              <o:lock v:ext="edit"/>
              <v:textbox>
                <w:txbxContent>
                  <w:p>
                    <w:pPr>
                      <w:jc w:val="center"/>
                    </w:pPr>
                    <w:r>
                      <w:rPr>
                        <w:rFonts w:hint="eastAsia"/>
                      </w:rPr>
                      <w:t>209.61</w:t>
                    </w:r>
                  </w:p>
                  <w:p>
                    <w:pPr>
                      <w:jc w:val="center"/>
                    </w:pPr>
                  </w:p>
                </w:txbxContent>
              </v:textbox>
            </v:shape>
            <v:shape id="_x0000_s56137" o:spid="_x0000_s56137" o:spt="32" type="#_x0000_t32" style="position:absolute;left:3919;top:6473;flip:x;height:6903;width:22;" o:connectortype="straight" filled="f" coordsize="21600,21600">
              <v:path arrowok="t"/>
              <v:fill on="f" focussize="0,0"/>
              <v:stroke/>
              <v:imagedata o:title=""/>
              <o:lock v:ext="edit"/>
            </v:shape>
            <v:shape id="_x0000_s56138" o:spid="_x0000_s56138" o:spt="32" type="#_x0000_t32" style="position:absolute;left:7649;top:7400;height:5959;width:10;" o:connectortype="straight" filled="f" coordsize="21600,21600">
              <v:path arrowok="t"/>
              <v:fill on="f" focussize="0,0"/>
              <v:stroke/>
              <v:imagedata o:title=""/>
              <o:lock v:ext="edit"/>
            </v:shape>
            <v:shape id="_x0000_s56139" o:spid="_x0000_s56139" o:spt="202" type="#_x0000_t202" style="position:absolute;left:4957;top:9168;height:454;width:1588;" filled="f" coordsize="21600,21600">
              <v:path/>
              <v:fill on="f" focussize="0,0"/>
              <v:stroke joinstyle="miter"/>
              <v:imagedata o:title=""/>
              <o:lock v:ext="edit"/>
              <v:textbox>
                <w:txbxContent>
                  <w:p>
                    <w:pPr>
                      <w:jc w:val="center"/>
                    </w:pPr>
                    <w:r>
                      <w:rPr>
                        <w:rFonts w:hint="eastAsia"/>
                      </w:rPr>
                      <w:t>宿舍用水</w:t>
                    </w:r>
                  </w:p>
                </w:txbxContent>
              </v:textbox>
            </v:shape>
            <v:shape id="_x0000_s56140" o:spid="_x0000_s56140" o:spt="32" type="#_x0000_t32" style="position:absolute;left:3908;top:9418;height:0;width:1069;" o:connectortype="straight" filled="f" coordsize="21600,21600">
              <v:path arrowok="t"/>
              <v:fill on="f" focussize="0,0"/>
              <v:stroke endarrow="block"/>
              <v:imagedata o:title=""/>
              <o:lock v:ext="edit"/>
            </v:shape>
            <v:shape id="_x0000_s56141" o:spid="_x0000_s56141" o:spt="202" type="#_x0000_t202" style="position:absolute;left:4016;top:8971;height:416;width:894;" filled="f" stroked="f" coordsize="21600,21600">
              <v:path/>
              <v:fill on="f" focussize="0,0"/>
              <v:stroke on="f" joinstyle="miter"/>
              <v:imagedata o:title=""/>
              <o:lock v:ext="edit"/>
              <v:textbox>
                <w:txbxContent>
                  <w:p>
                    <w:pPr>
                      <w:jc w:val="center"/>
                    </w:pPr>
                    <w:r>
                      <w:rPr>
                        <w:rFonts w:hint="eastAsia"/>
                      </w:rPr>
                      <w:t>75.30</w:t>
                    </w:r>
                  </w:p>
                  <w:p>
                    <w:pPr>
                      <w:jc w:val="center"/>
                    </w:pPr>
                  </w:p>
                </w:txbxContent>
              </v:textbox>
            </v:shape>
            <v:shape id="_x0000_s56142" o:spid="_x0000_s56142" o:spt="32" type="#_x0000_t32" style="position:absolute;left:3924;top:11380;height:1;width:1059;" o:connectortype="straight" filled="f" coordsize="21600,21600">
              <v:path arrowok="t"/>
              <v:fill on="f" focussize="0,0"/>
              <v:stroke endarrow="block"/>
              <v:imagedata o:title=""/>
              <o:lock v:ext="edit"/>
            </v:shape>
            <v:shape id="_x0000_s56143" o:spid="_x0000_s56143" o:spt="202" type="#_x0000_t202" style="position:absolute;left:4983;top:11167;height:463;width:1599;" filled="f" coordsize="21600,21600">
              <v:path/>
              <v:fill on="f" focussize="0,0"/>
              <v:stroke joinstyle="miter"/>
              <v:imagedata o:title=""/>
              <o:lock v:ext="edit"/>
              <v:textbox>
                <w:txbxContent>
                  <w:p>
                    <w:pPr>
                      <w:jc w:val="center"/>
                    </w:pPr>
                    <w:r>
                      <w:rPr>
                        <w:rFonts w:hint="eastAsia"/>
                      </w:rPr>
                      <w:t>浴室用水</w:t>
                    </w:r>
                  </w:p>
                </w:txbxContent>
              </v:textbox>
            </v:shape>
            <v:shape id="_x0000_s56144" o:spid="_x0000_s56144" o:spt="202" type="#_x0000_t202" style="position:absolute;left:3924;top:10881;height:416;width:1016;" filled="f" stroked="f" coordsize="21600,21600">
              <v:path/>
              <v:fill on="f" focussize="0,0"/>
              <v:stroke on="f" joinstyle="miter"/>
              <v:imagedata o:title=""/>
              <o:lock v:ext="edit"/>
              <v:textbox>
                <w:txbxContent>
                  <w:p>
                    <w:pPr>
                      <w:jc w:val="center"/>
                    </w:pPr>
                    <w:r>
                      <w:rPr>
                        <w:rFonts w:hint="eastAsia"/>
                      </w:rPr>
                      <w:t>97.2</w:t>
                    </w:r>
                  </w:p>
                  <w:p>
                    <w:pPr>
                      <w:jc w:val="center"/>
                    </w:pPr>
                  </w:p>
                </w:txbxContent>
              </v:textbox>
            </v:shape>
            <v:shape id="_x0000_s56145" o:spid="_x0000_s56145" o:spt="32" type="#_x0000_t32" style="position:absolute;left:6582;top:11380;height:1;width:1067;" o:connectortype="straight" filled="f" coordsize="21600,21600">
              <v:path arrowok="t"/>
              <v:fill on="f" focussize="0,0"/>
              <v:stroke/>
              <v:imagedata o:title=""/>
              <o:lock v:ext="edit"/>
            </v:shape>
            <v:shape id="_x0000_s56146" o:spid="_x0000_s56146" o:spt="38" type="#_x0000_t38" style="position:absolute;left:5342;top:7913;flip:y;height:231;width:434;" o:connectortype="curved" filled="f" coordsize="21600,21600" adj="10800,223574,-368494">
              <v:path arrowok="t"/>
              <v:fill on="f" focussize="0,0"/>
              <v:stroke endarrow="block"/>
              <v:imagedata o:title=""/>
              <o:lock v:ext="edit"/>
            </v:shape>
            <v:shape id="_x0000_s56147" o:spid="_x0000_s56147" o:spt="202" type="#_x0000_t202" style="position:absolute;left:5617;top:7706;height:416;width:850;" filled="f" stroked="f" coordsize="21600,21600">
              <v:path/>
              <v:fill on="f" focussize="0,0"/>
              <v:stroke on="f" joinstyle="miter"/>
              <v:imagedata o:title=""/>
              <o:lock v:ext="edit"/>
              <v:textbox>
                <w:txbxContent>
                  <w:p>
                    <w:pPr>
                      <w:jc w:val="center"/>
                    </w:pPr>
                    <w:r>
                      <w:rPr>
                        <w:rFonts w:hint="eastAsia"/>
                      </w:rPr>
                      <w:t>5.02</w:t>
                    </w:r>
                  </w:p>
                  <w:p>
                    <w:pPr>
                      <w:jc w:val="center"/>
                    </w:pPr>
                  </w:p>
                </w:txbxContent>
              </v:textbox>
            </v:shape>
            <v:rect id="_x0000_s56148" o:spid="_x0000_s56148" o:spt="1" style="position:absolute;left:6756;top:7951;height:490;width:1018;" filled="f" stroked="f" coordsize="21600,21600">
              <v:path/>
              <v:fill on="f" focussize="0,0"/>
              <v:stroke on="f"/>
              <v:imagedata o:title=""/>
              <o:lock v:ext="edit"/>
              <v:textbox>
                <w:txbxContent>
                  <w:p>
                    <w:r>
                      <w:rPr>
                        <w:rFonts w:hint="eastAsia"/>
                      </w:rPr>
                      <w:t>20.06</w:t>
                    </w:r>
                  </w:p>
                </w:txbxContent>
              </v:textbox>
            </v:rect>
            <v:shape id="_x0000_s56149" o:spid="_x0000_s56149" o:spt="38" type="#_x0000_t38" style="position:absolute;left:5289;top:8914;flip:y;height:231;width:434;" o:connectortype="curved" filled="f" coordsize="21600,21600" adj="10800,223574,-368494">
              <v:path arrowok="t"/>
              <v:fill on="f" focussize="0,0"/>
              <v:stroke endarrow="block"/>
              <v:imagedata o:title=""/>
              <o:lock v:ext="edit"/>
            </v:shape>
            <v:rect id="_x0000_s56150" o:spid="_x0000_s56150" o:spt="1" style="position:absolute;left:6640;top:8927;height:490;width:958;" filled="f" stroked="f" coordsize="21600,21600">
              <v:path/>
              <v:fill on="f" focussize="0,0"/>
              <v:stroke on="f"/>
              <v:imagedata o:title=""/>
              <o:lock v:ext="edit"/>
              <v:textbox>
                <w:txbxContent>
                  <w:p>
                    <w:r>
                      <w:rPr>
                        <w:rFonts w:hint="eastAsia"/>
                      </w:rPr>
                      <w:t>60.24</w:t>
                    </w:r>
                  </w:p>
                </w:txbxContent>
              </v:textbox>
            </v:rect>
            <v:shape id="_x0000_s56151" o:spid="_x0000_s56151" o:spt="38" type="#_x0000_t38" style="position:absolute;left:5211;top:9952;flip:y;height:231;width:434;" o:connectortype="curved" filled="f" coordsize="21600,21600" adj="10800,223574,-368494">
              <v:path arrowok="t"/>
              <v:fill on="f" focussize="0,0"/>
              <v:stroke endarrow="block"/>
              <v:imagedata o:title=""/>
              <o:lock v:ext="edit"/>
            </v:shape>
            <v:shape id="_x0000_s56152" o:spid="_x0000_s56152" o:spt="202" type="#_x0000_t202" style="position:absolute;left:5496;top:9727;height:416;width:850;" filled="f" stroked="f" coordsize="21600,21600">
              <v:path/>
              <v:fill on="f" focussize="0,0"/>
              <v:stroke on="f" joinstyle="miter"/>
              <v:imagedata o:title=""/>
              <o:lock v:ext="edit"/>
              <v:textbox>
                <w:txbxContent>
                  <w:p>
                    <w:pPr>
                      <w:jc w:val="center"/>
                    </w:pPr>
                    <w:r>
                      <w:rPr>
                        <w:rFonts w:hint="eastAsia"/>
                      </w:rPr>
                      <w:t>3.82</w:t>
                    </w:r>
                  </w:p>
                  <w:p>
                    <w:pPr>
                      <w:jc w:val="center"/>
                    </w:pPr>
                  </w:p>
                </w:txbxContent>
              </v:textbox>
            </v:shape>
            <v:rect id="_x0000_s56153" o:spid="_x0000_s56153" o:spt="1" style="position:absolute;left:6652;top:9959;height:475;width:801;" filled="f" stroked="f" coordsize="21600,21600">
              <v:path/>
              <v:fill on="f" focussize="0,0"/>
              <v:stroke on="f"/>
              <v:imagedata o:title=""/>
              <o:lock v:ext="edit"/>
              <v:textbox>
                <w:txbxContent>
                  <w:p>
                    <w:r>
                      <w:t>1</w:t>
                    </w:r>
                    <w:r>
                      <w:rPr>
                        <w:rFonts w:hint="eastAsia"/>
                      </w:rPr>
                      <w:t>5.26</w:t>
                    </w:r>
                  </w:p>
                  <w:p/>
                </w:txbxContent>
              </v:textbox>
            </v:rect>
            <v:shape id="_x0000_s56154" o:spid="_x0000_s56154" o:spt="38" type="#_x0000_t38" style="position:absolute;left:5287;top:10936;flip:y;height:231;width:434;" o:connectortype="curved" filled="f" coordsize="21600,21600" adj="10800,223574,-368494">
              <v:path arrowok="t"/>
              <v:fill on="f" focussize="0,0"/>
              <v:stroke endarrow="block"/>
              <v:imagedata o:title=""/>
              <o:lock v:ext="edit"/>
            </v:shape>
            <v:shape id="_x0000_s56155" o:spid="_x0000_s56155" o:spt="202" type="#_x0000_t202" style="position:absolute;left:5572;top:10737;height:430;width:973;" filled="f" stroked="f" coordsize="21600,21600">
              <v:path/>
              <v:fill on="f" focussize="0,0"/>
              <v:stroke on="f" joinstyle="miter"/>
              <v:imagedata o:title=""/>
              <o:lock v:ext="edit"/>
              <v:textbox>
                <w:txbxContent>
                  <w:p>
                    <w:pPr>
                      <w:jc w:val="center"/>
                    </w:pPr>
                    <w:r>
                      <w:rPr>
                        <w:rFonts w:hint="eastAsia"/>
                      </w:rPr>
                      <w:t>19.44</w:t>
                    </w:r>
                  </w:p>
                  <w:p>
                    <w:pPr>
                      <w:jc w:val="center"/>
                    </w:pPr>
                  </w:p>
                </w:txbxContent>
              </v:textbox>
            </v:shape>
            <v:rect id="_x0000_s56156" o:spid="_x0000_s56156" o:spt="1" style="position:absolute;left:6680;top:10986;height:451;width:773;" filled="f" stroked="f" coordsize="21600,21600">
              <v:path/>
              <v:fill on="f" focussize="0,0"/>
              <v:stroke on="f"/>
              <v:imagedata o:title=""/>
              <o:lock v:ext="edit"/>
              <v:textbox>
                <w:txbxContent>
                  <w:p>
                    <w:r>
                      <w:rPr>
                        <w:rFonts w:hint="eastAsia"/>
                      </w:rPr>
                      <w:t>77.76</w:t>
                    </w:r>
                  </w:p>
                </w:txbxContent>
              </v:textbox>
            </v:rect>
            <v:shape id="_x0000_s56160" o:spid="_x0000_s56160" o:spt="32" type="#_x0000_t32" style="position:absolute;left:3898;top:12366;height:0;width:1092;" o:connectortype="straight" filled="f" coordsize="21600,21600">
              <v:path arrowok="t"/>
              <v:fill on="f" focussize="0,0"/>
              <v:stroke endarrow="block"/>
              <v:imagedata o:title=""/>
              <o:lock v:ext="edit"/>
            </v:shape>
            <v:shape id="_x0000_s56161" o:spid="_x0000_s56161" o:spt="202" type="#_x0000_t202" style="position:absolute;left:4967;top:12161;height:504;width:1588;" filled="f" coordsize="21600,21600">
              <v:path/>
              <v:fill on="f" focussize="0,0"/>
              <v:stroke joinstyle="miter"/>
              <v:imagedata o:title=""/>
              <o:lock v:ext="edit"/>
              <v:textbox>
                <w:txbxContent>
                  <w:p>
                    <w:pPr>
                      <w:jc w:val="center"/>
                    </w:pPr>
                    <w:r>
                      <w:rPr>
                        <w:rFonts w:hint="eastAsia"/>
                      </w:rPr>
                      <w:t>洗衣房用水</w:t>
                    </w:r>
                  </w:p>
                </w:txbxContent>
              </v:textbox>
            </v:shape>
            <v:shape id="_x0000_s56162" o:spid="_x0000_s56162" o:spt="202" type="#_x0000_t202" style="position:absolute;left:3908;top:11889;height:416;width:1075;" filled="f" stroked="f" coordsize="21600,21600">
              <v:path/>
              <v:fill on="f" focussize="0,0"/>
              <v:stroke on="f" joinstyle="miter"/>
              <v:imagedata o:title=""/>
              <o:lock v:ext="edit"/>
              <v:textbox>
                <w:txbxContent>
                  <w:p>
                    <w:pPr>
                      <w:jc w:val="center"/>
                    </w:pPr>
                    <w:r>
                      <w:rPr>
                        <w:rFonts w:hint="eastAsia"/>
                      </w:rPr>
                      <w:t>13.54</w:t>
                    </w:r>
                  </w:p>
                  <w:p>
                    <w:pPr>
                      <w:jc w:val="center"/>
                    </w:pPr>
                  </w:p>
                </w:txbxContent>
              </v:textbox>
            </v:shape>
            <v:shape id="_x0000_s56163" o:spid="_x0000_s56163" o:spt="32" type="#_x0000_t32" style="position:absolute;left:6555;top:12374;height:0;width:1094;" o:connectortype="straight" filled="f" coordsize="21600,21600">
              <v:path arrowok="t"/>
              <v:fill on="f" focussize="0,0"/>
              <v:stroke/>
              <v:imagedata o:title=""/>
              <o:lock v:ext="edit"/>
            </v:shape>
            <v:shape id="_x0000_s56164" o:spid="_x0000_s56164" o:spt="38" type="#_x0000_t38" style="position:absolute;left:5195;top:11889;flip:y;height:231;width:434;" o:connectortype="curved" filled="f" coordsize="21600,21600" adj="10800,223574,-368494">
              <v:path arrowok="t"/>
              <v:fill on="f" focussize="0,0"/>
              <v:stroke endarrow="block"/>
              <v:imagedata o:title=""/>
              <o:lock v:ext="edit"/>
            </v:shape>
            <v:shape id="_x0000_s56165" o:spid="_x0000_s56165" o:spt="202" type="#_x0000_t202" style="position:absolute;left:5402;top:11630;height:430;width:973;" filled="f" stroked="f" coordsize="21600,21600">
              <v:path/>
              <v:fill on="f" focussize="0,0"/>
              <v:stroke on="f" joinstyle="miter"/>
              <v:imagedata o:title=""/>
              <o:lock v:ext="edit"/>
              <v:textbox>
                <w:txbxContent>
                  <w:p>
                    <w:pPr>
                      <w:jc w:val="center"/>
                    </w:pPr>
                    <w:r>
                      <w:rPr>
                        <w:rFonts w:hint="eastAsia"/>
                      </w:rPr>
                      <w:t>2.71</w:t>
                    </w:r>
                  </w:p>
                  <w:p>
                    <w:pPr>
                      <w:jc w:val="center"/>
                    </w:pPr>
                  </w:p>
                </w:txbxContent>
              </v:textbox>
            </v:shape>
            <v:rect id="_x0000_s56166" o:spid="_x0000_s56166" o:spt="1" style="position:absolute;left:6639;top:11902;height:490;width:932;" filled="f" stroked="f" coordsize="21600,21600">
              <v:path/>
              <v:fill on="f" focussize="0,0"/>
              <v:stroke on="f"/>
              <v:imagedata o:title=""/>
              <o:lock v:ext="edit"/>
              <v:textbox>
                <w:txbxContent>
                  <w:p>
                    <w:r>
                      <w:rPr>
                        <w:rFonts w:hint="eastAsia"/>
                      </w:rPr>
                      <w:t>10.83</w:t>
                    </w:r>
                  </w:p>
                </w:txbxContent>
              </v:textbox>
            </v:rect>
            <v:shape id="_x0000_s56167" o:spid="_x0000_s56167" o:spt="202" type="#_x0000_t202" style="position:absolute;left:1697;top:2232;height:448;width:1588;" filled="f" coordsize="21600,21600">
              <v:path/>
              <v:fill on="f" focussize="0,0"/>
              <v:stroke joinstyle="miter"/>
              <v:imagedata o:title=""/>
              <o:lock v:ext="edit"/>
              <v:textbox>
                <w:txbxContent>
                  <w:p>
                    <w:r>
                      <w:rPr>
                        <w:rFonts w:hint="eastAsia"/>
                      </w:rPr>
                      <w:t>矿井水处理站</w:t>
                    </w:r>
                  </w:p>
                </w:txbxContent>
              </v:textbox>
            </v:shape>
            <v:shape id="_x0000_s56168" o:spid="_x0000_s56168" o:spt="202" type="#_x0000_t202" style="position:absolute;left:4995;top:2488;height:465;width:1588;" filled="f" coordsize="21600,21600">
              <v:path/>
              <v:fill on="f" focussize="0,0"/>
              <v:stroke joinstyle="miter"/>
              <v:imagedata o:title=""/>
              <o:lock v:ext="edit"/>
              <v:textbox>
                <w:txbxContent>
                  <w:p>
                    <w:pPr>
                      <w:jc w:val="center"/>
                    </w:pPr>
                    <w:r>
                      <w:rPr>
                        <w:rFonts w:hint="eastAsia"/>
                      </w:rPr>
                      <w:t>井下生产</w:t>
                    </w:r>
                  </w:p>
                </w:txbxContent>
              </v:textbox>
            </v:shape>
            <v:shape id="_x0000_s56170" o:spid="_x0000_s56170" o:spt="32" type="#_x0000_t32" style="position:absolute;left:2394;top:2680;flip:y;height:607;width:1;" o:connectortype="straight" filled="f" coordsize="21600,21600">
              <v:path arrowok="t"/>
              <v:fill on="f" focussize="0,0"/>
              <v:stroke endarrow="block"/>
              <v:imagedata o:title=""/>
              <o:lock v:ext="edit"/>
            </v:shape>
            <v:shape id="_x0000_s56171" o:spid="_x0000_s56171" o:spt="202" type="#_x0000_t202" style="position:absolute;left:1794;top:3287;height:455;width:1158;" filled="f" coordsize="21600,21600">
              <v:path/>
              <v:fill on="f" focussize="0,0"/>
              <v:stroke joinstyle="miter"/>
              <v:imagedata o:title=""/>
              <o:lock v:ext="edit"/>
              <v:textbox>
                <w:txbxContent>
                  <w:p>
                    <w:pPr>
                      <w:jc w:val="center"/>
                    </w:pPr>
                    <w:r>
                      <w:rPr>
                        <w:rFonts w:hint="eastAsia"/>
                      </w:rPr>
                      <w:t>矿井涌水</w:t>
                    </w:r>
                  </w:p>
                </w:txbxContent>
              </v:textbox>
            </v:shape>
            <v:shape id="_x0000_s56172" o:spid="_x0000_s56172" o:spt="32" type="#_x0000_t32" style="position:absolute;left:3285;top:2552;height:1;width:1666;" o:connectortype="straight" filled="f" coordsize="21600,21600">
              <v:path arrowok="t"/>
              <v:fill on="f" focussize="0,0"/>
              <v:stroke endarrow="block"/>
              <v:imagedata o:title=""/>
              <o:lock v:ext="edit"/>
            </v:shape>
            <v:shape id="_x0000_s56173" o:spid="_x0000_s56173" o:spt="32" type="#_x0000_t32" style="position:absolute;left:8995;top:3852;flip:y;height:5940;width:0;" o:connectortype="straight" filled="f" coordsize="21600,21600">
              <v:path arrowok="t"/>
              <v:fill on="f" focussize="0,0"/>
              <v:stroke endarrow="block"/>
              <v:imagedata o:title=""/>
              <o:lock v:ext="edit"/>
            </v:shape>
            <v:shape id="_x0000_s56176" o:spid="_x0000_s56176" o:spt="202" type="#_x0000_t202" style="position:absolute;left:5002;top:4295;height:474;width:1583;" filled="f" coordsize="21600,21600">
              <v:path/>
              <v:fill on="f" focussize="0,0"/>
              <v:stroke joinstyle="miter"/>
              <v:imagedata o:title=""/>
              <o:lock v:ext="edit"/>
              <v:textbox>
                <w:txbxContent>
                  <w:p>
                    <w:pPr>
                      <w:jc w:val="center"/>
                    </w:pPr>
                    <w:r>
                      <w:rPr>
                        <w:rFonts w:hint="eastAsia"/>
                      </w:rPr>
                      <w:t>洗车</w:t>
                    </w:r>
                    <w:r>
                      <w:rPr>
                        <w:rFonts w:hAnsiTheme="minorEastAsia" w:eastAsiaTheme="minorEastAsia"/>
                        <w:kern w:val="0"/>
                        <w:szCs w:val="21"/>
                      </w:rPr>
                      <w:t>平台用水</w:t>
                    </w:r>
                  </w:p>
                </w:txbxContent>
              </v:textbox>
            </v:shape>
            <v:shape id="_x0000_s56178" o:spid="_x0000_s56178" o:spt="202" type="#_x0000_t202" style="position:absolute;left:1342;top:2737;height:416;width:1180;" filled="f" stroked="f" coordsize="21600,21600">
              <v:path/>
              <v:fill on="f" focussize="0,0"/>
              <v:stroke on="f" joinstyle="miter"/>
              <v:imagedata o:title=""/>
              <o:lock v:ext="edit"/>
              <v:textbox>
                <w:txbxContent>
                  <w:p>
                    <w:pPr>
                      <w:jc w:val="center"/>
                    </w:pPr>
                    <w:r>
                      <w:rPr>
                        <w:rFonts w:hint="eastAsia"/>
                      </w:rPr>
                      <w:t>576.00</w:t>
                    </w:r>
                  </w:p>
                  <w:p>
                    <w:pPr>
                      <w:jc w:val="center"/>
                    </w:pPr>
                  </w:p>
                </w:txbxContent>
              </v:textbox>
            </v:shape>
            <v:shape id="_x0000_s56179" o:spid="_x0000_s56179" o:spt="202" type="#_x0000_t202" style="position:absolute;left:6613;top:4093;height:416;width:946;" filled="f" stroked="f" coordsize="21600,21600">
              <v:path/>
              <v:fill on="f" focussize="0,0"/>
              <v:stroke on="f" joinstyle="miter"/>
              <v:imagedata o:title=""/>
              <o:lock v:ext="edit"/>
              <v:textbox>
                <w:txbxContent>
                  <w:p>
                    <w:pPr>
                      <w:jc w:val="center"/>
                    </w:pPr>
                    <w:r>
                      <w:rPr>
                        <w:rFonts w:hint="eastAsia"/>
                      </w:rPr>
                      <w:t>54.55</w:t>
                    </w:r>
                  </w:p>
                  <w:p>
                    <w:pPr>
                      <w:jc w:val="center"/>
                    </w:pPr>
                  </w:p>
                </w:txbxContent>
              </v:textbox>
            </v:shape>
            <v:shape id="_x0000_s56180" o:spid="_x0000_s56180" o:spt="202" type="#_x0000_t202" style="position:absolute;left:4027;top:2173;height:416;width:915;" filled="f" stroked="f" coordsize="21600,21600">
              <v:path/>
              <v:fill on="f" focussize="0,0"/>
              <v:stroke on="f" joinstyle="miter"/>
              <v:imagedata o:title=""/>
              <o:lock v:ext="edit"/>
              <v:textbox>
                <w:txbxContent>
                  <w:p>
                    <w:pPr>
                      <w:jc w:val="center"/>
                    </w:pPr>
                    <w:r>
                      <w:rPr>
                        <w:rFonts w:hint="eastAsia"/>
                      </w:rPr>
                      <w:t>576.00</w:t>
                    </w:r>
                  </w:p>
                  <w:p>
                    <w:pPr>
                      <w:jc w:val="center"/>
                    </w:pPr>
                  </w:p>
                </w:txbxContent>
              </v:textbox>
            </v:shape>
            <v:shape id="_x0000_s56182" o:spid="_x0000_s56182" o:spt="32" type="#_x0000_t32" style="position:absolute;left:3919;top:2875;height:3599;width:18;" o:connectortype="straight" filled="f" coordsize="21600,21600">
              <v:path arrowok="t"/>
              <v:fill on="f" focussize="0,0"/>
              <v:stroke/>
              <v:imagedata o:title=""/>
              <o:lock v:ext="edit"/>
            </v:shape>
            <v:shape id="_x0000_s56183" o:spid="_x0000_s56183" o:spt="32" type="#_x0000_t32" style="position:absolute;left:7662;top:3569;flip:x;height:2904;width:8;" o:connectortype="straight" filled="f" coordsize="21600,21600">
              <v:path arrowok="t"/>
              <v:fill on="f" focussize="0,0"/>
              <v:stroke/>
              <v:imagedata o:title=""/>
              <o:lock v:ext="edit"/>
            </v:shape>
            <v:shape id="_x0000_s56184" o:spid="_x0000_s56184" o:spt="202" type="#_x0000_t202" style="position:absolute;left:4990;top:3384;height:468;width:1588;" filled="f" coordsize="21600,21600">
              <v:path/>
              <v:fill on="f" focussize="0,0"/>
              <v:stroke joinstyle="miter"/>
              <v:imagedata o:title=""/>
              <o:lock v:ext="edit"/>
              <v:textbox>
                <w:txbxContent>
                  <w:p>
                    <w:pPr>
                      <w:jc w:val="center"/>
                    </w:pPr>
                    <w:r>
                      <w:rPr>
                        <w:rFonts w:hint="eastAsia"/>
                      </w:rPr>
                      <w:t>储煤场洒水</w:t>
                    </w:r>
                  </w:p>
                  <w:p/>
                </w:txbxContent>
              </v:textbox>
            </v:shape>
            <v:shape id="_x0000_s56185" o:spid="_x0000_s56185" o:spt="32" type="#_x0000_t32" style="position:absolute;left:6548;top:3575;flip:x;height:1;width:1122;" o:connectortype="straight" filled="f" coordsize="21600,21600">
              <v:path arrowok="t"/>
              <v:fill on="f" focussize="0,0"/>
              <v:stroke endarrow="block"/>
              <v:imagedata o:title=""/>
              <o:lock v:ext="edit"/>
            </v:shape>
            <v:shape id="_x0000_s56186" o:spid="_x0000_s56186" o:spt="202" type="#_x0000_t202" style="position:absolute;left:6593;top:3153;height:416;width:779;" filled="f" stroked="f" coordsize="21600,21600">
              <v:path/>
              <v:fill on="f" focussize="0,0"/>
              <v:stroke on="f" joinstyle="miter"/>
              <v:imagedata o:title=""/>
              <o:lock v:ext="edit"/>
              <v:textbox>
                <w:txbxContent>
                  <w:p>
                    <w:pPr>
                      <w:jc w:val="center"/>
                    </w:pPr>
                    <w:r>
                      <w:rPr>
                        <w:rFonts w:hint="eastAsia"/>
                      </w:rPr>
                      <w:t>36.40</w:t>
                    </w:r>
                  </w:p>
                  <w:p>
                    <w:pPr>
                      <w:jc w:val="center"/>
                    </w:pPr>
                  </w:p>
                </w:txbxContent>
              </v:textbox>
            </v:shape>
            <v:shape id="_x0000_s56188" o:spid="_x0000_s56188" o:spt="202" type="#_x0000_t202" style="position:absolute;left:4981;top:5266;height:486;width:1588;" filled="f" coordsize="21600,21600">
              <v:path/>
              <v:fill on="f" focussize="0,0"/>
              <v:stroke joinstyle="miter"/>
              <v:imagedata o:title=""/>
              <o:lock v:ext="edit"/>
              <v:textbox>
                <w:txbxContent>
                  <w:p>
                    <w:pPr>
                      <w:jc w:val="center"/>
                    </w:pPr>
                    <w:r>
                      <w:rPr>
                        <w:rFonts w:hint="eastAsia"/>
                      </w:rPr>
                      <w:t>厂区道路洒水</w:t>
                    </w:r>
                  </w:p>
                </w:txbxContent>
              </v:textbox>
            </v:shape>
            <v:shape id="_x0000_s56189" o:spid="_x0000_s56189" o:spt="202" type="#_x0000_t202" style="position:absolute;left:6663;top:5067;height:416;width:901;" filled="f" stroked="f" coordsize="21600,21600">
              <v:path/>
              <v:fill on="f" focussize="0,0"/>
              <v:stroke on="f" joinstyle="miter"/>
              <v:imagedata o:title=""/>
              <o:lock v:ext="edit"/>
              <v:textbox>
                <w:txbxContent>
                  <w:p>
                    <w:pPr>
                      <w:jc w:val="center"/>
                    </w:pPr>
                    <w:r>
                      <w:rPr>
                        <w:rFonts w:hint="eastAsia"/>
                      </w:rPr>
                      <w:t>34.00</w:t>
                    </w:r>
                  </w:p>
                  <w:p>
                    <w:pPr>
                      <w:jc w:val="center"/>
                    </w:pPr>
                  </w:p>
                </w:txbxContent>
              </v:textbox>
            </v:shape>
            <v:shape id="_x0000_s56191" o:spid="_x0000_s56191" o:spt="38" type="#_x0000_t38" style="position:absolute;left:5298;top:2232;flip:y;height:231;width:434;" o:connectortype="curved" filled="f" coordsize="21600,21600" adj="10800,223574,-368494">
              <v:path arrowok="t"/>
              <v:fill on="f" focussize="0,0"/>
              <v:stroke endarrow="block"/>
              <v:imagedata o:title=""/>
              <o:lock v:ext="edit"/>
            </v:shape>
            <v:shape id="_x0000_s56192" o:spid="_x0000_s56192" o:spt="38" type="#_x0000_t38" style="position:absolute;left:5296;top:3143;flip:y;height:231;width:434;" o:connectortype="curved" filled="f" coordsize="21600,21600" adj="10800,223574,-368494">
              <v:path arrowok="t"/>
              <v:fill on="f" focussize="0,0"/>
              <v:stroke endarrow="block"/>
              <v:imagedata o:title=""/>
              <o:lock v:ext="edit"/>
            </v:shape>
            <v:shape id="_x0000_s56193" o:spid="_x0000_s56193" o:spt="202" type="#_x0000_t202" style="position:absolute;left:5633;top:2905;height:416;width:850;" filled="f" stroked="f" coordsize="21600,21600">
              <v:path/>
              <v:fill on="f" focussize="0,0"/>
              <v:stroke on="f" joinstyle="miter"/>
              <v:imagedata o:title=""/>
              <o:lock v:ext="edit"/>
              <v:textbox>
                <w:txbxContent>
                  <w:p>
                    <w:pPr>
                      <w:jc w:val="center"/>
                    </w:pPr>
                    <w:r>
                      <w:rPr>
                        <w:rFonts w:hint="eastAsia"/>
                      </w:rPr>
                      <w:t>36.40</w:t>
                    </w:r>
                  </w:p>
                  <w:p>
                    <w:pPr>
                      <w:jc w:val="center"/>
                    </w:pPr>
                  </w:p>
                </w:txbxContent>
              </v:textbox>
            </v:shape>
            <v:shape id="_x0000_s56194" o:spid="_x0000_s56194" o:spt="38" type="#_x0000_t38" style="position:absolute;left:5231;top:4064;flip:y;height:231;width:434;" o:connectortype="curved" filled="f" coordsize="21600,21600" adj="10800,223574,-368494">
              <v:path arrowok="t"/>
              <v:fill on="f" focussize="0,0"/>
              <v:stroke endarrow="block"/>
              <v:imagedata o:title=""/>
              <o:lock v:ext="edit"/>
            </v:shape>
            <v:shape id="_x0000_s56195" o:spid="_x0000_s56195" o:spt="202" type="#_x0000_t202" style="position:absolute;left:5542;top:3852;height:416;width:850;" filled="f" stroked="f" coordsize="21600,21600">
              <v:path/>
              <v:fill on="f" focussize="0,0"/>
              <v:stroke on="f" joinstyle="miter"/>
              <v:imagedata o:title=""/>
              <o:lock v:ext="edit"/>
              <v:textbox>
                <w:txbxContent>
                  <w:p>
                    <w:pPr>
                      <w:jc w:val="center"/>
                    </w:pPr>
                    <w:r>
                      <w:rPr>
                        <w:rFonts w:hint="eastAsia"/>
                      </w:rPr>
                      <w:t>54.55</w:t>
                    </w:r>
                  </w:p>
                  <w:p>
                    <w:pPr>
                      <w:jc w:val="center"/>
                    </w:pPr>
                  </w:p>
                </w:txbxContent>
              </v:textbox>
            </v:shape>
            <v:shape id="_x0000_s56197" o:spid="_x0000_s56197" o:spt="38" type="#_x0000_t38" style="position:absolute;left:5209;top:5020;flip:y;height:231;width:434;" o:connectortype="curved" filled="f" coordsize="21600,21600" adj="10800,223574,-368494">
              <v:path arrowok="t"/>
              <v:fill on="f" focussize="0,0"/>
              <v:stroke endarrow="block"/>
              <v:imagedata o:title=""/>
              <o:lock v:ext="edit"/>
            </v:shape>
            <v:shape id="_x0000_s56198" o:spid="_x0000_s56198" o:spt="202" type="#_x0000_t202" style="position:absolute;left:5494;top:4795;height:430;width:973;" filled="f" stroked="f" coordsize="21600,21600">
              <v:path/>
              <v:fill on="f" focussize="0,0"/>
              <v:stroke on="f" joinstyle="miter"/>
              <v:imagedata o:title=""/>
              <o:lock v:ext="edit"/>
              <v:textbox>
                <w:txbxContent>
                  <w:p>
                    <w:pPr>
                      <w:jc w:val="center"/>
                    </w:pPr>
                    <w:r>
                      <w:rPr>
                        <w:rFonts w:hint="eastAsia"/>
                      </w:rPr>
                      <w:t>34.00</w:t>
                    </w:r>
                  </w:p>
                  <w:p>
                    <w:pPr>
                      <w:jc w:val="center"/>
                    </w:pPr>
                  </w:p>
                </w:txbxContent>
              </v:textbox>
            </v:shape>
            <v:shape id="_x0000_s56201" o:spid="_x0000_s56201" o:spt="202" type="#_x0000_t202" style="position:absolute;left:4988;top:6247;height:473;width:1588;" filled="f" coordsize="21600,21600">
              <v:path/>
              <v:fill on="f" focussize="0,0"/>
              <v:stroke joinstyle="miter"/>
              <v:imagedata o:title=""/>
              <o:lock v:ext="edit"/>
              <v:textbox>
                <w:txbxContent>
                  <w:p>
                    <w:pPr>
                      <w:jc w:val="center"/>
                    </w:pPr>
                    <w:r>
                      <w:rPr>
                        <w:rFonts w:hint="eastAsia"/>
                      </w:rPr>
                      <w:t>绿化洒水</w:t>
                    </w:r>
                  </w:p>
                </w:txbxContent>
              </v:textbox>
            </v:shape>
            <v:shape id="_x0000_s56202" o:spid="_x0000_s56202" o:spt="202" type="#_x0000_t202" style="position:absolute;left:6617;top:5997;height:416;width:901;" filled="f" stroked="f" coordsize="21600,21600">
              <v:path/>
              <v:fill on="f" focussize="0,0"/>
              <v:stroke on="f" joinstyle="miter"/>
              <v:imagedata o:title=""/>
              <o:lock v:ext="edit"/>
              <v:textbox>
                <w:txbxContent>
                  <w:p>
                    <w:pPr>
                      <w:jc w:val="center"/>
                    </w:pPr>
                    <w:r>
                      <w:rPr>
                        <w:rFonts w:hint="eastAsia"/>
                      </w:rPr>
                      <w:t>55.80</w:t>
                    </w:r>
                  </w:p>
                  <w:p>
                    <w:pPr>
                      <w:jc w:val="center"/>
                    </w:pPr>
                  </w:p>
                </w:txbxContent>
              </v:textbox>
            </v:shape>
            <v:shape id="_x0000_s56203" o:spid="_x0000_s56203" o:spt="38" type="#_x0000_t38" style="position:absolute;left:5216;top:6001;flip:y;height:231;width:434;" o:connectortype="curved" filled="f" coordsize="21600,21600" adj="10800,223574,-368494">
              <v:path arrowok="t"/>
              <v:fill on="f" focussize="0,0"/>
              <v:stroke endarrow="block"/>
              <v:imagedata o:title=""/>
              <o:lock v:ext="edit"/>
            </v:shape>
            <v:shape id="_x0000_s56204" o:spid="_x0000_s56204" o:spt="202" type="#_x0000_t202" style="position:absolute;left:5501;top:5802;height:430;width:973;" filled="f" stroked="f" coordsize="21600,21600">
              <v:path/>
              <v:fill on="f" focussize="0,0"/>
              <v:stroke on="f" joinstyle="miter"/>
              <v:imagedata o:title=""/>
              <o:lock v:ext="edit"/>
              <v:textbox>
                <w:txbxContent>
                  <w:p>
                    <w:pPr>
                      <w:jc w:val="center"/>
                    </w:pPr>
                    <w:r>
                      <w:rPr>
                        <w:rFonts w:hint="eastAsia"/>
                      </w:rPr>
                      <w:t>55.80</w:t>
                    </w:r>
                  </w:p>
                  <w:p>
                    <w:pPr>
                      <w:jc w:val="center"/>
                    </w:pPr>
                  </w:p>
                </w:txbxContent>
              </v:textbox>
            </v:shape>
            <v:shape id="_x0000_s56205" o:spid="_x0000_s56205" o:spt="202" type="#_x0000_t202" style="position:absolute;left:5628;top:2008;height:416;width:1022;" filled="f" stroked="f" coordsize="21600,21600">
              <v:path/>
              <v:fill on="f" focussize="0,0"/>
              <v:stroke on="f" joinstyle="miter"/>
              <v:imagedata o:title=""/>
              <o:lock v:ext="edit"/>
              <v:textbox>
                <w:txbxContent>
                  <w:p>
                    <w:pPr>
                      <w:jc w:val="center"/>
                    </w:pPr>
                    <w:r>
                      <w:rPr>
                        <w:rFonts w:hint="eastAsia"/>
                      </w:rPr>
                      <w:t>909.09</w:t>
                    </w:r>
                  </w:p>
                  <w:p>
                    <w:pPr>
                      <w:jc w:val="center"/>
                    </w:pPr>
                  </w:p>
                </w:txbxContent>
              </v:textbox>
            </v:shape>
            <v:rect id="_x0000_s56206" o:spid="_x0000_s56206" o:spt="1" style="position:absolute;left:8995;top:4268;height:405;width:864;" filled="f" stroked="f" coordsize="21600,21600">
              <v:path/>
              <v:fill on="f" focussize="0,0"/>
              <v:stroke on="f"/>
              <v:imagedata o:title=""/>
              <o:lock v:ext="edit"/>
              <v:textbox>
                <w:txbxContent>
                  <w:p>
                    <w:r>
                      <w:rPr>
                        <w:rFonts w:hint="eastAsia"/>
                      </w:rPr>
                      <w:t>28.86</w:t>
                    </w:r>
                  </w:p>
                </w:txbxContent>
              </v:textbox>
            </v:rect>
            <v:shape id="_x0000_s56210" o:spid="_x0000_s56210" o:spt="32" type="#_x0000_t32" style="position:absolute;left:7670;top:5482;height:0;width:1325;" o:connectortype="straight" filled="f" coordsize="21600,21600">
              <v:path arrowok="t"/>
              <v:fill on="f" focussize="0,0"/>
              <v:stroke/>
              <v:imagedata o:title=""/>
              <o:lock v:ext="edit"/>
            </v:shape>
            <v:shape id="_x0000_s56211" o:spid="_x0000_s56211" o:spt="202" type="#_x0000_t202" style="position:absolute;left:5564;top:8672;height:430;width:973;" filled="f" stroked="f" coordsize="21600,21600">
              <v:path/>
              <v:fill on="f" focussize="0,0"/>
              <v:stroke on="f" joinstyle="miter"/>
              <v:imagedata o:title=""/>
              <o:lock v:ext="edit"/>
              <v:textbox>
                <w:txbxContent>
                  <w:p>
                    <w:pPr>
                      <w:jc w:val="center"/>
                    </w:pPr>
                    <w:r>
                      <w:rPr>
                        <w:rFonts w:hint="eastAsia"/>
                      </w:rPr>
                      <w:t>15.06</w:t>
                    </w:r>
                  </w:p>
                  <w:p>
                    <w:pPr>
                      <w:jc w:val="center"/>
                    </w:pPr>
                  </w:p>
                </w:txbxContent>
              </v:textbox>
            </v:shape>
            <v:rect id="_x0000_s56212" o:spid="_x0000_s56212" o:spt="1" style="position:absolute;left:8837;top:13109;height:493;width:1513;" stroked="f" coordsize="21600,21600">
              <v:path/>
              <v:fill focussize="0,0"/>
              <v:stroke on="f"/>
              <v:imagedata o:title=""/>
              <o:lock v:ext="edit"/>
              <v:textbox>
                <w:txbxContent>
                  <w:p>
                    <w:r>
                      <w:rPr>
                        <w:rFonts w:hint="eastAsia"/>
                      </w:rPr>
                      <w:t>单位：</w:t>
                    </w:r>
                    <w:r>
                      <w:t>m</w:t>
                    </w:r>
                    <w:r>
                      <w:rPr>
                        <w:vertAlign w:val="superscript"/>
                      </w:rPr>
                      <w:t>3</w:t>
                    </w:r>
                    <w:r>
                      <w:t>/d</w:t>
                    </w:r>
                  </w:p>
                </w:txbxContent>
              </v:textbox>
            </v:rect>
            <v:shape id="_x0000_s56225" o:spid="_x0000_s56225" o:spt="32" type="#_x0000_t32" style="position:absolute;left:3926;top:2875;height:0;width:974;" o:connectortype="straight" filled="f" coordsize="21600,21600">
              <v:path arrowok="t"/>
              <v:fill on="f" focussize="0,0"/>
              <v:stroke endarrow="block"/>
              <v:imagedata o:title=""/>
              <o:lock v:ext="edit"/>
            </v:shape>
            <v:shape id="_x0000_s56226" o:spid="_x0000_s56226" o:spt="202" type="#_x0000_t202" style="position:absolute;left:3996;top:2476;height:386;width:927;" filled="f" stroked="f" coordsize="21600,21600">
              <v:path/>
              <v:fill on="f" focussize="0,0"/>
              <v:stroke on="f" joinstyle="miter"/>
              <v:imagedata o:title=""/>
              <o:lock v:ext="edit"/>
              <v:textbox>
                <w:txbxContent>
                  <w:p>
                    <w:pPr>
                      <w:jc w:val="center"/>
                    </w:pPr>
                    <w:r>
                      <w:rPr>
                        <w:rFonts w:hint="eastAsia"/>
                      </w:rPr>
                      <w:t>333.09</w:t>
                    </w:r>
                  </w:p>
                  <w:p>
                    <w:pPr>
                      <w:jc w:val="center"/>
                    </w:pPr>
                  </w:p>
                </w:txbxContent>
              </v:textbox>
            </v:shape>
            <v:shape id="_x0000_s56246" o:spid="_x0000_s56246" o:spt="32" type="#_x0000_t32" style="position:absolute;left:3909;top:13358;height:1;width:1059;" o:connectortype="straight" filled="f" coordsize="21600,21600">
              <v:path arrowok="t"/>
              <v:fill on="f" focussize="0,0"/>
              <v:stroke endarrow="block"/>
              <v:imagedata o:title=""/>
              <o:lock v:ext="edit"/>
            </v:shape>
            <v:shape id="_x0000_s56247" o:spid="_x0000_s56247" o:spt="202" type="#_x0000_t202" style="position:absolute;left:4968;top:13145;height:504;width:1588;" filled="f" coordsize="21600,21600">
              <v:path/>
              <v:fill on="f" focussize="0,0"/>
              <v:stroke joinstyle="miter"/>
              <v:imagedata o:title=""/>
              <o:lock v:ext="edit"/>
              <v:textbox>
                <w:txbxContent>
                  <w:p>
                    <w:pPr>
                      <w:jc w:val="center"/>
                    </w:pPr>
                    <w:r>
                      <w:rPr>
                        <w:rFonts w:hint="eastAsia"/>
                      </w:rPr>
                      <w:t>未预见用水</w:t>
                    </w:r>
                  </w:p>
                  <w:p/>
                </w:txbxContent>
              </v:textbox>
            </v:shape>
            <v:shape id="_x0000_s56248" o:spid="_x0000_s56248" o:spt="202" type="#_x0000_t202" style="position:absolute;left:3909;top:12873;height:416;width:1075;" filled="f" stroked="f" coordsize="21600,21600">
              <v:path/>
              <v:fill on="f" focussize="0,0"/>
              <v:stroke on="f" joinstyle="miter"/>
              <v:imagedata o:title=""/>
              <o:lock v:ext="edit"/>
              <v:textbox>
                <w:txbxContent>
                  <w:p>
                    <w:pPr>
                      <w:jc w:val="center"/>
                    </w:pPr>
                    <w:r>
                      <w:rPr>
                        <w:rFonts w:hint="eastAsia"/>
                      </w:rPr>
                      <w:t>27.5</w:t>
                    </w:r>
                  </w:p>
                  <w:p>
                    <w:pPr>
                      <w:jc w:val="center"/>
                    </w:pPr>
                  </w:p>
                </w:txbxContent>
              </v:textbox>
            </v:shape>
            <v:shape id="_x0000_s56249" o:spid="_x0000_s56249" o:spt="32" type="#_x0000_t32" style="position:absolute;left:6556;top:13358;height:0;width:1094;" o:connectortype="straight" filled="f" coordsize="21600,21600">
              <v:path arrowok="t"/>
              <v:fill on="f" focussize="0,0"/>
              <v:stroke/>
              <v:imagedata o:title=""/>
              <o:lock v:ext="edit"/>
            </v:shape>
            <v:shape id="_x0000_s56250" o:spid="_x0000_s56250" o:spt="38" type="#_x0000_t38" style="position:absolute;left:5196;top:12899;flip:y;height:231;width:434;" o:connectortype="curved" filled="f" coordsize="21600,21600" adj="10800,223574,-368494">
              <v:path arrowok="t"/>
              <v:fill on="f" focussize="0,0"/>
              <v:stroke endarrow="block"/>
              <v:imagedata o:title=""/>
              <o:lock v:ext="edit"/>
            </v:shape>
            <v:shape id="_x0000_s56251" o:spid="_x0000_s56251" o:spt="202" type="#_x0000_t202" style="position:absolute;left:5390;top:12679;height:430;width:973;" filled="f" stroked="f" coordsize="21600,21600">
              <v:path/>
              <v:fill on="f" focussize="0,0"/>
              <v:stroke on="f" joinstyle="miter"/>
              <v:imagedata o:title=""/>
              <o:lock v:ext="edit"/>
              <v:textbox>
                <w:txbxContent>
                  <w:p>
                    <w:pPr>
                      <w:jc w:val="center"/>
                    </w:pPr>
                    <w:r>
                      <w:rPr>
                        <w:rFonts w:hint="eastAsia"/>
                      </w:rPr>
                      <w:t>5.5</w:t>
                    </w:r>
                  </w:p>
                  <w:p>
                    <w:pPr>
                      <w:jc w:val="center"/>
                    </w:pPr>
                  </w:p>
                </w:txbxContent>
              </v:textbox>
            </v:shape>
            <v:rect id="_x0000_s56252" o:spid="_x0000_s56252" o:spt="1" style="position:absolute;left:6640;top:12886;height:490;width:932;" filled="f" stroked="f" coordsize="21600,21600">
              <v:path/>
              <v:fill on="f" focussize="0,0"/>
              <v:stroke on="f"/>
              <v:imagedata o:title=""/>
              <o:lock v:ext="edit"/>
              <v:textbox>
                <w:txbxContent>
                  <w:p>
                    <w:r>
                      <w:rPr>
                        <w:rFonts w:hint="eastAsia"/>
                      </w:rPr>
                      <w:t>22.00</w:t>
                    </w:r>
                  </w:p>
                </w:txbxContent>
              </v:textbox>
            </v:rect>
            <v:shape id="_x0000_s56253" o:spid="_x0000_s56253" o:spt="32" type="#_x0000_t32" style="position:absolute;left:6600;top:4535;flip:x;height:0;width:1057;" o:connectortype="straight" filled="f" coordsize="21600,21600">
              <v:path arrowok="t"/>
              <v:fill on="f" focussize="0,0"/>
              <v:stroke endarrow="block"/>
              <v:imagedata o:title=""/>
              <o:lock v:ext="edit"/>
            </v:shape>
            <v:shape id="_x0000_s56254" o:spid="_x0000_s56254" o:spt="32" type="#_x0000_t32" style="position:absolute;left:6589;top:5482;flip:x;height:1;width:1081;" o:connectortype="straight" filled="f" coordsize="21600,21600">
              <v:path arrowok="t"/>
              <v:fill on="f" focussize="0,0"/>
              <v:stroke endarrow="block"/>
              <v:imagedata o:title=""/>
              <o:lock v:ext="edit"/>
            </v:shape>
            <v:shape id="_x0000_s56255" o:spid="_x0000_s56255" o:spt="32" type="#_x0000_t32" style="position:absolute;left:6593;top:6473;flip:x;height:2;width:1077;" o:connectortype="straight" filled="f" coordsize="21600,21600">
              <v:path arrowok="t"/>
              <v:fill on="f" focussize="0,0"/>
              <v:stroke endarrow="block"/>
              <v:imagedata o:title=""/>
              <o:lock v:ext="edit"/>
            </v:shape>
            <v:shape id="_x0000_s56256" o:spid="_x0000_s56256" o:spt="202" type="#_x0000_t202" style="position:absolute;left:7845;top:5507;height:416;width:977;" filled="f" stroked="f" coordsize="21600,21600">
              <v:path/>
              <v:fill on="f" focussize="0,0"/>
              <v:stroke on="f" joinstyle="miter"/>
              <v:imagedata o:title=""/>
              <o:lock v:ext="edit"/>
              <v:textbox>
                <w:txbxContent>
                  <w:p>
                    <w:pPr>
                      <w:jc w:val="center"/>
                    </w:pPr>
                    <w:r>
                      <w:rPr>
                        <w:rFonts w:hint="eastAsia"/>
                      </w:rPr>
                      <w:t>180.75</w:t>
                    </w:r>
                  </w:p>
                  <w:p>
                    <w:pPr>
                      <w:jc w:val="center"/>
                    </w:pPr>
                  </w:p>
                </w:txbxContent>
              </v:textbox>
            </v:shape>
            <v:shape id="_x0000_s230627" o:spid="_x0000_s230627" o:spt="32" type="#_x0000_t32" style="position:absolute;left:3955;top:7399;height:1;width:1059;" o:connectortype="straight" filled="f" coordsize="21600,21600">
              <v:path arrowok="t"/>
              <v:fill on="f" focussize="0,0"/>
              <v:stroke endarrow="block"/>
              <v:imagedata o:title=""/>
              <o:lock v:ext="edit"/>
            </v:shape>
            <v:shape id="_x0000_s230628" o:spid="_x0000_s230628" o:spt="202" type="#_x0000_t202" style="position:absolute;left:5014;top:7186;height:504;width:1588;" filled="f" coordsize="21600,21600">
              <v:path/>
              <v:fill on="f" focussize="0,0"/>
              <v:stroke joinstyle="miter"/>
              <v:imagedata o:title=""/>
              <o:lock v:ext="edit"/>
              <v:textbox>
                <w:txbxContent>
                  <w:p>
                    <w:pPr>
                      <w:jc w:val="center"/>
                    </w:pPr>
                    <w:r>
                      <w:rPr>
                        <w:rFonts w:hint="eastAsia"/>
                      </w:rPr>
                      <w:t>锅炉补充水</w:t>
                    </w:r>
                  </w:p>
                  <w:p/>
                </w:txbxContent>
              </v:textbox>
            </v:shape>
            <v:shape id="_x0000_s230629" o:spid="_x0000_s230629" o:spt="202" type="#_x0000_t202" style="position:absolute;left:3955;top:6914;height:416;width:1075;" filled="f" stroked="f" coordsize="21600,21600">
              <v:path/>
              <v:fill on="f" focussize="0,0"/>
              <v:stroke on="f" joinstyle="miter"/>
              <v:imagedata o:title=""/>
              <o:lock v:ext="edit"/>
              <v:textbox>
                <w:txbxContent>
                  <w:p>
                    <w:pPr>
                      <w:jc w:val="center"/>
                    </w:pPr>
                    <w:r>
                      <w:rPr>
                        <w:rFonts w:hint="eastAsia"/>
                      </w:rPr>
                      <w:t>44.8</w:t>
                    </w:r>
                  </w:p>
                  <w:p>
                    <w:pPr>
                      <w:jc w:val="center"/>
                    </w:pPr>
                  </w:p>
                </w:txbxContent>
              </v:textbox>
            </v:shape>
            <v:shape id="_x0000_s230630" o:spid="_x0000_s230630" o:spt="32" type="#_x0000_t32" style="position:absolute;left:6602;top:7399;height:0;width:1068;" o:connectortype="straight" filled="f" coordsize="21600,21600">
              <v:path arrowok="t"/>
              <v:fill on="f" focussize="0,0"/>
              <v:stroke/>
              <v:imagedata o:title=""/>
              <o:lock v:ext="edit"/>
            </v:shape>
            <v:shape id="_x0000_s230631" o:spid="_x0000_s230631" o:spt="38" type="#_x0000_t38" style="position:absolute;left:5242;top:6940;flip:y;height:231;width:434;" o:connectortype="curved" filled="f" coordsize="21600,21600" adj="10800,223574,-368494">
              <v:path arrowok="t"/>
              <v:fill on="f" focussize="0,0"/>
              <v:stroke endarrow="block"/>
              <v:imagedata o:title=""/>
              <o:lock v:ext="edit"/>
            </v:shape>
            <v:shape id="_x0000_s230632" o:spid="_x0000_s230632" o:spt="202" type="#_x0000_t202" style="position:absolute;left:5436;top:6720;height:430;width:973;" filled="f" stroked="f" coordsize="21600,21600">
              <v:path/>
              <v:fill on="f" focussize="0,0"/>
              <v:stroke on="f" joinstyle="miter"/>
              <v:imagedata o:title=""/>
              <o:lock v:ext="edit"/>
              <v:textbox>
                <w:txbxContent>
                  <w:p>
                    <w:pPr>
                      <w:jc w:val="center"/>
                    </w:pPr>
                    <w:r>
                      <w:rPr>
                        <w:rFonts w:hint="eastAsia"/>
                      </w:rPr>
                      <w:t>41.34</w:t>
                    </w:r>
                  </w:p>
                  <w:p>
                    <w:pPr>
                      <w:jc w:val="center"/>
                    </w:pPr>
                  </w:p>
                </w:txbxContent>
              </v:textbox>
            </v:shape>
            <v:rect id="_x0000_s230633" o:spid="_x0000_s230633" o:spt="1" style="position:absolute;left:6686;top:6927;height:490;width:932;" filled="f" stroked="f" coordsize="21600,21600">
              <v:path/>
              <v:fill on="f" focussize="0,0"/>
              <v:stroke on="f"/>
              <v:imagedata o:title=""/>
              <o:lock v:ext="edit"/>
              <v:textbox>
                <w:txbxContent>
                  <w:p>
                    <w:r>
                      <w:rPr>
                        <w:rFonts w:hint="eastAsia"/>
                      </w:rPr>
                      <w:t>3.46</w:t>
                    </w:r>
                  </w:p>
                </w:txbxContent>
              </v:textbox>
            </v:rect>
            <v:shape id="_x0000_s230634" o:spid="_x0000_s230634" o:spt="202" type="#_x0000_t202" style="position:absolute;left:8235;top:3103;height:749;width:1399;" filled="f" coordsize="21600,21600">
              <v:path/>
              <v:fill on="f" focussize="0,0"/>
              <v:stroke joinstyle="miter"/>
              <v:imagedata o:title=""/>
              <o:lock v:ext="edit"/>
              <v:textbox>
                <w:txbxContent>
                  <w:p>
                    <w:pPr>
                      <w:jc w:val="center"/>
                    </w:pPr>
                    <w:r>
                      <w:rPr>
                        <w:rFonts w:hint="eastAsia"/>
                      </w:rPr>
                      <w:t>洗煤厂生产补水</w:t>
                    </w:r>
                  </w:p>
                </w:txbxContent>
              </v:textbox>
            </v:shape>
          </v:group>
        </w:pict>
      </w: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spacing w:line="360" w:lineRule="auto"/>
        <w:jc w:val="center"/>
        <w:rPr>
          <w:rFonts w:hAnsi="宋体"/>
          <w:b/>
          <w:szCs w:val="21"/>
        </w:rPr>
      </w:pPr>
    </w:p>
    <w:p>
      <w:pPr>
        <w:widowControl/>
        <w:jc w:val="left"/>
        <w:rPr>
          <w:rFonts w:hAnsi="宋体"/>
          <w:b/>
          <w:szCs w:val="21"/>
        </w:rPr>
      </w:pPr>
      <w:r>
        <w:rPr>
          <w:rFonts w:hAnsi="宋体"/>
          <w:b/>
          <w:szCs w:val="21"/>
        </w:rPr>
        <w:br w:type="page"/>
      </w:r>
    </w:p>
    <w:p>
      <w:pPr>
        <w:widowControl/>
        <w:jc w:val="left"/>
        <w:rPr>
          <w:rFonts w:hAnsi="宋体"/>
          <w:b/>
          <w:szCs w:val="21"/>
        </w:rPr>
      </w:pPr>
      <w:r>
        <w:rPr>
          <w:rFonts w:hAnsi="宋体"/>
          <w:b/>
          <w:szCs w:val="21"/>
        </w:rPr>
        <w:pict>
          <v:group id="_x0000_s230651" o:spid="_x0000_s230651" o:spt="203" style="position:absolute;left:0pt;margin-left:8.2pt;margin-top:14pt;height:567.5pt;width:450.95pt;z-index:251711488;mso-width-relative:page;mso-height-relative:page;" coordorigin="1582,1981" coordsize="9019,11350">
            <o:lock v:ext="edit"/>
            <v:rect id="_x0000_s56259" o:spid="_x0000_s56259" o:spt="1" style="position:absolute;left:4136;top:12840;height:491;width:3889;" filled="f" stroked="f" coordsize="21600,21600">
              <v:path/>
              <v:fill on="f" focussize="0,0"/>
              <v:stroke on="f"/>
              <v:imagedata o:title=""/>
              <o:lock v:ext="edit"/>
              <v:textbox>
                <w:txbxContent>
                  <w:p>
                    <w:pPr>
                      <w:rPr>
                        <w:b/>
                      </w:rPr>
                    </w:pPr>
                    <w:r>
                      <w:rPr>
                        <w:rFonts w:hint="eastAsia"/>
                        <w:b/>
                      </w:rPr>
                      <w:t>图</w:t>
                    </w:r>
                    <w:r>
                      <w:rPr>
                        <w:b/>
                      </w:rPr>
                      <w:t>3.2-</w:t>
                    </w:r>
                    <w:r>
                      <w:rPr>
                        <w:rFonts w:hint="eastAsia"/>
                        <w:b/>
                      </w:rPr>
                      <w:t xml:space="preserve">2  </w:t>
                    </w:r>
                    <w:r>
                      <w:rPr>
                        <w:b/>
                      </w:rPr>
                      <w:t xml:space="preserve"> </w:t>
                    </w:r>
                    <w:r>
                      <w:rPr>
                        <w:rFonts w:hint="eastAsia"/>
                        <w:b/>
                      </w:rPr>
                      <w:t>4、5号煤层采暖期水平衡图</w:t>
                    </w:r>
                  </w:p>
                </w:txbxContent>
              </v:textbox>
            </v:rect>
            <v:shape id="_x0000_s56260" o:spid="_x0000_s56260" o:spt="202" type="#_x0000_t202" style="position:absolute;left:5234;top:7116;height:430;width:1799;" filled="f" coordsize="21600,21600">
              <v:path/>
              <v:fill on="f" focussize="0,0"/>
              <v:stroke joinstyle="miter"/>
              <v:imagedata o:title=""/>
              <o:lock v:ext="edit"/>
              <v:textbox>
                <w:txbxContent>
                  <w:p>
                    <w:pPr>
                      <w:jc w:val="center"/>
                    </w:pPr>
                    <w:r>
                      <w:rPr>
                        <w:rFonts w:hint="eastAsia"/>
                      </w:rPr>
                      <w:t>办公区生活用水</w:t>
                    </w:r>
                  </w:p>
                </w:txbxContent>
              </v:textbox>
            </v:shape>
            <v:shape id="_x0000_s56261" o:spid="_x0000_s56261" o:spt="32" type="#_x0000_t32" style="position:absolute;left:3192;top:7976;height:1;width:991;" o:connectortype="straight" filled="f" coordsize="21600,21600">
              <v:path arrowok="t"/>
              <v:fill on="f" focussize="0,0"/>
              <v:stroke/>
              <v:imagedata o:title=""/>
              <o:lock v:ext="edit"/>
            </v:shape>
            <v:shape id="_x0000_s56262" o:spid="_x0000_s56262" o:spt="202" type="#_x0000_t202" style="position:absolute;left:2105;top:7747;height:450;width:1087;" filled="f" coordsize="21600,21600">
              <v:path/>
              <v:fill on="f" focussize="0,0"/>
              <v:stroke joinstyle="miter"/>
              <v:imagedata o:title=""/>
              <o:lock v:ext="edit"/>
              <v:textbox>
                <w:txbxContent>
                  <w:p>
                    <w:pPr>
                      <w:jc w:val="center"/>
                    </w:pPr>
                    <w:r>
                      <w:rPr>
                        <w:rFonts w:hint="eastAsia"/>
                      </w:rPr>
                      <w:t>水源井</w:t>
                    </w:r>
                  </w:p>
                </w:txbxContent>
              </v:textbox>
            </v:shape>
            <v:shape id="_x0000_s56263" o:spid="_x0000_s56263" o:spt="32" type="#_x0000_t32" style="position:absolute;left:4192;top:7316;height:0;width:1016;" o:connectortype="straight" filled="f" coordsize="21600,21600">
              <v:path arrowok="t"/>
              <v:fill on="f" focussize="0,0"/>
              <v:stroke endarrow="block"/>
              <v:imagedata o:title=""/>
              <o:lock v:ext="edit"/>
            </v:shape>
            <v:shape id="_x0000_s56264" o:spid="_x0000_s56264" o:spt="32" type="#_x0000_t32" style="position:absolute;left:7033;top:7301;height:0;width:867;" o:connectortype="straight" filled="f" coordsize="21600,21600">
              <v:path arrowok="t"/>
              <v:fill on="f" focussize="0,0"/>
              <v:stroke/>
              <v:imagedata o:title=""/>
              <o:lock v:ext="edit"/>
            </v:shape>
            <v:shape id="_x0000_s56265" o:spid="_x0000_s56265" o:spt="32" type="#_x0000_t32" style="position:absolute;left:6788;top:9343;height:0;width:1993;" o:connectortype="straight" filled="f" coordsize="21600,21600">
              <v:path arrowok="t"/>
              <v:fill on="f" focussize="0,0"/>
              <v:stroke endarrow="block"/>
              <v:imagedata o:title=""/>
              <o:lock v:ext="edit"/>
            </v:shape>
            <v:shape id="_x0000_s56266" o:spid="_x0000_s56266" o:spt="202" type="#_x0000_t202" style="position:absolute;left:8763;top:8751;height:1089;width:1322;" filled="f" coordsize="21600,21600">
              <v:path/>
              <v:fill on="f" focussize="0,0"/>
              <v:stroke joinstyle="miter"/>
              <v:imagedata o:title=""/>
              <o:lock v:ext="edit"/>
              <v:textbox>
                <w:txbxContent>
                  <w:p>
                    <w:r>
                      <w:rPr>
                        <w:rFonts w:hint="eastAsia"/>
                      </w:rPr>
                      <w:t>主工业场地生活污水处理站</w:t>
                    </w:r>
                  </w:p>
                </w:txbxContent>
              </v:textbox>
            </v:shape>
            <v:shape id="_x0000_s56267" o:spid="_x0000_s56267" o:spt="32" type="#_x0000_t32" style="position:absolute;left:4162;top:9369;height:0;width:1058;" o:connectortype="straight" filled="f" coordsize="21600,21600">
              <v:path arrowok="t"/>
              <v:fill on="f" focussize="0,0"/>
              <v:stroke endarrow="block"/>
              <v:imagedata o:title=""/>
              <o:lock v:ext="edit"/>
            </v:shape>
            <v:shape id="_x0000_s56268" o:spid="_x0000_s56268" o:spt="202" type="#_x0000_t202" style="position:absolute;left:5220;top:9155;height:436;width:1588;" filled="f" coordsize="21600,21600">
              <v:path/>
              <v:fill on="f" focussize="0,0"/>
              <v:stroke joinstyle="miter"/>
              <v:imagedata o:title=""/>
              <o:lock v:ext="edit"/>
              <v:textbox>
                <w:txbxContent>
                  <w:p>
                    <w:pPr>
                      <w:jc w:val="center"/>
                    </w:pPr>
                    <w:r>
                      <w:rPr>
                        <w:rFonts w:hint="eastAsia"/>
                      </w:rPr>
                      <w:t>食堂用水</w:t>
                    </w:r>
                  </w:p>
                </w:txbxContent>
              </v:textbox>
            </v:shape>
            <v:shape id="_x0000_s56269" o:spid="_x0000_s56269" o:spt="32" type="#_x0000_t32" style="position:absolute;left:6796;top:8331;height:0;width:1104;" o:connectortype="straight" filled="f" coordsize="21600,21600">
              <v:path arrowok="t"/>
              <v:fill on="f" focussize="0,0"/>
              <v:stroke/>
              <v:imagedata o:title=""/>
              <o:lock v:ext="edit"/>
            </v:shape>
            <v:shape id="_x0000_s56270" o:spid="_x0000_s56270" o:spt="202" type="#_x0000_t202" style="position:absolute;left:3119;top:7514;height:416;width:1086;" filled="f" stroked="f" coordsize="21600,21600">
              <v:path/>
              <v:fill on="f" focussize="0,0"/>
              <v:stroke on="f" joinstyle="miter"/>
              <v:imagedata o:title=""/>
              <o:lock v:ext="edit"/>
              <v:textbox>
                <w:txbxContent>
                  <w:p>
                    <w:pPr>
                      <w:jc w:val="center"/>
                    </w:pPr>
                    <w:r>
                      <w:rPr>
                        <w:rFonts w:hint="eastAsia"/>
                      </w:rPr>
                      <w:t>670.79</w:t>
                    </w:r>
                  </w:p>
                  <w:p>
                    <w:pPr>
                      <w:jc w:val="center"/>
                    </w:pPr>
                  </w:p>
                </w:txbxContent>
              </v:textbox>
            </v:shape>
            <v:shape id="_x0000_s56271" o:spid="_x0000_s56271" o:spt="202" type="#_x0000_t202" style="position:absolute;left:4205;top:8912;height:416;width:947;" filled="f" stroked="f" coordsize="21600,21600">
              <v:path/>
              <v:fill on="f" focussize="0,0"/>
              <v:stroke on="f" joinstyle="miter"/>
              <v:imagedata o:title=""/>
              <o:lock v:ext="edit"/>
              <v:textbox>
                <w:txbxContent>
                  <w:p>
                    <w:pPr>
                      <w:jc w:val="center"/>
                    </w:pPr>
                    <w:r>
                      <w:rPr>
                        <w:rFonts w:hint="eastAsia"/>
                      </w:rPr>
                      <w:t>19.08</w:t>
                    </w:r>
                  </w:p>
                  <w:p>
                    <w:pPr>
                      <w:jc w:val="center"/>
                    </w:pPr>
                  </w:p>
                </w:txbxContent>
              </v:textbox>
            </v:shape>
            <v:shape id="_x0000_s56272" o:spid="_x0000_s56272" o:spt="202" type="#_x0000_t202" style="position:absolute;left:4205;top:6897;height:416;width:986;" filled="f" stroked="f" coordsize="21600,21600">
              <v:path/>
              <v:fill on="f" focussize="0,0"/>
              <v:stroke on="f" joinstyle="miter"/>
              <v:imagedata o:title=""/>
              <o:lock v:ext="edit"/>
              <v:textbox>
                <w:txbxContent>
                  <w:p>
                    <w:pPr>
                      <w:jc w:val="center"/>
                    </w:pPr>
                    <w:r>
                      <w:rPr>
                        <w:rFonts w:hint="eastAsia"/>
                      </w:rPr>
                      <w:t>25.08</w:t>
                    </w:r>
                  </w:p>
                  <w:p>
                    <w:pPr>
                      <w:jc w:val="center"/>
                    </w:pPr>
                  </w:p>
                </w:txbxContent>
              </v:textbox>
            </v:shape>
            <v:shape id="_x0000_s56273" o:spid="_x0000_s56273" o:spt="202" type="#_x0000_t202" style="position:absolute;left:7797;top:8939;height:416;width:977;" filled="f" stroked="f" coordsize="21600,21600">
              <v:path/>
              <v:fill on="f" focussize="0,0"/>
              <v:stroke on="f" joinstyle="miter"/>
              <v:imagedata o:title=""/>
              <o:lock v:ext="edit"/>
              <v:textbox>
                <w:txbxContent>
                  <w:p>
                    <w:pPr>
                      <w:jc w:val="center"/>
                    </w:pPr>
                    <w:r>
                      <w:rPr>
                        <w:rFonts w:hint="eastAsia"/>
                      </w:rPr>
                      <w:t>215.63</w:t>
                    </w:r>
                  </w:p>
                  <w:p>
                    <w:pPr>
                      <w:jc w:val="center"/>
                    </w:pPr>
                  </w:p>
                </w:txbxContent>
              </v:textbox>
            </v:shape>
            <v:shape id="_x0000_s56274" o:spid="_x0000_s56274" o:spt="32" type="#_x0000_t32" style="position:absolute;left:4171;top:6446;flip:x;height:5871;width:10;" o:connectortype="straight" filled="f" coordsize="21600,21600">
              <v:path arrowok="t"/>
              <v:fill on="f" focussize="0,0"/>
              <v:stroke/>
              <v:imagedata o:title=""/>
              <o:lock v:ext="edit"/>
            </v:shape>
            <v:shape id="_x0000_s56275" o:spid="_x0000_s56275" o:spt="32" type="#_x0000_t32" style="position:absolute;left:7910;top:6446;height:5872;width:0;" o:connectortype="straight" filled="f" coordsize="21600,21600">
              <v:path arrowok="t"/>
              <v:fill on="f" focussize="0,0"/>
              <v:stroke/>
              <v:imagedata o:title=""/>
              <o:lock v:ext="edit"/>
            </v:shape>
            <v:shape id="_x0000_s56276" o:spid="_x0000_s56276" o:spt="202" type="#_x0000_t202" style="position:absolute;left:5208;top:8127;height:454;width:1588;" filled="f" coordsize="21600,21600">
              <v:path/>
              <v:fill on="f" focussize="0,0"/>
              <v:stroke joinstyle="miter"/>
              <v:imagedata o:title=""/>
              <o:lock v:ext="edit"/>
              <v:textbox>
                <w:txbxContent>
                  <w:p>
                    <w:pPr>
                      <w:jc w:val="center"/>
                    </w:pPr>
                    <w:r>
                      <w:rPr>
                        <w:rFonts w:hint="eastAsia"/>
                      </w:rPr>
                      <w:t>宿舍用水</w:t>
                    </w:r>
                  </w:p>
                </w:txbxContent>
              </v:textbox>
            </v:shape>
            <v:shape id="_x0000_s56277" o:spid="_x0000_s56277" o:spt="32" type="#_x0000_t32" style="position:absolute;left:4159;top:8377;height:0;width:1069;" o:connectortype="straight" filled="f" coordsize="21600,21600">
              <v:path arrowok="t"/>
              <v:fill on="f" focussize="0,0"/>
              <v:stroke endarrow="block"/>
              <v:imagedata o:title=""/>
              <o:lock v:ext="edit"/>
            </v:shape>
            <v:shape id="_x0000_s56278" o:spid="_x0000_s56278" o:spt="202" type="#_x0000_t202" style="position:absolute;left:4267;top:7930;height:416;width:894;" filled="f" stroked="f" coordsize="21600,21600">
              <v:path/>
              <v:fill on="f" focussize="0,0"/>
              <v:stroke on="f" joinstyle="miter"/>
              <v:imagedata o:title=""/>
              <o:lock v:ext="edit"/>
              <v:textbox>
                <w:txbxContent>
                  <w:p>
                    <w:pPr>
                      <w:jc w:val="center"/>
                    </w:pPr>
                    <w:r>
                      <w:rPr>
                        <w:rFonts w:hint="eastAsia"/>
                      </w:rPr>
                      <w:t>75.30</w:t>
                    </w:r>
                  </w:p>
                  <w:p>
                    <w:pPr>
                      <w:jc w:val="center"/>
                    </w:pPr>
                  </w:p>
                </w:txbxContent>
              </v:textbox>
            </v:shape>
            <v:shape id="_x0000_s56279" o:spid="_x0000_s56279" o:spt="32" type="#_x0000_t32" style="position:absolute;left:4175;top:10339;height:1;width:1059;" o:connectortype="straight" filled="f" coordsize="21600,21600">
              <v:path arrowok="t"/>
              <v:fill on="f" focussize="0,0"/>
              <v:stroke endarrow="block"/>
              <v:imagedata o:title=""/>
              <o:lock v:ext="edit"/>
            </v:shape>
            <v:shape id="_x0000_s56280" o:spid="_x0000_s56280" o:spt="202" type="#_x0000_t202" style="position:absolute;left:5234;top:10126;height:463;width:1599;" filled="f" coordsize="21600,21600">
              <v:path/>
              <v:fill on="f" focussize="0,0"/>
              <v:stroke joinstyle="miter"/>
              <v:imagedata o:title=""/>
              <o:lock v:ext="edit"/>
              <v:textbox>
                <w:txbxContent>
                  <w:p>
                    <w:pPr>
                      <w:jc w:val="center"/>
                    </w:pPr>
                    <w:r>
                      <w:rPr>
                        <w:rFonts w:hint="eastAsia"/>
                      </w:rPr>
                      <w:t>浴室用水</w:t>
                    </w:r>
                  </w:p>
                </w:txbxContent>
              </v:textbox>
            </v:shape>
            <v:shape id="_x0000_s56281" o:spid="_x0000_s56281" o:spt="202" type="#_x0000_t202" style="position:absolute;left:4175;top:9840;height:416;width:1016;" filled="f" stroked="f" coordsize="21600,21600">
              <v:path/>
              <v:fill on="f" focussize="0,0"/>
              <v:stroke on="f" joinstyle="miter"/>
              <v:imagedata o:title=""/>
              <o:lock v:ext="edit"/>
              <v:textbox>
                <w:txbxContent>
                  <w:p>
                    <w:pPr>
                      <w:jc w:val="center"/>
                    </w:pPr>
                    <w:r>
                      <w:rPr>
                        <w:rFonts w:hint="eastAsia"/>
                      </w:rPr>
                      <w:t>97.20</w:t>
                    </w:r>
                  </w:p>
                  <w:p>
                    <w:pPr>
                      <w:jc w:val="center"/>
                    </w:pPr>
                  </w:p>
                </w:txbxContent>
              </v:textbox>
            </v:shape>
            <v:shape id="_x0000_s56282" o:spid="_x0000_s56282" o:spt="32" type="#_x0000_t32" style="position:absolute;left:6833;top:10339;height:1;width:1067;" o:connectortype="straight" filled="f" coordsize="21600,21600">
              <v:path arrowok="t"/>
              <v:fill on="f" focussize="0,0"/>
              <v:stroke/>
              <v:imagedata o:title=""/>
              <o:lock v:ext="edit"/>
            </v:shape>
            <v:shape id="_x0000_s56283" o:spid="_x0000_s56283" o:spt="38" type="#_x0000_t38" style="position:absolute;left:5593;top:6872;flip:y;height:231;width:434;" o:connectortype="curved" filled="f" coordsize="21600,21600" adj="10800,223574,-368494">
              <v:path arrowok="t"/>
              <v:fill on="f" focussize="0,0"/>
              <v:stroke endarrow="block"/>
              <v:imagedata o:title=""/>
              <o:lock v:ext="edit"/>
            </v:shape>
            <v:shape id="_x0000_s56284" o:spid="_x0000_s56284" o:spt="202" type="#_x0000_t202" style="position:absolute;left:5868;top:6665;height:416;width:850;" filled="f" stroked="f" coordsize="21600,21600">
              <v:path/>
              <v:fill on="f" focussize="0,0"/>
              <v:stroke on="f" joinstyle="miter"/>
              <v:imagedata o:title=""/>
              <o:lock v:ext="edit"/>
              <v:textbox>
                <w:txbxContent>
                  <w:p>
                    <w:pPr>
                      <w:jc w:val="center"/>
                    </w:pPr>
                    <w:r>
                      <w:rPr>
                        <w:rFonts w:hint="eastAsia"/>
                      </w:rPr>
                      <w:t>5.02</w:t>
                    </w:r>
                  </w:p>
                  <w:p>
                    <w:pPr>
                      <w:jc w:val="center"/>
                    </w:pPr>
                  </w:p>
                </w:txbxContent>
              </v:textbox>
            </v:shape>
            <v:rect id="_x0000_s56285" o:spid="_x0000_s56285" o:spt="1" style="position:absolute;left:7007;top:6910;height:490;width:1018;" filled="f" stroked="f" coordsize="21600,21600">
              <v:path/>
              <v:fill on="f" focussize="0,0"/>
              <v:stroke on="f"/>
              <v:imagedata o:title=""/>
              <o:lock v:ext="edit"/>
              <v:textbox>
                <w:txbxContent>
                  <w:p>
                    <w:r>
                      <w:rPr>
                        <w:rFonts w:hint="eastAsia"/>
                      </w:rPr>
                      <w:t>20.06</w:t>
                    </w:r>
                  </w:p>
                </w:txbxContent>
              </v:textbox>
            </v:rect>
            <v:shape id="_x0000_s56286" o:spid="_x0000_s56286" o:spt="38" type="#_x0000_t38" style="position:absolute;left:5540;top:7873;flip:y;height:231;width:434;" o:connectortype="curved" filled="f" coordsize="21600,21600" adj="10800,223574,-368494">
              <v:path arrowok="t"/>
              <v:fill on="f" focussize="0,0"/>
              <v:stroke endarrow="block"/>
              <v:imagedata o:title=""/>
              <o:lock v:ext="edit"/>
            </v:shape>
            <v:rect id="_x0000_s56287" o:spid="_x0000_s56287" o:spt="1" style="position:absolute;left:6891;top:7886;height:490;width:958;" filled="f" stroked="f" coordsize="21600,21600">
              <v:path/>
              <v:fill on="f" focussize="0,0"/>
              <v:stroke on="f"/>
              <v:imagedata o:title=""/>
              <o:lock v:ext="edit"/>
              <v:textbox>
                <w:txbxContent>
                  <w:p>
                    <w:r>
                      <w:rPr>
                        <w:rFonts w:hint="eastAsia"/>
                      </w:rPr>
                      <w:t>60.24</w:t>
                    </w:r>
                  </w:p>
                </w:txbxContent>
              </v:textbox>
            </v:rect>
            <v:shape id="_x0000_s56288" o:spid="_x0000_s56288" o:spt="38" type="#_x0000_t38" style="position:absolute;left:5462;top:8911;flip:y;height:231;width:434;" o:connectortype="curved" filled="f" coordsize="21600,21600" adj="10800,223574,-368494">
              <v:path arrowok="t"/>
              <v:fill on="f" focussize="0,0"/>
              <v:stroke endarrow="block"/>
              <v:imagedata o:title=""/>
              <o:lock v:ext="edit"/>
            </v:shape>
            <v:shape id="_x0000_s56289" o:spid="_x0000_s56289" o:spt="202" type="#_x0000_t202" style="position:absolute;left:5747;top:8686;height:416;width:850;" filled="f" stroked="f" coordsize="21600,21600">
              <v:path/>
              <v:fill on="f" focussize="0,0"/>
              <v:stroke on="f" joinstyle="miter"/>
              <v:imagedata o:title=""/>
              <o:lock v:ext="edit"/>
              <v:textbox>
                <w:txbxContent>
                  <w:p>
                    <w:pPr>
                      <w:jc w:val="center"/>
                    </w:pPr>
                    <w:r>
                      <w:rPr>
                        <w:rFonts w:hint="eastAsia"/>
                      </w:rPr>
                      <w:t>3.82</w:t>
                    </w:r>
                  </w:p>
                  <w:p>
                    <w:pPr>
                      <w:jc w:val="center"/>
                    </w:pPr>
                  </w:p>
                </w:txbxContent>
              </v:textbox>
            </v:shape>
            <v:rect id="_x0000_s56290" o:spid="_x0000_s56290" o:spt="1" style="position:absolute;left:6903;top:8918;height:475;width:801;" filled="f" stroked="f" coordsize="21600,21600">
              <v:path/>
              <v:fill on="f" focussize="0,0"/>
              <v:stroke on="f"/>
              <v:imagedata o:title=""/>
              <o:lock v:ext="edit"/>
              <v:textbox>
                <w:txbxContent>
                  <w:p>
                    <w:r>
                      <w:t>1</w:t>
                    </w:r>
                    <w:r>
                      <w:rPr>
                        <w:rFonts w:hint="eastAsia"/>
                      </w:rPr>
                      <w:t>5.26</w:t>
                    </w:r>
                  </w:p>
                  <w:p/>
                </w:txbxContent>
              </v:textbox>
            </v:rect>
            <v:shape id="_x0000_s56291" o:spid="_x0000_s56291" o:spt="38" type="#_x0000_t38" style="position:absolute;left:5538;top:9895;flip:y;height:231;width:434;" o:connectortype="curved" filled="f" coordsize="21600,21600" adj="10800,223574,-368494">
              <v:path arrowok="t"/>
              <v:fill on="f" focussize="0,0"/>
              <v:stroke endarrow="block"/>
              <v:imagedata o:title=""/>
              <o:lock v:ext="edit"/>
            </v:shape>
            <v:shape id="_x0000_s56292" o:spid="_x0000_s56292" o:spt="202" type="#_x0000_t202" style="position:absolute;left:5823;top:9696;height:430;width:973;" filled="f" stroked="f" coordsize="21600,21600">
              <v:path/>
              <v:fill on="f" focussize="0,0"/>
              <v:stroke on="f" joinstyle="miter"/>
              <v:imagedata o:title=""/>
              <o:lock v:ext="edit"/>
              <v:textbox>
                <w:txbxContent>
                  <w:p>
                    <w:pPr>
                      <w:jc w:val="center"/>
                    </w:pPr>
                    <w:r>
                      <w:rPr>
                        <w:rFonts w:hint="eastAsia"/>
                      </w:rPr>
                      <w:t>19.44</w:t>
                    </w:r>
                  </w:p>
                  <w:p>
                    <w:pPr>
                      <w:jc w:val="center"/>
                    </w:pPr>
                  </w:p>
                </w:txbxContent>
              </v:textbox>
            </v:shape>
            <v:rect id="_x0000_s56293" o:spid="_x0000_s56293" o:spt="1" style="position:absolute;left:6931;top:9945;height:451;width:773;" filled="f" stroked="f" coordsize="21600,21600">
              <v:path/>
              <v:fill on="f" focussize="0,0"/>
              <v:stroke on="f"/>
              <v:imagedata o:title=""/>
              <o:lock v:ext="edit"/>
              <v:textbox>
                <w:txbxContent>
                  <w:p>
                    <w:r>
                      <w:rPr>
                        <w:rFonts w:hint="eastAsia"/>
                      </w:rPr>
                      <w:t>77.76</w:t>
                    </w:r>
                  </w:p>
                </w:txbxContent>
              </v:textbox>
            </v:rect>
            <v:shape id="_x0000_s56294" o:spid="_x0000_s56294" o:spt="32" type="#_x0000_t32" style="position:absolute;left:4149;top:11325;height:0;width:1092;" o:connectortype="straight" filled="f" coordsize="21600,21600">
              <v:path arrowok="t"/>
              <v:fill on="f" focussize="0,0"/>
              <v:stroke endarrow="block"/>
              <v:imagedata o:title=""/>
              <o:lock v:ext="edit"/>
            </v:shape>
            <v:shape id="_x0000_s56295" o:spid="_x0000_s56295" o:spt="202" type="#_x0000_t202" style="position:absolute;left:5218;top:11120;height:504;width:1588;" filled="f" coordsize="21600,21600">
              <v:path/>
              <v:fill on="f" focussize="0,0"/>
              <v:stroke joinstyle="miter"/>
              <v:imagedata o:title=""/>
              <o:lock v:ext="edit"/>
              <v:textbox>
                <w:txbxContent>
                  <w:p>
                    <w:pPr>
                      <w:jc w:val="center"/>
                    </w:pPr>
                    <w:r>
                      <w:rPr>
                        <w:rFonts w:hint="eastAsia"/>
                      </w:rPr>
                      <w:t>洗衣房用水</w:t>
                    </w:r>
                  </w:p>
                </w:txbxContent>
              </v:textbox>
            </v:shape>
            <v:shape id="_x0000_s56296" o:spid="_x0000_s56296" o:spt="202" type="#_x0000_t202" style="position:absolute;left:4159;top:10848;height:416;width:1075;" filled="f" stroked="f" coordsize="21600,21600">
              <v:path/>
              <v:fill on="f" focussize="0,0"/>
              <v:stroke on="f" joinstyle="miter"/>
              <v:imagedata o:title=""/>
              <o:lock v:ext="edit"/>
              <v:textbox>
                <w:txbxContent>
                  <w:p>
                    <w:pPr>
                      <w:jc w:val="center"/>
                    </w:pPr>
                    <w:r>
                      <w:rPr>
                        <w:rFonts w:hint="eastAsia"/>
                      </w:rPr>
                      <w:t>13.54</w:t>
                    </w:r>
                  </w:p>
                  <w:p>
                    <w:pPr>
                      <w:jc w:val="center"/>
                    </w:pPr>
                  </w:p>
                </w:txbxContent>
              </v:textbox>
            </v:shape>
            <v:shape id="_x0000_s56297" o:spid="_x0000_s56297" o:spt="32" type="#_x0000_t32" style="position:absolute;left:6806;top:11333;height:0;width:1094;" o:connectortype="straight" filled="f" coordsize="21600,21600">
              <v:path arrowok="t"/>
              <v:fill on="f" focussize="0,0"/>
              <v:stroke/>
              <v:imagedata o:title=""/>
              <o:lock v:ext="edit"/>
            </v:shape>
            <v:shape id="_x0000_s56298" o:spid="_x0000_s56298" o:spt="38" type="#_x0000_t38" style="position:absolute;left:5446;top:10848;flip:y;height:231;width:434;" o:connectortype="curved" filled="f" coordsize="21600,21600" adj="10800,223574,-368494">
              <v:path arrowok="t"/>
              <v:fill on="f" focussize="0,0"/>
              <v:stroke endarrow="block"/>
              <v:imagedata o:title=""/>
              <o:lock v:ext="edit"/>
            </v:shape>
            <v:shape id="_x0000_s56299" o:spid="_x0000_s56299" o:spt="202" type="#_x0000_t202" style="position:absolute;left:5653;top:10589;height:430;width:973;" filled="f" stroked="f" coordsize="21600,21600">
              <v:path/>
              <v:fill on="f" focussize="0,0"/>
              <v:stroke on="f" joinstyle="miter"/>
              <v:imagedata o:title=""/>
              <o:lock v:ext="edit"/>
              <v:textbox>
                <w:txbxContent>
                  <w:p>
                    <w:pPr>
                      <w:jc w:val="center"/>
                    </w:pPr>
                    <w:r>
                      <w:rPr>
                        <w:rFonts w:hint="eastAsia"/>
                      </w:rPr>
                      <w:t>2.71</w:t>
                    </w:r>
                  </w:p>
                  <w:p>
                    <w:pPr>
                      <w:jc w:val="center"/>
                    </w:pPr>
                  </w:p>
                </w:txbxContent>
              </v:textbox>
            </v:shape>
            <v:rect id="_x0000_s56300" o:spid="_x0000_s56300" o:spt="1" style="position:absolute;left:6890;top:10861;height:490;width:932;" filled="f" stroked="f" coordsize="21600,21600">
              <v:path/>
              <v:fill on="f" focussize="0,0"/>
              <v:stroke on="f"/>
              <v:imagedata o:title=""/>
              <o:lock v:ext="edit"/>
              <v:textbox>
                <w:txbxContent>
                  <w:p>
                    <w:r>
                      <w:rPr>
                        <w:rFonts w:hint="eastAsia"/>
                      </w:rPr>
                      <w:t>10.83</w:t>
                    </w:r>
                  </w:p>
                </w:txbxContent>
              </v:textbox>
            </v:rect>
            <v:shape id="_x0000_s56301" o:spid="_x0000_s56301" o:spt="202" type="#_x0000_t202" style="position:absolute;left:1937;top:2205;height:448;width:1588;" filled="f" coordsize="21600,21600">
              <v:path/>
              <v:fill on="f" focussize="0,0"/>
              <v:stroke joinstyle="miter"/>
              <v:imagedata o:title=""/>
              <o:lock v:ext="edit"/>
              <v:textbox>
                <w:txbxContent>
                  <w:p>
                    <w:r>
                      <w:rPr>
                        <w:rFonts w:hint="eastAsia"/>
                      </w:rPr>
                      <w:t>矿井水处理站</w:t>
                    </w:r>
                  </w:p>
                </w:txbxContent>
              </v:textbox>
            </v:shape>
            <v:shape id="_x0000_s56302" o:spid="_x0000_s56302" o:spt="202" type="#_x0000_t202" style="position:absolute;left:5235;top:2461;height:465;width:1588;" filled="f" coordsize="21600,21600">
              <v:path/>
              <v:fill on="f" focussize="0,0"/>
              <v:stroke joinstyle="miter"/>
              <v:imagedata o:title=""/>
              <o:lock v:ext="edit"/>
              <v:textbox>
                <w:txbxContent>
                  <w:p>
                    <w:pPr>
                      <w:jc w:val="center"/>
                    </w:pPr>
                    <w:r>
                      <w:rPr>
                        <w:rFonts w:hint="eastAsia"/>
                      </w:rPr>
                      <w:t>井下生产</w:t>
                    </w:r>
                  </w:p>
                </w:txbxContent>
              </v:textbox>
            </v:shape>
            <v:shape id="_x0000_s56303" o:spid="_x0000_s56303" o:spt="32" type="#_x0000_t32" style="position:absolute;left:2634;top:2653;flip:y;height:607;width:1;" o:connectortype="straight" filled="f" coordsize="21600,21600">
              <v:path arrowok="t"/>
              <v:fill on="f" focussize="0,0"/>
              <v:stroke endarrow="block"/>
              <v:imagedata o:title=""/>
              <o:lock v:ext="edit"/>
            </v:shape>
            <v:shape id="_x0000_s56304" o:spid="_x0000_s56304" o:spt="202" type="#_x0000_t202" style="position:absolute;left:2034;top:3260;height:455;width:1158;" filled="f" coordsize="21600,21600">
              <v:path/>
              <v:fill on="f" focussize="0,0"/>
              <v:stroke joinstyle="miter"/>
              <v:imagedata o:title=""/>
              <o:lock v:ext="edit"/>
              <v:textbox>
                <w:txbxContent>
                  <w:p>
                    <w:pPr>
                      <w:jc w:val="center"/>
                    </w:pPr>
                    <w:r>
                      <w:rPr>
                        <w:rFonts w:hint="eastAsia"/>
                      </w:rPr>
                      <w:t>矿井涌水</w:t>
                    </w:r>
                  </w:p>
                </w:txbxContent>
              </v:textbox>
            </v:shape>
            <v:shape id="_x0000_s56305" o:spid="_x0000_s56305" o:spt="32" type="#_x0000_t32" style="position:absolute;left:3525;top:2525;height:1;width:1666;" o:connectortype="straight" filled="f" coordsize="21600,21600">
              <v:path arrowok="t"/>
              <v:fill on="f" focussize="0,0"/>
              <v:stroke endarrow="block"/>
              <v:imagedata o:title=""/>
              <o:lock v:ext="edit"/>
            </v:shape>
            <v:shape id="_x0000_s56306" o:spid="_x0000_s56306" o:spt="32" type="#_x0000_t32" style="position:absolute;left:9234;top:3357;flip:y;height:5394;width:25;" o:connectortype="straight" filled="f" coordsize="21600,21600">
              <v:path arrowok="t"/>
              <v:fill on="f" focussize="0,0"/>
              <v:stroke endarrow="block"/>
              <v:imagedata o:title=""/>
              <o:lock v:ext="edit"/>
            </v:shape>
            <v:shape id="_x0000_s56307" o:spid="_x0000_s56307" o:spt="32" type="#_x0000_t32" style="position:absolute;left:4197;top:6447;height:1;width:1059;" o:connectortype="straight" filled="f" coordsize="21600,21600">
              <v:path arrowok="t"/>
              <v:fill on="f" focussize="0,0"/>
              <v:stroke endarrow="block"/>
              <v:imagedata o:title=""/>
              <o:lock v:ext="edit"/>
            </v:shape>
            <v:shape id="_x0000_s56308" o:spid="_x0000_s56308" o:spt="202" type="#_x0000_t202" style="position:absolute;left:5242;top:4268;height:474;width:1583;" filled="f" coordsize="21600,21600">
              <v:path/>
              <v:fill on="f" focussize="0,0"/>
              <v:stroke joinstyle="miter"/>
              <v:imagedata o:title=""/>
              <o:lock v:ext="edit"/>
              <v:textbox>
                <w:txbxContent>
                  <w:p>
                    <w:pPr>
                      <w:jc w:val="center"/>
                    </w:pPr>
                    <w:r>
                      <w:rPr>
                        <w:rFonts w:hint="eastAsia"/>
                      </w:rPr>
                      <w:t>洗车</w:t>
                    </w:r>
                    <w:r>
                      <w:rPr>
                        <w:rFonts w:hAnsiTheme="minorEastAsia" w:eastAsiaTheme="minorEastAsia"/>
                        <w:kern w:val="0"/>
                        <w:szCs w:val="21"/>
                      </w:rPr>
                      <w:t>平台用水</w:t>
                    </w:r>
                  </w:p>
                </w:txbxContent>
              </v:textbox>
            </v:shape>
            <v:shape id="_x0000_s56309" o:spid="_x0000_s56309" o:spt="202" type="#_x0000_t202" style="position:absolute;left:1582;top:2710;height:416;width:1180;" filled="f" stroked="f" coordsize="21600,21600">
              <v:path/>
              <v:fill on="f" focussize="0,0"/>
              <v:stroke on="f" joinstyle="miter"/>
              <v:imagedata o:title=""/>
              <o:lock v:ext="edit"/>
              <v:textbox>
                <w:txbxContent>
                  <w:p>
                    <w:pPr>
                      <w:jc w:val="center"/>
                    </w:pPr>
                    <w:r>
                      <w:rPr>
                        <w:rFonts w:hint="eastAsia"/>
                      </w:rPr>
                      <w:t>576.00</w:t>
                    </w:r>
                  </w:p>
                  <w:p>
                    <w:pPr>
                      <w:jc w:val="center"/>
                    </w:pPr>
                  </w:p>
                </w:txbxContent>
              </v:textbox>
            </v:shape>
            <v:shape id="_x0000_s56310" o:spid="_x0000_s56310" o:spt="202" type="#_x0000_t202" style="position:absolute;left:6853;top:4066;height:416;width:946;" filled="f" stroked="f" coordsize="21600,21600">
              <v:path/>
              <v:fill on="f" focussize="0,0"/>
              <v:stroke on="f" joinstyle="miter"/>
              <v:imagedata o:title=""/>
              <o:lock v:ext="edit"/>
              <v:textbox>
                <w:txbxContent>
                  <w:p>
                    <w:pPr>
                      <w:jc w:val="center"/>
                    </w:pPr>
                    <w:r>
                      <w:rPr>
                        <w:rFonts w:hint="eastAsia"/>
                      </w:rPr>
                      <w:t>54.55</w:t>
                    </w:r>
                  </w:p>
                  <w:p>
                    <w:pPr>
                      <w:jc w:val="center"/>
                    </w:pPr>
                  </w:p>
                </w:txbxContent>
              </v:textbox>
            </v:shape>
            <v:shape id="_x0000_s56311" o:spid="_x0000_s56311" o:spt="202" type="#_x0000_t202" style="position:absolute;left:4267;top:2146;height:416;width:915;" filled="f" stroked="f" coordsize="21600,21600">
              <v:path/>
              <v:fill on="f" focussize="0,0"/>
              <v:stroke on="f" joinstyle="miter"/>
              <v:imagedata o:title=""/>
              <o:lock v:ext="edit"/>
              <v:textbox>
                <w:txbxContent>
                  <w:p>
                    <w:pPr>
                      <w:jc w:val="center"/>
                    </w:pPr>
                    <w:r>
                      <w:rPr>
                        <w:rFonts w:hint="eastAsia"/>
                      </w:rPr>
                      <w:t>576.00</w:t>
                    </w:r>
                  </w:p>
                  <w:p>
                    <w:pPr>
                      <w:jc w:val="center"/>
                    </w:pPr>
                  </w:p>
                </w:txbxContent>
              </v:textbox>
            </v:shape>
            <v:shape id="_x0000_s56312" o:spid="_x0000_s56312" o:spt="32" type="#_x0000_t32" style="position:absolute;left:4159;top:2848;height:3599;width:18;" o:connectortype="straight" filled="f" coordsize="21600,21600">
              <v:path arrowok="t"/>
              <v:fill on="f" focussize="0,0"/>
              <v:stroke/>
              <v:imagedata o:title=""/>
              <o:lock v:ext="edit"/>
            </v:shape>
            <v:shape id="_x0000_s56313" o:spid="_x0000_s56313" o:spt="32" type="#_x0000_t32" style="position:absolute;left:7932;top:3559;height:1923;width:2;" o:connectortype="straight" filled="f" coordsize="21600,21600">
              <v:path arrowok="t"/>
              <v:fill on="f" focussize="0,0"/>
              <v:stroke/>
              <v:imagedata o:title=""/>
              <o:lock v:ext="edit"/>
            </v:shape>
            <v:shape id="_x0000_s56314" o:spid="_x0000_s56314" o:spt="202" type="#_x0000_t202" style="position:absolute;left:5230;top:3357;height:468;width:1588;" filled="f" coordsize="21600,21600">
              <v:path/>
              <v:fill on="f" focussize="0,0"/>
              <v:stroke joinstyle="miter"/>
              <v:imagedata o:title=""/>
              <o:lock v:ext="edit"/>
              <v:textbox>
                <w:txbxContent>
                  <w:p>
                    <w:pPr>
                      <w:jc w:val="center"/>
                    </w:pPr>
                    <w:r>
                      <w:rPr>
                        <w:rFonts w:hint="eastAsia"/>
                      </w:rPr>
                      <w:t>储煤场洒水</w:t>
                    </w:r>
                  </w:p>
                  <w:p/>
                </w:txbxContent>
              </v:textbox>
            </v:shape>
            <v:shape id="_x0000_s56316" o:spid="_x0000_s56316" o:spt="202" type="#_x0000_t202" style="position:absolute;left:6925;top:6032;height:416;width:779;" filled="f" stroked="f" coordsize="21600,21600">
              <v:path/>
              <v:fill on="f" focussize="0,0"/>
              <v:stroke on="f" joinstyle="miter"/>
              <v:imagedata o:title=""/>
              <o:lock v:ext="edit"/>
              <v:textbox>
                <w:txbxContent>
                  <w:p>
                    <w:pPr>
                      <w:jc w:val="center"/>
                    </w:pPr>
                    <w:r>
                      <w:rPr>
                        <w:rFonts w:hint="eastAsia"/>
                      </w:rPr>
                      <w:t>6.91</w:t>
                    </w:r>
                  </w:p>
                  <w:p>
                    <w:pPr>
                      <w:jc w:val="center"/>
                    </w:pPr>
                  </w:p>
                </w:txbxContent>
              </v:textbox>
            </v:shape>
            <v:shape id="_x0000_s56317" o:spid="_x0000_s56317" o:spt="202" type="#_x0000_t202" style="position:absolute;left:5221;top:5239;height:486;width:1588;" filled="f" coordsize="21600,21600">
              <v:path/>
              <v:fill on="f" focussize="0,0"/>
              <v:stroke joinstyle="miter"/>
              <v:imagedata o:title=""/>
              <o:lock v:ext="edit"/>
              <v:textbox>
                <w:txbxContent>
                  <w:p>
                    <w:pPr>
                      <w:jc w:val="center"/>
                    </w:pPr>
                    <w:r>
                      <w:rPr>
                        <w:rFonts w:hint="eastAsia"/>
                      </w:rPr>
                      <w:t>厂区道路洒水</w:t>
                    </w:r>
                  </w:p>
                </w:txbxContent>
              </v:textbox>
            </v:shape>
            <v:shape id="_x0000_s56318" o:spid="_x0000_s56318" o:spt="202" type="#_x0000_t202" style="position:absolute;left:6903;top:5040;height:416;width:901;" filled="f" stroked="f" coordsize="21600,21600">
              <v:path/>
              <v:fill on="f" focussize="0,0"/>
              <v:stroke on="f" joinstyle="miter"/>
              <v:imagedata o:title=""/>
              <o:lock v:ext="edit"/>
              <v:textbox>
                <w:txbxContent>
                  <w:p>
                    <w:pPr>
                      <w:jc w:val="center"/>
                    </w:pPr>
                    <w:r>
                      <w:rPr>
                        <w:rFonts w:hint="eastAsia"/>
                      </w:rPr>
                      <w:t>34.00</w:t>
                    </w:r>
                  </w:p>
                  <w:p>
                    <w:pPr>
                      <w:jc w:val="center"/>
                    </w:pPr>
                  </w:p>
                </w:txbxContent>
              </v:textbox>
            </v:shape>
            <v:shape id="_x0000_s56319" o:spid="_x0000_s56319" o:spt="38" type="#_x0000_t38" style="position:absolute;left:5538;top:2205;flip:y;height:231;width:434;" o:connectortype="curved" filled="f" coordsize="21600,21600" adj="10800,223574,-368494">
              <v:path arrowok="t"/>
              <v:fill on="f" focussize="0,0"/>
              <v:stroke endarrow="block"/>
              <v:imagedata o:title=""/>
              <o:lock v:ext="edit"/>
            </v:shape>
            <v:shape id="_x0000_s230400" o:spid="_x0000_s230400" o:spt="38" type="#_x0000_t38" style="position:absolute;left:5536;top:3116;flip:y;height:231;width:434;" o:connectortype="curved" filled="f" coordsize="21600,21600" adj="10800,223574,-368494">
              <v:path arrowok="t"/>
              <v:fill on="f" focussize="0,0"/>
              <v:stroke endarrow="block"/>
              <v:imagedata o:title=""/>
              <o:lock v:ext="edit"/>
            </v:shape>
            <v:shape id="_x0000_s230401" o:spid="_x0000_s230401" o:spt="202" type="#_x0000_t202" style="position:absolute;left:5834;top:2887;height:416;width:850;" filled="f" stroked="f" coordsize="21600,21600">
              <v:path/>
              <v:fill on="f" focussize="0,0"/>
              <v:stroke on="f" joinstyle="miter"/>
              <v:imagedata o:title=""/>
              <o:lock v:ext="edit"/>
              <v:textbox>
                <w:txbxContent>
                  <w:p>
                    <w:pPr>
                      <w:jc w:val="center"/>
                    </w:pPr>
                    <w:r>
                      <w:rPr>
                        <w:rFonts w:hint="eastAsia"/>
                      </w:rPr>
                      <w:t>36.40</w:t>
                    </w:r>
                  </w:p>
                  <w:p>
                    <w:pPr>
                      <w:jc w:val="center"/>
                    </w:pPr>
                  </w:p>
                </w:txbxContent>
              </v:textbox>
            </v:shape>
            <v:shape id="_x0000_s230402" o:spid="_x0000_s230402" o:spt="38" type="#_x0000_t38" style="position:absolute;left:5471;top:4037;flip:y;height:231;width:434;" o:connectortype="curved" filled="f" coordsize="21600,21600" adj="10800,223574,-368494">
              <v:path arrowok="t"/>
              <v:fill on="f" focussize="0,0"/>
              <v:stroke endarrow="block"/>
              <v:imagedata o:title=""/>
              <o:lock v:ext="edit"/>
            </v:shape>
            <v:shape id="_x0000_s230403" o:spid="_x0000_s230403" o:spt="202" type="#_x0000_t202" style="position:absolute;left:5782;top:3825;height:416;width:850;" filled="f" stroked="f" coordsize="21600,21600">
              <v:path/>
              <v:fill on="f" focussize="0,0"/>
              <v:stroke on="f" joinstyle="miter"/>
              <v:imagedata o:title=""/>
              <o:lock v:ext="edit"/>
              <v:textbox>
                <w:txbxContent>
                  <w:p>
                    <w:pPr>
                      <w:jc w:val="center"/>
                    </w:pPr>
                    <w:r>
                      <w:rPr>
                        <w:rFonts w:hint="eastAsia"/>
                      </w:rPr>
                      <w:t>54.55</w:t>
                    </w:r>
                  </w:p>
                  <w:p>
                    <w:pPr>
                      <w:jc w:val="center"/>
                    </w:pPr>
                  </w:p>
                </w:txbxContent>
              </v:textbox>
            </v:shape>
            <v:shape id="_x0000_s230404" o:spid="_x0000_s230404" o:spt="38" type="#_x0000_t38" style="position:absolute;left:5449;top:4993;flip:y;height:231;width:434;" o:connectortype="curved" filled="f" coordsize="21600,21600" adj="10800,223574,-368494">
              <v:path arrowok="t"/>
              <v:fill on="f" focussize="0,0"/>
              <v:stroke endarrow="block"/>
              <v:imagedata o:title=""/>
              <o:lock v:ext="edit"/>
            </v:shape>
            <v:shape id="_x0000_s230405" o:spid="_x0000_s230405" o:spt="202" type="#_x0000_t202" style="position:absolute;left:5734;top:4768;height:430;width:973;" filled="f" stroked="f" coordsize="21600,21600">
              <v:path/>
              <v:fill on="f" focussize="0,0"/>
              <v:stroke on="f" joinstyle="miter"/>
              <v:imagedata o:title=""/>
              <o:lock v:ext="edit"/>
              <v:textbox>
                <w:txbxContent>
                  <w:p>
                    <w:pPr>
                      <w:jc w:val="center"/>
                    </w:pPr>
                    <w:r>
                      <w:rPr>
                        <w:rFonts w:hint="eastAsia"/>
                      </w:rPr>
                      <w:t>34.00</w:t>
                    </w:r>
                  </w:p>
                  <w:p>
                    <w:pPr>
                      <w:jc w:val="center"/>
                    </w:pPr>
                  </w:p>
                </w:txbxContent>
              </v:textbox>
            </v:shape>
            <v:shape id="_x0000_s230406" o:spid="_x0000_s230406" o:spt="202" type="#_x0000_t202" style="position:absolute;left:5228;top:6220;height:473;width:1588;" filled="f" coordsize="21600,21600">
              <v:path/>
              <v:fill on="f" focussize="0,0"/>
              <v:stroke joinstyle="miter"/>
              <v:imagedata o:title=""/>
              <o:lock v:ext="edit"/>
              <v:textbox>
                <w:txbxContent>
                  <w:p>
                    <w:pPr>
                      <w:jc w:val="center"/>
                    </w:pPr>
                    <w:r>
                      <w:rPr>
                        <w:rFonts w:hint="eastAsia"/>
                      </w:rPr>
                      <w:t>锅炉补充水</w:t>
                    </w:r>
                  </w:p>
                </w:txbxContent>
              </v:textbox>
            </v:shape>
            <v:shape id="_x0000_s230407" o:spid="_x0000_s230407" o:spt="202" type="#_x0000_t202" style="position:absolute;left:6857;top:3174;height:416;width:901;" filled="f" stroked="f" coordsize="21600,21600">
              <v:path/>
              <v:fill on="f" focussize="0,0"/>
              <v:stroke on="f" joinstyle="miter"/>
              <v:imagedata o:title=""/>
              <o:lock v:ext="edit"/>
              <v:textbox>
                <w:txbxContent>
                  <w:p>
                    <w:pPr>
                      <w:jc w:val="center"/>
                    </w:pPr>
                    <w:r>
                      <w:rPr>
                        <w:rFonts w:hint="eastAsia"/>
                      </w:rPr>
                      <w:t>36.40</w:t>
                    </w:r>
                  </w:p>
                  <w:p>
                    <w:pPr>
                      <w:jc w:val="center"/>
                    </w:pPr>
                  </w:p>
                </w:txbxContent>
              </v:textbox>
            </v:shape>
            <v:shape id="_x0000_s230408" o:spid="_x0000_s230408" o:spt="38" type="#_x0000_t38" style="position:absolute;left:5456;top:5974;flip:y;height:231;width:434;" o:connectortype="curved" filled="f" coordsize="21600,21600" adj="10800,223574,-368494">
              <v:path arrowok="t"/>
              <v:fill on="f" focussize="0,0"/>
              <v:stroke endarrow="block"/>
              <v:imagedata o:title=""/>
              <o:lock v:ext="edit"/>
            </v:shape>
            <v:shape id="_x0000_s230409" o:spid="_x0000_s230409" o:spt="202" type="#_x0000_t202" style="position:absolute;left:5741;top:5775;height:430;width:973;" filled="f" stroked="f" coordsize="21600,21600">
              <v:path/>
              <v:fill on="f" focussize="0,0"/>
              <v:stroke on="f" joinstyle="miter"/>
              <v:imagedata o:title=""/>
              <o:lock v:ext="edit"/>
              <v:textbox>
                <w:txbxContent>
                  <w:p>
                    <w:pPr>
                      <w:jc w:val="center"/>
                    </w:pPr>
                    <w:r>
                      <w:rPr>
                        <w:rFonts w:hint="eastAsia"/>
                      </w:rPr>
                      <w:t>69.89</w:t>
                    </w:r>
                  </w:p>
                  <w:p>
                    <w:pPr>
                      <w:jc w:val="center"/>
                    </w:pPr>
                  </w:p>
                </w:txbxContent>
              </v:textbox>
            </v:shape>
            <v:shape id="_x0000_s230410" o:spid="_x0000_s230410" o:spt="202" type="#_x0000_t202" style="position:absolute;left:5868;top:1981;height:416;width:1022;" filled="f" stroked="f" coordsize="21600,21600">
              <v:path/>
              <v:fill on="f" focussize="0,0"/>
              <v:stroke on="f" joinstyle="miter"/>
              <v:imagedata o:title=""/>
              <o:lock v:ext="edit"/>
              <v:textbox>
                <w:txbxContent>
                  <w:p>
                    <w:pPr>
                      <w:jc w:val="center"/>
                    </w:pPr>
                    <w:r>
                      <w:rPr>
                        <w:rFonts w:hint="eastAsia"/>
                      </w:rPr>
                      <w:t>909.09</w:t>
                    </w:r>
                  </w:p>
                  <w:p>
                    <w:pPr>
                      <w:jc w:val="center"/>
                    </w:pPr>
                  </w:p>
                </w:txbxContent>
              </v:textbox>
            </v:shape>
            <v:rect id="_x0000_s230411" o:spid="_x0000_s230411" o:spt="1" style="position:absolute;left:4301;top:6015;height:405;width:864;" filled="f" stroked="f" coordsize="21600,21600">
              <v:path/>
              <v:fill on="f" focussize="0,0"/>
              <v:stroke on="f"/>
              <v:imagedata o:title=""/>
              <o:lock v:ext="edit"/>
              <v:textbox>
                <w:txbxContent>
                  <w:p>
                    <w:r>
                      <w:rPr>
                        <w:rFonts w:hint="eastAsia"/>
                      </w:rPr>
                      <w:t>76.8</w:t>
                    </w:r>
                  </w:p>
                </w:txbxContent>
              </v:textbox>
            </v:rect>
            <v:shape id="_x0000_s230412" o:spid="_x0000_s230412" o:spt="32" type="#_x0000_t32" style="position:absolute;left:7934;top:4508;height:0;width:1325;" o:connectortype="straight" filled="f" coordsize="21600,21600">
              <v:path arrowok="t"/>
              <v:fill on="f" focussize="0,0"/>
              <v:stroke/>
              <v:imagedata o:title=""/>
              <o:lock v:ext="edit"/>
            </v:shape>
            <v:shape id="_x0000_s230413" o:spid="_x0000_s230413" o:spt="202" type="#_x0000_t202" style="position:absolute;left:5815;top:7631;height:430;width:973;" filled="f" stroked="f" coordsize="21600,21600">
              <v:path/>
              <v:fill on="f" focussize="0,0"/>
              <v:stroke on="f" joinstyle="miter"/>
              <v:imagedata o:title=""/>
              <o:lock v:ext="edit"/>
              <v:textbox>
                <w:txbxContent>
                  <w:p>
                    <w:pPr>
                      <w:jc w:val="center"/>
                    </w:pPr>
                    <w:r>
                      <w:rPr>
                        <w:rFonts w:hint="eastAsia"/>
                      </w:rPr>
                      <w:t>15.06</w:t>
                    </w:r>
                  </w:p>
                  <w:p>
                    <w:pPr>
                      <w:jc w:val="center"/>
                    </w:pPr>
                  </w:p>
                </w:txbxContent>
              </v:textbox>
            </v:shape>
            <v:rect id="_x0000_s230414" o:spid="_x0000_s230414" o:spt="1" style="position:absolute;left:9088;top:12068;height:493;width:1513;" stroked="f" coordsize="21600,21600">
              <v:path/>
              <v:fill focussize="0,0"/>
              <v:stroke on="f"/>
              <v:imagedata o:title=""/>
              <o:lock v:ext="edit"/>
              <v:textbox>
                <w:txbxContent>
                  <w:p>
                    <w:r>
                      <w:rPr>
                        <w:rFonts w:hint="eastAsia"/>
                      </w:rPr>
                      <w:t>单位：</w:t>
                    </w:r>
                    <w:r>
                      <w:t>m</w:t>
                    </w:r>
                    <w:r>
                      <w:rPr>
                        <w:vertAlign w:val="superscript"/>
                      </w:rPr>
                      <w:t>3</w:t>
                    </w:r>
                    <w:r>
                      <w:t>/d</w:t>
                    </w:r>
                  </w:p>
                </w:txbxContent>
              </v:textbox>
            </v:rect>
            <v:shape id="_x0000_s230415" o:spid="_x0000_s230415" o:spt="32" type="#_x0000_t32" style="position:absolute;left:4166;top:2848;height:0;width:1052;" o:connectortype="straight" filled="f" coordsize="21600,21600">
              <v:path arrowok="t"/>
              <v:fill on="f" focussize="0,0"/>
              <v:stroke endarrow="block"/>
              <v:imagedata o:title=""/>
              <o:lock v:ext="edit"/>
            </v:shape>
            <v:shape id="_x0000_s230416" o:spid="_x0000_s230416" o:spt="202" type="#_x0000_t202" style="position:absolute;left:4236;top:2449;height:386;width:927;" filled="f" stroked="f" coordsize="21600,21600">
              <v:path/>
              <v:fill on="f" focussize="0,0"/>
              <v:stroke on="f" joinstyle="miter"/>
              <v:imagedata o:title=""/>
              <o:lock v:ext="edit"/>
              <v:textbox>
                <w:txbxContent>
                  <w:p>
                    <w:pPr>
                      <w:jc w:val="center"/>
                    </w:pPr>
                    <w:r>
                      <w:rPr>
                        <w:rFonts w:hint="eastAsia"/>
                      </w:rPr>
                      <w:t>333.09</w:t>
                    </w:r>
                  </w:p>
                  <w:p>
                    <w:pPr>
                      <w:jc w:val="center"/>
                    </w:pPr>
                  </w:p>
                </w:txbxContent>
              </v:textbox>
            </v:shape>
            <v:shape id="_x0000_s230417" o:spid="_x0000_s230417" o:spt="32" type="#_x0000_t32" style="position:absolute;left:4160;top:12317;height:1;width:1059;" o:connectortype="straight" filled="f" coordsize="21600,21600">
              <v:path arrowok="t"/>
              <v:fill on="f" focussize="0,0"/>
              <v:stroke endarrow="block"/>
              <v:imagedata o:title=""/>
              <o:lock v:ext="edit"/>
            </v:shape>
            <v:shape id="_x0000_s230418" o:spid="_x0000_s230418" o:spt="202" type="#_x0000_t202" style="position:absolute;left:5219;top:12104;height:504;width:1588;" filled="f" coordsize="21600,21600">
              <v:path/>
              <v:fill on="f" focussize="0,0"/>
              <v:stroke joinstyle="miter"/>
              <v:imagedata o:title=""/>
              <o:lock v:ext="edit"/>
              <v:textbox>
                <w:txbxContent>
                  <w:p>
                    <w:pPr>
                      <w:jc w:val="center"/>
                    </w:pPr>
                    <w:r>
                      <w:rPr>
                        <w:rFonts w:hint="eastAsia"/>
                      </w:rPr>
                      <w:t>未预见用水</w:t>
                    </w:r>
                  </w:p>
                  <w:p/>
                </w:txbxContent>
              </v:textbox>
            </v:shape>
            <v:shape id="_x0000_s230419" o:spid="_x0000_s230419" o:spt="202" type="#_x0000_t202" style="position:absolute;left:4160;top:11832;height:416;width:1075;" filled="f" stroked="f" coordsize="21600,21600">
              <v:path/>
              <v:fill on="f" focussize="0,0"/>
              <v:stroke on="f" joinstyle="miter"/>
              <v:imagedata o:title=""/>
              <o:lock v:ext="edit"/>
              <v:textbox>
                <w:txbxContent>
                  <w:p>
                    <w:pPr>
                      <w:jc w:val="center"/>
                    </w:pPr>
                    <w:r>
                      <w:rPr>
                        <w:rFonts w:hint="eastAsia"/>
                      </w:rPr>
                      <w:t>30.70</w:t>
                    </w:r>
                  </w:p>
                  <w:p>
                    <w:pPr>
                      <w:jc w:val="center"/>
                    </w:pPr>
                  </w:p>
                </w:txbxContent>
              </v:textbox>
            </v:shape>
            <v:shape id="_x0000_s230420" o:spid="_x0000_s230420" o:spt="32" type="#_x0000_t32" style="position:absolute;left:6807;top:12317;height:0;width:1094;" o:connectortype="straight" filled="f" coordsize="21600,21600">
              <v:path arrowok="t"/>
              <v:fill on="f" focussize="0,0"/>
              <v:stroke/>
              <v:imagedata o:title=""/>
              <o:lock v:ext="edit"/>
            </v:shape>
            <v:shape id="_x0000_s230421" o:spid="_x0000_s230421" o:spt="38" type="#_x0000_t38" style="position:absolute;left:5447;top:11858;flip:y;height:231;width:434;" o:connectortype="curved" filled="f" coordsize="21600,21600" adj="10800,223574,-368494">
              <v:path arrowok="t"/>
              <v:fill on="f" focussize="0,0"/>
              <v:stroke endarrow="block"/>
              <v:imagedata o:title=""/>
              <o:lock v:ext="edit"/>
            </v:shape>
            <v:shape id="_x0000_s230422" o:spid="_x0000_s230422" o:spt="202" type="#_x0000_t202" style="position:absolute;left:5641;top:11638;height:430;width:973;" filled="f" stroked="f" coordsize="21600,21600">
              <v:path/>
              <v:fill on="f" focussize="0,0"/>
              <v:stroke on="f" joinstyle="miter"/>
              <v:imagedata o:title=""/>
              <o:lock v:ext="edit"/>
              <v:textbox>
                <w:txbxContent>
                  <w:p>
                    <w:pPr>
                      <w:jc w:val="center"/>
                    </w:pPr>
                    <w:r>
                      <w:rPr>
                        <w:rFonts w:hint="eastAsia"/>
                      </w:rPr>
                      <w:t>6.14</w:t>
                    </w:r>
                  </w:p>
                  <w:p>
                    <w:pPr>
                      <w:jc w:val="center"/>
                    </w:pPr>
                  </w:p>
                </w:txbxContent>
              </v:textbox>
            </v:shape>
            <v:rect id="_x0000_s230423" o:spid="_x0000_s230423" o:spt="1" style="position:absolute;left:6891;top:11845;height:490;width:932;" filled="f" stroked="f" coordsize="21600,21600">
              <v:path/>
              <v:fill on="f" focussize="0,0"/>
              <v:stroke on="f"/>
              <v:imagedata o:title=""/>
              <o:lock v:ext="edit"/>
              <v:textbox>
                <w:txbxContent>
                  <w:p>
                    <w:r>
                      <w:rPr>
                        <w:rFonts w:hint="eastAsia"/>
                      </w:rPr>
                      <w:t>24.56</w:t>
                    </w:r>
                  </w:p>
                </w:txbxContent>
              </v:textbox>
            </v:rect>
            <v:shape id="_x0000_s230424" o:spid="_x0000_s230424" o:spt="32" type="#_x0000_t32" style="position:absolute;left:6853;top:4508;flip:x;height:0;width:1057;" o:connectortype="straight" filled="f" coordsize="21600,21600">
              <v:path arrowok="t"/>
              <v:fill on="f" focussize="0,0"/>
              <v:stroke endarrow="block"/>
              <v:imagedata o:title=""/>
              <o:lock v:ext="edit"/>
            </v:shape>
            <v:shape id="_x0000_s230425" o:spid="_x0000_s230425" o:spt="32" type="#_x0000_t32" style="position:absolute;left:6829;top:5481;flip:x;height:1;width:1081;" o:connectortype="straight" filled="f" coordsize="21600,21600">
              <v:path arrowok="t"/>
              <v:fill on="f" focussize="0,0"/>
              <v:stroke endarrow="block"/>
              <v:imagedata o:title=""/>
              <o:lock v:ext="edit"/>
            </v:shape>
            <v:shape id="_x0000_s230426" o:spid="_x0000_s230426" o:spt="32" type="#_x0000_t32" style="position:absolute;left:6853;top:3561;flip:x;height:2;width:1077;" o:connectortype="straight" filled="f" coordsize="21600,21600">
              <v:path arrowok="t"/>
              <v:fill on="f" focussize="0,0"/>
              <v:stroke endarrow="block"/>
              <v:imagedata o:title=""/>
              <o:lock v:ext="edit"/>
            </v:shape>
            <v:shape id="_x0000_s230427" o:spid="_x0000_s230427" o:spt="202" type="#_x0000_t202" style="position:absolute;left:8111;top:4508;height:416;width:977;" filled="f" stroked="f" coordsize="21600,21600">
              <v:path/>
              <v:fill on="f" focussize="0,0"/>
              <v:stroke on="f" joinstyle="miter"/>
              <v:imagedata o:title=""/>
              <o:lock v:ext="edit"/>
              <v:textbox>
                <w:txbxContent>
                  <w:p>
                    <w:pPr>
                      <w:jc w:val="center"/>
                    </w:pPr>
                    <w:r>
                      <w:rPr>
                        <w:rFonts w:hint="eastAsia"/>
                      </w:rPr>
                      <w:t>124.95</w:t>
                    </w:r>
                  </w:p>
                  <w:p>
                    <w:pPr>
                      <w:jc w:val="center"/>
                    </w:pPr>
                  </w:p>
                </w:txbxContent>
              </v:textbox>
            </v:shape>
            <v:shape id="_x0000_s230635" o:spid="_x0000_s230635" o:spt="32" type="#_x0000_t32" style="position:absolute;left:6816;top:6448;height:0;width:1085;" o:connectortype="straight" filled="f" coordsize="21600,21600">
              <v:path arrowok="t"/>
              <v:fill on="f" focussize="0,0"/>
              <v:stroke/>
              <v:imagedata o:title=""/>
              <o:lock v:ext="edit"/>
            </v:shape>
            <v:shape id="_x0000_s230636" o:spid="_x0000_s230636" o:spt="202" type="#_x0000_t202" style="position:absolute;left:9127;top:3715;height:416;width:977;" filled="f" stroked="f" coordsize="21600,21600">
              <v:path/>
              <v:fill on="f" focussize="0,0"/>
              <v:stroke on="f" joinstyle="miter"/>
              <v:imagedata o:title=""/>
              <o:lock v:ext="edit"/>
              <v:textbox>
                <w:txbxContent>
                  <w:p>
                    <w:pPr>
                      <w:jc w:val="center"/>
                    </w:pPr>
                    <w:r>
                      <w:rPr>
                        <w:rFonts w:hint="eastAsia"/>
                      </w:rPr>
                      <w:t>90.68</w:t>
                    </w:r>
                  </w:p>
                  <w:p>
                    <w:pPr>
                      <w:jc w:val="center"/>
                    </w:pPr>
                  </w:p>
                </w:txbxContent>
              </v:textbox>
            </v:shape>
            <v:shape id="_x0000_s230637" o:spid="_x0000_s230637" o:spt="202" type="#_x0000_t202" style="position:absolute;left:8569;top:2598;height:749;width:1399;" filled="f" coordsize="21600,21600">
              <v:path/>
              <v:fill on="f" focussize="0,0"/>
              <v:stroke joinstyle="miter"/>
              <v:imagedata o:title=""/>
              <o:lock v:ext="edit"/>
              <v:textbox>
                <w:txbxContent>
                  <w:p>
                    <w:pPr>
                      <w:jc w:val="center"/>
                    </w:pPr>
                    <w:r>
                      <w:rPr>
                        <w:rFonts w:hint="eastAsia"/>
                      </w:rPr>
                      <w:t>洗煤厂生产补水</w:t>
                    </w:r>
                  </w:p>
                </w:txbxContent>
              </v:textbox>
            </v:shape>
          </v:group>
        </w:pict>
      </w:r>
      <w:r>
        <w:rPr>
          <w:rFonts w:hAnsi="宋体"/>
          <w:b/>
          <w:szCs w:val="21"/>
        </w:rPr>
        <w:br w:type="page"/>
      </w:r>
    </w:p>
    <w:p>
      <w:pPr>
        <w:widowControl/>
        <w:jc w:val="left"/>
        <w:rPr>
          <w:rFonts w:hAnsi="宋体"/>
          <w:b/>
          <w:szCs w:val="21"/>
        </w:rPr>
      </w:pPr>
      <w:r>
        <w:rPr>
          <w:rFonts w:hAnsi="宋体"/>
          <w:b/>
          <w:szCs w:val="21"/>
        </w:rPr>
        <w:pict>
          <v:group id="_x0000_s230652" o:spid="_x0000_s230652" o:spt="203" style="position:absolute;left:0pt;margin-left:12.85pt;margin-top:7.45pt;height:629.9pt;width:446.95pt;z-index:251712512;mso-width-relative:page;mso-height-relative:page;" coordorigin="1675,1850" coordsize="8939,12598">
            <o:lock v:ext="edit"/>
            <v:rect id="_x0000_s230430" o:spid="_x0000_s230430" o:spt="1" style="position:absolute;left:3973;top:13957;height:491;width:3889;" filled="f" stroked="f" coordsize="21600,21600">
              <v:path/>
              <v:fill on="f" focussize="0,0"/>
              <v:stroke on="f"/>
              <v:imagedata o:title=""/>
              <o:lock v:ext="edit"/>
              <v:textbox>
                <w:txbxContent>
                  <w:p>
                    <w:pPr>
                      <w:rPr>
                        <w:b/>
                      </w:rPr>
                    </w:pPr>
                    <w:r>
                      <w:rPr>
                        <w:rFonts w:hint="eastAsia"/>
                        <w:b/>
                      </w:rPr>
                      <w:t>图</w:t>
                    </w:r>
                    <w:r>
                      <w:rPr>
                        <w:b/>
                      </w:rPr>
                      <w:t>3.2-</w:t>
                    </w:r>
                    <w:r>
                      <w:rPr>
                        <w:rFonts w:hint="eastAsia"/>
                        <w:b/>
                      </w:rPr>
                      <w:t>3</w:t>
                    </w:r>
                    <w:r>
                      <w:rPr>
                        <w:b/>
                      </w:rPr>
                      <w:t xml:space="preserve">  </w:t>
                    </w:r>
                    <w:r>
                      <w:rPr>
                        <w:rFonts w:hint="eastAsia"/>
                        <w:b/>
                      </w:rPr>
                      <w:t>8、9号煤层非采暖期水平衡图</w:t>
                    </w:r>
                  </w:p>
                </w:txbxContent>
              </v:textbox>
            </v:rect>
            <v:shape id="_x0000_s230431" o:spid="_x0000_s230431" o:spt="202" type="#_x0000_t202" style="position:absolute;left:5247;top:8204;height:430;width:1799;" filled="f" coordsize="21600,21600">
              <v:path/>
              <v:fill on="f" focussize="0,0"/>
              <v:stroke joinstyle="miter"/>
              <v:imagedata o:title=""/>
              <o:lock v:ext="edit"/>
              <v:textbox>
                <w:txbxContent>
                  <w:p>
                    <w:pPr>
                      <w:jc w:val="center"/>
                    </w:pPr>
                    <w:r>
                      <w:rPr>
                        <w:rFonts w:hint="eastAsia"/>
                      </w:rPr>
                      <w:t>办公区生活用水</w:t>
                    </w:r>
                  </w:p>
                </w:txbxContent>
              </v:textbox>
            </v:shape>
            <v:shape id="_x0000_s230432" o:spid="_x0000_s230432" o:spt="32" type="#_x0000_t32" style="position:absolute;left:3192;top:8076;height:1;width:991;" o:connectortype="straight" filled="f" coordsize="21600,21600">
              <v:path arrowok="t"/>
              <v:fill on="f" focussize="0,0"/>
              <v:stroke/>
              <v:imagedata o:title=""/>
              <o:lock v:ext="edit"/>
            </v:shape>
            <v:shape id="_x0000_s230433" o:spid="_x0000_s230433" o:spt="202" type="#_x0000_t202" style="position:absolute;left:2105;top:7847;height:450;width:1087;" filled="f" coordsize="21600,21600">
              <v:path/>
              <v:fill on="f" focussize="0,0"/>
              <v:stroke joinstyle="miter"/>
              <v:imagedata o:title=""/>
              <o:lock v:ext="edit"/>
              <v:textbox>
                <w:txbxContent>
                  <w:p>
                    <w:pPr>
                      <w:jc w:val="center"/>
                    </w:pPr>
                    <w:r>
                      <w:rPr>
                        <w:rFonts w:hint="eastAsia"/>
                      </w:rPr>
                      <w:t>水源井</w:t>
                    </w:r>
                  </w:p>
                </w:txbxContent>
              </v:textbox>
            </v:shape>
            <v:shape id="_x0000_s230434" o:spid="_x0000_s230434" o:spt="32" type="#_x0000_t32" style="position:absolute;left:4205;top:8404;height:0;width:1016;" o:connectortype="straight" filled="f" coordsize="21600,21600">
              <v:path arrowok="t"/>
              <v:fill on="f" focussize="0,0"/>
              <v:stroke endarrow="block"/>
              <v:imagedata o:title=""/>
              <o:lock v:ext="edit"/>
            </v:shape>
            <v:shape id="_x0000_s230435" o:spid="_x0000_s230435" o:spt="32" type="#_x0000_t32" style="position:absolute;left:7046;top:8389;height:0;width:867;" o:connectortype="straight" filled="f" coordsize="21600,21600">
              <v:path arrowok="t"/>
              <v:fill on="f" focussize="0,0"/>
              <v:stroke/>
              <v:imagedata o:title=""/>
              <o:lock v:ext="edit"/>
            </v:shape>
            <v:shape id="_x0000_s230436" o:spid="_x0000_s230436" o:spt="32" type="#_x0000_t32" style="position:absolute;left:6801;top:10431;height:0;width:1993;" o:connectortype="straight" filled="f" coordsize="21600,21600">
              <v:path arrowok="t"/>
              <v:fill on="f" focussize="0,0"/>
              <v:stroke endarrow="block"/>
              <v:imagedata o:title=""/>
              <o:lock v:ext="edit"/>
            </v:shape>
            <v:shape id="_x0000_s230437" o:spid="_x0000_s230437" o:spt="202" type="#_x0000_t202" style="position:absolute;left:8787;top:10027;height:828;width:1237;" filled="f" coordsize="21600,21600">
              <v:path/>
              <v:fill on="f" focussize="0,0"/>
              <v:stroke joinstyle="miter"/>
              <v:imagedata o:title=""/>
              <o:lock v:ext="edit"/>
              <v:textbox>
                <w:txbxContent>
                  <w:p>
                    <w:r>
                      <w:rPr>
                        <w:rFonts w:hint="eastAsia"/>
                      </w:rPr>
                      <w:t>生活污水处理站</w:t>
                    </w:r>
                  </w:p>
                </w:txbxContent>
              </v:textbox>
            </v:shape>
            <v:shape id="_x0000_s230438" o:spid="_x0000_s230438" o:spt="32" type="#_x0000_t32" style="position:absolute;left:4175;top:10457;height:0;width:1058;" o:connectortype="straight" filled="f" coordsize="21600,21600">
              <v:path arrowok="t"/>
              <v:fill on="f" focussize="0,0"/>
              <v:stroke endarrow="block"/>
              <v:imagedata o:title=""/>
              <o:lock v:ext="edit"/>
            </v:shape>
            <v:shape id="_x0000_s230439" o:spid="_x0000_s230439" o:spt="202" type="#_x0000_t202" style="position:absolute;left:5233;top:10243;height:436;width:1588;" filled="f" coordsize="21600,21600">
              <v:path/>
              <v:fill on="f" focussize="0,0"/>
              <v:stroke joinstyle="miter"/>
              <v:imagedata o:title=""/>
              <o:lock v:ext="edit"/>
              <v:textbox>
                <w:txbxContent>
                  <w:p>
                    <w:pPr>
                      <w:jc w:val="center"/>
                    </w:pPr>
                    <w:r>
                      <w:rPr>
                        <w:rFonts w:hint="eastAsia"/>
                      </w:rPr>
                      <w:t>食堂用水</w:t>
                    </w:r>
                  </w:p>
                </w:txbxContent>
              </v:textbox>
            </v:shape>
            <v:shape id="_x0000_s230440" o:spid="_x0000_s230440" o:spt="32" type="#_x0000_t32" style="position:absolute;left:6809;top:9419;height:0;width:1104;" o:connectortype="straight" filled="f" coordsize="21600,21600">
              <v:path arrowok="t"/>
              <v:fill on="f" focussize="0,0"/>
              <v:stroke/>
              <v:imagedata o:title=""/>
              <o:lock v:ext="edit"/>
            </v:shape>
            <v:shape id="_x0000_s230441" o:spid="_x0000_s230441" o:spt="202" type="#_x0000_t202" style="position:absolute;left:3119;top:7614;height:416;width:1086;" filled="f" stroked="f" coordsize="21600,21600">
              <v:path/>
              <v:fill on="f" focussize="0,0"/>
              <v:stroke on="f" joinstyle="miter"/>
              <v:imagedata o:title=""/>
              <o:lock v:ext="edit"/>
              <v:textbox>
                <w:txbxContent>
                  <w:p>
                    <w:pPr>
                      <w:jc w:val="center"/>
                    </w:pPr>
                    <w:r>
                      <w:rPr>
                        <w:rFonts w:hint="eastAsia"/>
                      </w:rPr>
                      <w:t>302.5</w:t>
                    </w:r>
                  </w:p>
                  <w:p>
                    <w:pPr>
                      <w:jc w:val="center"/>
                    </w:pPr>
                  </w:p>
                </w:txbxContent>
              </v:textbox>
            </v:shape>
            <v:shape id="_x0000_s230442" o:spid="_x0000_s230442" o:spt="202" type="#_x0000_t202" style="position:absolute;left:4218;top:10000;height:416;width:947;" filled="f" stroked="f" coordsize="21600,21600">
              <v:path/>
              <v:fill on="f" focussize="0,0"/>
              <v:stroke on="f" joinstyle="miter"/>
              <v:imagedata o:title=""/>
              <o:lock v:ext="edit"/>
              <v:textbox>
                <w:txbxContent>
                  <w:p>
                    <w:pPr>
                      <w:jc w:val="center"/>
                    </w:pPr>
                    <w:r>
                      <w:rPr>
                        <w:rFonts w:hint="eastAsia"/>
                      </w:rPr>
                      <w:t>19.08</w:t>
                    </w:r>
                  </w:p>
                  <w:p>
                    <w:pPr>
                      <w:jc w:val="center"/>
                    </w:pPr>
                  </w:p>
                </w:txbxContent>
              </v:textbox>
            </v:shape>
            <v:shape id="_x0000_s230443" o:spid="_x0000_s230443" o:spt="202" type="#_x0000_t202" style="position:absolute;left:4218;top:7985;height:416;width:986;" filled="f" stroked="f" coordsize="21600,21600">
              <v:path/>
              <v:fill on="f" focussize="0,0"/>
              <v:stroke on="f" joinstyle="miter"/>
              <v:imagedata o:title=""/>
              <o:lock v:ext="edit"/>
              <v:textbox>
                <w:txbxContent>
                  <w:p>
                    <w:pPr>
                      <w:jc w:val="center"/>
                    </w:pPr>
                    <w:r>
                      <w:rPr>
                        <w:rFonts w:hint="eastAsia"/>
                      </w:rPr>
                      <w:t>25.08</w:t>
                    </w:r>
                  </w:p>
                  <w:p>
                    <w:pPr>
                      <w:jc w:val="center"/>
                    </w:pPr>
                  </w:p>
                </w:txbxContent>
              </v:textbox>
            </v:shape>
            <v:shape id="_x0000_s230444" o:spid="_x0000_s230444" o:spt="202" type="#_x0000_t202" style="position:absolute;left:7810;top:10027;height:416;width:977;" filled="f" stroked="f" coordsize="21600,21600">
              <v:path/>
              <v:fill on="f" focussize="0,0"/>
              <v:stroke on="f" joinstyle="miter"/>
              <v:imagedata o:title=""/>
              <o:lock v:ext="edit"/>
              <v:textbox>
                <w:txbxContent>
                  <w:p>
                    <w:pPr>
                      <w:jc w:val="center"/>
                    </w:pPr>
                    <w:r>
                      <w:rPr>
                        <w:rFonts w:hint="eastAsia"/>
                      </w:rPr>
                      <w:t>209.61</w:t>
                    </w:r>
                  </w:p>
                  <w:p>
                    <w:pPr>
                      <w:jc w:val="center"/>
                    </w:pPr>
                  </w:p>
                </w:txbxContent>
              </v:textbox>
            </v:shape>
            <v:shape id="_x0000_s230445" o:spid="_x0000_s230445" o:spt="32" type="#_x0000_t32" style="position:absolute;left:4170;top:7450;flip:x;height:5955;width:5;" o:connectortype="straight" filled="f" coordsize="21600,21600">
              <v:path arrowok="t"/>
              <v:fill on="f" focussize="0,0"/>
              <v:stroke/>
              <v:imagedata o:title=""/>
              <o:lock v:ext="edit"/>
            </v:shape>
            <v:shape id="_x0000_s230446" o:spid="_x0000_s230446" o:spt="32" type="#_x0000_t32" style="position:absolute;left:7914;top:7450;height:5956;width:9;" o:connectortype="straight" filled="f" coordsize="21600,21600">
              <v:path arrowok="t"/>
              <v:fill on="f" focussize="0,0"/>
              <v:stroke/>
              <v:imagedata o:title=""/>
              <o:lock v:ext="edit"/>
            </v:shape>
            <v:shape id="_x0000_s230447" o:spid="_x0000_s230447" o:spt="202" type="#_x0000_t202" style="position:absolute;left:5221;top:9215;height:454;width:1588;" filled="f" coordsize="21600,21600">
              <v:path/>
              <v:fill on="f" focussize="0,0"/>
              <v:stroke joinstyle="miter"/>
              <v:imagedata o:title=""/>
              <o:lock v:ext="edit"/>
              <v:textbox>
                <w:txbxContent>
                  <w:p>
                    <w:pPr>
                      <w:jc w:val="center"/>
                    </w:pPr>
                    <w:r>
                      <w:rPr>
                        <w:rFonts w:hint="eastAsia"/>
                      </w:rPr>
                      <w:t>宿舍用水</w:t>
                    </w:r>
                  </w:p>
                </w:txbxContent>
              </v:textbox>
            </v:shape>
            <v:shape id="_x0000_s230448" o:spid="_x0000_s230448" o:spt="32" type="#_x0000_t32" style="position:absolute;left:4172;top:9465;height:0;width:1069;" o:connectortype="straight" filled="f" coordsize="21600,21600">
              <v:path arrowok="t"/>
              <v:fill on="f" focussize="0,0"/>
              <v:stroke endarrow="block"/>
              <v:imagedata o:title=""/>
              <o:lock v:ext="edit"/>
            </v:shape>
            <v:shape id="_x0000_s230449" o:spid="_x0000_s230449" o:spt="202" type="#_x0000_t202" style="position:absolute;left:4280;top:9018;height:416;width:894;" filled="f" stroked="f" coordsize="21600,21600">
              <v:path/>
              <v:fill on="f" focussize="0,0"/>
              <v:stroke on="f" joinstyle="miter"/>
              <v:imagedata o:title=""/>
              <o:lock v:ext="edit"/>
              <v:textbox>
                <w:txbxContent>
                  <w:p>
                    <w:pPr>
                      <w:jc w:val="center"/>
                    </w:pPr>
                    <w:r>
                      <w:rPr>
                        <w:rFonts w:hint="eastAsia"/>
                      </w:rPr>
                      <w:t>75.30</w:t>
                    </w:r>
                  </w:p>
                  <w:p>
                    <w:pPr>
                      <w:jc w:val="center"/>
                    </w:pPr>
                  </w:p>
                </w:txbxContent>
              </v:textbox>
            </v:shape>
            <v:shape id="_x0000_s230450" o:spid="_x0000_s230450" o:spt="32" type="#_x0000_t32" style="position:absolute;left:4188;top:11427;height:1;width:1059;" o:connectortype="straight" filled="f" coordsize="21600,21600">
              <v:path arrowok="t"/>
              <v:fill on="f" focussize="0,0"/>
              <v:stroke endarrow="block"/>
              <v:imagedata o:title=""/>
              <o:lock v:ext="edit"/>
            </v:shape>
            <v:shape id="_x0000_s230451" o:spid="_x0000_s230451" o:spt="202" type="#_x0000_t202" style="position:absolute;left:5247;top:11214;height:463;width:1599;" filled="f" coordsize="21600,21600">
              <v:path/>
              <v:fill on="f" focussize="0,0"/>
              <v:stroke joinstyle="miter"/>
              <v:imagedata o:title=""/>
              <o:lock v:ext="edit"/>
              <v:textbox>
                <w:txbxContent>
                  <w:p>
                    <w:pPr>
                      <w:jc w:val="center"/>
                    </w:pPr>
                    <w:r>
                      <w:rPr>
                        <w:rFonts w:hint="eastAsia"/>
                      </w:rPr>
                      <w:t>浴室用水</w:t>
                    </w:r>
                  </w:p>
                </w:txbxContent>
              </v:textbox>
            </v:shape>
            <v:shape id="_x0000_s230452" o:spid="_x0000_s230452" o:spt="202" type="#_x0000_t202" style="position:absolute;left:4188;top:10928;height:416;width:1016;" filled="f" stroked="f" coordsize="21600,21600">
              <v:path/>
              <v:fill on="f" focussize="0,0"/>
              <v:stroke on="f" joinstyle="miter"/>
              <v:imagedata o:title=""/>
              <o:lock v:ext="edit"/>
              <v:textbox>
                <w:txbxContent>
                  <w:p>
                    <w:pPr>
                      <w:jc w:val="center"/>
                    </w:pPr>
                    <w:r>
                      <w:rPr>
                        <w:rFonts w:hint="eastAsia"/>
                      </w:rPr>
                      <w:t>97.2</w:t>
                    </w:r>
                  </w:p>
                  <w:p>
                    <w:pPr>
                      <w:jc w:val="center"/>
                    </w:pPr>
                  </w:p>
                </w:txbxContent>
              </v:textbox>
            </v:shape>
            <v:shape id="_x0000_s230453" o:spid="_x0000_s230453" o:spt="32" type="#_x0000_t32" style="position:absolute;left:6846;top:11427;height:1;width:1067;" o:connectortype="straight" filled="f" coordsize="21600,21600">
              <v:path arrowok="t"/>
              <v:fill on="f" focussize="0,0"/>
              <v:stroke/>
              <v:imagedata o:title=""/>
              <o:lock v:ext="edit"/>
            </v:shape>
            <v:shape id="_x0000_s230454" o:spid="_x0000_s230454" o:spt="38" type="#_x0000_t38" style="position:absolute;left:5606;top:7960;flip:y;height:231;width:434;" o:connectortype="curved" filled="f" coordsize="21600,21600" adj="10800,223574,-368494">
              <v:path arrowok="t"/>
              <v:fill on="f" focussize="0,0"/>
              <v:stroke endarrow="block"/>
              <v:imagedata o:title=""/>
              <o:lock v:ext="edit"/>
            </v:shape>
            <v:shape id="_x0000_s230455" o:spid="_x0000_s230455" o:spt="202" type="#_x0000_t202" style="position:absolute;left:5881;top:7753;height:416;width:850;" filled="f" stroked="f" coordsize="21600,21600">
              <v:path/>
              <v:fill on="f" focussize="0,0"/>
              <v:stroke on="f" joinstyle="miter"/>
              <v:imagedata o:title=""/>
              <o:lock v:ext="edit"/>
              <v:textbox>
                <w:txbxContent>
                  <w:p>
                    <w:pPr>
                      <w:jc w:val="center"/>
                    </w:pPr>
                    <w:r>
                      <w:rPr>
                        <w:rFonts w:hint="eastAsia"/>
                      </w:rPr>
                      <w:t>5.02</w:t>
                    </w:r>
                  </w:p>
                  <w:p>
                    <w:pPr>
                      <w:jc w:val="center"/>
                    </w:pPr>
                  </w:p>
                </w:txbxContent>
              </v:textbox>
            </v:shape>
            <v:rect id="_x0000_s230456" o:spid="_x0000_s230456" o:spt="1" style="position:absolute;left:7020;top:7998;height:490;width:1018;" filled="f" stroked="f" coordsize="21600,21600">
              <v:path/>
              <v:fill on="f" focussize="0,0"/>
              <v:stroke on="f"/>
              <v:imagedata o:title=""/>
              <o:lock v:ext="edit"/>
              <v:textbox>
                <w:txbxContent>
                  <w:p>
                    <w:r>
                      <w:rPr>
                        <w:rFonts w:hint="eastAsia"/>
                      </w:rPr>
                      <w:t>20.06</w:t>
                    </w:r>
                  </w:p>
                </w:txbxContent>
              </v:textbox>
            </v:rect>
            <v:shape id="_x0000_s230457" o:spid="_x0000_s230457" o:spt="38" type="#_x0000_t38" style="position:absolute;left:5553;top:8961;flip:y;height:231;width:434;" o:connectortype="curved" filled="f" coordsize="21600,21600" adj="10800,223574,-368494">
              <v:path arrowok="t"/>
              <v:fill on="f" focussize="0,0"/>
              <v:stroke endarrow="block"/>
              <v:imagedata o:title=""/>
              <o:lock v:ext="edit"/>
            </v:shape>
            <v:rect id="_x0000_s230458" o:spid="_x0000_s230458" o:spt="1" style="position:absolute;left:6904;top:8974;height:490;width:958;" filled="f" stroked="f" coordsize="21600,21600">
              <v:path/>
              <v:fill on="f" focussize="0,0"/>
              <v:stroke on="f"/>
              <v:imagedata o:title=""/>
              <o:lock v:ext="edit"/>
              <v:textbox>
                <w:txbxContent>
                  <w:p>
                    <w:r>
                      <w:rPr>
                        <w:rFonts w:hint="eastAsia"/>
                      </w:rPr>
                      <w:t>60.24</w:t>
                    </w:r>
                  </w:p>
                </w:txbxContent>
              </v:textbox>
            </v:rect>
            <v:shape id="_x0000_s230459" o:spid="_x0000_s230459" o:spt="38" type="#_x0000_t38" style="position:absolute;left:5475;top:9999;flip:y;height:231;width:434;" o:connectortype="curved" filled="f" coordsize="21600,21600" adj="10800,223574,-368494">
              <v:path arrowok="t"/>
              <v:fill on="f" focussize="0,0"/>
              <v:stroke endarrow="block"/>
              <v:imagedata o:title=""/>
              <o:lock v:ext="edit"/>
            </v:shape>
            <v:shape id="_x0000_s230460" o:spid="_x0000_s230460" o:spt="202" type="#_x0000_t202" style="position:absolute;left:5760;top:9774;height:416;width:850;" filled="f" stroked="f" coordsize="21600,21600">
              <v:path/>
              <v:fill on="f" focussize="0,0"/>
              <v:stroke on="f" joinstyle="miter"/>
              <v:imagedata o:title=""/>
              <o:lock v:ext="edit"/>
              <v:textbox>
                <w:txbxContent>
                  <w:p>
                    <w:pPr>
                      <w:jc w:val="center"/>
                    </w:pPr>
                    <w:r>
                      <w:rPr>
                        <w:rFonts w:hint="eastAsia"/>
                      </w:rPr>
                      <w:t>3.82</w:t>
                    </w:r>
                  </w:p>
                  <w:p>
                    <w:pPr>
                      <w:jc w:val="center"/>
                    </w:pPr>
                  </w:p>
                </w:txbxContent>
              </v:textbox>
            </v:shape>
            <v:rect id="_x0000_s230461" o:spid="_x0000_s230461" o:spt="1" style="position:absolute;left:6916;top:10006;height:475;width:801;" filled="f" stroked="f" coordsize="21600,21600">
              <v:path/>
              <v:fill on="f" focussize="0,0"/>
              <v:stroke on="f"/>
              <v:imagedata o:title=""/>
              <o:lock v:ext="edit"/>
              <v:textbox>
                <w:txbxContent>
                  <w:p>
                    <w:r>
                      <w:t>1</w:t>
                    </w:r>
                    <w:r>
                      <w:rPr>
                        <w:rFonts w:hint="eastAsia"/>
                      </w:rPr>
                      <w:t>5.26</w:t>
                    </w:r>
                  </w:p>
                  <w:p/>
                </w:txbxContent>
              </v:textbox>
            </v:rect>
            <v:shape id="_x0000_s230462" o:spid="_x0000_s230462" o:spt="38" type="#_x0000_t38" style="position:absolute;left:5551;top:10983;flip:y;height:231;width:434;" o:connectortype="curved" filled="f" coordsize="21600,21600" adj="10800,223574,-368494">
              <v:path arrowok="t"/>
              <v:fill on="f" focussize="0,0"/>
              <v:stroke endarrow="block"/>
              <v:imagedata o:title=""/>
              <o:lock v:ext="edit"/>
            </v:shape>
            <v:shape id="_x0000_s230463" o:spid="_x0000_s230463" o:spt="202" type="#_x0000_t202" style="position:absolute;left:5836;top:10784;height:430;width:973;" filled="f" stroked="f" coordsize="21600,21600">
              <v:path/>
              <v:fill on="f" focussize="0,0"/>
              <v:stroke on="f" joinstyle="miter"/>
              <v:imagedata o:title=""/>
              <o:lock v:ext="edit"/>
              <v:textbox>
                <w:txbxContent>
                  <w:p>
                    <w:pPr>
                      <w:jc w:val="center"/>
                    </w:pPr>
                    <w:r>
                      <w:rPr>
                        <w:rFonts w:hint="eastAsia"/>
                      </w:rPr>
                      <w:t>19.44</w:t>
                    </w:r>
                  </w:p>
                  <w:p>
                    <w:pPr>
                      <w:jc w:val="center"/>
                    </w:pPr>
                  </w:p>
                </w:txbxContent>
              </v:textbox>
            </v:shape>
            <v:rect id="_x0000_s230464" o:spid="_x0000_s230464" o:spt="1" style="position:absolute;left:6944;top:11033;height:451;width:773;" filled="f" stroked="f" coordsize="21600,21600">
              <v:path/>
              <v:fill on="f" focussize="0,0"/>
              <v:stroke on="f"/>
              <v:imagedata o:title=""/>
              <o:lock v:ext="edit"/>
              <v:textbox>
                <w:txbxContent>
                  <w:p>
                    <w:r>
                      <w:rPr>
                        <w:rFonts w:hint="eastAsia"/>
                      </w:rPr>
                      <w:t>77.76</w:t>
                    </w:r>
                  </w:p>
                </w:txbxContent>
              </v:textbox>
            </v:rect>
            <v:shape id="_x0000_s230465" o:spid="_x0000_s230465" o:spt="32" type="#_x0000_t32" style="position:absolute;left:4162;top:12413;height:0;width:1092;" o:connectortype="straight" filled="f" coordsize="21600,21600">
              <v:path arrowok="t"/>
              <v:fill on="f" focussize="0,0"/>
              <v:stroke endarrow="block"/>
              <v:imagedata o:title=""/>
              <o:lock v:ext="edit"/>
            </v:shape>
            <v:shape id="_x0000_s230466" o:spid="_x0000_s230466" o:spt="202" type="#_x0000_t202" style="position:absolute;left:5231;top:12208;height:504;width:1588;" filled="f" coordsize="21600,21600">
              <v:path/>
              <v:fill on="f" focussize="0,0"/>
              <v:stroke joinstyle="miter"/>
              <v:imagedata o:title=""/>
              <o:lock v:ext="edit"/>
              <v:textbox>
                <w:txbxContent>
                  <w:p>
                    <w:pPr>
                      <w:jc w:val="center"/>
                    </w:pPr>
                    <w:r>
                      <w:rPr>
                        <w:rFonts w:hint="eastAsia"/>
                      </w:rPr>
                      <w:t>洗衣房用水</w:t>
                    </w:r>
                  </w:p>
                </w:txbxContent>
              </v:textbox>
            </v:shape>
            <v:shape id="_x0000_s230467" o:spid="_x0000_s230467" o:spt="202" type="#_x0000_t202" style="position:absolute;left:4172;top:11936;height:416;width:1075;" filled="f" stroked="f" coordsize="21600,21600">
              <v:path/>
              <v:fill on="f" focussize="0,0"/>
              <v:stroke on="f" joinstyle="miter"/>
              <v:imagedata o:title=""/>
              <o:lock v:ext="edit"/>
              <v:textbox>
                <w:txbxContent>
                  <w:p>
                    <w:pPr>
                      <w:jc w:val="center"/>
                    </w:pPr>
                    <w:r>
                      <w:rPr>
                        <w:rFonts w:hint="eastAsia"/>
                      </w:rPr>
                      <w:t>13.54</w:t>
                    </w:r>
                  </w:p>
                  <w:p>
                    <w:pPr>
                      <w:jc w:val="center"/>
                    </w:pPr>
                  </w:p>
                </w:txbxContent>
              </v:textbox>
            </v:shape>
            <v:shape id="_x0000_s230468" o:spid="_x0000_s230468" o:spt="32" type="#_x0000_t32" style="position:absolute;left:6819;top:12421;height:0;width:1094;" o:connectortype="straight" filled="f" coordsize="21600,21600">
              <v:path arrowok="t"/>
              <v:fill on="f" focussize="0,0"/>
              <v:stroke/>
              <v:imagedata o:title=""/>
              <o:lock v:ext="edit"/>
            </v:shape>
            <v:shape id="_x0000_s230469" o:spid="_x0000_s230469" o:spt="38" type="#_x0000_t38" style="position:absolute;left:5459;top:11936;flip:y;height:231;width:434;" o:connectortype="curved" filled="f" coordsize="21600,21600" adj="10800,223574,-368494">
              <v:path arrowok="t"/>
              <v:fill on="f" focussize="0,0"/>
              <v:stroke endarrow="block"/>
              <v:imagedata o:title=""/>
              <o:lock v:ext="edit"/>
            </v:shape>
            <v:shape id="_x0000_s230470" o:spid="_x0000_s230470" o:spt="202" type="#_x0000_t202" style="position:absolute;left:5666;top:11677;height:430;width:973;" filled="f" stroked="f" coordsize="21600,21600">
              <v:path/>
              <v:fill on="f" focussize="0,0"/>
              <v:stroke on="f" joinstyle="miter"/>
              <v:imagedata o:title=""/>
              <o:lock v:ext="edit"/>
              <v:textbox>
                <w:txbxContent>
                  <w:p>
                    <w:pPr>
                      <w:jc w:val="center"/>
                    </w:pPr>
                    <w:r>
                      <w:rPr>
                        <w:rFonts w:hint="eastAsia"/>
                      </w:rPr>
                      <w:t>2.71</w:t>
                    </w:r>
                  </w:p>
                  <w:p>
                    <w:pPr>
                      <w:jc w:val="center"/>
                    </w:pPr>
                  </w:p>
                </w:txbxContent>
              </v:textbox>
            </v:shape>
            <v:rect id="_x0000_s230471" o:spid="_x0000_s230471" o:spt="1" style="position:absolute;left:6903;top:11949;height:490;width:932;" filled="f" stroked="f" coordsize="21600,21600">
              <v:path/>
              <v:fill on="f" focussize="0,0"/>
              <v:stroke on="f"/>
              <v:imagedata o:title=""/>
              <o:lock v:ext="edit"/>
              <v:textbox>
                <w:txbxContent>
                  <w:p>
                    <w:r>
                      <w:rPr>
                        <w:rFonts w:hint="eastAsia"/>
                      </w:rPr>
                      <w:t>10.83</w:t>
                    </w:r>
                  </w:p>
                </w:txbxContent>
              </v:textbox>
            </v:rect>
            <v:shape id="_x0000_s230472" o:spid="_x0000_s230472" o:spt="202" type="#_x0000_t202" style="position:absolute;left:1804;top:2973;height:448;width:1588;" filled="f" coordsize="21600,21600">
              <v:path/>
              <v:fill on="f" focussize="0,0"/>
              <v:stroke joinstyle="miter"/>
              <v:imagedata o:title=""/>
              <o:lock v:ext="edit"/>
              <v:textbox>
                <w:txbxContent>
                  <w:p>
                    <w:r>
                      <w:rPr>
                        <w:rFonts w:hint="eastAsia"/>
                      </w:rPr>
                      <w:t>矿井水处理站</w:t>
                    </w:r>
                  </w:p>
                </w:txbxContent>
              </v:textbox>
            </v:shape>
            <v:shape id="_x0000_s230473" o:spid="_x0000_s230473" o:spt="202" type="#_x0000_t202" style="position:absolute;left:5235;top:2561;height:465;width:1588;" filled="f" coordsize="21600,21600">
              <v:path/>
              <v:fill on="f" focussize="0,0"/>
              <v:stroke joinstyle="miter"/>
              <v:imagedata o:title=""/>
              <o:lock v:ext="edit"/>
              <v:textbox>
                <w:txbxContent>
                  <w:p>
                    <w:pPr>
                      <w:jc w:val="center"/>
                    </w:pPr>
                    <w:r>
                      <w:rPr>
                        <w:rFonts w:hint="eastAsia"/>
                      </w:rPr>
                      <w:t>井下生产</w:t>
                    </w:r>
                  </w:p>
                </w:txbxContent>
              </v:textbox>
            </v:shape>
            <v:shape id="_x0000_s230474" o:spid="_x0000_s230474" o:spt="32" type="#_x0000_t32" style="position:absolute;left:2600;top:2305;height:668;width:1;" o:connectortype="straight" filled="f" coordsize="21600,21600">
              <v:path arrowok="t"/>
              <v:fill on="f" focussize="0,0"/>
              <v:stroke endarrow="block"/>
              <v:imagedata o:title=""/>
              <o:lock v:ext="edit"/>
            </v:shape>
            <v:shape id="_x0000_s230475" o:spid="_x0000_s230475" o:spt="202" type="#_x0000_t202" style="position:absolute;left:2034;top:1850;height:455;width:1158;" filled="f" coordsize="21600,21600">
              <v:path/>
              <v:fill on="f" focussize="0,0"/>
              <v:stroke joinstyle="miter"/>
              <v:imagedata o:title=""/>
              <o:lock v:ext="edit"/>
              <v:textbox>
                <w:txbxContent>
                  <w:p>
                    <w:pPr>
                      <w:jc w:val="center"/>
                    </w:pPr>
                    <w:r>
                      <w:rPr>
                        <w:rFonts w:hint="eastAsia"/>
                      </w:rPr>
                      <w:t>矿井涌水</w:t>
                    </w:r>
                  </w:p>
                </w:txbxContent>
              </v:textbox>
            </v:shape>
            <v:shape id="_x0000_s230476" o:spid="_x0000_s230476" o:spt="32" type="#_x0000_t32" style="position:absolute;left:4144;top:2752;height:1;width:1008;" o:connectortype="straight" filled="f" coordsize="21600,21600">
              <v:path arrowok="t"/>
              <v:fill on="f" focussize="0,0"/>
              <v:stroke endarrow="block"/>
              <v:imagedata o:title=""/>
              <o:lock v:ext="edit"/>
            </v:shape>
            <v:shape id="_x0000_s230477" o:spid="_x0000_s230477" o:spt="32" type="#_x0000_t32" style="position:absolute;left:9235;top:3815;flip:y;height:6212;width:1;" o:connectortype="straight" filled="f" coordsize="21600,21600">
              <v:path arrowok="t"/>
              <v:fill on="f" focussize="0,0"/>
              <v:stroke endarrow="block"/>
              <v:imagedata o:title=""/>
              <o:lock v:ext="edit"/>
            </v:shape>
            <v:shape id="_x0000_s230478" o:spid="_x0000_s230478" o:spt="32" type="#_x0000_t32" style="position:absolute;left:4149;top:3634;height:1;width:1059;" o:connectortype="straight" filled="f" coordsize="21600,21600">
              <v:path arrowok="t"/>
              <v:fill on="f" focussize="0,0"/>
              <v:stroke endarrow="block"/>
              <v:imagedata o:title=""/>
              <o:lock v:ext="edit"/>
            </v:shape>
            <v:shape id="_x0000_s230479" o:spid="_x0000_s230479" o:spt="202" type="#_x0000_t202" style="position:absolute;left:5213;top:3421;height:474;width:1583;" filled="f" coordsize="21600,21600">
              <v:path/>
              <v:fill on="f" focussize="0,0"/>
              <v:stroke joinstyle="miter"/>
              <v:imagedata o:title=""/>
              <o:lock v:ext="edit"/>
              <v:textbox>
                <w:txbxContent>
                  <w:p>
                    <w:pPr>
                      <w:jc w:val="center"/>
                    </w:pPr>
                    <w:r>
                      <w:rPr>
                        <w:rFonts w:hint="eastAsia"/>
                      </w:rPr>
                      <w:t>洗车</w:t>
                    </w:r>
                    <w:r>
                      <w:rPr>
                        <w:rFonts w:hAnsiTheme="minorEastAsia" w:eastAsiaTheme="minorEastAsia"/>
                        <w:kern w:val="0"/>
                        <w:szCs w:val="21"/>
                      </w:rPr>
                      <w:t>平台用水</w:t>
                    </w:r>
                  </w:p>
                </w:txbxContent>
              </v:textbox>
            </v:shape>
            <v:shape id="_x0000_s230480" o:spid="_x0000_s230480" o:spt="202" type="#_x0000_t202" style="position:absolute;left:1675;top:2305;height:416;width:1180;" filled="f" stroked="f" coordsize="21600,21600">
              <v:path/>
              <v:fill on="f" focussize="0,0"/>
              <v:stroke on="f" joinstyle="miter"/>
              <v:imagedata o:title=""/>
              <o:lock v:ext="edit"/>
              <v:textbox>
                <w:txbxContent>
                  <w:p>
                    <w:pPr>
                      <w:jc w:val="center"/>
                    </w:pPr>
                    <w:r>
                      <w:rPr>
                        <w:rFonts w:hint="eastAsia"/>
                      </w:rPr>
                      <w:t>960</w:t>
                    </w:r>
                  </w:p>
                  <w:p>
                    <w:pPr>
                      <w:jc w:val="center"/>
                    </w:pPr>
                  </w:p>
                </w:txbxContent>
              </v:textbox>
            </v:shape>
            <v:shape id="_x0000_s230481" o:spid="_x0000_s230481" o:spt="202" type="#_x0000_t202" style="position:absolute;left:6824;top:3219;height:416;width:946;" filled="f" stroked="f" coordsize="21600,21600">
              <v:path/>
              <v:fill on="f" focussize="0,0"/>
              <v:stroke on="f" joinstyle="miter"/>
              <v:imagedata o:title=""/>
              <o:lock v:ext="edit"/>
              <v:textbox>
                <w:txbxContent>
                  <w:p>
                    <w:pPr>
                      <w:jc w:val="center"/>
                    </w:pPr>
                    <w:r>
                      <w:rPr>
                        <w:rFonts w:hint="eastAsia"/>
                      </w:rPr>
                      <w:t>3.64</w:t>
                    </w:r>
                  </w:p>
                  <w:p>
                    <w:pPr>
                      <w:jc w:val="center"/>
                    </w:pPr>
                  </w:p>
                </w:txbxContent>
              </v:textbox>
            </v:shape>
            <v:shape id="_x0000_s230482" o:spid="_x0000_s230482" o:spt="202" type="#_x0000_t202" style="position:absolute;left:4162;top:2331;height:416;width:915;" filled="f" stroked="f" coordsize="21600,21600">
              <v:path/>
              <v:fill on="f" focussize="0,0"/>
              <v:stroke on="f" joinstyle="miter"/>
              <v:imagedata o:title=""/>
              <o:lock v:ext="edit"/>
              <v:textbox>
                <w:txbxContent>
                  <w:p>
                    <w:pPr>
                      <w:jc w:val="center"/>
                    </w:pPr>
                    <w:r>
                      <w:rPr>
                        <w:rFonts w:hint="eastAsia"/>
                      </w:rPr>
                      <w:t>909.09</w:t>
                    </w:r>
                  </w:p>
                  <w:p>
                    <w:pPr>
                      <w:jc w:val="center"/>
                    </w:pPr>
                  </w:p>
                </w:txbxContent>
              </v:textbox>
            </v:shape>
            <v:shape id="_x0000_s230484" o:spid="_x0000_s230484" o:spt="32" type="#_x0000_t32" style="position:absolute;left:7906;top:3661;height:2841;width:0;" o:connectortype="straight" filled="f" coordsize="21600,21600">
              <v:path arrowok="t"/>
              <v:fill on="f" focussize="0,0"/>
              <v:stroke/>
              <v:imagedata o:title=""/>
              <o:lock v:ext="edit"/>
            </v:shape>
            <v:shape id="_x0000_s230485" o:spid="_x0000_s230485" o:spt="202" type="#_x0000_t202" style="position:absolute;left:5223;top:5309;height:468;width:1588;" filled="f" coordsize="21600,21600">
              <v:path/>
              <v:fill on="f" focussize="0,0"/>
              <v:stroke joinstyle="miter"/>
              <v:imagedata o:title=""/>
              <o:lock v:ext="edit"/>
              <v:textbox>
                <w:txbxContent>
                  <w:p>
                    <w:pPr>
                      <w:jc w:val="center"/>
                    </w:pPr>
                    <w:r>
                      <w:rPr>
                        <w:rFonts w:hint="eastAsia"/>
                      </w:rPr>
                      <w:t>储煤场洒水</w:t>
                    </w:r>
                  </w:p>
                  <w:p/>
                </w:txbxContent>
              </v:textbox>
            </v:shape>
            <v:shape id="_x0000_s230486" o:spid="_x0000_s230486" o:spt="32" type="#_x0000_t32" style="position:absolute;left:6771;top:4596;flip:x;height:0;width:1128;" o:connectortype="straight" filled="f" coordsize="21600,21600">
              <v:path arrowok="t"/>
              <v:fill on="f" focussize="0,0"/>
              <v:stroke endarrow="block"/>
              <v:imagedata o:title=""/>
              <o:lock v:ext="edit"/>
            </v:shape>
            <v:shape id="_x0000_s230487" o:spid="_x0000_s230487" o:spt="202" type="#_x0000_t202" style="position:absolute;left:7015;top:5068;height:416;width:779;" filled="f" stroked="f" coordsize="21600,21600">
              <v:path/>
              <v:fill on="f" focussize="0,0"/>
              <v:stroke on="f" joinstyle="miter"/>
              <v:imagedata o:title=""/>
              <o:lock v:ext="edit"/>
              <v:textbox>
                <w:txbxContent>
                  <w:p>
                    <w:pPr>
                      <w:jc w:val="center"/>
                    </w:pPr>
                    <w:r>
                      <w:rPr>
                        <w:rFonts w:hint="eastAsia"/>
                      </w:rPr>
                      <w:t>36.40</w:t>
                    </w:r>
                  </w:p>
                  <w:p>
                    <w:pPr>
                      <w:jc w:val="center"/>
                    </w:pPr>
                  </w:p>
                </w:txbxContent>
              </v:textbox>
            </v:shape>
            <v:shape id="_x0000_s230488" o:spid="_x0000_s230488" o:spt="202" type="#_x0000_t202" style="position:absolute;left:5211;top:6264;height:486;width:1588;" filled="f" coordsize="21600,21600">
              <v:path/>
              <v:fill on="f" focussize="0,0"/>
              <v:stroke joinstyle="miter"/>
              <v:imagedata o:title=""/>
              <o:lock v:ext="edit"/>
              <v:textbox>
                <w:txbxContent>
                  <w:p>
                    <w:pPr>
                      <w:jc w:val="center"/>
                    </w:pPr>
                    <w:r>
                      <w:rPr>
                        <w:rFonts w:hint="eastAsia"/>
                      </w:rPr>
                      <w:t>厂区道路洒水</w:t>
                    </w:r>
                  </w:p>
                </w:txbxContent>
              </v:textbox>
            </v:shape>
            <v:shape id="_x0000_s230489" o:spid="_x0000_s230489" o:spt="202" type="#_x0000_t202" style="position:absolute;left:6893;top:6065;height:416;width:901;" filled="f" stroked="f" coordsize="21600,21600">
              <v:path/>
              <v:fill on="f" focussize="0,0"/>
              <v:stroke on="f" joinstyle="miter"/>
              <v:imagedata o:title=""/>
              <o:lock v:ext="edit"/>
              <v:textbox>
                <w:txbxContent>
                  <w:p>
                    <w:pPr>
                      <w:jc w:val="center"/>
                    </w:pPr>
                    <w:r>
                      <w:rPr>
                        <w:rFonts w:hint="eastAsia"/>
                      </w:rPr>
                      <w:t>34.00</w:t>
                    </w:r>
                  </w:p>
                  <w:p>
                    <w:pPr>
                      <w:jc w:val="center"/>
                    </w:pPr>
                  </w:p>
                </w:txbxContent>
              </v:textbox>
            </v:shape>
            <v:shape id="_x0000_s230490" o:spid="_x0000_s230490" o:spt="38" type="#_x0000_t38" style="position:absolute;left:5538;top:2305;flip:y;height:231;width:434;" o:connectortype="curved" filled="f" coordsize="21600,21600" adj="10800,223574,-368494">
              <v:path arrowok="t"/>
              <v:fill on="f" focussize="0,0"/>
              <v:stroke endarrow="block"/>
              <v:imagedata o:title=""/>
              <o:lock v:ext="edit"/>
            </v:shape>
            <v:shape id="_x0000_s230491" o:spid="_x0000_s230491" o:spt="38" type="#_x0000_t38" style="position:absolute;left:5529;top:5068;flip:y;height:231;width:434;" o:connectortype="curved" filled="f" coordsize="21600,21600" adj="10800,223574,-368494">
              <v:path arrowok="t"/>
              <v:fill on="f" focussize="0,0"/>
              <v:stroke endarrow="block"/>
              <v:imagedata o:title=""/>
              <o:lock v:ext="edit"/>
            </v:shape>
            <v:shape id="_x0000_s230492" o:spid="_x0000_s230492" o:spt="202" type="#_x0000_t202" style="position:absolute;left:5858;top:4882;height:416;width:850;" filled="f" stroked="f" coordsize="21600,21600">
              <v:path/>
              <v:fill on="f" focussize="0,0"/>
              <v:stroke on="f" joinstyle="miter"/>
              <v:imagedata o:title=""/>
              <o:lock v:ext="edit"/>
              <v:textbox>
                <w:txbxContent>
                  <w:p>
                    <w:pPr>
                      <w:jc w:val="center"/>
                    </w:pPr>
                    <w:r>
                      <w:rPr>
                        <w:rFonts w:hint="eastAsia"/>
                      </w:rPr>
                      <w:t>36.40</w:t>
                    </w:r>
                  </w:p>
                  <w:p>
                    <w:pPr>
                      <w:jc w:val="center"/>
                    </w:pPr>
                  </w:p>
                </w:txbxContent>
              </v:textbox>
            </v:shape>
            <v:shape id="_x0000_s230493" o:spid="_x0000_s230493" o:spt="38" type="#_x0000_t38" style="position:absolute;left:5442;top:3190;flip:y;height:231;width:434;" o:connectortype="curved" filled="f" coordsize="21600,21600" adj="10800,223574,-368494">
              <v:path arrowok="t"/>
              <v:fill on="f" focussize="0,0"/>
              <v:stroke endarrow="block"/>
              <v:imagedata o:title=""/>
              <o:lock v:ext="edit"/>
            </v:shape>
            <v:shape id="_x0000_s230494" o:spid="_x0000_s230494" o:spt="202" type="#_x0000_t202" style="position:absolute;left:5753;top:2978;height:416;width:850;" filled="f" stroked="f" coordsize="21600,21600">
              <v:path/>
              <v:fill on="f" focussize="0,0"/>
              <v:stroke on="f" joinstyle="miter"/>
              <v:imagedata o:title=""/>
              <o:lock v:ext="edit"/>
              <v:textbox>
                <w:txbxContent>
                  <w:p>
                    <w:pPr>
                      <w:jc w:val="center"/>
                    </w:pPr>
                    <w:r>
                      <w:rPr>
                        <w:rFonts w:hint="eastAsia"/>
                      </w:rPr>
                      <w:t>54.55</w:t>
                    </w:r>
                  </w:p>
                  <w:p>
                    <w:pPr>
                      <w:jc w:val="center"/>
                    </w:pPr>
                  </w:p>
                </w:txbxContent>
              </v:textbox>
            </v:shape>
            <v:shape id="_x0000_s230495" o:spid="_x0000_s230495" o:spt="38" type="#_x0000_t38" style="position:absolute;left:5439;top:6018;flip:y;height:231;width:434;" o:connectortype="curved" filled="f" coordsize="21600,21600" adj="10800,223574,-368494">
              <v:path arrowok="t"/>
              <v:fill on="f" focussize="0,0"/>
              <v:stroke endarrow="block"/>
              <v:imagedata o:title=""/>
              <o:lock v:ext="edit"/>
            </v:shape>
            <v:shape id="_x0000_s230496" o:spid="_x0000_s230496" o:spt="202" type="#_x0000_t202" style="position:absolute;left:5731;top:5819;height:430;width:973;" filled="f" stroked="f" coordsize="21600,21600">
              <v:path/>
              <v:fill on="f" focussize="0,0"/>
              <v:stroke on="f" joinstyle="miter"/>
              <v:imagedata o:title=""/>
              <o:lock v:ext="edit"/>
              <v:textbox>
                <w:txbxContent>
                  <w:p>
                    <w:pPr>
                      <w:jc w:val="center"/>
                    </w:pPr>
                    <w:r>
                      <w:rPr>
                        <w:rFonts w:hint="eastAsia"/>
                      </w:rPr>
                      <w:t>34.00</w:t>
                    </w:r>
                  </w:p>
                  <w:p>
                    <w:pPr>
                      <w:jc w:val="center"/>
                    </w:pPr>
                  </w:p>
                </w:txbxContent>
              </v:textbox>
            </v:shape>
            <v:shape id="_x0000_s230497" o:spid="_x0000_s230497" o:spt="202" type="#_x0000_t202" style="position:absolute;left:5183;top:4380;height:473;width:1588;" filled="f" coordsize="21600,21600">
              <v:path/>
              <v:fill on="f" focussize="0,0"/>
              <v:stroke joinstyle="miter"/>
              <v:imagedata o:title=""/>
              <o:lock v:ext="edit"/>
              <v:textbox>
                <w:txbxContent>
                  <w:p>
                    <w:pPr>
                      <w:jc w:val="center"/>
                    </w:pPr>
                    <w:r>
                      <w:rPr>
                        <w:rFonts w:hint="eastAsia"/>
                      </w:rPr>
                      <w:t>绿化洒水</w:t>
                    </w:r>
                  </w:p>
                </w:txbxContent>
              </v:textbox>
            </v:shape>
            <v:shape id="_x0000_s230498" o:spid="_x0000_s230498" o:spt="202" type="#_x0000_t202" style="position:absolute;left:6908;top:4193;height:416;width:901;" filled="f" stroked="f" coordsize="21600,21600">
              <v:path/>
              <v:fill on="f" focussize="0,0"/>
              <v:stroke on="f" joinstyle="miter"/>
              <v:imagedata o:title=""/>
              <o:lock v:ext="edit"/>
              <v:textbox>
                <w:txbxContent>
                  <w:p>
                    <w:pPr>
                      <w:jc w:val="center"/>
                    </w:pPr>
                    <w:r>
                      <w:rPr>
                        <w:rFonts w:hint="eastAsia"/>
                      </w:rPr>
                      <w:t>55.80</w:t>
                    </w:r>
                  </w:p>
                  <w:p>
                    <w:pPr>
                      <w:jc w:val="center"/>
                    </w:pPr>
                  </w:p>
                </w:txbxContent>
              </v:textbox>
            </v:shape>
            <v:shape id="_x0000_s230499" o:spid="_x0000_s230499" o:spt="38" type="#_x0000_t38" style="position:absolute;left:5445;top:4149;flip:y;height:231;width:434;" o:connectortype="curved" filled="f" coordsize="21600,21600" adj="10800,223574,-368494">
              <v:path arrowok="t"/>
              <v:fill on="f" focussize="0,0"/>
              <v:stroke endarrow="block"/>
              <v:imagedata o:title=""/>
              <o:lock v:ext="edit"/>
            </v:shape>
            <v:shape id="_x0000_s230500" o:spid="_x0000_s230500" o:spt="202" type="#_x0000_t202" style="position:absolute;left:5730;top:3950;height:430;width:973;" filled="f" stroked="f" coordsize="21600,21600">
              <v:path/>
              <v:fill on="f" focussize="0,0"/>
              <v:stroke on="f" joinstyle="miter"/>
              <v:imagedata o:title=""/>
              <o:lock v:ext="edit"/>
              <v:textbox>
                <w:txbxContent>
                  <w:p>
                    <w:pPr>
                      <w:jc w:val="center"/>
                    </w:pPr>
                    <w:r>
                      <w:rPr>
                        <w:rFonts w:hint="eastAsia"/>
                      </w:rPr>
                      <w:t>55.80</w:t>
                    </w:r>
                  </w:p>
                  <w:p>
                    <w:pPr>
                      <w:jc w:val="center"/>
                    </w:pPr>
                  </w:p>
                </w:txbxContent>
              </v:textbox>
            </v:shape>
            <v:shape id="_x0000_s230501" o:spid="_x0000_s230501" o:spt="202" type="#_x0000_t202" style="position:absolute;left:5868;top:2081;height:416;width:1022;" filled="f" stroked="f" coordsize="21600,21600">
              <v:path/>
              <v:fill on="f" focussize="0,0"/>
              <v:stroke on="f" joinstyle="miter"/>
              <v:imagedata o:title=""/>
              <o:lock v:ext="edit"/>
              <v:textbox>
                <w:txbxContent>
                  <w:p>
                    <w:pPr>
                      <w:jc w:val="center"/>
                    </w:pPr>
                    <w:r>
                      <w:rPr>
                        <w:rFonts w:hint="eastAsia"/>
                      </w:rPr>
                      <w:t>909.09</w:t>
                    </w:r>
                  </w:p>
                  <w:p>
                    <w:pPr>
                      <w:jc w:val="center"/>
                    </w:pPr>
                  </w:p>
                </w:txbxContent>
              </v:textbox>
            </v:shape>
            <v:rect id="_x0000_s230502" o:spid="_x0000_s230502" o:spt="1" style="position:absolute;left:4293;top:3230;height:405;width:864;" filled="f" stroked="f" coordsize="21600,21600">
              <v:path/>
              <v:fill on="f" focussize="0,0"/>
              <v:stroke on="f"/>
              <v:imagedata o:title=""/>
              <o:lock v:ext="edit"/>
              <v:textbox>
                <w:txbxContent>
                  <w:p>
                    <w:r>
                      <w:rPr>
                        <w:rFonts w:hint="eastAsia"/>
                      </w:rPr>
                      <w:t>50.91</w:t>
                    </w:r>
                  </w:p>
                </w:txbxContent>
              </v:textbox>
            </v:rect>
            <v:shape id="_x0000_s230503" o:spid="_x0000_s230503" o:spt="32" type="#_x0000_t32" style="position:absolute;left:7910;top:4928;height:0;width:1325;" o:connectortype="straight" filled="f" coordsize="21600,21600">
              <v:path arrowok="t"/>
              <v:fill on="f" focussize="0,0"/>
              <v:stroke/>
              <v:imagedata o:title=""/>
              <o:lock v:ext="edit"/>
            </v:shape>
            <v:shape id="_x0000_s230504" o:spid="_x0000_s230504" o:spt="202" type="#_x0000_t202" style="position:absolute;left:5828;top:8719;height:430;width:973;" filled="f" stroked="f" coordsize="21600,21600">
              <v:path/>
              <v:fill on="f" focussize="0,0"/>
              <v:stroke on="f" joinstyle="miter"/>
              <v:imagedata o:title=""/>
              <o:lock v:ext="edit"/>
              <v:textbox>
                <w:txbxContent>
                  <w:p>
                    <w:pPr>
                      <w:jc w:val="center"/>
                    </w:pPr>
                    <w:r>
                      <w:rPr>
                        <w:rFonts w:hint="eastAsia"/>
                      </w:rPr>
                      <w:t>15.06</w:t>
                    </w:r>
                  </w:p>
                  <w:p>
                    <w:pPr>
                      <w:jc w:val="center"/>
                    </w:pPr>
                  </w:p>
                </w:txbxContent>
              </v:textbox>
            </v:shape>
            <v:rect id="_x0000_s230505" o:spid="_x0000_s230505" o:spt="1" style="position:absolute;left:9101;top:13156;height:493;width:1513;" stroked="f" coordsize="21600,21600">
              <v:path/>
              <v:fill focussize="0,0"/>
              <v:stroke on="f"/>
              <v:imagedata o:title=""/>
              <o:lock v:ext="edit"/>
              <v:textbox>
                <w:txbxContent>
                  <w:p>
                    <w:r>
                      <w:rPr>
                        <w:rFonts w:hint="eastAsia"/>
                      </w:rPr>
                      <w:t>单位：</w:t>
                    </w:r>
                    <w:r>
                      <w:t>m</w:t>
                    </w:r>
                    <w:r>
                      <w:rPr>
                        <w:vertAlign w:val="superscript"/>
                      </w:rPr>
                      <w:t>3</w:t>
                    </w:r>
                    <w:r>
                      <w:t>/d</w:t>
                    </w:r>
                  </w:p>
                </w:txbxContent>
              </v:textbox>
            </v:rect>
            <v:shape id="_x0000_s230508" o:spid="_x0000_s230508" o:spt="32" type="#_x0000_t32" style="position:absolute;left:4173;top:13405;height:1;width:1059;" o:connectortype="straight" filled="f" coordsize="21600,21600">
              <v:path arrowok="t"/>
              <v:fill on="f" focussize="0,0"/>
              <v:stroke endarrow="block"/>
              <v:imagedata o:title=""/>
              <o:lock v:ext="edit"/>
            </v:shape>
            <v:shape id="_x0000_s230509" o:spid="_x0000_s230509" o:spt="202" type="#_x0000_t202" style="position:absolute;left:5232;top:13192;height:504;width:1588;" filled="f" coordsize="21600,21600">
              <v:path/>
              <v:fill on="f" focussize="0,0"/>
              <v:stroke joinstyle="miter"/>
              <v:imagedata o:title=""/>
              <o:lock v:ext="edit"/>
              <v:textbox>
                <w:txbxContent>
                  <w:p>
                    <w:pPr>
                      <w:jc w:val="center"/>
                    </w:pPr>
                    <w:r>
                      <w:rPr>
                        <w:rFonts w:hint="eastAsia"/>
                      </w:rPr>
                      <w:t>未预见用水</w:t>
                    </w:r>
                  </w:p>
                  <w:p/>
                </w:txbxContent>
              </v:textbox>
            </v:shape>
            <v:shape id="_x0000_s230510" o:spid="_x0000_s230510" o:spt="202" type="#_x0000_t202" style="position:absolute;left:4173;top:12920;height:416;width:1075;" filled="f" stroked="f" coordsize="21600,21600">
              <v:path/>
              <v:fill on="f" focussize="0,0"/>
              <v:stroke on="f" joinstyle="miter"/>
              <v:imagedata o:title=""/>
              <o:lock v:ext="edit"/>
              <v:textbox>
                <w:txbxContent>
                  <w:p>
                    <w:pPr>
                      <w:jc w:val="center"/>
                    </w:pPr>
                    <w:r>
                      <w:rPr>
                        <w:rFonts w:hint="eastAsia"/>
                      </w:rPr>
                      <w:t>27.5</w:t>
                    </w:r>
                  </w:p>
                  <w:p>
                    <w:pPr>
                      <w:jc w:val="center"/>
                    </w:pPr>
                  </w:p>
                </w:txbxContent>
              </v:textbox>
            </v:shape>
            <v:shape id="_x0000_s230511" o:spid="_x0000_s230511" o:spt="32" type="#_x0000_t32" style="position:absolute;left:6820;top:13405;height:0;width:1094;" o:connectortype="straight" filled="f" coordsize="21600,21600">
              <v:path arrowok="t"/>
              <v:fill on="f" focussize="0,0"/>
              <v:stroke/>
              <v:imagedata o:title=""/>
              <o:lock v:ext="edit"/>
            </v:shape>
            <v:shape id="_x0000_s230512" o:spid="_x0000_s230512" o:spt="38" type="#_x0000_t38" style="position:absolute;left:5460;top:12946;flip:y;height:231;width:434;" o:connectortype="curved" filled="f" coordsize="21600,21600" adj="10800,223574,-368494">
              <v:path arrowok="t"/>
              <v:fill on="f" focussize="0,0"/>
              <v:stroke endarrow="block"/>
              <v:imagedata o:title=""/>
              <o:lock v:ext="edit"/>
            </v:shape>
            <v:shape id="_x0000_s230513" o:spid="_x0000_s230513" o:spt="202" type="#_x0000_t202" style="position:absolute;left:5654;top:12726;height:430;width:973;" filled="f" stroked="f" coordsize="21600,21600">
              <v:path/>
              <v:fill on="f" focussize="0,0"/>
              <v:stroke on="f" joinstyle="miter"/>
              <v:imagedata o:title=""/>
              <o:lock v:ext="edit"/>
              <v:textbox>
                <w:txbxContent>
                  <w:p>
                    <w:pPr>
                      <w:jc w:val="center"/>
                    </w:pPr>
                    <w:r>
                      <w:rPr>
                        <w:rFonts w:hint="eastAsia"/>
                      </w:rPr>
                      <w:t>5.5</w:t>
                    </w:r>
                  </w:p>
                  <w:p>
                    <w:pPr>
                      <w:jc w:val="center"/>
                    </w:pPr>
                  </w:p>
                </w:txbxContent>
              </v:textbox>
            </v:shape>
            <v:rect id="_x0000_s230514" o:spid="_x0000_s230514" o:spt="1" style="position:absolute;left:6955;top:12985;height:490;width:932;" filled="f" stroked="f" coordsize="21600,21600">
              <v:path/>
              <v:fill on="f" focussize="0,0"/>
              <v:stroke on="f"/>
              <v:imagedata o:title=""/>
              <o:lock v:ext="edit"/>
              <v:textbox>
                <w:txbxContent>
                  <w:p>
                    <w:r>
                      <w:rPr>
                        <w:rFonts w:hint="eastAsia"/>
                      </w:rPr>
                      <w:t>22.00</w:t>
                    </w:r>
                  </w:p>
                </w:txbxContent>
              </v:textbox>
            </v:rect>
            <v:shape id="_x0000_s230515" o:spid="_x0000_s230515" o:spt="32" type="#_x0000_t32" style="position:absolute;left:6824;top:3661;flip:x;height:0;width:1057;" o:connectortype="straight" filled="f" coordsize="21600,21600">
              <v:path arrowok="t"/>
              <v:fill on="f" focussize="0,0"/>
              <v:stroke endarrow="block"/>
              <v:imagedata o:title=""/>
              <o:lock v:ext="edit"/>
            </v:shape>
            <v:shape id="_x0000_s230516" o:spid="_x0000_s230516" o:spt="32" type="#_x0000_t32" style="position:absolute;left:6819;top:6480;flip:x;height:1;width:1081;" o:connectortype="straight" filled="f" coordsize="21600,21600">
              <v:path arrowok="t"/>
              <v:fill on="f" focussize="0,0"/>
              <v:stroke endarrow="block"/>
              <v:imagedata o:title=""/>
              <o:lock v:ext="edit"/>
            </v:shape>
            <v:shape id="_x0000_s230517" o:spid="_x0000_s230517" o:spt="32" type="#_x0000_t32" style="position:absolute;left:6815;top:5513;flip:x;height:0;width:1086;" o:connectortype="straight" filled="f" coordsize="21600,21600">
              <v:path arrowok="t"/>
              <v:fill on="f" focussize="0,0"/>
              <v:stroke endarrow="block"/>
              <v:imagedata o:title=""/>
              <o:lock v:ext="edit"/>
            </v:shape>
            <v:shape id="_x0000_s230518" o:spid="_x0000_s230518" o:spt="202" type="#_x0000_t202" style="position:absolute;left:8124;top:4928;height:416;width:977;" filled="f" stroked="f" coordsize="21600,21600">
              <v:path/>
              <v:fill on="f" focussize="0,0"/>
              <v:stroke on="f" joinstyle="miter"/>
              <v:imagedata o:title=""/>
              <o:lock v:ext="edit"/>
              <v:textbox>
                <w:txbxContent>
                  <w:p>
                    <w:pPr>
                      <w:jc w:val="center"/>
                    </w:pPr>
                    <w:r>
                      <w:rPr>
                        <w:rFonts w:hint="eastAsia"/>
                      </w:rPr>
                      <w:t>129.84</w:t>
                    </w:r>
                  </w:p>
                  <w:p>
                    <w:pPr>
                      <w:jc w:val="center"/>
                    </w:pPr>
                  </w:p>
                </w:txbxContent>
              </v:textbox>
            </v:shape>
            <v:shape id="_x0000_s230519" o:spid="_x0000_s230519" o:spt="32" type="#_x0000_t32" style="position:absolute;left:3392;top:3189;height:1;width:744;" o:connectortype="straight" filled="f" coordsize="21600,21600">
              <v:path arrowok="t"/>
              <v:fill on="f" focussize="0,0"/>
              <v:stroke/>
              <v:imagedata o:title=""/>
              <o:lock v:ext="edit"/>
            </v:shape>
            <v:shape id="_x0000_s230520" o:spid="_x0000_s230520" o:spt="32" type="#_x0000_t32" style="position:absolute;left:4136;top:2752;height:883;width:0;" o:connectortype="straight" filled="f" coordsize="21600,21600">
              <v:path arrowok="t"/>
              <v:fill on="f" focussize="0,0"/>
              <v:stroke/>
              <v:imagedata o:title=""/>
              <o:lock v:ext="edit"/>
            </v:shape>
            <v:shape id="_x0000_s230638" o:spid="_x0000_s230638" o:spt="202" type="#_x0000_t202" style="position:absolute;left:5205;top:7253;height:430;width:1602;" filled="f" coordsize="21600,21600">
              <v:path/>
              <v:fill on="f" focussize="0,0"/>
              <v:stroke joinstyle="miter"/>
              <v:imagedata o:title=""/>
              <o:lock v:ext="edit"/>
              <v:textbox>
                <w:txbxContent>
                  <w:p>
                    <w:pPr>
                      <w:jc w:val="center"/>
                    </w:pPr>
                    <w:r>
                      <w:rPr>
                        <w:rFonts w:hint="eastAsia"/>
                      </w:rPr>
                      <w:t>锅炉补充水</w:t>
                    </w:r>
                  </w:p>
                </w:txbxContent>
              </v:textbox>
            </v:shape>
            <v:shape id="_x0000_s230639" o:spid="_x0000_s230639" o:spt="32" type="#_x0000_t32" style="position:absolute;left:4189;top:7453;height:0;width:1016;" o:connectortype="straight" filled="f" coordsize="21600,21600">
              <v:path arrowok="t"/>
              <v:fill on="f" focussize="0,0"/>
              <v:stroke endarrow="block"/>
              <v:imagedata o:title=""/>
              <o:lock v:ext="edit"/>
            </v:shape>
            <v:shape id="_x0000_s230640" o:spid="_x0000_s230640" o:spt="32" type="#_x0000_t32" style="position:absolute;left:6823;top:7453;height:0;width:1083;" o:connectortype="straight" filled="f" coordsize="21600,21600">
              <v:path arrowok="t"/>
              <v:fill on="f" focussize="0,0"/>
              <v:stroke/>
              <v:imagedata o:title=""/>
              <o:lock v:ext="edit"/>
            </v:shape>
            <v:shape id="_x0000_s230641" o:spid="_x0000_s230641" o:spt="202" type="#_x0000_t202" style="position:absolute;left:4215;top:7034;height:416;width:986;" filled="f" stroked="f" coordsize="21600,21600">
              <v:path/>
              <v:fill on="f" focussize="0,0"/>
              <v:stroke on="f" joinstyle="miter"/>
              <v:imagedata o:title=""/>
              <o:lock v:ext="edit"/>
              <v:textbox>
                <w:txbxContent>
                  <w:p>
                    <w:pPr>
                      <w:jc w:val="center"/>
                    </w:pPr>
                    <w:r>
                      <w:rPr>
                        <w:rFonts w:hint="eastAsia"/>
                      </w:rPr>
                      <w:t>44.8</w:t>
                    </w:r>
                  </w:p>
                  <w:p>
                    <w:pPr>
                      <w:jc w:val="center"/>
                    </w:pPr>
                  </w:p>
                </w:txbxContent>
              </v:textbox>
            </v:shape>
            <v:shape id="_x0000_s230642" o:spid="_x0000_s230642" o:spt="38" type="#_x0000_t38" style="position:absolute;left:5603;top:7009;flip:y;height:231;width:434;" o:connectortype="curved" filled="f" coordsize="21600,21600" adj="10800,223574,-368494">
              <v:path arrowok="t"/>
              <v:fill on="f" focussize="0,0"/>
              <v:stroke endarrow="block"/>
              <v:imagedata o:title=""/>
              <o:lock v:ext="edit"/>
            </v:shape>
            <v:shape id="_x0000_s230643" o:spid="_x0000_s230643" o:spt="202" type="#_x0000_t202" style="position:absolute;left:5878;top:6802;height:416;width:850;" filled="f" stroked="f" coordsize="21600,21600">
              <v:path/>
              <v:fill on="f" focussize="0,0"/>
              <v:stroke on="f" joinstyle="miter"/>
              <v:imagedata o:title=""/>
              <o:lock v:ext="edit"/>
              <v:textbox>
                <w:txbxContent>
                  <w:p>
                    <w:pPr>
                      <w:jc w:val="center"/>
                    </w:pPr>
                    <w:r>
                      <w:rPr>
                        <w:rFonts w:hint="eastAsia"/>
                      </w:rPr>
                      <w:t>41.34</w:t>
                    </w:r>
                  </w:p>
                  <w:p>
                    <w:pPr>
                      <w:jc w:val="center"/>
                    </w:pPr>
                  </w:p>
                </w:txbxContent>
              </v:textbox>
            </v:shape>
            <v:rect id="_x0000_s230644" o:spid="_x0000_s230644" o:spt="1" style="position:absolute;left:6978;top:7047;height:406;width:777;" filled="f" stroked="f" coordsize="21600,21600">
              <v:path/>
              <v:fill on="f" focussize="0,0"/>
              <v:stroke on="f"/>
              <v:imagedata o:title=""/>
              <o:lock v:ext="edit"/>
              <v:textbox>
                <w:txbxContent>
                  <w:p>
                    <w:r>
                      <w:rPr>
                        <w:rFonts w:hint="eastAsia"/>
                      </w:rPr>
                      <w:t>3.46</w:t>
                    </w:r>
                  </w:p>
                </w:txbxContent>
              </v:textbox>
            </v:rect>
            <v:shape id="_x0000_s230645" o:spid="_x0000_s230645" o:spt="202" type="#_x0000_t202" style="position:absolute;left:9145;top:4092;height:416;width:977;" filled="f" stroked="f" coordsize="21600,21600">
              <v:path/>
              <v:fill on="f" focussize="0,0"/>
              <v:stroke on="f" joinstyle="miter"/>
              <v:imagedata o:title=""/>
              <o:lock v:ext="edit"/>
              <v:textbox>
                <w:txbxContent>
                  <w:p>
                    <w:pPr>
                      <w:jc w:val="center"/>
                    </w:pPr>
                    <w:r>
                      <w:rPr>
                        <w:rFonts w:hint="eastAsia"/>
                      </w:rPr>
                      <w:t>79.77</w:t>
                    </w:r>
                  </w:p>
                  <w:p>
                    <w:pPr>
                      <w:jc w:val="center"/>
                    </w:pPr>
                  </w:p>
                </w:txbxContent>
              </v:textbox>
            </v:shape>
            <v:shape id="_x0000_s230646" o:spid="_x0000_s230646" o:spt="202" type="#_x0000_t202" style="position:absolute;left:8567;top:3072;height:749;width:1399;" filled="f" coordsize="21600,21600">
              <v:path/>
              <v:fill on="f" focussize="0,0"/>
              <v:stroke joinstyle="miter"/>
              <v:imagedata o:title=""/>
              <o:lock v:ext="edit"/>
              <v:textbox>
                <w:txbxContent>
                  <w:p>
                    <w:pPr>
                      <w:jc w:val="center"/>
                    </w:pPr>
                    <w:r>
                      <w:rPr>
                        <w:rFonts w:hint="eastAsia"/>
                      </w:rPr>
                      <w:t>洗煤厂生产补水</w:t>
                    </w:r>
                  </w:p>
                </w:txbxContent>
              </v:textbox>
            </v:shape>
          </v:group>
        </w:pict>
      </w:r>
      <w:r>
        <w:rPr>
          <w:rFonts w:hAnsi="宋体"/>
          <w:b/>
          <w:szCs w:val="21"/>
        </w:rPr>
        <w:br w:type="page"/>
      </w:r>
    </w:p>
    <w:p>
      <w:pPr>
        <w:widowControl/>
        <w:jc w:val="left"/>
        <w:rPr>
          <w:rFonts w:hAnsiTheme="minorEastAsia" w:eastAsiaTheme="minorEastAsia"/>
          <w:b/>
          <w:sz w:val="24"/>
        </w:rPr>
      </w:pPr>
      <w:r>
        <w:rPr>
          <w:rFonts w:hAnsi="宋体"/>
          <w:b/>
          <w:szCs w:val="21"/>
        </w:rPr>
        <w:pict>
          <v:group id="_x0000_s230653" o:spid="_x0000_s230653" o:spt="203" style="position:absolute;left:0pt;margin-left:10.25pt;margin-top:19.45pt;height:579.05pt;width:448.9pt;z-index:251713536;mso-width-relative:page;mso-height-relative:page;" coordorigin="1623,2090" coordsize="8978,11581">
            <o:lock v:ext="edit"/>
            <v:rect id="_x0000_s230523" o:spid="_x0000_s230523" o:spt="1" style="position:absolute;left:4136;top:13180;height:491;width:3889;" filled="f" stroked="f" coordsize="21600,21600">
              <v:path/>
              <v:fill on="f" focussize="0,0"/>
              <v:stroke on="f"/>
              <v:imagedata o:title=""/>
              <o:lock v:ext="edit"/>
              <v:textbox>
                <w:txbxContent>
                  <w:p>
                    <w:pPr>
                      <w:rPr>
                        <w:b/>
                      </w:rPr>
                    </w:pPr>
                    <w:r>
                      <w:rPr>
                        <w:rFonts w:hint="eastAsia"/>
                        <w:b/>
                      </w:rPr>
                      <w:t>图</w:t>
                    </w:r>
                    <w:r>
                      <w:rPr>
                        <w:b/>
                      </w:rPr>
                      <w:t>3.2-</w:t>
                    </w:r>
                    <w:r>
                      <w:rPr>
                        <w:rFonts w:hint="eastAsia"/>
                        <w:b/>
                      </w:rPr>
                      <w:t>4</w:t>
                    </w:r>
                    <w:r>
                      <w:rPr>
                        <w:b/>
                      </w:rPr>
                      <w:t xml:space="preserve">  </w:t>
                    </w:r>
                    <w:r>
                      <w:rPr>
                        <w:rFonts w:hint="eastAsia"/>
                        <w:b/>
                      </w:rPr>
                      <w:t>8、9号煤层采暖期水平衡图</w:t>
                    </w:r>
                  </w:p>
                </w:txbxContent>
              </v:textbox>
            </v:rect>
            <v:shape id="_x0000_s230524" o:spid="_x0000_s230524" o:spt="202" type="#_x0000_t202" style="position:absolute;left:5234;top:7456;height:430;width:1799;" filled="f" coordsize="21600,21600">
              <v:path/>
              <v:fill on="f" focussize="0,0"/>
              <v:stroke joinstyle="miter"/>
              <v:imagedata o:title=""/>
              <o:lock v:ext="edit"/>
              <v:textbox>
                <w:txbxContent>
                  <w:p>
                    <w:pPr>
                      <w:jc w:val="center"/>
                    </w:pPr>
                    <w:r>
                      <w:rPr>
                        <w:rFonts w:hint="eastAsia"/>
                      </w:rPr>
                      <w:t>办公区生活用水</w:t>
                    </w:r>
                  </w:p>
                </w:txbxContent>
              </v:textbox>
            </v:shape>
            <v:shape id="_x0000_s230525" o:spid="_x0000_s230525" o:spt="32" type="#_x0000_t32" style="position:absolute;left:3192;top:8316;height:1;width:991;" o:connectortype="straight" filled="f" coordsize="21600,21600">
              <v:path arrowok="t"/>
              <v:fill on="f" focussize="0,0"/>
              <v:stroke/>
              <v:imagedata o:title=""/>
              <o:lock v:ext="edit"/>
            </v:shape>
            <v:shape id="_x0000_s230526" o:spid="_x0000_s230526" o:spt="202" type="#_x0000_t202" style="position:absolute;left:2105;top:8087;height:450;width:1087;" filled="f" coordsize="21600,21600">
              <v:path/>
              <v:fill on="f" focussize="0,0"/>
              <v:stroke joinstyle="miter"/>
              <v:imagedata o:title=""/>
              <o:lock v:ext="edit"/>
              <v:textbox>
                <w:txbxContent>
                  <w:p>
                    <w:pPr>
                      <w:jc w:val="center"/>
                    </w:pPr>
                    <w:r>
                      <w:rPr>
                        <w:rFonts w:hint="eastAsia"/>
                      </w:rPr>
                      <w:t>水源井</w:t>
                    </w:r>
                  </w:p>
                </w:txbxContent>
              </v:textbox>
            </v:shape>
            <v:shape id="_x0000_s230527" o:spid="_x0000_s230527" o:spt="32" type="#_x0000_t32" style="position:absolute;left:4192;top:7656;height:0;width:1016;" o:connectortype="straight" filled="f" coordsize="21600,21600">
              <v:path arrowok="t"/>
              <v:fill on="f" focussize="0,0"/>
              <v:stroke endarrow="block"/>
              <v:imagedata o:title=""/>
              <o:lock v:ext="edit"/>
            </v:shape>
            <v:shape id="_x0000_s230528" o:spid="_x0000_s230528" o:spt="32" type="#_x0000_t32" style="position:absolute;left:7033;top:7641;height:0;width:867;" o:connectortype="straight" filled="f" coordsize="21600,21600">
              <v:path arrowok="t"/>
              <v:fill on="f" focussize="0,0"/>
              <v:stroke/>
              <v:imagedata o:title=""/>
              <o:lock v:ext="edit"/>
            </v:shape>
            <v:shape id="_x0000_s230529" o:spid="_x0000_s230529" o:spt="32" type="#_x0000_t32" style="position:absolute;left:6788;top:9683;height:0;width:1993;" o:connectortype="straight" filled="f" coordsize="21600,21600">
              <v:path arrowok="t"/>
              <v:fill on="f" focussize="0,0"/>
              <v:stroke endarrow="block"/>
              <v:imagedata o:title=""/>
              <o:lock v:ext="edit"/>
            </v:shape>
            <v:shape id="_x0000_s230530" o:spid="_x0000_s230530" o:spt="202" type="#_x0000_t202" style="position:absolute;left:8774;top:9279;height:828;width:1237;" filled="f" coordsize="21600,21600">
              <v:path/>
              <v:fill on="f" focussize="0,0"/>
              <v:stroke joinstyle="miter"/>
              <v:imagedata o:title=""/>
              <o:lock v:ext="edit"/>
              <v:textbox>
                <w:txbxContent>
                  <w:p>
                    <w:r>
                      <w:rPr>
                        <w:rFonts w:hint="eastAsia"/>
                      </w:rPr>
                      <w:t>生活污水处理站</w:t>
                    </w:r>
                  </w:p>
                </w:txbxContent>
              </v:textbox>
            </v:shape>
            <v:shape id="_x0000_s230531" o:spid="_x0000_s230531" o:spt="32" type="#_x0000_t32" style="position:absolute;left:4162;top:9709;height:0;width:1058;" o:connectortype="straight" filled="f" coordsize="21600,21600">
              <v:path arrowok="t"/>
              <v:fill on="f" focussize="0,0"/>
              <v:stroke endarrow="block"/>
              <v:imagedata o:title=""/>
              <o:lock v:ext="edit"/>
            </v:shape>
            <v:shape id="_x0000_s230532" o:spid="_x0000_s230532" o:spt="202" type="#_x0000_t202" style="position:absolute;left:5220;top:9495;height:436;width:1588;" filled="f" coordsize="21600,21600">
              <v:path/>
              <v:fill on="f" focussize="0,0"/>
              <v:stroke joinstyle="miter"/>
              <v:imagedata o:title=""/>
              <o:lock v:ext="edit"/>
              <v:textbox>
                <w:txbxContent>
                  <w:p>
                    <w:pPr>
                      <w:jc w:val="center"/>
                    </w:pPr>
                    <w:r>
                      <w:rPr>
                        <w:rFonts w:hint="eastAsia"/>
                      </w:rPr>
                      <w:t>食堂用水</w:t>
                    </w:r>
                  </w:p>
                </w:txbxContent>
              </v:textbox>
            </v:shape>
            <v:shape id="_x0000_s230533" o:spid="_x0000_s230533" o:spt="32" type="#_x0000_t32" style="position:absolute;left:6796;top:8671;height:0;width:1104;" o:connectortype="straight" filled="f" coordsize="21600,21600">
              <v:path arrowok="t"/>
              <v:fill on="f" focussize="0,0"/>
              <v:stroke/>
              <v:imagedata o:title=""/>
              <o:lock v:ext="edit"/>
            </v:shape>
            <v:shape id="_x0000_s230534" o:spid="_x0000_s230534" o:spt="202" type="#_x0000_t202" style="position:absolute;left:3119;top:7854;height:416;width:1086;" filled="f" stroked="f" coordsize="21600,21600">
              <v:path/>
              <v:fill on="f" focussize="0,0"/>
              <v:stroke on="f" joinstyle="miter"/>
              <v:imagedata o:title=""/>
              <o:lock v:ext="edit"/>
              <v:textbox>
                <w:txbxContent>
                  <w:p>
                    <w:pPr>
                      <w:jc w:val="center"/>
                    </w:pPr>
                    <w:r>
                      <w:rPr>
                        <w:rFonts w:hint="eastAsia"/>
                      </w:rPr>
                      <w:t>337.7</w:t>
                    </w:r>
                  </w:p>
                  <w:p>
                    <w:pPr>
                      <w:jc w:val="center"/>
                    </w:pPr>
                  </w:p>
                </w:txbxContent>
              </v:textbox>
            </v:shape>
            <v:shape id="_x0000_s230535" o:spid="_x0000_s230535" o:spt="202" type="#_x0000_t202" style="position:absolute;left:4205;top:9252;height:416;width:947;" filled="f" stroked="f" coordsize="21600,21600">
              <v:path/>
              <v:fill on="f" focussize="0,0"/>
              <v:stroke on="f" joinstyle="miter"/>
              <v:imagedata o:title=""/>
              <o:lock v:ext="edit"/>
              <v:textbox>
                <w:txbxContent>
                  <w:p>
                    <w:pPr>
                      <w:jc w:val="center"/>
                    </w:pPr>
                    <w:r>
                      <w:rPr>
                        <w:rFonts w:hint="eastAsia"/>
                      </w:rPr>
                      <w:t>19.08</w:t>
                    </w:r>
                  </w:p>
                  <w:p>
                    <w:pPr>
                      <w:jc w:val="center"/>
                    </w:pPr>
                  </w:p>
                </w:txbxContent>
              </v:textbox>
            </v:shape>
            <v:shape id="_x0000_s230536" o:spid="_x0000_s230536" o:spt="202" type="#_x0000_t202" style="position:absolute;left:4205;top:7237;height:416;width:986;" filled="f" stroked="f" coordsize="21600,21600">
              <v:path/>
              <v:fill on="f" focussize="0,0"/>
              <v:stroke on="f" joinstyle="miter"/>
              <v:imagedata o:title=""/>
              <o:lock v:ext="edit"/>
              <v:textbox>
                <w:txbxContent>
                  <w:p>
                    <w:pPr>
                      <w:jc w:val="center"/>
                    </w:pPr>
                    <w:r>
                      <w:rPr>
                        <w:rFonts w:hint="eastAsia"/>
                      </w:rPr>
                      <w:t>25.08</w:t>
                    </w:r>
                  </w:p>
                  <w:p>
                    <w:pPr>
                      <w:jc w:val="center"/>
                    </w:pPr>
                  </w:p>
                </w:txbxContent>
              </v:textbox>
            </v:shape>
            <v:shape id="_x0000_s230537" o:spid="_x0000_s230537" o:spt="202" type="#_x0000_t202" style="position:absolute;left:7797;top:9279;height:416;width:977;" filled="f" stroked="f" coordsize="21600,21600">
              <v:path/>
              <v:fill on="f" focussize="0,0"/>
              <v:stroke on="f" joinstyle="miter"/>
              <v:imagedata o:title=""/>
              <o:lock v:ext="edit"/>
              <v:textbox>
                <w:txbxContent>
                  <w:p>
                    <w:pPr>
                      <w:jc w:val="center"/>
                    </w:pPr>
                    <w:r>
                      <w:rPr>
                        <w:rFonts w:hint="eastAsia"/>
                      </w:rPr>
                      <w:t>215.63</w:t>
                    </w:r>
                  </w:p>
                  <w:p>
                    <w:pPr>
                      <w:jc w:val="center"/>
                    </w:pPr>
                  </w:p>
                </w:txbxContent>
              </v:textbox>
            </v:shape>
            <v:shape id="_x0000_s230538" o:spid="_x0000_s230538" o:spt="32" type="#_x0000_t32" style="position:absolute;left:4171;top:6740;flip:x;height:5917;width:21;" o:connectortype="straight" filled="f" coordsize="21600,21600">
              <v:path arrowok="t"/>
              <v:fill on="f" focussize="0,0"/>
              <v:stroke/>
              <v:imagedata o:title=""/>
              <o:lock v:ext="edit"/>
            </v:shape>
            <v:shape id="_x0000_s230539" o:spid="_x0000_s230539" o:spt="32" type="#_x0000_t32" style="position:absolute;left:7900;top:6740;height:5918;width:10;" o:connectortype="straight" filled="f" coordsize="21600,21600">
              <v:path arrowok="t"/>
              <v:fill on="f" focussize="0,0"/>
              <v:stroke/>
              <v:imagedata o:title=""/>
              <o:lock v:ext="edit"/>
            </v:shape>
            <v:shape id="_x0000_s230540" o:spid="_x0000_s230540" o:spt="202" type="#_x0000_t202" style="position:absolute;left:5208;top:8467;height:454;width:1588;" filled="f" coordsize="21600,21600">
              <v:path/>
              <v:fill on="f" focussize="0,0"/>
              <v:stroke joinstyle="miter"/>
              <v:imagedata o:title=""/>
              <o:lock v:ext="edit"/>
              <v:textbox>
                <w:txbxContent>
                  <w:p>
                    <w:pPr>
                      <w:jc w:val="center"/>
                    </w:pPr>
                    <w:r>
                      <w:rPr>
                        <w:rFonts w:hint="eastAsia"/>
                      </w:rPr>
                      <w:t>宿舍用水</w:t>
                    </w:r>
                  </w:p>
                </w:txbxContent>
              </v:textbox>
            </v:shape>
            <v:shape id="_x0000_s230541" o:spid="_x0000_s230541" o:spt="32" type="#_x0000_t32" style="position:absolute;left:4159;top:8717;height:0;width:1069;" o:connectortype="straight" filled="f" coordsize="21600,21600">
              <v:path arrowok="t"/>
              <v:fill on="f" focussize="0,0"/>
              <v:stroke endarrow="block"/>
              <v:imagedata o:title=""/>
              <o:lock v:ext="edit"/>
            </v:shape>
            <v:shape id="_x0000_s230542" o:spid="_x0000_s230542" o:spt="202" type="#_x0000_t202" style="position:absolute;left:4267;top:8270;height:416;width:894;" filled="f" stroked="f" coordsize="21600,21600">
              <v:path/>
              <v:fill on="f" focussize="0,0"/>
              <v:stroke on="f" joinstyle="miter"/>
              <v:imagedata o:title=""/>
              <o:lock v:ext="edit"/>
              <v:textbox>
                <w:txbxContent>
                  <w:p>
                    <w:pPr>
                      <w:jc w:val="center"/>
                    </w:pPr>
                    <w:r>
                      <w:rPr>
                        <w:rFonts w:hint="eastAsia"/>
                      </w:rPr>
                      <w:t>75.30</w:t>
                    </w:r>
                  </w:p>
                  <w:p>
                    <w:pPr>
                      <w:jc w:val="center"/>
                    </w:pPr>
                  </w:p>
                </w:txbxContent>
              </v:textbox>
            </v:shape>
            <v:shape id="_x0000_s230543" o:spid="_x0000_s230543" o:spt="32" type="#_x0000_t32" style="position:absolute;left:4175;top:10679;height:1;width:1059;" o:connectortype="straight" filled="f" coordsize="21600,21600">
              <v:path arrowok="t"/>
              <v:fill on="f" focussize="0,0"/>
              <v:stroke endarrow="block"/>
              <v:imagedata o:title=""/>
              <o:lock v:ext="edit"/>
            </v:shape>
            <v:shape id="_x0000_s230544" o:spid="_x0000_s230544" o:spt="202" type="#_x0000_t202" style="position:absolute;left:5234;top:10466;height:463;width:1599;" filled="f" coordsize="21600,21600">
              <v:path/>
              <v:fill on="f" focussize="0,0"/>
              <v:stroke joinstyle="miter"/>
              <v:imagedata o:title=""/>
              <o:lock v:ext="edit"/>
              <v:textbox>
                <w:txbxContent>
                  <w:p>
                    <w:pPr>
                      <w:jc w:val="center"/>
                    </w:pPr>
                    <w:r>
                      <w:rPr>
                        <w:rFonts w:hint="eastAsia"/>
                      </w:rPr>
                      <w:t>浴室用水</w:t>
                    </w:r>
                  </w:p>
                </w:txbxContent>
              </v:textbox>
            </v:shape>
            <v:shape id="_x0000_s230545" o:spid="_x0000_s230545" o:spt="202" type="#_x0000_t202" style="position:absolute;left:4175;top:10180;height:416;width:1016;" filled="f" stroked="f" coordsize="21600,21600">
              <v:path/>
              <v:fill on="f" focussize="0,0"/>
              <v:stroke on="f" joinstyle="miter"/>
              <v:imagedata o:title=""/>
              <o:lock v:ext="edit"/>
              <v:textbox>
                <w:txbxContent>
                  <w:p>
                    <w:pPr>
                      <w:jc w:val="center"/>
                    </w:pPr>
                    <w:r>
                      <w:rPr>
                        <w:rFonts w:hint="eastAsia"/>
                      </w:rPr>
                      <w:t>97.2</w:t>
                    </w:r>
                  </w:p>
                  <w:p>
                    <w:pPr>
                      <w:jc w:val="center"/>
                    </w:pPr>
                  </w:p>
                </w:txbxContent>
              </v:textbox>
            </v:shape>
            <v:shape id="_x0000_s230546" o:spid="_x0000_s230546" o:spt="32" type="#_x0000_t32" style="position:absolute;left:6833;top:10679;height:1;width:1067;" o:connectortype="straight" filled="f" coordsize="21600,21600">
              <v:path arrowok="t"/>
              <v:fill on="f" focussize="0,0"/>
              <v:stroke/>
              <v:imagedata o:title=""/>
              <o:lock v:ext="edit"/>
            </v:shape>
            <v:shape id="_x0000_s230547" o:spid="_x0000_s230547" o:spt="38" type="#_x0000_t38" style="position:absolute;left:5593;top:7212;flip:y;height:231;width:434;" o:connectortype="curved" filled="f" coordsize="21600,21600" adj="10800,223574,-368494">
              <v:path arrowok="t"/>
              <v:fill on="f" focussize="0,0"/>
              <v:stroke endarrow="block"/>
              <v:imagedata o:title=""/>
              <o:lock v:ext="edit"/>
            </v:shape>
            <v:shape id="_x0000_s230548" o:spid="_x0000_s230548" o:spt="202" type="#_x0000_t202" style="position:absolute;left:5868;top:7005;height:416;width:850;" filled="f" stroked="f" coordsize="21600,21600">
              <v:path/>
              <v:fill on="f" focussize="0,0"/>
              <v:stroke on="f" joinstyle="miter"/>
              <v:imagedata o:title=""/>
              <o:lock v:ext="edit"/>
              <v:textbox>
                <w:txbxContent>
                  <w:p>
                    <w:pPr>
                      <w:jc w:val="center"/>
                    </w:pPr>
                    <w:r>
                      <w:rPr>
                        <w:rFonts w:hint="eastAsia"/>
                      </w:rPr>
                      <w:t>5.02</w:t>
                    </w:r>
                  </w:p>
                  <w:p>
                    <w:pPr>
                      <w:jc w:val="center"/>
                    </w:pPr>
                  </w:p>
                </w:txbxContent>
              </v:textbox>
            </v:shape>
            <v:rect id="_x0000_s230549" o:spid="_x0000_s230549" o:spt="1" style="position:absolute;left:7007;top:7250;height:490;width:1018;" filled="f" stroked="f" coordsize="21600,21600">
              <v:path/>
              <v:fill on="f" focussize="0,0"/>
              <v:stroke on="f"/>
              <v:imagedata o:title=""/>
              <o:lock v:ext="edit"/>
              <v:textbox>
                <w:txbxContent>
                  <w:p>
                    <w:r>
                      <w:rPr>
                        <w:rFonts w:hint="eastAsia"/>
                      </w:rPr>
                      <w:t>20.06</w:t>
                    </w:r>
                  </w:p>
                </w:txbxContent>
              </v:textbox>
            </v:rect>
            <v:shape id="_x0000_s230550" o:spid="_x0000_s230550" o:spt="38" type="#_x0000_t38" style="position:absolute;left:5540;top:8213;flip:y;height:231;width:434;" o:connectortype="curved" filled="f" coordsize="21600,21600" adj="10800,223574,-368494">
              <v:path arrowok="t"/>
              <v:fill on="f" focussize="0,0"/>
              <v:stroke endarrow="block"/>
              <v:imagedata o:title=""/>
              <o:lock v:ext="edit"/>
            </v:shape>
            <v:rect id="_x0000_s230551" o:spid="_x0000_s230551" o:spt="1" style="position:absolute;left:6891;top:8226;height:490;width:958;" filled="f" stroked="f" coordsize="21600,21600">
              <v:path/>
              <v:fill on="f" focussize="0,0"/>
              <v:stroke on="f"/>
              <v:imagedata o:title=""/>
              <o:lock v:ext="edit"/>
              <v:textbox>
                <w:txbxContent>
                  <w:p>
                    <w:r>
                      <w:rPr>
                        <w:rFonts w:hint="eastAsia"/>
                      </w:rPr>
                      <w:t>60.24</w:t>
                    </w:r>
                  </w:p>
                </w:txbxContent>
              </v:textbox>
            </v:rect>
            <v:shape id="_x0000_s230552" o:spid="_x0000_s230552" o:spt="38" type="#_x0000_t38" style="position:absolute;left:5462;top:9251;flip:y;height:231;width:434;" o:connectortype="curved" filled="f" coordsize="21600,21600" adj="10800,223574,-368494">
              <v:path arrowok="t"/>
              <v:fill on="f" focussize="0,0"/>
              <v:stroke endarrow="block"/>
              <v:imagedata o:title=""/>
              <o:lock v:ext="edit"/>
            </v:shape>
            <v:shape id="_x0000_s230553" o:spid="_x0000_s230553" o:spt="202" type="#_x0000_t202" style="position:absolute;left:5747;top:9026;height:416;width:850;" filled="f" stroked="f" coordsize="21600,21600">
              <v:path/>
              <v:fill on="f" focussize="0,0"/>
              <v:stroke on="f" joinstyle="miter"/>
              <v:imagedata o:title=""/>
              <o:lock v:ext="edit"/>
              <v:textbox>
                <w:txbxContent>
                  <w:p>
                    <w:pPr>
                      <w:jc w:val="center"/>
                    </w:pPr>
                    <w:r>
                      <w:rPr>
                        <w:rFonts w:hint="eastAsia"/>
                      </w:rPr>
                      <w:t>3.82</w:t>
                    </w:r>
                  </w:p>
                  <w:p>
                    <w:pPr>
                      <w:jc w:val="center"/>
                    </w:pPr>
                  </w:p>
                </w:txbxContent>
              </v:textbox>
            </v:shape>
            <v:rect id="_x0000_s230554" o:spid="_x0000_s230554" o:spt="1" style="position:absolute;left:6903;top:9258;height:475;width:801;" filled="f" stroked="f" coordsize="21600,21600">
              <v:path/>
              <v:fill on="f" focussize="0,0"/>
              <v:stroke on="f"/>
              <v:imagedata o:title=""/>
              <o:lock v:ext="edit"/>
              <v:textbox>
                <w:txbxContent>
                  <w:p>
                    <w:r>
                      <w:t>1</w:t>
                    </w:r>
                    <w:r>
                      <w:rPr>
                        <w:rFonts w:hint="eastAsia"/>
                      </w:rPr>
                      <w:t>5.26</w:t>
                    </w:r>
                  </w:p>
                  <w:p/>
                </w:txbxContent>
              </v:textbox>
            </v:rect>
            <v:shape id="_x0000_s230555" o:spid="_x0000_s230555" o:spt="38" type="#_x0000_t38" style="position:absolute;left:5538;top:10235;flip:y;height:231;width:434;" o:connectortype="curved" filled="f" coordsize="21600,21600" adj="10800,223574,-368494">
              <v:path arrowok="t"/>
              <v:fill on="f" focussize="0,0"/>
              <v:stroke endarrow="block"/>
              <v:imagedata o:title=""/>
              <o:lock v:ext="edit"/>
            </v:shape>
            <v:shape id="_x0000_s230556" o:spid="_x0000_s230556" o:spt="202" type="#_x0000_t202" style="position:absolute;left:5823;top:10036;height:430;width:973;" filled="f" stroked="f" coordsize="21600,21600">
              <v:path/>
              <v:fill on="f" focussize="0,0"/>
              <v:stroke on="f" joinstyle="miter"/>
              <v:imagedata o:title=""/>
              <o:lock v:ext="edit"/>
              <v:textbox>
                <w:txbxContent>
                  <w:p>
                    <w:pPr>
                      <w:jc w:val="center"/>
                    </w:pPr>
                    <w:r>
                      <w:rPr>
                        <w:rFonts w:hint="eastAsia"/>
                      </w:rPr>
                      <w:t>19.44</w:t>
                    </w:r>
                  </w:p>
                  <w:p>
                    <w:pPr>
                      <w:jc w:val="center"/>
                    </w:pPr>
                  </w:p>
                </w:txbxContent>
              </v:textbox>
            </v:shape>
            <v:rect id="_x0000_s230557" o:spid="_x0000_s230557" o:spt="1" style="position:absolute;left:6931;top:10285;height:451;width:773;" filled="f" stroked="f" coordsize="21600,21600">
              <v:path/>
              <v:fill on="f" focussize="0,0"/>
              <v:stroke on="f"/>
              <v:imagedata o:title=""/>
              <o:lock v:ext="edit"/>
              <v:textbox>
                <w:txbxContent>
                  <w:p>
                    <w:r>
                      <w:rPr>
                        <w:rFonts w:hint="eastAsia"/>
                      </w:rPr>
                      <w:t>77.76</w:t>
                    </w:r>
                  </w:p>
                </w:txbxContent>
              </v:textbox>
            </v:rect>
            <v:shape id="_x0000_s230558" o:spid="_x0000_s230558" o:spt="32" type="#_x0000_t32" style="position:absolute;left:4149;top:11665;height:0;width:1092;" o:connectortype="straight" filled="f" coordsize="21600,21600">
              <v:path arrowok="t"/>
              <v:fill on="f" focussize="0,0"/>
              <v:stroke endarrow="block"/>
              <v:imagedata o:title=""/>
              <o:lock v:ext="edit"/>
            </v:shape>
            <v:shape id="_x0000_s230559" o:spid="_x0000_s230559" o:spt="202" type="#_x0000_t202" style="position:absolute;left:5218;top:11460;height:504;width:1588;" filled="f" coordsize="21600,21600">
              <v:path/>
              <v:fill on="f" focussize="0,0"/>
              <v:stroke joinstyle="miter"/>
              <v:imagedata o:title=""/>
              <o:lock v:ext="edit"/>
              <v:textbox>
                <w:txbxContent>
                  <w:p>
                    <w:pPr>
                      <w:jc w:val="center"/>
                    </w:pPr>
                    <w:r>
                      <w:rPr>
                        <w:rFonts w:hint="eastAsia"/>
                      </w:rPr>
                      <w:t>洗衣房用水</w:t>
                    </w:r>
                  </w:p>
                </w:txbxContent>
              </v:textbox>
            </v:shape>
            <v:shape id="_x0000_s230560" o:spid="_x0000_s230560" o:spt="202" type="#_x0000_t202" style="position:absolute;left:4159;top:11188;height:416;width:1075;" filled="f" stroked="f" coordsize="21600,21600">
              <v:path/>
              <v:fill on="f" focussize="0,0"/>
              <v:stroke on="f" joinstyle="miter"/>
              <v:imagedata o:title=""/>
              <o:lock v:ext="edit"/>
              <v:textbox>
                <w:txbxContent>
                  <w:p>
                    <w:pPr>
                      <w:jc w:val="center"/>
                    </w:pPr>
                    <w:r>
                      <w:rPr>
                        <w:rFonts w:hint="eastAsia"/>
                      </w:rPr>
                      <w:t>13.54</w:t>
                    </w:r>
                  </w:p>
                  <w:p>
                    <w:pPr>
                      <w:jc w:val="center"/>
                    </w:pPr>
                  </w:p>
                </w:txbxContent>
              </v:textbox>
            </v:shape>
            <v:shape id="_x0000_s230561" o:spid="_x0000_s230561" o:spt="32" type="#_x0000_t32" style="position:absolute;left:6806;top:11673;height:0;width:1094;" o:connectortype="straight" filled="f" coordsize="21600,21600">
              <v:path arrowok="t"/>
              <v:fill on="f" focussize="0,0"/>
              <v:stroke/>
              <v:imagedata o:title=""/>
              <o:lock v:ext="edit"/>
            </v:shape>
            <v:shape id="_x0000_s230562" o:spid="_x0000_s230562" o:spt="38" type="#_x0000_t38" style="position:absolute;left:5446;top:11188;flip:y;height:231;width:434;" o:connectortype="curved" filled="f" coordsize="21600,21600" adj="10800,223574,-368494">
              <v:path arrowok="t"/>
              <v:fill on="f" focussize="0,0"/>
              <v:stroke endarrow="block"/>
              <v:imagedata o:title=""/>
              <o:lock v:ext="edit"/>
            </v:shape>
            <v:shape id="_x0000_s230563" o:spid="_x0000_s230563" o:spt="202" type="#_x0000_t202" style="position:absolute;left:5653;top:10929;height:430;width:973;" filled="f" stroked="f" coordsize="21600,21600">
              <v:path/>
              <v:fill on="f" focussize="0,0"/>
              <v:stroke on="f" joinstyle="miter"/>
              <v:imagedata o:title=""/>
              <o:lock v:ext="edit"/>
              <v:textbox>
                <w:txbxContent>
                  <w:p>
                    <w:pPr>
                      <w:jc w:val="center"/>
                    </w:pPr>
                    <w:r>
                      <w:rPr>
                        <w:rFonts w:hint="eastAsia"/>
                      </w:rPr>
                      <w:t>2.71</w:t>
                    </w:r>
                  </w:p>
                  <w:p>
                    <w:pPr>
                      <w:jc w:val="center"/>
                    </w:pPr>
                  </w:p>
                </w:txbxContent>
              </v:textbox>
            </v:shape>
            <v:rect id="_x0000_s230564" o:spid="_x0000_s230564" o:spt="1" style="position:absolute;left:6890;top:11201;height:490;width:932;" filled="f" stroked="f" coordsize="21600,21600">
              <v:path/>
              <v:fill on="f" focussize="0,0"/>
              <v:stroke on="f"/>
              <v:imagedata o:title=""/>
              <o:lock v:ext="edit"/>
              <v:textbox>
                <w:txbxContent>
                  <w:p>
                    <w:r>
                      <w:rPr>
                        <w:rFonts w:hint="eastAsia"/>
                      </w:rPr>
                      <w:t>10.83</w:t>
                    </w:r>
                  </w:p>
                </w:txbxContent>
              </v:textbox>
            </v:rect>
            <v:shape id="_x0000_s230565" o:spid="_x0000_s230565" o:spt="202" type="#_x0000_t202" style="position:absolute;left:1791;top:3174;height:448;width:1588;" filled="f" coordsize="21600,21600">
              <v:path/>
              <v:fill on="f" focussize="0,0"/>
              <v:stroke joinstyle="miter"/>
              <v:imagedata o:title=""/>
              <o:lock v:ext="edit"/>
              <v:textbox>
                <w:txbxContent>
                  <w:p>
                    <w:r>
                      <w:rPr>
                        <w:rFonts w:hint="eastAsia"/>
                      </w:rPr>
                      <w:t>矿井水处理站</w:t>
                    </w:r>
                  </w:p>
                </w:txbxContent>
              </v:textbox>
            </v:shape>
            <v:shape id="_x0000_s230566" o:spid="_x0000_s230566" o:spt="202" type="#_x0000_t202" style="position:absolute;left:5235;top:2801;height:465;width:1588;" filled="f" coordsize="21600,21600">
              <v:path/>
              <v:fill on="f" focussize="0,0"/>
              <v:stroke joinstyle="miter"/>
              <v:imagedata o:title=""/>
              <o:lock v:ext="edit"/>
              <v:textbox>
                <w:txbxContent>
                  <w:p>
                    <w:pPr>
                      <w:jc w:val="center"/>
                    </w:pPr>
                    <w:r>
                      <w:rPr>
                        <w:rFonts w:hint="eastAsia"/>
                      </w:rPr>
                      <w:t>井下生产</w:t>
                    </w:r>
                  </w:p>
                </w:txbxContent>
              </v:textbox>
            </v:shape>
            <v:shape id="_x0000_s230567" o:spid="_x0000_s230567" o:spt="32" type="#_x0000_t32" style="position:absolute;left:2535;top:2558;height:577;width:0;" o:connectortype="straight" filled="f" coordsize="21600,21600">
              <v:path arrowok="t"/>
              <v:fill on="f" focussize="0,0"/>
              <v:stroke endarrow="block"/>
              <v:imagedata o:title=""/>
              <o:lock v:ext="edit"/>
            </v:shape>
            <v:shape id="_x0000_s230568" o:spid="_x0000_s230568" o:spt="202" type="#_x0000_t202" style="position:absolute;left:1969;top:2090;height:455;width:1158;" filled="f" coordsize="21600,21600">
              <v:path/>
              <v:fill on="f" focussize="0,0"/>
              <v:stroke joinstyle="miter"/>
              <v:imagedata o:title=""/>
              <o:lock v:ext="edit"/>
              <v:textbox>
                <w:txbxContent>
                  <w:p>
                    <w:pPr>
                      <w:jc w:val="center"/>
                    </w:pPr>
                    <w:r>
                      <w:rPr>
                        <w:rFonts w:hint="eastAsia"/>
                      </w:rPr>
                      <w:t>矿井涌水</w:t>
                    </w:r>
                  </w:p>
                </w:txbxContent>
              </v:textbox>
            </v:shape>
            <v:shape id="_x0000_s230569" o:spid="_x0000_s230569" o:spt="32" type="#_x0000_t32" style="position:absolute;left:4144;top:2992;height:1;width:1008;" o:connectortype="straight" filled="f" coordsize="21600,21600">
              <v:path arrowok="t"/>
              <v:fill on="f" focussize="0,0"/>
              <v:stroke endarrow="block"/>
              <v:imagedata o:title=""/>
              <o:lock v:ext="edit"/>
            </v:shape>
            <v:shape id="_x0000_s230570" o:spid="_x0000_s230570" o:spt="32" type="#_x0000_t32" style="position:absolute;left:9235;top:4055;flip:y;height:5224;width:0;" o:connectortype="straight" filled="f" coordsize="21600,21600">
              <v:path arrowok="t"/>
              <v:fill on="f" focussize="0,0"/>
              <v:stroke endarrow="block"/>
              <v:imagedata o:title=""/>
              <o:lock v:ext="edit"/>
            </v:shape>
            <v:shape id="_x0000_s230571" o:spid="_x0000_s230571" o:spt="32" type="#_x0000_t32" style="position:absolute;left:4136;top:3848;height:1;width:1059;" o:connectortype="straight" filled="f" coordsize="21600,21600">
              <v:path arrowok="t"/>
              <v:fill on="f" focussize="0,0"/>
              <v:stroke endarrow="block"/>
              <v:imagedata o:title=""/>
              <o:lock v:ext="edit"/>
            </v:shape>
            <v:shape id="_x0000_s230572" o:spid="_x0000_s230572" o:spt="202" type="#_x0000_t202" style="position:absolute;left:5191;top:3609;height:474;width:1583;" filled="f" coordsize="21600,21600">
              <v:path/>
              <v:fill on="f" focussize="0,0"/>
              <v:stroke joinstyle="miter"/>
              <v:imagedata o:title=""/>
              <o:lock v:ext="edit"/>
              <v:textbox>
                <w:txbxContent>
                  <w:p>
                    <w:pPr>
                      <w:jc w:val="center"/>
                    </w:pPr>
                    <w:r>
                      <w:rPr>
                        <w:rFonts w:hint="eastAsia"/>
                      </w:rPr>
                      <w:t>洗车</w:t>
                    </w:r>
                    <w:r>
                      <w:rPr>
                        <w:rFonts w:hAnsiTheme="minorEastAsia" w:eastAsiaTheme="minorEastAsia"/>
                        <w:kern w:val="0"/>
                        <w:szCs w:val="21"/>
                      </w:rPr>
                      <w:t>平台用水</w:t>
                    </w:r>
                  </w:p>
                </w:txbxContent>
              </v:textbox>
            </v:shape>
            <v:shape id="_x0000_s230573" o:spid="_x0000_s230573" o:spt="202" type="#_x0000_t202" style="position:absolute;left:1623;top:2545;height:416;width:1180;" filled="f" stroked="f" coordsize="21600,21600">
              <v:path/>
              <v:fill on="f" focussize="0,0"/>
              <v:stroke on="f" joinstyle="miter"/>
              <v:imagedata o:title=""/>
              <o:lock v:ext="edit"/>
              <v:textbox>
                <w:txbxContent>
                  <w:p>
                    <w:pPr>
                      <w:jc w:val="center"/>
                    </w:pPr>
                    <w:r>
                      <w:rPr>
                        <w:rFonts w:hint="eastAsia"/>
                      </w:rPr>
                      <w:t>960</w:t>
                    </w:r>
                  </w:p>
                  <w:p>
                    <w:pPr>
                      <w:jc w:val="center"/>
                    </w:pPr>
                  </w:p>
                </w:txbxContent>
              </v:textbox>
            </v:shape>
            <v:shape id="_x0000_s230574" o:spid="_x0000_s230574" o:spt="202" type="#_x0000_t202" style="position:absolute;left:6892;top:3433;height:416;width:946;" filled="f" stroked="f" coordsize="21600,21600">
              <v:path/>
              <v:fill on="f" focussize="0,0"/>
              <v:stroke on="f" joinstyle="miter"/>
              <v:imagedata o:title=""/>
              <o:lock v:ext="edit"/>
              <v:textbox>
                <w:txbxContent>
                  <w:p>
                    <w:pPr>
                      <w:jc w:val="center"/>
                    </w:pPr>
                    <w:r>
                      <w:rPr>
                        <w:rFonts w:hint="eastAsia"/>
                      </w:rPr>
                      <w:t>54.55</w:t>
                    </w:r>
                  </w:p>
                  <w:p>
                    <w:pPr>
                      <w:jc w:val="center"/>
                    </w:pPr>
                  </w:p>
                </w:txbxContent>
              </v:textbox>
            </v:shape>
            <v:shape id="_x0000_s230575" o:spid="_x0000_s230575" o:spt="202" type="#_x0000_t202" style="position:absolute;left:4162;top:2571;height:416;width:915;" filled="f" stroked="f" coordsize="21600,21600">
              <v:path/>
              <v:fill on="f" focussize="0,0"/>
              <v:stroke on="f" joinstyle="miter"/>
              <v:imagedata o:title=""/>
              <o:lock v:ext="edit"/>
              <v:textbox>
                <w:txbxContent>
                  <w:p>
                    <w:pPr>
                      <w:jc w:val="center"/>
                    </w:pPr>
                    <w:r>
                      <w:rPr>
                        <w:rFonts w:hint="eastAsia"/>
                      </w:rPr>
                      <w:t>909.09</w:t>
                    </w:r>
                  </w:p>
                  <w:p>
                    <w:pPr>
                      <w:jc w:val="center"/>
                    </w:pPr>
                  </w:p>
                </w:txbxContent>
              </v:textbox>
            </v:shape>
            <v:shape id="_x0000_s230577" o:spid="_x0000_s230577" o:spt="32" type="#_x0000_t32" style="position:absolute;left:7901;top:3823;flip:x;height:1946;width:23;" o:connectortype="straight" filled="f" coordsize="21600,21600">
              <v:path arrowok="t"/>
              <v:fill on="f" focussize="0,0"/>
              <v:stroke/>
              <v:imagedata o:title=""/>
              <o:lock v:ext="edit"/>
            </v:shape>
            <v:shape id="_x0000_s230578" o:spid="_x0000_s230578" o:spt="202" type="#_x0000_t202" style="position:absolute;left:5208;top:4613;height:468;width:1588;" filled="f" coordsize="21600,21600">
              <v:path/>
              <v:fill on="f" focussize="0,0"/>
              <v:stroke joinstyle="miter"/>
              <v:imagedata o:title=""/>
              <o:lock v:ext="edit"/>
              <v:textbox>
                <w:txbxContent>
                  <w:p>
                    <w:pPr>
                      <w:jc w:val="center"/>
                    </w:pPr>
                    <w:r>
                      <w:rPr>
                        <w:rFonts w:hint="eastAsia"/>
                      </w:rPr>
                      <w:t>储煤场洒水</w:t>
                    </w:r>
                  </w:p>
                  <w:p/>
                </w:txbxContent>
              </v:textbox>
            </v:shape>
            <v:shape id="_x0000_s230579" o:spid="_x0000_s230579" o:spt="32" type="#_x0000_t32" style="position:absolute;left:4213;top:6742;height:0;width:1005;" o:connectortype="straight" filled="f" coordsize="21600,21600">
              <v:path arrowok="t"/>
              <v:fill on="f" focussize="0,0"/>
              <v:stroke endarrow="block"/>
              <v:imagedata o:title=""/>
              <o:lock v:ext="edit"/>
            </v:shape>
            <v:shape id="_x0000_s230580" o:spid="_x0000_s230580" o:spt="202" type="#_x0000_t202" style="position:absolute;left:7000;top:4372;height:416;width:779;" filled="f" stroked="f" coordsize="21600,21600">
              <v:path/>
              <v:fill on="f" focussize="0,0"/>
              <v:stroke on="f" joinstyle="miter"/>
              <v:imagedata o:title=""/>
              <o:lock v:ext="edit"/>
              <v:textbox>
                <w:txbxContent>
                  <w:p>
                    <w:pPr>
                      <w:jc w:val="center"/>
                    </w:pPr>
                    <w:r>
                      <w:rPr>
                        <w:rFonts w:hint="eastAsia"/>
                      </w:rPr>
                      <w:t>36.40</w:t>
                    </w:r>
                  </w:p>
                  <w:p>
                    <w:pPr>
                      <w:jc w:val="center"/>
                    </w:pPr>
                  </w:p>
                </w:txbxContent>
              </v:textbox>
            </v:shape>
            <v:shape id="_x0000_s230581" o:spid="_x0000_s230581" o:spt="202" type="#_x0000_t202" style="position:absolute;left:5190;top:5552;height:486;width:1588;" filled="f" coordsize="21600,21600">
              <v:path/>
              <v:fill on="f" focussize="0,0"/>
              <v:stroke joinstyle="miter"/>
              <v:imagedata o:title=""/>
              <o:lock v:ext="edit"/>
              <v:textbox>
                <w:txbxContent>
                  <w:p>
                    <w:pPr>
                      <w:jc w:val="center"/>
                    </w:pPr>
                    <w:r>
                      <w:rPr>
                        <w:rFonts w:hint="eastAsia"/>
                      </w:rPr>
                      <w:t>厂区道路洒水</w:t>
                    </w:r>
                  </w:p>
                </w:txbxContent>
              </v:textbox>
            </v:shape>
            <v:shape id="_x0000_s230582" o:spid="_x0000_s230582" o:spt="202" type="#_x0000_t202" style="position:absolute;left:6872;top:5353;height:416;width:901;" filled="f" stroked="f" coordsize="21600,21600">
              <v:path/>
              <v:fill on="f" focussize="0,0"/>
              <v:stroke on="f" joinstyle="miter"/>
              <v:imagedata o:title=""/>
              <o:lock v:ext="edit"/>
              <v:textbox>
                <w:txbxContent>
                  <w:p>
                    <w:pPr>
                      <w:jc w:val="center"/>
                    </w:pPr>
                    <w:r>
                      <w:rPr>
                        <w:rFonts w:hint="eastAsia"/>
                      </w:rPr>
                      <w:t>34.00</w:t>
                    </w:r>
                  </w:p>
                  <w:p>
                    <w:pPr>
                      <w:jc w:val="center"/>
                    </w:pPr>
                  </w:p>
                </w:txbxContent>
              </v:textbox>
            </v:shape>
            <v:shape id="_x0000_s230583" o:spid="_x0000_s230583" o:spt="38" type="#_x0000_t38" style="position:absolute;left:5538;top:2545;flip:y;height:231;width:434;" o:connectortype="curved" filled="f" coordsize="21600,21600" adj="10800,223574,-368494">
              <v:path arrowok="t"/>
              <v:fill on="f" focussize="0,0"/>
              <v:stroke endarrow="block"/>
              <v:imagedata o:title=""/>
              <o:lock v:ext="edit"/>
            </v:shape>
            <v:shape id="_x0000_s230584" o:spid="_x0000_s230584" o:spt="38" type="#_x0000_t38" style="position:absolute;left:5514;top:4372;flip:y;height:231;width:434;" o:connectortype="curved" filled="f" coordsize="21600,21600" adj="10800,223574,-368494">
              <v:path arrowok="t"/>
              <v:fill on="f" focussize="0,0"/>
              <v:stroke endarrow="block"/>
              <v:imagedata o:title=""/>
              <o:lock v:ext="edit"/>
            </v:shape>
            <v:shape id="_x0000_s230585" o:spid="_x0000_s230585" o:spt="202" type="#_x0000_t202" style="position:absolute;left:5858;top:4186;height:416;width:850;" filled="f" stroked="f" coordsize="21600,21600">
              <v:path/>
              <v:fill on="f" focussize="0,0"/>
              <v:stroke on="f" joinstyle="miter"/>
              <v:imagedata o:title=""/>
              <o:lock v:ext="edit"/>
              <v:textbox>
                <w:txbxContent>
                  <w:p>
                    <w:pPr>
                      <w:jc w:val="center"/>
                    </w:pPr>
                    <w:r>
                      <w:rPr>
                        <w:rFonts w:hint="eastAsia"/>
                      </w:rPr>
                      <w:t>36.40</w:t>
                    </w:r>
                  </w:p>
                  <w:p>
                    <w:pPr>
                      <w:jc w:val="center"/>
                    </w:pPr>
                  </w:p>
                </w:txbxContent>
              </v:textbox>
            </v:shape>
            <v:shape id="_x0000_s230586" o:spid="_x0000_s230586" o:spt="38" type="#_x0000_t38" style="position:absolute;left:5420;top:3378;flip:y;height:231;width:434;" o:connectortype="curved" filled="f" coordsize="21600,21600" adj="10800,223574,-368494">
              <v:path arrowok="t"/>
              <v:fill on="f" focussize="0,0"/>
              <v:stroke endarrow="block"/>
              <v:imagedata o:title=""/>
              <o:lock v:ext="edit"/>
            </v:shape>
            <v:shape id="_x0000_s230587" o:spid="_x0000_s230587" o:spt="202" type="#_x0000_t202" style="position:absolute;left:5724;top:3187;height:416;width:850;" filled="f" stroked="f" coordsize="21600,21600">
              <v:path/>
              <v:fill on="f" focussize="0,0"/>
              <v:stroke on="f" joinstyle="miter"/>
              <v:imagedata o:title=""/>
              <o:lock v:ext="edit"/>
              <v:textbox>
                <w:txbxContent>
                  <w:p>
                    <w:pPr>
                      <w:jc w:val="center"/>
                    </w:pPr>
                    <w:r>
                      <w:rPr>
                        <w:rFonts w:hint="eastAsia"/>
                      </w:rPr>
                      <w:t>54.55</w:t>
                    </w:r>
                  </w:p>
                  <w:p>
                    <w:pPr>
                      <w:jc w:val="center"/>
                    </w:pPr>
                  </w:p>
                </w:txbxContent>
              </v:textbox>
            </v:shape>
            <v:shape id="_x0000_s230588" o:spid="_x0000_s230588" o:spt="38" type="#_x0000_t38" style="position:absolute;left:5418;top:5306;flip:y;height:231;width:434;" o:connectortype="curved" filled="f" coordsize="21600,21600" adj="10800,223574,-368494">
              <v:path arrowok="t"/>
              <v:fill on="f" focussize="0,0"/>
              <v:stroke endarrow="block"/>
              <v:imagedata o:title=""/>
              <o:lock v:ext="edit"/>
            </v:shape>
            <v:shape id="_x0000_s230589" o:spid="_x0000_s230589" o:spt="202" type="#_x0000_t202" style="position:absolute;left:5703;top:5096;height:430;width:973;" filled="f" stroked="f" coordsize="21600,21600">
              <v:path/>
              <v:fill on="f" focussize="0,0"/>
              <v:stroke on="f" joinstyle="miter"/>
              <v:imagedata o:title=""/>
              <o:lock v:ext="edit"/>
              <v:textbox>
                <w:txbxContent>
                  <w:p>
                    <w:pPr>
                      <w:jc w:val="center"/>
                    </w:pPr>
                    <w:r>
                      <w:rPr>
                        <w:rFonts w:hint="eastAsia"/>
                      </w:rPr>
                      <w:t>34.00</w:t>
                    </w:r>
                  </w:p>
                  <w:p>
                    <w:pPr>
                      <w:jc w:val="center"/>
                    </w:pPr>
                  </w:p>
                </w:txbxContent>
              </v:textbox>
            </v:shape>
            <v:shape id="_x0000_s230590" o:spid="_x0000_s230590" o:spt="202" type="#_x0000_t202" style="position:absolute;left:5195;top:6532;height:473;width:1588;" filled="f" coordsize="21600,21600">
              <v:path/>
              <v:fill on="f" focussize="0,0"/>
              <v:stroke joinstyle="miter"/>
              <v:imagedata o:title=""/>
              <o:lock v:ext="edit"/>
              <v:textbox>
                <w:txbxContent>
                  <w:p>
                    <w:pPr>
                      <w:jc w:val="center"/>
                    </w:pPr>
                    <w:r>
                      <w:rPr>
                        <w:rFonts w:hint="eastAsia"/>
                      </w:rPr>
                      <w:t>锅炉补充水</w:t>
                    </w:r>
                  </w:p>
                </w:txbxContent>
              </v:textbox>
            </v:shape>
            <v:shape id="_x0000_s230591" o:spid="_x0000_s230591" o:spt="202" type="#_x0000_t202" style="position:absolute;left:4251;top:6301;height:416;width:901;" filled="f" stroked="f" coordsize="21600,21600">
              <v:path/>
              <v:fill on="f" focussize="0,0"/>
              <v:stroke on="f" joinstyle="miter"/>
              <v:imagedata o:title=""/>
              <o:lock v:ext="edit"/>
              <v:textbox>
                <w:txbxContent>
                  <w:p>
                    <w:pPr>
                      <w:jc w:val="center"/>
                    </w:pPr>
                    <w:r>
                      <w:rPr>
                        <w:rFonts w:hint="eastAsia"/>
                      </w:rPr>
                      <w:t>76.8</w:t>
                    </w:r>
                  </w:p>
                  <w:p>
                    <w:pPr>
                      <w:jc w:val="center"/>
                    </w:pPr>
                  </w:p>
                </w:txbxContent>
              </v:textbox>
            </v:shape>
            <v:shape id="_x0000_s230592" o:spid="_x0000_s230592" o:spt="38" type="#_x0000_t38" style="position:absolute;left:5457;top:6301;flip:y;height:231;width:434;" o:connectortype="curved" filled="f" coordsize="21600,21600" adj="10800,223574,-368494">
              <v:path arrowok="t"/>
              <v:fill on="f" focussize="0,0"/>
              <v:stroke endarrow="block"/>
              <v:imagedata o:title=""/>
              <o:lock v:ext="edit"/>
            </v:shape>
            <v:shape id="_x0000_s230593" o:spid="_x0000_s230593" o:spt="202" type="#_x0000_t202" style="position:absolute;left:5686;top:6102;height:430;width:973;" filled="f" stroked="f" coordsize="21600,21600">
              <v:path/>
              <v:fill on="f" focussize="0,0"/>
              <v:stroke on="f" joinstyle="miter"/>
              <v:imagedata o:title=""/>
              <o:lock v:ext="edit"/>
              <v:textbox>
                <w:txbxContent>
                  <w:p>
                    <w:pPr>
                      <w:jc w:val="center"/>
                    </w:pPr>
                    <w:r>
                      <w:rPr>
                        <w:rFonts w:hint="eastAsia"/>
                      </w:rPr>
                      <w:t>69.89</w:t>
                    </w:r>
                  </w:p>
                  <w:p>
                    <w:pPr>
                      <w:jc w:val="center"/>
                    </w:pPr>
                  </w:p>
                </w:txbxContent>
              </v:textbox>
            </v:shape>
            <v:shape id="_x0000_s230594" o:spid="_x0000_s230594" o:spt="202" type="#_x0000_t202" style="position:absolute;left:5868;top:2321;height:416;width:1022;" filled="f" stroked="f" coordsize="21600,21600">
              <v:path/>
              <v:fill on="f" focussize="0,0"/>
              <v:stroke on="f" joinstyle="miter"/>
              <v:imagedata o:title=""/>
              <o:lock v:ext="edit"/>
              <v:textbox>
                <w:txbxContent>
                  <w:p>
                    <w:pPr>
                      <w:jc w:val="center"/>
                    </w:pPr>
                    <w:r>
                      <w:rPr>
                        <w:rFonts w:hint="eastAsia"/>
                      </w:rPr>
                      <w:t>909.09</w:t>
                    </w:r>
                  </w:p>
                  <w:p>
                    <w:pPr>
                      <w:jc w:val="center"/>
                    </w:pPr>
                  </w:p>
                </w:txbxContent>
              </v:textbox>
            </v:shape>
            <v:rect id="_x0000_s230595" o:spid="_x0000_s230595" o:spt="1" style="position:absolute;left:4280;top:3425;height:405;width:864;" filled="f" stroked="f" coordsize="21600,21600">
              <v:path/>
              <v:fill on="f" focussize="0,0"/>
              <v:stroke on="f"/>
              <v:imagedata o:title=""/>
              <o:lock v:ext="edit"/>
              <v:textbox>
                <w:txbxContent>
                  <w:p>
                    <w:r>
                      <w:rPr>
                        <w:rFonts w:hint="eastAsia"/>
                      </w:rPr>
                      <w:t>50.91</w:t>
                    </w:r>
                  </w:p>
                </w:txbxContent>
              </v:textbox>
            </v:rect>
            <v:shape id="_x0000_s230596" o:spid="_x0000_s230596" o:spt="32" type="#_x0000_t32" style="position:absolute;left:7910;top:5168;height:0;width:1325;" o:connectortype="straight" filled="f" coordsize="21600,21600">
              <v:path arrowok="t"/>
              <v:fill on="f" focussize="0,0"/>
              <v:stroke/>
              <v:imagedata o:title=""/>
              <o:lock v:ext="edit"/>
            </v:shape>
            <v:shape id="_x0000_s230597" o:spid="_x0000_s230597" o:spt="202" type="#_x0000_t202" style="position:absolute;left:5815;top:7971;height:430;width:973;" filled="f" stroked="f" coordsize="21600,21600">
              <v:path/>
              <v:fill on="f" focussize="0,0"/>
              <v:stroke on="f" joinstyle="miter"/>
              <v:imagedata o:title=""/>
              <o:lock v:ext="edit"/>
              <v:textbox>
                <w:txbxContent>
                  <w:p>
                    <w:pPr>
                      <w:jc w:val="center"/>
                    </w:pPr>
                    <w:r>
                      <w:rPr>
                        <w:rFonts w:hint="eastAsia"/>
                      </w:rPr>
                      <w:t>15.06</w:t>
                    </w:r>
                  </w:p>
                  <w:p>
                    <w:pPr>
                      <w:jc w:val="center"/>
                    </w:pPr>
                  </w:p>
                </w:txbxContent>
              </v:textbox>
            </v:shape>
            <v:rect id="_x0000_s230598" o:spid="_x0000_s230598" o:spt="1" style="position:absolute;left:9088;top:12408;height:493;width:1513;" stroked="f" coordsize="21600,21600">
              <v:path/>
              <v:fill focussize="0,0"/>
              <v:stroke on="f"/>
              <v:imagedata o:title=""/>
              <o:lock v:ext="edit"/>
              <v:textbox>
                <w:txbxContent>
                  <w:p>
                    <w:r>
                      <w:rPr>
                        <w:rFonts w:hint="eastAsia"/>
                      </w:rPr>
                      <w:t>单位：</w:t>
                    </w:r>
                    <w:r>
                      <w:t>m</w:t>
                    </w:r>
                    <w:r>
                      <w:rPr>
                        <w:vertAlign w:val="superscript"/>
                      </w:rPr>
                      <w:t>3</w:t>
                    </w:r>
                    <w:r>
                      <w:t>/d</w:t>
                    </w:r>
                  </w:p>
                </w:txbxContent>
              </v:textbox>
            </v:rect>
            <v:shape id="_x0000_s230600" o:spid="_x0000_s230600" o:spt="202" type="#_x0000_t202" style="position:absolute;left:9088;top:4372;height:379;width:927;" filled="f" stroked="f" coordsize="21600,21600">
              <v:path/>
              <v:fill on="f" focussize="0,0"/>
              <v:stroke on="f" joinstyle="miter"/>
              <v:imagedata o:title=""/>
              <o:lock v:ext="edit"/>
              <v:textbox>
                <w:txbxContent>
                  <w:p>
                    <w:pPr>
                      <w:jc w:val="center"/>
                    </w:pPr>
                    <w:r>
                      <w:rPr>
                        <w:rFonts w:hint="eastAsia"/>
                      </w:rPr>
                      <w:t>90.68</w:t>
                    </w:r>
                  </w:p>
                  <w:p>
                    <w:pPr>
                      <w:jc w:val="center"/>
                    </w:pPr>
                  </w:p>
                </w:txbxContent>
              </v:textbox>
            </v:shape>
            <v:shape id="_x0000_s230601" o:spid="_x0000_s230601" o:spt="32" type="#_x0000_t32" style="position:absolute;left:4160;top:12657;height:1;width:1059;" o:connectortype="straight" filled="f" coordsize="21600,21600">
              <v:path arrowok="t"/>
              <v:fill on="f" focussize="0,0"/>
              <v:stroke endarrow="block"/>
              <v:imagedata o:title=""/>
              <o:lock v:ext="edit"/>
            </v:shape>
            <v:shape id="_x0000_s230602" o:spid="_x0000_s230602" o:spt="202" type="#_x0000_t202" style="position:absolute;left:5219;top:12444;height:504;width:1588;" filled="f" coordsize="21600,21600">
              <v:path/>
              <v:fill on="f" focussize="0,0"/>
              <v:stroke joinstyle="miter"/>
              <v:imagedata o:title=""/>
              <o:lock v:ext="edit"/>
              <v:textbox>
                <w:txbxContent>
                  <w:p>
                    <w:pPr>
                      <w:jc w:val="center"/>
                    </w:pPr>
                    <w:r>
                      <w:rPr>
                        <w:rFonts w:hint="eastAsia"/>
                      </w:rPr>
                      <w:t>未预见用水</w:t>
                    </w:r>
                  </w:p>
                  <w:p/>
                </w:txbxContent>
              </v:textbox>
            </v:shape>
            <v:shape id="_x0000_s230603" o:spid="_x0000_s230603" o:spt="202" type="#_x0000_t202" style="position:absolute;left:4160;top:12172;height:416;width:1075;" filled="f" stroked="f" coordsize="21600,21600">
              <v:path/>
              <v:fill on="f" focussize="0,0"/>
              <v:stroke on="f" joinstyle="miter"/>
              <v:imagedata o:title=""/>
              <o:lock v:ext="edit"/>
              <v:textbox>
                <w:txbxContent>
                  <w:p>
                    <w:pPr>
                      <w:jc w:val="center"/>
                    </w:pPr>
                    <w:r>
                      <w:rPr>
                        <w:rFonts w:hint="eastAsia"/>
                      </w:rPr>
                      <w:t>30.7</w:t>
                    </w:r>
                  </w:p>
                  <w:p>
                    <w:pPr>
                      <w:jc w:val="center"/>
                    </w:pPr>
                  </w:p>
                </w:txbxContent>
              </v:textbox>
            </v:shape>
            <v:shape id="_x0000_s230604" o:spid="_x0000_s230604" o:spt="32" type="#_x0000_t32" style="position:absolute;left:6807;top:12657;height:0;width:1094;" o:connectortype="straight" filled="f" coordsize="21600,21600">
              <v:path arrowok="t"/>
              <v:fill on="f" focussize="0,0"/>
              <v:stroke/>
              <v:imagedata o:title=""/>
              <o:lock v:ext="edit"/>
            </v:shape>
            <v:shape id="_x0000_s230605" o:spid="_x0000_s230605" o:spt="38" type="#_x0000_t38" style="position:absolute;left:5447;top:12198;flip:y;height:231;width:434;" o:connectortype="curved" filled="f" coordsize="21600,21600" adj="10800,223574,-368494">
              <v:path arrowok="t"/>
              <v:fill on="f" focussize="0,0"/>
              <v:stroke endarrow="block"/>
              <v:imagedata o:title=""/>
              <o:lock v:ext="edit"/>
            </v:shape>
            <v:shape id="_x0000_s230606" o:spid="_x0000_s230606" o:spt="202" type="#_x0000_t202" style="position:absolute;left:5641;top:11978;height:430;width:973;" filled="f" stroked="f" coordsize="21600,21600">
              <v:path/>
              <v:fill on="f" focussize="0,0"/>
              <v:stroke on="f" joinstyle="miter"/>
              <v:imagedata o:title=""/>
              <o:lock v:ext="edit"/>
              <v:textbox>
                <w:txbxContent>
                  <w:p>
                    <w:pPr>
                      <w:jc w:val="center"/>
                    </w:pPr>
                    <w:r>
                      <w:rPr>
                        <w:rFonts w:hint="eastAsia"/>
                      </w:rPr>
                      <w:t>6.14</w:t>
                    </w:r>
                  </w:p>
                  <w:p>
                    <w:pPr>
                      <w:jc w:val="center"/>
                    </w:pPr>
                  </w:p>
                </w:txbxContent>
              </v:textbox>
            </v:shape>
            <v:rect id="_x0000_s230607" o:spid="_x0000_s230607" o:spt="1" style="position:absolute;left:6891;top:12185;height:490;width:932;" filled="f" stroked="f" coordsize="21600,21600">
              <v:path/>
              <v:fill on="f" focussize="0,0"/>
              <v:stroke on="f"/>
              <v:imagedata o:title=""/>
              <o:lock v:ext="edit"/>
              <v:textbox>
                <w:txbxContent>
                  <w:p>
                    <w:r>
                      <w:rPr>
                        <w:rFonts w:hint="eastAsia"/>
                      </w:rPr>
                      <w:t>24.56</w:t>
                    </w:r>
                  </w:p>
                </w:txbxContent>
              </v:textbox>
            </v:rect>
            <v:shape id="_x0000_s230608" o:spid="_x0000_s230608" o:spt="32" type="#_x0000_t32" style="position:absolute;left:6802;top:3823;flip:x;height:1;width:1122;" o:connectortype="straight" filled="f" coordsize="21600,21600">
              <v:path arrowok="t"/>
              <v:fill on="f" focussize="0,0"/>
              <v:stroke endarrow="block"/>
              <v:imagedata o:title=""/>
              <o:lock v:ext="edit"/>
            </v:shape>
            <v:shape id="_x0000_s230609" o:spid="_x0000_s230609" o:spt="32" type="#_x0000_t32" style="position:absolute;left:6798;top:5768;flip:x;height:1;width:1081;" o:connectortype="straight" filled="f" coordsize="21600,21600">
              <v:path arrowok="t"/>
              <v:fill on="f" focussize="0,0"/>
              <v:stroke endarrow="block"/>
              <v:imagedata o:title=""/>
              <o:lock v:ext="edit"/>
            </v:shape>
            <v:shape id="_x0000_s230610" o:spid="_x0000_s230610" o:spt="32" type="#_x0000_t32" style="position:absolute;left:6813;top:4776;flip:x;height:2;width:1077;" o:connectortype="straight" filled="f" coordsize="21600,21600">
              <v:path arrowok="t"/>
              <v:fill on="f" focussize="0,0"/>
              <v:stroke endarrow="block"/>
              <v:imagedata o:title=""/>
              <o:lock v:ext="edit"/>
            </v:shape>
            <v:shape id="_x0000_s230611" o:spid="_x0000_s230611" o:spt="202" type="#_x0000_t202" style="position:absolute;left:8111;top:5168;height:416;width:977;" filled="f" stroked="f" coordsize="21600,21600">
              <v:path/>
              <v:fill on="f" focussize="0,0"/>
              <v:stroke on="f" joinstyle="miter"/>
              <v:imagedata o:title=""/>
              <o:lock v:ext="edit"/>
              <v:textbox>
                <w:txbxContent>
                  <w:p>
                    <w:pPr>
                      <w:jc w:val="center"/>
                    </w:pPr>
                    <w:r>
                      <w:rPr>
                        <w:rFonts w:hint="eastAsia"/>
                      </w:rPr>
                      <w:t>124.95</w:t>
                    </w:r>
                  </w:p>
                  <w:p>
                    <w:pPr>
                      <w:jc w:val="center"/>
                    </w:pPr>
                  </w:p>
                </w:txbxContent>
              </v:textbox>
            </v:shape>
            <v:shape id="_x0000_s230612" o:spid="_x0000_s230612" o:spt="32" type="#_x0000_t32" style="position:absolute;left:3392;top:3378;height:1;width:744;" o:connectortype="straight" filled="f" coordsize="21600,21600">
              <v:path arrowok="t"/>
              <v:fill on="f" focussize="0,0"/>
              <v:stroke/>
              <v:imagedata o:title=""/>
              <o:lock v:ext="edit"/>
            </v:shape>
            <v:shape id="_x0000_s230613" o:spid="_x0000_s230613" o:spt="32" type="#_x0000_t32" style="position:absolute;left:4136;top:2992;height:856;width:0;" o:connectortype="straight" filled="f" coordsize="21600,21600">
              <v:path arrowok="t"/>
              <v:fill on="f" focussize="0,0"/>
              <v:stroke/>
              <v:imagedata o:title=""/>
              <o:lock v:ext="edit"/>
            </v:shape>
            <v:shape id="_x0000_s230647" o:spid="_x0000_s230647" o:spt="202" type="#_x0000_t202" style="position:absolute;left:6905;top:6324;height:416;width:779;" filled="f" stroked="f" coordsize="21600,21600">
              <v:path/>
              <v:fill on="f" focussize="0,0"/>
              <v:stroke on="f" joinstyle="miter"/>
              <v:imagedata o:title=""/>
              <o:lock v:ext="edit"/>
              <v:textbox>
                <w:txbxContent>
                  <w:p>
                    <w:pPr>
                      <w:jc w:val="center"/>
                    </w:pPr>
                    <w:r>
                      <w:rPr>
                        <w:rFonts w:hint="eastAsia"/>
                      </w:rPr>
                      <w:t>6.91</w:t>
                    </w:r>
                  </w:p>
                  <w:p>
                    <w:pPr>
                      <w:jc w:val="center"/>
                    </w:pPr>
                  </w:p>
                </w:txbxContent>
              </v:textbox>
            </v:shape>
            <v:shape id="_x0000_s230648" o:spid="_x0000_s230648" o:spt="32" type="#_x0000_t32" style="position:absolute;left:6796;top:6740;height:0;width:1085;" o:connectortype="straight" filled="f" coordsize="21600,21600">
              <v:path arrowok="t"/>
              <v:fill on="f" focussize="0,0"/>
              <v:stroke/>
              <v:imagedata o:title=""/>
              <o:lock v:ext="edit"/>
            </v:shape>
            <v:shape id="_x0000_s230649" o:spid="_x0000_s230649" o:spt="202" type="#_x0000_t202" style="position:absolute;left:8529;top:3306;height:749;width:1399;" filled="f" coordsize="21600,21600">
              <v:path/>
              <v:fill on="f" focussize="0,0"/>
              <v:stroke joinstyle="miter"/>
              <v:imagedata o:title=""/>
              <o:lock v:ext="edit"/>
              <v:textbox>
                <w:txbxContent>
                  <w:p>
                    <w:pPr>
                      <w:jc w:val="center"/>
                    </w:pPr>
                    <w:r>
                      <w:rPr>
                        <w:rFonts w:hint="eastAsia"/>
                      </w:rPr>
                      <w:t>洗煤厂生产补水</w:t>
                    </w:r>
                  </w:p>
                </w:txbxContent>
              </v:textbox>
            </v:shape>
          </v:group>
        </w:pict>
      </w:r>
      <w:r>
        <w:rPr>
          <w:rFonts w:hAnsi="宋体"/>
          <w:b/>
          <w:szCs w:val="21"/>
        </w:rPr>
        <w:br w:type="page"/>
      </w:r>
      <w:r>
        <w:rPr>
          <w:rFonts w:hint="eastAsia" w:hAnsiTheme="minorEastAsia" w:eastAsiaTheme="minorEastAsia"/>
          <w:b/>
          <w:sz w:val="24"/>
        </w:rPr>
        <w:t>3.5.2.2</w:t>
      </w:r>
      <w:r>
        <w:rPr>
          <w:rFonts w:hAnsiTheme="minorEastAsia" w:eastAsiaTheme="minorEastAsia"/>
          <w:b/>
          <w:sz w:val="24"/>
        </w:rPr>
        <w:t>供电</w:t>
      </w:r>
    </w:p>
    <w:p>
      <w:pPr>
        <w:pStyle w:val="77"/>
        <w:ind w:firstLine="482"/>
        <w:rPr>
          <w:b/>
        </w:rPr>
      </w:pPr>
      <w:r>
        <w:rPr>
          <w:rFonts w:hint="eastAsia"/>
          <w:b/>
        </w:rPr>
        <w:t>原环评：</w:t>
      </w:r>
    </w:p>
    <w:p>
      <w:pPr>
        <w:pStyle w:val="77"/>
        <w:ind w:firstLine="480"/>
      </w:pPr>
      <w:r>
        <w:rPr>
          <w:rFonts w:hint="eastAsia"/>
        </w:rPr>
        <w:t>矿井工业场地内建35kV变电所一座，采用35kV双回路供电，两回路35kV电源分别引自林家坪110 kV变电站和临县高家山110kV变电站，供电距离分别为9km和6km，采用铁塔或水泥门型杆架空敷设。两2回输电线路导线均采用LGJ-120，避雷线采用OPGW-35，8芯。变压器采用SZ10-6300/35﹑35±3×2. 5%/</w:t>
      </w:r>
      <w:r>
        <w:t>10.5kV</w:t>
      </w:r>
      <w:r>
        <w:rPr>
          <w:rFonts w:hint="eastAsia"/>
        </w:rPr>
        <w:t xml:space="preserve"> 、6300kVA主变压器2台。</w:t>
      </w:r>
    </w:p>
    <w:p>
      <w:pPr>
        <w:pStyle w:val="77"/>
        <w:ind w:firstLine="482"/>
        <w:rPr>
          <w:b/>
        </w:rPr>
      </w:pPr>
      <w:r>
        <w:rPr>
          <w:rFonts w:hint="eastAsia"/>
          <w:b/>
        </w:rPr>
        <w:t>变更后：</w:t>
      </w:r>
    </w:p>
    <w:p>
      <w:pPr>
        <w:spacing w:line="360" w:lineRule="auto"/>
        <w:ind w:firstLine="480" w:firstLineChars="200"/>
        <w:rPr>
          <w:sz w:val="24"/>
        </w:rPr>
      </w:pPr>
      <w:r>
        <w:rPr>
          <w:rFonts w:hint="eastAsia"/>
          <w:sz w:val="24"/>
        </w:rPr>
        <w:t>矿井工业场地内建35kV变电所一座，采用35kV双回路供电， 两回35kV供电电源更改为1回引自林家坪35 kV变电站，线路长约8km，导线型号为LGJ-185，采用铁塔架设并全线架设避雷线；另1回由胜利煤业35kV变电站转供，线路长约2.5km，导线型号为LGJ-185，采用铁塔架设并全线架设避雷线，其中1根避雷线采用OPGW24芯光纤复合架空地线，另1根采用钢芯铝绞线。变压器采用SZ13-12500/35、35±3×2.5%/</w:t>
      </w:r>
      <w:r>
        <w:rPr>
          <w:sz w:val="24"/>
        </w:rPr>
        <w:t>10.5kV</w:t>
      </w:r>
      <w:r>
        <w:rPr>
          <w:rFonts w:hint="eastAsia"/>
          <w:sz w:val="24"/>
        </w:rPr>
        <w:t xml:space="preserve"> 、12500kVA，2台室外布置。</w:t>
      </w:r>
    </w:p>
    <w:p>
      <w:pPr>
        <w:spacing w:line="360" w:lineRule="auto"/>
        <w:outlineLvl w:val="3"/>
        <w:rPr>
          <w:rFonts w:hAnsiTheme="minorEastAsia" w:eastAsiaTheme="minorEastAsia"/>
          <w:b/>
          <w:sz w:val="24"/>
        </w:rPr>
      </w:pPr>
      <w:r>
        <w:rPr>
          <w:rFonts w:hint="eastAsia" w:hAnsiTheme="minorEastAsia" w:eastAsiaTheme="minorEastAsia"/>
          <w:b/>
          <w:sz w:val="24"/>
        </w:rPr>
        <w:t>3.5.2.3</w:t>
      </w:r>
      <w:r>
        <w:rPr>
          <w:rFonts w:hAnsiTheme="minorEastAsia" w:eastAsiaTheme="minorEastAsia"/>
          <w:b/>
          <w:sz w:val="24"/>
        </w:rPr>
        <w:t>采暖、供热</w:t>
      </w:r>
    </w:p>
    <w:p>
      <w:pPr>
        <w:spacing w:line="360" w:lineRule="auto"/>
        <w:ind w:firstLine="482" w:firstLineChars="200"/>
        <w:rPr>
          <w:rFonts w:hAnsiTheme="minorEastAsia" w:eastAsiaTheme="minorEastAsia"/>
          <w:b/>
          <w:kern w:val="0"/>
          <w:sz w:val="24"/>
          <w:lang w:val="en-GB"/>
        </w:rPr>
      </w:pPr>
      <w:r>
        <w:rPr>
          <w:rFonts w:hint="eastAsia" w:hAnsiTheme="minorEastAsia" w:eastAsiaTheme="minorEastAsia"/>
          <w:b/>
          <w:kern w:val="0"/>
          <w:sz w:val="24"/>
          <w:lang w:val="en-GB"/>
        </w:rPr>
        <w:t>原环评：</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工业场地新建锅炉房一座。</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设计给出的锅炉配置为</w:t>
      </w:r>
      <w:r>
        <w:rPr>
          <w:rFonts w:hAnsiTheme="minorEastAsia" w:eastAsiaTheme="minorEastAsia"/>
          <w:kern w:val="0"/>
          <w:sz w:val="24"/>
        </w:rPr>
        <w:t>2</w:t>
      </w:r>
      <w:r>
        <w:rPr>
          <w:rFonts w:hint="eastAsia" w:hAnsiTheme="minorEastAsia" w:eastAsiaTheme="minorEastAsia"/>
          <w:kern w:val="0"/>
          <w:sz w:val="24"/>
        </w:rPr>
        <w:t>台</w:t>
      </w:r>
      <w:r>
        <w:rPr>
          <w:rFonts w:hAnsiTheme="minorEastAsia" w:eastAsiaTheme="minorEastAsia"/>
          <w:kern w:val="0"/>
          <w:sz w:val="24"/>
        </w:rPr>
        <w:t>SZL10-1.25-A</w:t>
      </w:r>
      <w:r>
        <w:rPr>
          <w:rFonts w:hint="eastAsia" w:hAnsiTheme="minorEastAsia" w:eastAsiaTheme="minorEastAsia"/>
          <w:kern w:val="0"/>
          <w:sz w:val="24"/>
        </w:rPr>
        <w:t>Ⅱ型蒸汽锅炉。非采暖运行</w:t>
      </w:r>
      <w:r>
        <w:rPr>
          <w:rFonts w:hAnsiTheme="minorEastAsia" w:eastAsiaTheme="minorEastAsia"/>
          <w:kern w:val="0"/>
          <w:sz w:val="24"/>
        </w:rPr>
        <w:t>1</w:t>
      </w:r>
      <w:r>
        <w:rPr>
          <w:rFonts w:hint="eastAsia" w:hAnsiTheme="minorEastAsia" w:eastAsiaTheme="minorEastAsia"/>
          <w:kern w:val="0"/>
          <w:sz w:val="24"/>
        </w:rPr>
        <w:t>台蒸汽锅炉供生活用热。采暖期</w:t>
      </w:r>
      <w:r>
        <w:rPr>
          <w:rFonts w:hAnsiTheme="minorEastAsia" w:eastAsiaTheme="minorEastAsia"/>
          <w:kern w:val="0"/>
          <w:sz w:val="24"/>
        </w:rPr>
        <w:t>2</w:t>
      </w:r>
      <w:r>
        <w:rPr>
          <w:rFonts w:hint="eastAsia" w:hAnsiTheme="minorEastAsia" w:eastAsiaTheme="minorEastAsia"/>
          <w:kern w:val="0"/>
          <w:sz w:val="24"/>
        </w:rPr>
        <w:t>台</w:t>
      </w:r>
      <w:r>
        <w:rPr>
          <w:rFonts w:hAnsiTheme="minorEastAsia" w:eastAsiaTheme="minorEastAsia"/>
          <w:kern w:val="0"/>
          <w:sz w:val="24"/>
        </w:rPr>
        <w:t>SZL10-1.25-A</w:t>
      </w:r>
      <w:r>
        <w:rPr>
          <w:rFonts w:hint="eastAsia" w:hAnsiTheme="minorEastAsia" w:eastAsiaTheme="minorEastAsia"/>
          <w:kern w:val="0"/>
          <w:sz w:val="24"/>
        </w:rPr>
        <w:t>Ⅱ型蒸汽锅炉全部运行供建筑物采暖系统、生活用热、井筒防冻系统。</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经热负荷核算后，为避免出现大马拉小车的情况，对设计锅炉选型进行了优化，原环评要求锅炉调整为</w:t>
      </w:r>
      <w:r>
        <w:rPr>
          <w:rFonts w:hAnsiTheme="minorEastAsia" w:eastAsiaTheme="minorEastAsia"/>
          <w:kern w:val="0"/>
          <w:sz w:val="24"/>
        </w:rPr>
        <w:t>2</w:t>
      </w:r>
      <w:r>
        <w:rPr>
          <w:rFonts w:hint="eastAsia" w:hAnsiTheme="minorEastAsia" w:eastAsiaTheme="minorEastAsia"/>
          <w:kern w:val="0"/>
          <w:sz w:val="24"/>
        </w:rPr>
        <w:t>台</w:t>
      </w:r>
      <w:r>
        <w:rPr>
          <w:rFonts w:hAnsiTheme="minorEastAsia" w:eastAsiaTheme="minorEastAsia"/>
          <w:kern w:val="0"/>
          <w:sz w:val="24"/>
        </w:rPr>
        <w:t>SZL10-1.25-A</w:t>
      </w:r>
      <w:r>
        <w:rPr>
          <w:rFonts w:hint="eastAsia" w:hAnsiTheme="minorEastAsia" w:eastAsiaTheme="minorEastAsia"/>
          <w:kern w:val="0"/>
          <w:sz w:val="24"/>
        </w:rPr>
        <w:t>Ⅱ型蒸汽锅炉和</w:t>
      </w:r>
      <w:r>
        <w:rPr>
          <w:rFonts w:hAnsiTheme="minorEastAsia" w:eastAsiaTheme="minorEastAsia"/>
          <w:kern w:val="0"/>
          <w:sz w:val="24"/>
        </w:rPr>
        <w:t>1</w:t>
      </w:r>
      <w:r>
        <w:rPr>
          <w:rFonts w:hint="eastAsia" w:hAnsiTheme="minorEastAsia" w:eastAsiaTheme="minorEastAsia"/>
          <w:kern w:val="0"/>
          <w:sz w:val="24"/>
        </w:rPr>
        <w:t>台</w:t>
      </w:r>
      <w:r>
        <w:rPr>
          <w:rFonts w:hAnsiTheme="minorEastAsia" w:eastAsiaTheme="minorEastAsia"/>
          <w:kern w:val="0"/>
          <w:sz w:val="24"/>
        </w:rPr>
        <w:t>SZL2-1.0-A</w:t>
      </w:r>
      <w:r>
        <w:rPr>
          <w:rFonts w:hint="eastAsia" w:hAnsiTheme="minorEastAsia" w:eastAsiaTheme="minorEastAsia"/>
          <w:kern w:val="0"/>
          <w:sz w:val="24"/>
        </w:rPr>
        <w:t>Ⅱ型蒸汽锅炉。非采暖运行</w:t>
      </w:r>
      <w:r>
        <w:rPr>
          <w:rFonts w:hAnsiTheme="minorEastAsia" w:eastAsiaTheme="minorEastAsia"/>
          <w:kern w:val="0"/>
          <w:sz w:val="24"/>
        </w:rPr>
        <w:t>1</w:t>
      </w:r>
      <w:r>
        <w:rPr>
          <w:rFonts w:hint="eastAsia" w:hAnsiTheme="minorEastAsia" w:eastAsiaTheme="minorEastAsia"/>
          <w:kern w:val="0"/>
          <w:sz w:val="24"/>
        </w:rPr>
        <w:t>台</w:t>
      </w:r>
      <w:r>
        <w:rPr>
          <w:rFonts w:hAnsiTheme="minorEastAsia" w:eastAsiaTheme="minorEastAsia"/>
          <w:kern w:val="0"/>
          <w:sz w:val="24"/>
        </w:rPr>
        <w:t>SZL2-1.0-A</w:t>
      </w:r>
      <w:r>
        <w:rPr>
          <w:rFonts w:hint="eastAsia" w:hAnsiTheme="minorEastAsia" w:eastAsiaTheme="minorEastAsia"/>
          <w:kern w:val="0"/>
          <w:sz w:val="24"/>
        </w:rPr>
        <w:t>Ⅱ型蒸汽锅炉供生活用热。采暖期</w:t>
      </w:r>
      <w:r>
        <w:rPr>
          <w:rFonts w:hAnsiTheme="minorEastAsia" w:eastAsiaTheme="minorEastAsia"/>
          <w:kern w:val="0"/>
          <w:sz w:val="24"/>
        </w:rPr>
        <w:t>2</w:t>
      </w:r>
      <w:r>
        <w:rPr>
          <w:rFonts w:hint="eastAsia" w:hAnsiTheme="minorEastAsia" w:eastAsiaTheme="minorEastAsia"/>
          <w:kern w:val="0"/>
          <w:sz w:val="24"/>
        </w:rPr>
        <w:t>台蒸汽锅炉运行供建筑物采暖系统、生活用热、井筒防冻系统。</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锅炉房设一根烟囱，烟囱高</w:t>
      </w:r>
      <w:r>
        <w:rPr>
          <w:rFonts w:hAnsiTheme="minorEastAsia" w:eastAsiaTheme="minorEastAsia"/>
          <w:kern w:val="0"/>
          <w:sz w:val="24"/>
        </w:rPr>
        <w:t>55m</w:t>
      </w:r>
      <w:r>
        <w:rPr>
          <w:rFonts w:hint="eastAsia" w:hAnsiTheme="minorEastAsia" w:eastAsiaTheme="minorEastAsia"/>
          <w:kern w:val="0"/>
          <w:sz w:val="24"/>
        </w:rPr>
        <w:t>，上口直径</w:t>
      </w:r>
      <w:r>
        <w:rPr>
          <w:rFonts w:hAnsiTheme="minorEastAsia" w:eastAsiaTheme="minorEastAsia"/>
          <w:kern w:val="0"/>
          <w:sz w:val="24"/>
        </w:rPr>
        <w:t>1.0m</w:t>
      </w:r>
      <w:r>
        <w:rPr>
          <w:rFonts w:hint="eastAsia" w:hAnsiTheme="minorEastAsia" w:eastAsiaTheme="minorEastAsia"/>
          <w:kern w:val="0"/>
          <w:sz w:val="24"/>
        </w:rPr>
        <w:t>。</w:t>
      </w:r>
    </w:p>
    <w:p>
      <w:pPr>
        <w:spacing w:line="360" w:lineRule="auto"/>
        <w:ind w:firstLine="482" w:firstLineChars="200"/>
        <w:rPr>
          <w:rFonts w:hAnsiTheme="minorEastAsia" w:eastAsiaTheme="minorEastAsia"/>
          <w:b/>
          <w:kern w:val="0"/>
          <w:sz w:val="24"/>
        </w:rPr>
      </w:pPr>
      <w:r>
        <w:rPr>
          <w:rFonts w:hint="eastAsia" w:hAnsiTheme="minorEastAsia" w:eastAsiaTheme="minorEastAsia"/>
          <w:b/>
          <w:kern w:val="0"/>
          <w:sz w:val="24"/>
        </w:rPr>
        <w:t>变更后：</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（1）热负荷</w:t>
      </w:r>
    </w:p>
    <w:p>
      <w:pPr>
        <w:pStyle w:val="77"/>
        <w:ind w:firstLine="480"/>
      </w:pPr>
      <w:r>
        <w:rPr>
          <w:rFonts w:hint="eastAsia"/>
        </w:rPr>
        <w:t>本项目耗热量用热包括以下几方面：</w:t>
      </w:r>
    </w:p>
    <w:p>
      <w:pPr>
        <w:pStyle w:val="77"/>
        <w:ind w:firstLine="480"/>
      </w:pPr>
      <w:r>
        <w:rPr>
          <w:rFonts w:hint="eastAsia"/>
        </w:rPr>
        <w:t>①浴室供热</w:t>
      </w:r>
    </w:p>
    <w:p>
      <w:pPr>
        <w:pStyle w:val="77"/>
        <w:ind w:firstLine="480"/>
      </w:pPr>
      <w:r>
        <w:rPr>
          <w:rFonts w:hint="eastAsia"/>
        </w:rPr>
        <w:t>浴室淋浴及池浴用热热源均由锅炉房提供，洗浴用水总供热量为97.33×10</w:t>
      </w:r>
      <w:r>
        <w:rPr>
          <w:rFonts w:hint="eastAsia"/>
          <w:vertAlign w:val="superscript"/>
        </w:rPr>
        <w:t>4</w:t>
      </w:r>
      <w:r>
        <w:rPr>
          <w:rFonts w:hint="eastAsia"/>
        </w:rPr>
        <w:t>W。</w:t>
      </w:r>
    </w:p>
    <w:p>
      <w:pPr>
        <w:pStyle w:val="77"/>
        <w:ind w:firstLine="480"/>
      </w:pPr>
      <w:r>
        <w:rPr>
          <w:rFonts w:hint="eastAsia"/>
        </w:rPr>
        <w:t>②食堂供热及饮水供热</w:t>
      </w:r>
    </w:p>
    <w:p>
      <w:pPr>
        <w:pStyle w:val="77"/>
        <w:ind w:firstLine="480"/>
      </w:pPr>
      <w:r>
        <w:rPr>
          <w:rFonts w:hint="eastAsia"/>
        </w:rPr>
        <w:t>食堂供热及饮水供热均由锅炉房提供，总供热量为18.47×10</w:t>
      </w:r>
      <w:r>
        <w:rPr>
          <w:rFonts w:hint="eastAsia"/>
          <w:vertAlign w:val="superscript"/>
        </w:rPr>
        <w:t>4</w:t>
      </w:r>
      <w:r>
        <w:rPr>
          <w:rFonts w:hint="eastAsia"/>
        </w:rPr>
        <w:t>W。</w:t>
      </w:r>
    </w:p>
    <w:p>
      <w:pPr>
        <w:pStyle w:val="77"/>
        <w:ind w:firstLine="480"/>
      </w:pPr>
      <w:r>
        <w:rPr>
          <w:rFonts w:hint="eastAsia"/>
        </w:rPr>
        <w:t>③洗煤厂供热</w:t>
      </w:r>
    </w:p>
    <w:p>
      <w:pPr>
        <w:pStyle w:val="77"/>
        <w:ind w:firstLine="480"/>
      </w:pPr>
      <w:r>
        <w:rPr>
          <w:rFonts w:hint="eastAsia"/>
        </w:rPr>
        <w:t>本项目工业场地和已建洗煤厂联合布置，洗煤厂已被新工煤矿收购），为方便管理，洗煤厂供热由新工煤矿统一供给。洗煤厂耗热量202.75×10</w:t>
      </w:r>
      <w:r>
        <w:rPr>
          <w:rFonts w:hint="eastAsia"/>
          <w:vertAlign w:val="superscript"/>
        </w:rPr>
        <w:t>4</w:t>
      </w:r>
      <w:r>
        <w:rPr>
          <w:rFonts w:hint="eastAsia"/>
        </w:rPr>
        <w:t>kW。</w:t>
      </w:r>
    </w:p>
    <w:p>
      <w:pPr>
        <w:pStyle w:val="77"/>
        <w:ind w:firstLine="480"/>
      </w:pPr>
      <w:r>
        <w:rPr>
          <w:rFonts w:hint="eastAsia"/>
        </w:rPr>
        <w:t>④风井场地供热</w:t>
      </w:r>
    </w:p>
    <w:p>
      <w:pPr>
        <w:pStyle w:val="77"/>
        <w:ind w:firstLine="480"/>
      </w:pPr>
      <w:r>
        <w:rPr>
          <w:rFonts w:hint="eastAsia"/>
        </w:rPr>
        <w:t>风井场地采用电采暖，不设置锅炉。</w:t>
      </w:r>
    </w:p>
    <w:p>
      <w:pPr>
        <w:pStyle w:val="77"/>
        <w:ind w:firstLine="480"/>
      </w:pPr>
      <w:r>
        <w:rPr>
          <w:rFonts w:hint="eastAsia"/>
        </w:rPr>
        <w:t>⑤各建筑采暖耗热量</w:t>
      </w:r>
    </w:p>
    <w:p>
      <w:pPr>
        <w:pStyle w:val="77"/>
        <w:ind w:firstLine="480"/>
      </w:pPr>
      <w:r>
        <w:rPr>
          <w:rFonts w:hint="eastAsia"/>
        </w:rPr>
        <w:t>本矿井工业场地内建筑生活福利联合建筑及区队办公楼、职工食堂、职工宿舍、行政办公楼采用超低温空气能热泵式集中空调系统；其余生产建筑采用锅炉供热。</w:t>
      </w:r>
    </w:p>
    <w:p>
      <w:pPr>
        <w:pStyle w:val="77"/>
        <w:ind w:firstLine="480"/>
      </w:pPr>
      <w:r>
        <w:rPr>
          <w:rFonts w:hint="eastAsia"/>
        </w:rPr>
        <w:t>矿井工业场地各建（构）筑物供热负荷见表2-4-1。</w:t>
      </w:r>
    </w:p>
    <w:p>
      <w:pPr>
        <w:pStyle w:val="77"/>
        <w:ind w:firstLine="480"/>
      </w:pPr>
      <w:r>
        <w:rPr>
          <w:rFonts w:hint="eastAsia" w:ascii="宋体" w:hAnsi="宋体" w:cs="宋体"/>
        </w:rPr>
        <w:t>⑥</w:t>
      </w:r>
      <w:r>
        <w:rPr>
          <w:rFonts w:hint="eastAsia"/>
        </w:rPr>
        <w:t>井筒防冻</w:t>
      </w:r>
    </w:p>
    <w:p>
      <w:pPr>
        <w:pStyle w:val="77"/>
        <w:ind w:firstLine="480"/>
      </w:pPr>
      <w:r>
        <w:rPr>
          <w:rFonts w:hint="eastAsia"/>
        </w:rPr>
        <w:t>a、设计依据</w:t>
      </w:r>
    </w:p>
    <w:p>
      <w:pPr>
        <w:pStyle w:val="77"/>
        <w:ind w:firstLine="480"/>
      </w:pPr>
      <w:r>
        <w:rPr>
          <w:rFonts w:hint="eastAsia"/>
        </w:rPr>
        <w:t>室外空气计算温度：－19</w:t>
      </w:r>
      <w:r>
        <w:rPr>
          <w:rFonts w:hint="eastAsia" w:ascii="宋体" w:hAnsi="宋体" w:cs="宋体"/>
        </w:rPr>
        <w:t>℃</w:t>
      </w:r>
      <w:r>
        <w:rPr>
          <w:rFonts w:hint="eastAsia"/>
        </w:rPr>
        <w:t>；</w:t>
      </w:r>
    </w:p>
    <w:p>
      <w:pPr>
        <w:pStyle w:val="77"/>
        <w:ind w:firstLine="480"/>
      </w:pPr>
      <w:r>
        <w:rPr>
          <w:rFonts w:hint="eastAsia"/>
        </w:rPr>
        <w:t>井筒内混合温度</w:t>
      </w:r>
      <w:r>
        <w:t xml:space="preserve"> </w:t>
      </w:r>
      <w:r>
        <w:rPr>
          <w:rFonts w:hint="eastAsia"/>
        </w:rPr>
        <w:t>：</w:t>
      </w:r>
      <w:r>
        <w:t>2</w:t>
      </w:r>
      <w:r>
        <w:rPr>
          <w:rFonts w:hint="eastAsia" w:ascii="宋体" w:hAnsi="宋体" w:cs="宋体"/>
        </w:rPr>
        <w:t>℃</w:t>
      </w:r>
      <w:r>
        <w:rPr>
          <w:rFonts w:hint="eastAsia"/>
        </w:rPr>
        <w:t>；</w:t>
      </w:r>
    </w:p>
    <w:p>
      <w:pPr>
        <w:pStyle w:val="77"/>
        <w:ind w:firstLine="480"/>
      </w:pPr>
      <w:r>
        <w:rPr>
          <w:rFonts w:hint="eastAsia"/>
        </w:rPr>
        <w:t>主斜井进风量：62</w:t>
      </w:r>
      <w:r>
        <w:t>m</w:t>
      </w:r>
      <w:r>
        <w:rPr>
          <w:vertAlign w:val="superscript"/>
        </w:rPr>
        <w:t>3</w:t>
      </w:r>
      <w:r>
        <w:t>/s</w:t>
      </w:r>
      <w:r>
        <w:rPr>
          <w:rFonts w:hint="eastAsia"/>
        </w:rPr>
        <w:t>；</w:t>
      </w:r>
    </w:p>
    <w:p>
      <w:pPr>
        <w:pStyle w:val="77"/>
        <w:ind w:firstLine="480"/>
      </w:pPr>
      <w:r>
        <w:rPr>
          <w:rFonts w:hint="eastAsia"/>
        </w:rPr>
        <w:t>副斜井进风量：</w:t>
      </w:r>
      <w:r>
        <w:t>63m</w:t>
      </w:r>
      <w:r>
        <w:rPr>
          <w:vertAlign w:val="superscript"/>
        </w:rPr>
        <w:t>3</w:t>
      </w:r>
      <w:r>
        <w:t>/s</w:t>
      </w:r>
      <w:r>
        <w:rPr>
          <w:rFonts w:hint="eastAsia"/>
        </w:rPr>
        <w:t>。</w:t>
      </w:r>
    </w:p>
    <w:p>
      <w:pPr>
        <w:pStyle w:val="77"/>
        <w:ind w:firstLine="480"/>
      </w:pPr>
      <w:r>
        <w:rPr>
          <w:rFonts w:hint="eastAsia"/>
        </w:rPr>
        <w:t>b、矿井通风耗热量计算</w:t>
      </w:r>
    </w:p>
    <w:p>
      <w:pPr>
        <w:pStyle w:val="77"/>
        <w:ind w:firstLine="480"/>
      </w:pPr>
      <w:r>
        <w:rPr>
          <w:rFonts w:hint="eastAsia"/>
        </w:rPr>
        <w:t>主斜井井筒防冻耗热量为：</w:t>
      </w:r>
    </w:p>
    <w:p>
      <w:pPr>
        <w:pStyle w:val="77"/>
        <w:ind w:firstLine="480"/>
      </w:pPr>
      <w:r>
        <w:rPr>
          <w:rFonts w:hint="eastAsia"/>
        </w:rPr>
        <w:t>Q</w:t>
      </w:r>
      <w:r>
        <w:rPr>
          <w:rFonts w:hint="eastAsia"/>
          <w:vertAlign w:val="subscript"/>
        </w:rPr>
        <w:t>1</w:t>
      </w:r>
      <w:r>
        <w:rPr>
          <w:rFonts w:hint="eastAsia"/>
        </w:rPr>
        <w:t>=1110</w:t>
      </w:r>
      <w:r>
        <w:t>×</w:t>
      </w:r>
      <w:r>
        <w:rPr>
          <w:rFonts w:hint="eastAsia"/>
        </w:rPr>
        <w:t>62</w:t>
      </w:r>
      <w:r>
        <w:t>×</w:t>
      </w:r>
      <w:r>
        <w:rPr>
          <w:rFonts w:hint="eastAsia"/>
        </w:rPr>
        <w:t>（19＋2）</w:t>
      </w:r>
      <w:r>
        <w:t>×</w:t>
      </w:r>
      <w:r>
        <w:rPr>
          <w:rFonts w:hint="eastAsia"/>
        </w:rPr>
        <w:t>1.1</w:t>
      </w:r>
      <w:r>
        <w:t>×</w:t>
      </w:r>
      <w:r>
        <w:rPr>
          <w:rFonts w:hint="eastAsia"/>
        </w:rPr>
        <w:t>1.163=184.89</w:t>
      </w:r>
      <w:r>
        <w:t>×</w:t>
      </w:r>
      <w:r>
        <w:rPr>
          <w:rFonts w:hint="eastAsia"/>
        </w:rPr>
        <w:t>10</w:t>
      </w:r>
      <w:r>
        <w:rPr>
          <w:rFonts w:hint="eastAsia"/>
          <w:vertAlign w:val="superscript"/>
        </w:rPr>
        <w:t>4</w:t>
      </w:r>
      <w:r>
        <w:rPr>
          <w:rFonts w:hint="eastAsia"/>
        </w:rPr>
        <w:t>W</w:t>
      </w:r>
    </w:p>
    <w:p>
      <w:pPr>
        <w:pStyle w:val="77"/>
        <w:ind w:firstLine="480"/>
      </w:pPr>
      <w:r>
        <w:rPr>
          <w:rFonts w:hint="eastAsia"/>
        </w:rPr>
        <w:t>副斜井井筒防冻耗热量为：</w:t>
      </w:r>
    </w:p>
    <w:p>
      <w:pPr>
        <w:pStyle w:val="77"/>
        <w:ind w:firstLine="480"/>
      </w:pPr>
      <w:r>
        <w:rPr>
          <w:rFonts w:hint="eastAsia"/>
        </w:rPr>
        <w:t>Q</w:t>
      </w:r>
      <w:r>
        <w:rPr>
          <w:rFonts w:hint="eastAsia"/>
          <w:vertAlign w:val="subscript"/>
        </w:rPr>
        <w:t>2</w:t>
      </w:r>
      <w:r>
        <w:rPr>
          <w:rFonts w:hint="eastAsia"/>
        </w:rPr>
        <w:t>=1110</w:t>
      </w:r>
      <w:r>
        <w:t>×</w:t>
      </w:r>
      <w:r>
        <w:rPr>
          <w:rFonts w:hint="eastAsia"/>
        </w:rPr>
        <w:t>63</w:t>
      </w:r>
      <w:r>
        <w:t>×</w:t>
      </w:r>
      <w:r>
        <w:rPr>
          <w:rFonts w:hint="eastAsia"/>
        </w:rPr>
        <w:t>（19＋2）</w:t>
      </w:r>
      <w:r>
        <w:t>×</w:t>
      </w:r>
      <w:r>
        <w:rPr>
          <w:rFonts w:hint="eastAsia"/>
        </w:rPr>
        <w:t>1.1</w:t>
      </w:r>
      <w:r>
        <w:t>×</w:t>
      </w:r>
      <w:r>
        <w:rPr>
          <w:rFonts w:hint="eastAsia"/>
        </w:rPr>
        <w:t>1.163=187.87</w:t>
      </w:r>
      <w:r>
        <w:t>×</w:t>
      </w:r>
      <w:r>
        <w:rPr>
          <w:rFonts w:hint="eastAsia"/>
        </w:rPr>
        <w:t>10</w:t>
      </w:r>
      <w:r>
        <w:rPr>
          <w:rFonts w:hint="eastAsia"/>
          <w:vertAlign w:val="superscript"/>
        </w:rPr>
        <w:t>4</w:t>
      </w:r>
      <w:r>
        <w:rPr>
          <w:rFonts w:hint="eastAsia"/>
        </w:rPr>
        <w:t>W</w:t>
      </w:r>
    </w:p>
    <w:p>
      <w:pPr>
        <w:pStyle w:val="77"/>
        <w:ind w:firstLine="480"/>
      </w:pPr>
      <w:r>
        <w:rPr>
          <w:rFonts w:hint="eastAsia"/>
        </w:rPr>
        <w:t>考虑15%的安全系数后，耗热量为：主斜井耗热量为217.52</w:t>
      </w:r>
      <w:r>
        <w:t>×</w:t>
      </w:r>
      <w:r>
        <w:rPr>
          <w:rFonts w:hint="eastAsia"/>
        </w:rPr>
        <w:t>10</w:t>
      </w:r>
      <w:r>
        <w:rPr>
          <w:rFonts w:hint="eastAsia"/>
          <w:vertAlign w:val="superscript"/>
        </w:rPr>
        <w:t>4</w:t>
      </w:r>
      <w:r>
        <w:rPr>
          <w:rFonts w:hint="eastAsia"/>
        </w:rPr>
        <w:t>W，副斜井耗热量为221.02</w:t>
      </w:r>
      <w:r>
        <w:t>×</w:t>
      </w:r>
      <w:r>
        <w:rPr>
          <w:rFonts w:hint="eastAsia"/>
        </w:rPr>
        <w:t>10</w:t>
      </w:r>
      <w:r>
        <w:rPr>
          <w:rFonts w:hint="eastAsia"/>
          <w:vertAlign w:val="superscript"/>
        </w:rPr>
        <w:t>4</w:t>
      </w:r>
      <w:r>
        <w:rPr>
          <w:rFonts w:hint="eastAsia"/>
        </w:rPr>
        <w:t>W。合计438.54</w:t>
      </w:r>
      <w:r>
        <w:t>×</w:t>
      </w:r>
      <w:r>
        <w:rPr>
          <w:rFonts w:hint="eastAsia"/>
        </w:rPr>
        <w:t>10</w:t>
      </w:r>
      <w:r>
        <w:rPr>
          <w:rFonts w:hint="eastAsia"/>
          <w:vertAlign w:val="superscript"/>
        </w:rPr>
        <w:t>4</w:t>
      </w:r>
      <w:r>
        <w:rPr>
          <w:rFonts w:hint="eastAsia"/>
        </w:rPr>
        <w:t>W。</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（2）锅炉选型</w:t>
      </w:r>
    </w:p>
    <w:p>
      <w:pPr>
        <w:spacing w:line="360" w:lineRule="auto"/>
        <w:rPr>
          <w:rFonts w:hAnsiTheme="minorEastAsia" w:eastAsiaTheme="minorEastAsia"/>
          <w:kern w:val="0"/>
          <w:sz w:val="24"/>
        </w:rPr>
        <w:sectPr>
          <w:headerReference r:id="rId14" w:type="default"/>
          <w:footerReference r:id="rId15" w:type="default"/>
          <w:pgSz w:w="11906" w:h="16838"/>
          <w:pgMar w:top="1701" w:right="1418" w:bottom="1701" w:left="1418" w:header="992" w:footer="992" w:gutter="0"/>
          <w:cols w:space="425" w:num="1"/>
          <w:docGrid w:type="lines" w:linePitch="312" w:charSpace="0"/>
        </w:sectPr>
      </w:pPr>
    </w:p>
    <w:p>
      <w:pPr>
        <w:pStyle w:val="77"/>
        <w:ind w:firstLine="480"/>
      </w:pPr>
      <w:r>
        <w:rPr>
          <w:rFonts w:hint="eastAsia"/>
        </w:rPr>
        <w:t>①总热负荷</w:t>
      </w:r>
    </w:p>
    <w:p>
      <w:pPr>
        <w:pStyle w:val="77"/>
        <w:ind w:firstLine="480"/>
      </w:pPr>
      <w:r>
        <w:rPr>
          <w:rFonts w:hint="eastAsia"/>
        </w:rPr>
        <w:t>工业场地热负荷汇总见表</w:t>
      </w:r>
      <w:r>
        <w:t>2-4-2</w:t>
      </w:r>
      <w:r>
        <w:rPr>
          <w:rFonts w:hint="eastAsia"/>
        </w:rPr>
        <w:t>。</w:t>
      </w:r>
    </w:p>
    <w:p>
      <w:pPr>
        <w:widowControl/>
        <w:spacing w:line="360" w:lineRule="auto"/>
        <w:jc w:val="center"/>
        <w:rPr>
          <w:rFonts w:hAnsiTheme="minorEastAsia" w:eastAsiaTheme="minorEastAsia"/>
          <w:kern w:val="0"/>
          <w:sz w:val="24"/>
        </w:rPr>
      </w:pPr>
      <w:r>
        <w:rPr>
          <w:rFonts w:hint="eastAsia"/>
          <w:b/>
          <w:sz w:val="24"/>
        </w:rPr>
        <w:t>表</w:t>
      </w:r>
      <w:r>
        <w:rPr>
          <w:b/>
          <w:sz w:val="24"/>
        </w:rPr>
        <w:t xml:space="preserve">2-4-1   </w:t>
      </w:r>
      <w:r>
        <w:rPr>
          <w:rFonts w:hint="eastAsia"/>
          <w:b/>
          <w:sz w:val="24"/>
        </w:rPr>
        <w:t>工业场地各建筑物耗热量表</w:t>
      </w:r>
      <w:r>
        <w:rPr>
          <w:b/>
          <w:sz w:val="24"/>
        </w:rPr>
        <w:t xml:space="preserve">      </w:t>
      </w:r>
      <w:r>
        <w:rPr>
          <w:rFonts w:hint="eastAsia"/>
          <w:b/>
          <w:szCs w:val="21"/>
        </w:rPr>
        <w:t>室外计算温度：</w:t>
      </w:r>
      <w:r>
        <w:rPr>
          <w:b/>
          <w:szCs w:val="21"/>
        </w:rPr>
        <w:t>-1</w:t>
      </w:r>
      <w:r>
        <w:rPr>
          <w:rFonts w:hint="eastAsia"/>
          <w:b/>
          <w:szCs w:val="21"/>
        </w:rPr>
        <w:t>2.6</w:t>
      </w:r>
      <w:r>
        <w:rPr>
          <w:rFonts w:hint="eastAsia" w:ascii="宋体" w:hAnsi="宋体" w:cs="宋体"/>
          <w:b/>
          <w:szCs w:val="21"/>
        </w:rPr>
        <w:t>℃</w:t>
      </w:r>
    </w:p>
    <w:tbl>
      <w:tblPr>
        <w:tblStyle w:val="24"/>
        <w:tblW w:w="503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0"/>
        <w:gridCol w:w="2911"/>
        <w:gridCol w:w="1140"/>
        <w:gridCol w:w="1140"/>
        <w:gridCol w:w="1143"/>
        <w:gridCol w:w="1283"/>
        <w:gridCol w:w="1140"/>
        <w:gridCol w:w="1143"/>
        <w:gridCol w:w="997"/>
        <w:gridCol w:w="1000"/>
        <w:gridCol w:w="12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vMerge w:val="restar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序号</w:t>
            </w:r>
          </w:p>
        </w:tc>
        <w:tc>
          <w:tcPr>
            <w:tcW w:w="1060" w:type="pct"/>
            <w:vMerge w:val="restar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建 筑 物 名 称</w:t>
            </w:r>
          </w:p>
        </w:tc>
        <w:tc>
          <w:tcPr>
            <w:tcW w:w="415" w:type="pct"/>
            <w:vMerge w:val="restart"/>
            <w:shd w:val="clear" w:color="auto" w:fill="auto"/>
            <w:vAlign w:val="center"/>
          </w:tcPr>
          <w:p>
            <w:pPr>
              <w:widowControl/>
              <w:jc w:val="center"/>
              <w:rPr>
                <w:rFonts w:eastAsiaTheme="minorEastAsia"/>
                <w:kern w:val="0"/>
                <w:sz w:val="18"/>
                <w:szCs w:val="18"/>
              </w:rPr>
            </w:pPr>
            <w:r>
              <w:rPr>
                <w:rFonts w:eastAsiaTheme="minorEastAsia"/>
                <w:kern w:val="0"/>
                <w:sz w:val="18"/>
                <w:szCs w:val="18"/>
              </w:rPr>
              <w:t>室内采暖        计算温度</w:t>
            </w:r>
          </w:p>
        </w:tc>
        <w:tc>
          <w:tcPr>
            <w:tcW w:w="415" w:type="pct"/>
            <w:vMerge w:val="restart"/>
            <w:shd w:val="clear" w:color="auto" w:fill="auto"/>
            <w:vAlign w:val="center"/>
          </w:tcPr>
          <w:p>
            <w:pPr>
              <w:widowControl/>
              <w:jc w:val="center"/>
              <w:rPr>
                <w:rFonts w:eastAsiaTheme="minorEastAsia"/>
                <w:kern w:val="0"/>
                <w:sz w:val="18"/>
                <w:szCs w:val="18"/>
              </w:rPr>
            </w:pPr>
            <w:r>
              <w:rPr>
                <w:rFonts w:eastAsiaTheme="minorEastAsia"/>
                <w:kern w:val="0"/>
                <w:sz w:val="18"/>
                <w:szCs w:val="18"/>
              </w:rPr>
              <w:t xml:space="preserve"> 建筑面积</w:t>
            </w:r>
          </w:p>
        </w:tc>
        <w:tc>
          <w:tcPr>
            <w:tcW w:w="416" w:type="pct"/>
            <w:vMerge w:val="restart"/>
            <w:shd w:val="clear" w:color="auto" w:fill="auto"/>
            <w:vAlign w:val="center"/>
          </w:tcPr>
          <w:p>
            <w:pPr>
              <w:widowControl/>
              <w:jc w:val="center"/>
              <w:rPr>
                <w:rFonts w:eastAsiaTheme="minorEastAsia"/>
                <w:kern w:val="0"/>
                <w:sz w:val="18"/>
                <w:szCs w:val="18"/>
              </w:rPr>
            </w:pPr>
            <w:r>
              <w:rPr>
                <w:rFonts w:eastAsiaTheme="minorEastAsia"/>
                <w:kern w:val="0"/>
                <w:sz w:val="18"/>
                <w:szCs w:val="18"/>
              </w:rPr>
              <w:t>采暖建筑      物体积</w:t>
            </w:r>
          </w:p>
        </w:tc>
        <w:tc>
          <w:tcPr>
            <w:tcW w:w="467" w:type="pct"/>
            <w:vMerge w:val="restart"/>
            <w:shd w:val="clear" w:color="auto" w:fill="auto"/>
            <w:vAlign w:val="center"/>
          </w:tcPr>
          <w:p>
            <w:pPr>
              <w:widowControl/>
              <w:jc w:val="center"/>
              <w:rPr>
                <w:rFonts w:eastAsiaTheme="minorEastAsia"/>
                <w:kern w:val="0"/>
                <w:sz w:val="18"/>
                <w:szCs w:val="18"/>
              </w:rPr>
            </w:pPr>
            <w:r>
              <w:rPr>
                <w:rFonts w:eastAsiaTheme="minorEastAsia"/>
                <w:kern w:val="0"/>
                <w:sz w:val="18"/>
                <w:szCs w:val="18"/>
              </w:rPr>
              <w:t>单位体积采  暖热指标</w:t>
            </w:r>
          </w:p>
        </w:tc>
        <w:tc>
          <w:tcPr>
            <w:tcW w:w="415" w:type="pct"/>
            <w:vMerge w:val="restart"/>
            <w:shd w:val="clear" w:color="auto" w:fill="auto"/>
            <w:vAlign w:val="center"/>
          </w:tcPr>
          <w:p>
            <w:pPr>
              <w:widowControl/>
              <w:jc w:val="center"/>
              <w:rPr>
                <w:rFonts w:eastAsiaTheme="minorEastAsia"/>
                <w:kern w:val="0"/>
                <w:sz w:val="18"/>
                <w:szCs w:val="18"/>
              </w:rPr>
            </w:pPr>
            <w:r>
              <w:rPr>
                <w:rFonts w:eastAsiaTheme="minorEastAsia"/>
                <w:kern w:val="0"/>
                <w:sz w:val="18"/>
                <w:szCs w:val="18"/>
              </w:rPr>
              <w:t>室内外温差</w:t>
            </w:r>
          </w:p>
        </w:tc>
        <w:tc>
          <w:tcPr>
            <w:tcW w:w="1586" w:type="pct"/>
            <w:gridSpan w:val="4"/>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耗  热  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vMerge w:val="continue"/>
            <w:vAlign w:val="center"/>
          </w:tcPr>
          <w:p>
            <w:pPr>
              <w:widowControl/>
              <w:jc w:val="left"/>
              <w:rPr>
                <w:rFonts w:eastAsiaTheme="minorEastAsia"/>
                <w:kern w:val="0"/>
                <w:sz w:val="18"/>
                <w:szCs w:val="18"/>
              </w:rPr>
            </w:pPr>
          </w:p>
        </w:tc>
        <w:tc>
          <w:tcPr>
            <w:tcW w:w="1060" w:type="pct"/>
            <w:vMerge w:val="continue"/>
            <w:vAlign w:val="center"/>
          </w:tcPr>
          <w:p>
            <w:pPr>
              <w:widowControl/>
              <w:jc w:val="left"/>
              <w:rPr>
                <w:rFonts w:eastAsiaTheme="minorEastAsia"/>
                <w:kern w:val="0"/>
                <w:sz w:val="18"/>
                <w:szCs w:val="18"/>
              </w:rPr>
            </w:pPr>
          </w:p>
        </w:tc>
        <w:tc>
          <w:tcPr>
            <w:tcW w:w="415" w:type="pct"/>
            <w:vMerge w:val="continue"/>
            <w:vAlign w:val="center"/>
          </w:tcPr>
          <w:p>
            <w:pPr>
              <w:widowControl/>
              <w:jc w:val="left"/>
              <w:rPr>
                <w:rFonts w:eastAsiaTheme="minorEastAsia"/>
                <w:kern w:val="0"/>
                <w:sz w:val="18"/>
                <w:szCs w:val="18"/>
              </w:rPr>
            </w:pPr>
          </w:p>
        </w:tc>
        <w:tc>
          <w:tcPr>
            <w:tcW w:w="415" w:type="pct"/>
            <w:vMerge w:val="continue"/>
            <w:vAlign w:val="center"/>
          </w:tcPr>
          <w:p>
            <w:pPr>
              <w:widowControl/>
              <w:jc w:val="left"/>
              <w:rPr>
                <w:rFonts w:eastAsiaTheme="minorEastAsia"/>
                <w:kern w:val="0"/>
                <w:sz w:val="18"/>
                <w:szCs w:val="18"/>
              </w:rPr>
            </w:pPr>
          </w:p>
        </w:tc>
        <w:tc>
          <w:tcPr>
            <w:tcW w:w="416" w:type="pct"/>
            <w:vMerge w:val="continue"/>
            <w:vAlign w:val="center"/>
          </w:tcPr>
          <w:p>
            <w:pPr>
              <w:widowControl/>
              <w:jc w:val="left"/>
              <w:rPr>
                <w:rFonts w:eastAsiaTheme="minorEastAsia"/>
                <w:kern w:val="0"/>
                <w:sz w:val="18"/>
                <w:szCs w:val="18"/>
              </w:rPr>
            </w:pPr>
          </w:p>
        </w:tc>
        <w:tc>
          <w:tcPr>
            <w:tcW w:w="467" w:type="pct"/>
            <w:vMerge w:val="continue"/>
            <w:vAlign w:val="center"/>
          </w:tcPr>
          <w:p>
            <w:pPr>
              <w:widowControl/>
              <w:jc w:val="left"/>
              <w:rPr>
                <w:rFonts w:eastAsiaTheme="minorEastAsia"/>
                <w:kern w:val="0"/>
                <w:sz w:val="18"/>
                <w:szCs w:val="18"/>
              </w:rPr>
            </w:pPr>
          </w:p>
        </w:tc>
        <w:tc>
          <w:tcPr>
            <w:tcW w:w="415" w:type="pct"/>
            <w:vMerge w:val="continue"/>
            <w:vAlign w:val="center"/>
          </w:tcPr>
          <w:p>
            <w:pPr>
              <w:widowControl/>
              <w:jc w:val="left"/>
              <w:rPr>
                <w:rFonts w:eastAsiaTheme="minorEastAsia"/>
                <w:kern w:val="0"/>
                <w:sz w:val="18"/>
                <w:szCs w:val="18"/>
              </w:rPr>
            </w:pPr>
          </w:p>
        </w:tc>
        <w:tc>
          <w:tcPr>
            <w:tcW w:w="1586" w:type="pct"/>
            <w:gridSpan w:val="4"/>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vMerge w:val="continue"/>
            <w:vAlign w:val="center"/>
          </w:tcPr>
          <w:p>
            <w:pPr>
              <w:widowControl/>
              <w:jc w:val="left"/>
              <w:rPr>
                <w:rFonts w:eastAsiaTheme="minorEastAsia"/>
                <w:kern w:val="0"/>
                <w:sz w:val="18"/>
                <w:szCs w:val="18"/>
              </w:rPr>
            </w:pPr>
          </w:p>
        </w:tc>
        <w:tc>
          <w:tcPr>
            <w:tcW w:w="1060" w:type="pct"/>
            <w:vMerge w:val="continue"/>
            <w:vAlign w:val="center"/>
          </w:tcPr>
          <w:p>
            <w:pPr>
              <w:widowControl/>
              <w:jc w:val="left"/>
              <w:rPr>
                <w:rFonts w:eastAsiaTheme="minorEastAsia"/>
                <w:kern w:val="0"/>
                <w:sz w:val="18"/>
                <w:szCs w:val="18"/>
              </w:rPr>
            </w:pPr>
          </w:p>
        </w:tc>
        <w:tc>
          <w:tcPr>
            <w:tcW w:w="415" w:type="pct"/>
            <w:shd w:val="clear" w:color="auto" w:fill="auto"/>
            <w:noWrap/>
            <w:vAlign w:val="center"/>
          </w:tcPr>
          <w:p>
            <w:pPr>
              <w:widowControl/>
              <w:jc w:val="center"/>
              <w:rPr>
                <w:rFonts w:eastAsiaTheme="minorEastAsia"/>
                <w:kern w:val="0"/>
                <w:sz w:val="18"/>
                <w:szCs w:val="18"/>
              </w:rPr>
            </w:pPr>
            <w:r>
              <w:rPr>
                <w:rFonts w:hAnsiTheme="minorEastAsia" w:eastAsiaTheme="minorEastAsia"/>
                <w:kern w:val="0"/>
                <w:sz w:val="18"/>
                <w:szCs w:val="18"/>
              </w:rPr>
              <w:t>℃</w:t>
            </w:r>
          </w:p>
        </w:tc>
        <w:tc>
          <w:tcPr>
            <w:tcW w:w="415" w:type="pct"/>
            <w:shd w:val="clear" w:color="auto" w:fill="auto"/>
            <w:noWrap/>
            <w:vAlign w:val="center"/>
          </w:tcPr>
          <w:p>
            <w:pPr>
              <w:widowControl/>
              <w:jc w:val="center"/>
              <w:rPr>
                <w:rFonts w:eastAsiaTheme="minorEastAsia"/>
                <w:kern w:val="0"/>
                <w:sz w:val="18"/>
                <w:szCs w:val="18"/>
              </w:rPr>
            </w:pPr>
            <w:r>
              <w:rPr>
                <w:rFonts w:hint="eastAsia" w:eastAsiaTheme="minorEastAsia"/>
                <w:kern w:val="0"/>
                <w:sz w:val="18"/>
                <w:szCs w:val="18"/>
              </w:rPr>
              <w:t>m</w:t>
            </w:r>
            <w:r>
              <w:rPr>
                <w:rFonts w:hint="eastAsia" w:eastAsiaTheme="minorEastAsia"/>
                <w:kern w:val="0"/>
                <w:sz w:val="18"/>
                <w:szCs w:val="18"/>
                <w:vertAlign w:val="superscript"/>
              </w:rPr>
              <w:t>2</w:t>
            </w:r>
          </w:p>
        </w:tc>
        <w:tc>
          <w:tcPr>
            <w:tcW w:w="41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m</w:t>
            </w:r>
          </w:p>
        </w:tc>
        <w:tc>
          <w:tcPr>
            <w:tcW w:w="467"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W/m·K</w:t>
            </w:r>
          </w:p>
        </w:tc>
        <w:tc>
          <w:tcPr>
            <w:tcW w:w="415" w:type="pct"/>
            <w:shd w:val="clear" w:color="auto" w:fill="auto"/>
            <w:noWrap/>
            <w:vAlign w:val="center"/>
          </w:tcPr>
          <w:p>
            <w:pPr>
              <w:widowControl/>
              <w:jc w:val="center"/>
              <w:rPr>
                <w:rFonts w:eastAsiaTheme="minorEastAsia"/>
                <w:kern w:val="0"/>
                <w:sz w:val="18"/>
                <w:szCs w:val="18"/>
              </w:rPr>
            </w:pPr>
            <w:r>
              <w:rPr>
                <w:rFonts w:hint="eastAsia" w:hAnsiTheme="minorEastAsia" w:eastAsiaTheme="minorEastAsia"/>
                <w:kern w:val="0"/>
                <w:sz w:val="18"/>
                <w:szCs w:val="18"/>
              </w:rPr>
              <w:t>℃</w:t>
            </w:r>
          </w:p>
        </w:tc>
        <w:tc>
          <w:tcPr>
            <w:tcW w:w="41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采暖</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通风</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供热</w:t>
            </w:r>
          </w:p>
        </w:tc>
        <w:tc>
          <w:tcPr>
            <w:tcW w:w="44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1</w:t>
            </w:r>
          </w:p>
        </w:tc>
        <w:tc>
          <w:tcPr>
            <w:tcW w:w="1060" w:type="pct"/>
            <w:shd w:val="clear" w:color="auto" w:fill="auto"/>
            <w:noWrap/>
            <w:vAlign w:val="center"/>
          </w:tcPr>
          <w:p>
            <w:pPr>
              <w:widowControl/>
              <w:rPr>
                <w:rFonts w:eastAsiaTheme="minorEastAsia"/>
                <w:kern w:val="0"/>
                <w:sz w:val="18"/>
                <w:szCs w:val="18"/>
              </w:rPr>
            </w:pPr>
            <w:r>
              <w:rPr>
                <w:rFonts w:eastAsiaTheme="minorEastAsia"/>
                <w:kern w:val="0"/>
                <w:sz w:val="18"/>
                <w:szCs w:val="18"/>
              </w:rPr>
              <w:t>主斜井胶带机连廊</w:t>
            </w:r>
          </w:p>
        </w:tc>
        <w:tc>
          <w:tcPr>
            <w:tcW w:w="415" w:type="pct"/>
            <w:shd w:val="clear" w:color="auto" w:fill="auto"/>
            <w:noWrap/>
            <w:vAlign w:val="center"/>
          </w:tcPr>
          <w:p>
            <w:pPr>
              <w:jc w:val="center"/>
              <w:rPr>
                <w:sz w:val="18"/>
                <w:szCs w:val="18"/>
              </w:rPr>
            </w:pPr>
            <w:r>
              <w:rPr>
                <w:sz w:val="18"/>
                <w:szCs w:val="18"/>
              </w:rPr>
              <w:t>5</w:t>
            </w:r>
          </w:p>
        </w:tc>
        <w:tc>
          <w:tcPr>
            <w:tcW w:w="415" w:type="pct"/>
            <w:shd w:val="clear" w:color="auto" w:fill="auto"/>
            <w:noWrap/>
            <w:vAlign w:val="center"/>
          </w:tcPr>
          <w:p>
            <w:pPr>
              <w:jc w:val="center"/>
              <w:rPr>
                <w:sz w:val="18"/>
                <w:szCs w:val="18"/>
              </w:rPr>
            </w:pPr>
            <w:r>
              <w:rPr>
                <w:sz w:val="18"/>
                <w:szCs w:val="18"/>
              </w:rPr>
              <w:t>135</w:t>
            </w:r>
          </w:p>
        </w:tc>
        <w:tc>
          <w:tcPr>
            <w:tcW w:w="416" w:type="pct"/>
            <w:shd w:val="clear" w:color="auto" w:fill="auto"/>
            <w:noWrap/>
            <w:vAlign w:val="center"/>
          </w:tcPr>
          <w:p>
            <w:pPr>
              <w:jc w:val="center"/>
              <w:rPr>
                <w:sz w:val="18"/>
                <w:szCs w:val="18"/>
              </w:rPr>
            </w:pPr>
            <w:r>
              <w:rPr>
                <w:sz w:val="18"/>
                <w:szCs w:val="18"/>
              </w:rPr>
              <w:t>878</w:t>
            </w:r>
          </w:p>
        </w:tc>
        <w:tc>
          <w:tcPr>
            <w:tcW w:w="467" w:type="pct"/>
            <w:shd w:val="clear" w:color="auto" w:fill="auto"/>
            <w:noWrap/>
            <w:vAlign w:val="center"/>
          </w:tcPr>
          <w:p>
            <w:pPr>
              <w:jc w:val="center"/>
              <w:rPr>
                <w:sz w:val="18"/>
                <w:szCs w:val="18"/>
              </w:rPr>
            </w:pPr>
            <w:r>
              <w:rPr>
                <w:sz w:val="18"/>
                <w:szCs w:val="18"/>
              </w:rPr>
              <w:t>2.1</w:t>
            </w:r>
          </w:p>
        </w:tc>
        <w:tc>
          <w:tcPr>
            <w:tcW w:w="415" w:type="pct"/>
            <w:shd w:val="clear" w:color="auto" w:fill="auto"/>
            <w:noWrap/>
            <w:vAlign w:val="center"/>
          </w:tcPr>
          <w:p>
            <w:pPr>
              <w:jc w:val="center"/>
              <w:rPr>
                <w:sz w:val="18"/>
                <w:szCs w:val="18"/>
              </w:rPr>
            </w:pPr>
            <w:r>
              <w:rPr>
                <w:sz w:val="18"/>
                <w:szCs w:val="18"/>
              </w:rPr>
              <w:t>17.6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32450.88</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32450.88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2</w:t>
            </w:r>
          </w:p>
        </w:tc>
        <w:tc>
          <w:tcPr>
            <w:tcW w:w="1060" w:type="pct"/>
            <w:shd w:val="clear" w:color="auto" w:fill="auto"/>
            <w:noWrap/>
            <w:vAlign w:val="center"/>
          </w:tcPr>
          <w:p>
            <w:pPr>
              <w:widowControl/>
              <w:rPr>
                <w:rFonts w:eastAsiaTheme="minorEastAsia"/>
                <w:kern w:val="0"/>
                <w:sz w:val="18"/>
                <w:szCs w:val="18"/>
              </w:rPr>
            </w:pPr>
            <w:r>
              <w:rPr>
                <w:rFonts w:eastAsiaTheme="minorEastAsia"/>
                <w:kern w:val="0"/>
                <w:sz w:val="18"/>
                <w:szCs w:val="18"/>
              </w:rPr>
              <w:t>主斜井井口房至1号转载点胶带机栈桥</w:t>
            </w:r>
          </w:p>
        </w:tc>
        <w:tc>
          <w:tcPr>
            <w:tcW w:w="415" w:type="pct"/>
            <w:shd w:val="clear" w:color="auto" w:fill="auto"/>
            <w:noWrap/>
            <w:vAlign w:val="center"/>
          </w:tcPr>
          <w:p>
            <w:pPr>
              <w:jc w:val="center"/>
              <w:rPr>
                <w:sz w:val="18"/>
                <w:szCs w:val="18"/>
              </w:rPr>
            </w:pPr>
            <w:r>
              <w:rPr>
                <w:sz w:val="18"/>
                <w:szCs w:val="18"/>
              </w:rPr>
              <w:t>5</w:t>
            </w:r>
          </w:p>
        </w:tc>
        <w:tc>
          <w:tcPr>
            <w:tcW w:w="415" w:type="pct"/>
            <w:shd w:val="clear" w:color="auto" w:fill="auto"/>
            <w:noWrap/>
            <w:vAlign w:val="center"/>
          </w:tcPr>
          <w:p>
            <w:pPr>
              <w:jc w:val="center"/>
              <w:rPr>
                <w:sz w:val="18"/>
                <w:szCs w:val="18"/>
              </w:rPr>
            </w:pPr>
            <w:r>
              <w:rPr>
                <w:sz w:val="18"/>
                <w:szCs w:val="18"/>
              </w:rPr>
              <w:t>247.3</w:t>
            </w:r>
          </w:p>
        </w:tc>
        <w:tc>
          <w:tcPr>
            <w:tcW w:w="416" w:type="pct"/>
            <w:shd w:val="clear" w:color="auto" w:fill="auto"/>
            <w:noWrap/>
            <w:vAlign w:val="center"/>
          </w:tcPr>
          <w:p>
            <w:pPr>
              <w:jc w:val="center"/>
              <w:rPr>
                <w:sz w:val="18"/>
                <w:szCs w:val="18"/>
              </w:rPr>
            </w:pPr>
            <w:r>
              <w:rPr>
                <w:sz w:val="18"/>
                <w:szCs w:val="18"/>
              </w:rPr>
              <w:t>1359.8</w:t>
            </w:r>
          </w:p>
        </w:tc>
        <w:tc>
          <w:tcPr>
            <w:tcW w:w="467" w:type="pct"/>
            <w:shd w:val="clear" w:color="auto" w:fill="auto"/>
            <w:noWrap/>
            <w:vAlign w:val="center"/>
          </w:tcPr>
          <w:p>
            <w:pPr>
              <w:jc w:val="center"/>
              <w:rPr>
                <w:sz w:val="18"/>
                <w:szCs w:val="18"/>
              </w:rPr>
            </w:pPr>
            <w:r>
              <w:rPr>
                <w:sz w:val="18"/>
                <w:szCs w:val="18"/>
              </w:rPr>
              <w:t>1.6</w:t>
            </w:r>
          </w:p>
        </w:tc>
        <w:tc>
          <w:tcPr>
            <w:tcW w:w="415" w:type="pct"/>
            <w:shd w:val="clear" w:color="auto" w:fill="auto"/>
            <w:noWrap/>
            <w:vAlign w:val="center"/>
          </w:tcPr>
          <w:p>
            <w:pPr>
              <w:jc w:val="center"/>
              <w:rPr>
                <w:sz w:val="18"/>
                <w:szCs w:val="18"/>
              </w:rPr>
            </w:pPr>
            <w:r>
              <w:rPr>
                <w:sz w:val="18"/>
                <w:szCs w:val="18"/>
              </w:rPr>
              <w:t>17.6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38291.97</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38291.97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3</w:t>
            </w:r>
          </w:p>
        </w:tc>
        <w:tc>
          <w:tcPr>
            <w:tcW w:w="1060" w:type="pct"/>
            <w:shd w:val="clear" w:color="auto" w:fill="auto"/>
            <w:noWrap/>
            <w:vAlign w:val="center"/>
          </w:tcPr>
          <w:p>
            <w:pPr>
              <w:widowControl/>
              <w:rPr>
                <w:rFonts w:eastAsiaTheme="minorEastAsia"/>
                <w:kern w:val="0"/>
                <w:sz w:val="18"/>
                <w:szCs w:val="18"/>
              </w:rPr>
            </w:pPr>
            <w:r>
              <w:rPr>
                <w:rFonts w:eastAsiaTheme="minorEastAsia"/>
                <w:kern w:val="0"/>
                <w:sz w:val="18"/>
                <w:szCs w:val="18"/>
              </w:rPr>
              <w:t>1号转载点</w:t>
            </w:r>
          </w:p>
        </w:tc>
        <w:tc>
          <w:tcPr>
            <w:tcW w:w="415" w:type="pct"/>
            <w:shd w:val="clear" w:color="auto" w:fill="auto"/>
            <w:noWrap/>
            <w:vAlign w:val="center"/>
          </w:tcPr>
          <w:p>
            <w:pPr>
              <w:jc w:val="center"/>
              <w:rPr>
                <w:sz w:val="18"/>
                <w:szCs w:val="18"/>
              </w:rPr>
            </w:pPr>
            <w:r>
              <w:rPr>
                <w:sz w:val="18"/>
                <w:szCs w:val="18"/>
              </w:rPr>
              <w:t>5</w:t>
            </w:r>
          </w:p>
        </w:tc>
        <w:tc>
          <w:tcPr>
            <w:tcW w:w="415" w:type="pct"/>
            <w:shd w:val="clear" w:color="auto" w:fill="auto"/>
            <w:noWrap/>
            <w:vAlign w:val="center"/>
          </w:tcPr>
          <w:p>
            <w:pPr>
              <w:jc w:val="center"/>
              <w:rPr>
                <w:sz w:val="18"/>
                <w:szCs w:val="18"/>
              </w:rPr>
            </w:pPr>
            <w:r>
              <w:rPr>
                <w:sz w:val="18"/>
                <w:szCs w:val="18"/>
              </w:rPr>
              <w:t>216</w:t>
            </w:r>
          </w:p>
        </w:tc>
        <w:tc>
          <w:tcPr>
            <w:tcW w:w="416" w:type="pct"/>
            <w:shd w:val="clear" w:color="auto" w:fill="auto"/>
            <w:noWrap/>
            <w:vAlign w:val="center"/>
          </w:tcPr>
          <w:p>
            <w:pPr>
              <w:jc w:val="center"/>
              <w:rPr>
                <w:sz w:val="18"/>
                <w:szCs w:val="18"/>
              </w:rPr>
            </w:pPr>
            <w:r>
              <w:rPr>
                <w:sz w:val="18"/>
                <w:szCs w:val="18"/>
              </w:rPr>
              <w:t>1008</w:t>
            </w:r>
          </w:p>
        </w:tc>
        <w:tc>
          <w:tcPr>
            <w:tcW w:w="467" w:type="pct"/>
            <w:shd w:val="clear" w:color="auto" w:fill="auto"/>
            <w:noWrap/>
            <w:vAlign w:val="center"/>
          </w:tcPr>
          <w:p>
            <w:pPr>
              <w:jc w:val="center"/>
              <w:rPr>
                <w:sz w:val="18"/>
                <w:szCs w:val="18"/>
              </w:rPr>
            </w:pPr>
            <w:r>
              <w:rPr>
                <w:sz w:val="18"/>
                <w:szCs w:val="18"/>
              </w:rPr>
              <w:t>1.7</w:t>
            </w:r>
          </w:p>
        </w:tc>
        <w:tc>
          <w:tcPr>
            <w:tcW w:w="415" w:type="pct"/>
            <w:shd w:val="clear" w:color="auto" w:fill="auto"/>
            <w:noWrap/>
            <w:vAlign w:val="center"/>
          </w:tcPr>
          <w:p>
            <w:pPr>
              <w:jc w:val="center"/>
              <w:rPr>
                <w:sz w:val="18"/>
                <w:szCs w:val="18"/>
              </w:rPr>
            </w:pPr>
            <w:r>
              <w:rPr>
                <w:sz w:val="18"/>
                <w:szCs w:val="18"/>
              </w:rPr>
              <w:t>17.6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30159.36</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30159.36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4</w:t>
            </w:r>
          </w:p>
        </w:tc>
        <w:tc>
          <w:tcPr>
            <w:tcW w:w="1060" w:type="pct"/>
            <w:shd w:val="clear" w:color="auto" w:fill="auto"/>
            <w:noWrap/>
            <w:vAlign w:val="center"/>
          </w:tcPr>
          <w:p>
            <w:pPr>
              <w:widowControl/>
              <w:jc w:val="left"/>
              <w:rPr>
                <w:rFonts w:eastAsiaTheme="minorEastAsia"/>
                <w:kern w:val="0"/>
                <w:sz w:val="18"/>
                <w:szCs w:val="18"/>
              </w:rPr>
            </w:pPr>
            <w:r>
              <w:rPr>
                <w:rFonts w:eastAsiaTheme="minorEastAsia"/>
                <w:kern w:val="0"/>
                <w:sz w:val="18"/>
                <w:szCs w:val="18"/>
              </w:rPr>
              <w:t>门  卫</w:t>
            </w:r>
          </w:p>
        </w:tc>
        <w:tc>
          <w:tcPr>
            <w:tcW w:w="415" w:type="pct"/>
            <w:shd w:val="clear" w:color="auto" w:fill="auto"/>
            <w:noWrap/>
            <w:vAlign w:val="center"/>
          </w:tcPr>
          <w:p>
            <w:pPr>
              <w:jc w:val="center"/>
              <w:rPr>
                <w:sz w:val="18"/>
                <w:szCs w:val="18"/>
              </w:rPr>
            </w:pPr>
            <w:r>
              <w:rPr>
                <w:sz w:val="18"/>
                <w:szCs w:val="18"/>
              </w:rPr>
              <w:t>18</w:t>
            </w:r>
          </w:p>
        </w:tc>
        <w:tc>
          <w:tcPr>
            <w:tcW w:w="415" w:type="pct"/>
            <w:shd w:val="clear" w:color="auto" w:fill="auto"/>
            <w:noWrap/>
            <w:vAlign w:val="center"/>
          </w:tcPr>
          <w:p>
            <w:pPr>
              <w:jc w:val="center"/>
              <w:rPr>
                <w:sz w:val="18"/>
                <w:szCs w:val="18"/>
              </w:rPr>
            </w:pPr>
            <w:r>
              <w:rPr>
                <w:sz w:val="18"/>
                <w:szCs w:val="18"/>
              </w:rPr>
              <w:t>80</w:t>
            </w:r>
          </w:p>
        </w:tc>
        <w:tc>
          <w:tcPr>
            <w:tcW w:w="416" w:type="pct"/>
            <w:shd w:val="clear" w:color="auto" w:fill="auto"/>
            <w:noWrap/>
            <w:vAlign w:val="center"/>
          </w:tcPr>
          <w:p>
            <w:pPr>
              <w:jc w:val="center"/>
              <w:rPr>
                <w:sz w:val="18"/>
                <w:szCs w:val="18"/>
              </w:rPr>
            </w:pPr>
            <w:r>
              <w:rPr>
                <w:sz w:val="18"/>
                <w:szCs w:val="18"/>
              </w:rPr>
              <w:t>336</w:t>
            </w:r>
          </w:p>
        </w:tc>
        <w:tc>
          <w:tcPr>
            <w:tcW w:w="467" w:type="pct"/>
            <w:shd w:val="clear" w:color="auto" w:fill="auto"/>
            <w:noWrap/>
            <w:vAlign w:val="center"/>
          </w:tcPr>
          <w:p>
            <w:pPr>
              <w:jc w:val="center"/>
              <w:rPr>
                <w:sz w:val="18"/>
                <w:szCs w:val="18"/>
              </w:rPr>
            </w:pPr>
            <w:r>
              <w:rPr>
                <w:sz w:val="18"/>
                <w:szCs w:val="18"/>
              </w:rPr>
              <w:t>2.1</w:t>
            </w:r>
          </w:p>
        </w:tc>
        <w:tc>
          <w:tcPr>
            <w:tcW w:w="415" w:type="pct"/>
            <w:shd w:val="clear" w:color="auto" w:fill="auto"/>
            <w:noWrap/>
            <w:vAlign w:val="center"/>
          </w:tcPr>
          <w:p>
            <w:pPr>
              <w:jc w:val="center"/>
              <w:rPr>
                <w:sz w:val="18"/>
                <w:szCs w:val="18"/>
              </w:rPr>
            </w:pPr>
            <w:r>
              <w:rPr>
                <w:sz w:val="18"/>
                <w:szCs w:val="18"/>
              </w:rPr>
              <w:t>30.6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21591.36</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21591.36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5</w:t>
            </w:r>
          </w:p>
        </w:tc>
        <w:tc>
          <w:tcPr>
            <w:tcW w:w="1060" w:type="pct"/>
            <w:shd w:val="clear" w:color="auto" w:fill="auto"/>
            <w:noWrap/>
            <w:vAlign w:val="center"/>
          </w:tcPr>
          <w:p>
            <w:pPr>
              <w:widowControl/>
              <w:jc w:val="left"/>
              <w:rPr>
                <w:rFonts w:eastAsiaTheme="minorEastAsia"/>
                <w:kern w:val="0"/>
                <w:sz w:val="18"/>
                <w:szCs w:val="18"/>
              </w:rPr>
            </w:pPr>
            <w:r>
              <w:rPr>
                <w:rFonts w:eastAsiaTheme="minorEastAsia"/>
                <w:kern w:val="0"/>
                <w:sz w:val="18"/>
                <w:szCs w:val="18"/>
              </w:rPr>
              <w:t>公共厕所</w:t>
            </w:r>
          </w:p>
        </w:tc>
        <w:tc>
          <w:tcPr>
            <w:tcW w:w="415" w:type="pct"/>
            <w:shd w:val="clear" w:color="auto" w:fill="auto"/>
            <w:noWrap/>
            <w:vAlign w:val="center"/>
          </w:tcPr>
          <w:p>
            <w:pPr>
              <w:jc w:val="center"/>
              <w:rPr>
                <w:sz w:val="18"/>
                <w:szCs w:val="18"/>
              </w:rPr>
            </w:pPr>
            <w:r>
              <w:rPr>
                <w:sz w:val="18"/>
                <w:szCs w:val="18"/>
              </w:rPr>
              <w:t>12</w:t>
            </w:r>
          </w:p>
        </w:tc>
        <w:tc>
          <w:tcPr>
            <w:tcW w:w="415" w:type="pct"/>
            <w:shd w:val="clear" w:color="auto" w:fill="auto"/>
            <w:noWrap/>
            <w:vAlign w:val="center"/>
          </w:tcPr>
          <w:p>
            <w:pPr>
              <w:jc w:val="center"/>
              <w:rPr>
                <w:sz w:val="18"/>
                <w:szCs w:val="18"/>
              </w:rPr>
            </w:pPr>
            <w:r>
              <w:rPr>
                <w:sz w:val="18"/>
                <w:szCs w:val="18"/>
              </w:rPr>
              <w:t>80</w:t>
            </w:r>
          </w:p>
        </w:tc>
        <w:tc>
          <w:tcPr>
            <w:tcW w:w="416" w:type="pct"/>
            <w:shd w:val="clear" w:color="auto" w:fill="auto"/>
            <w:noWrap/>
            <w:vAlign w:val="center"/>
          </w:tcPr>
          <w:p>
            <w:pPr>
              <w:jc w:val="center"/>
              <w:rPr>
                <w:sz w:val="18"/>
                <w:szCs w:val="18"/>
              </w:rPr>
            </w:pPr>
            <w:r>
              <w:rPr>
                <w:sz w:val="18"/>
                <w:szCs w:val="18"/>
              </w:rPr>
              <w:t>336</w:t>
            </w:r>
          </w:p>
        </w:tc>
        <w:tc>
          <w:tcPr>
            <w:tcW w:w="467" w:type="pct"/>
            <w:shd w:val="clear" w:color="auto" w:fill="auto"/>
            <w:noWrap/>
            <w:vAlign w:val="center"/>
          </w:tcPr>
          <w:p>
            <w:pPr>
              <w:jc w:val="center"/>
              <w:rPr>
                <w:sz w:val="18"/>
                <w:szCs w:val="18"/>
              </w:rPr>
            </w:pPr>
            <w:r>
              <w:rPr>
                <w:sz w:val="18"/>
                <w:szCs w:val="18"/>
              </w:rPr>
              <w:t>2.1</w:t>
            </w:r>
          </w:p>
        </w:tc>
        <w:tc>
          <w:tcPr>
            <w:tcW w:w="415" w:type="pct"/>
            <w:shd w:val="clear" w:color="auto" w:fill="auto"/>
            <w:noWrap/>
            <w:vAlign w:val="center"/>
          </w:tcPr>
          <w:p>
            <w:pPr>
              <w:jc w:val="center"/>
              <w:rPr>
                <w:sz w:val="18"/>
                <w:szCs w:val="18"/>
              </w:rPr>
            </w:pPr>
            <w:r>
              <w:rPr>
                <w:sz w:val="18"/>
                <w:szCs w:val="18"/>
              </w:rPr>
              <w:t>24.6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17357.76</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17357.76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6</w:t>
            </w:r>
          </w:p>
        </w:tc>
        <w:tc>
          <w:tcPr>
            <w:tcW w:w="1060" w:type="pct"/>
            <w:shd w:val="clear" w:color="auto" w:fill="auto"/>
            <w:noWrap/>
            <w:vAlign w:val="center"/>
          </w:tcPr>
          <w:p>
            <w:pPr>
              <w:widowControl/>
              <w:jc w:val="left"/>
              <w:rPr>
                <w:rFonts w:eastAsiaTheme="minorEastAsia"/>
                <w:kern w:val="0"/>
                <w:sz w:val="18"/>
                <w:szCs w:val="18"/>
              </w:rPr>
            </w:pPr>
            <w:r>
              <w:rPr>
                <w:rFonts w:eastAsiaTheme="minorEastAsia"/>
                <w:kern w:val="0"/>
                <w:sz w:val="18"/>
                <w:szCs w:val="18"/>
              </w:rPr>
              <w:t>1号转载点至2号转载点胶带机栈桥</w:t>
            </w:r>
          </w:p>
        </w:tc>
        <w:tc>
          <w:tcPr>
            <w:tcW w:w="415" w:type="pct"/>
            <w:shd w:val="clear" w:color="auto" w:fill="auto"/>
            <w:noWrap/>
            <w:vAlign w:val="center"/>
          </w:tcPr>
          <w:p>
            <w:pPr>
              <w:jc w:val="center"/>
              <w:rPr>
                <w:sz w:val="18"/>
                <w:szCs w:val="18"/>
              </w:rPr>
            </w:pPr>
            <w:r>
              <w:rPr>
                <w:sz w:val="18"/>
                <w:szCs w:val="18"/>
              </w:rPr>
              <w:t>5</w:t>
            </w:r>
          </w:p>
        </w:tc>
        <w:tc>
          <w:tcPr>
            <w:tcW w:w="415" w:type="pct"/>
            <w:shd w:val="clear" w:color="auto" w:fill="auto"/>
            <w:noWrap/>
            <w:vAlign w:val="center"/>
          </w:tcPr>
          <w:p>
            <w:pPr>
              <w:jc w:val="center"/>
              <w:rPr>
                <w:sz w:val="18"/>
                <w:szCs w:val="18"/>
              </w:rPr>
            </w:pPr>
            <w:r>
              <w:rPr>
                <w:sz w:val="18"/>
                <w:szCs w:val="18"/>
              </w:rPr>
              <w:t>645</w:t>
            </w:r>
          </w:p>
        </w:tc>
        <w:tc>
          <w:tcPr>
            <w:tcW w:w="416" w:type="pct"/>
            <w:shd w:val="clear" w:color="auto" w:fill="auto"/>
            <w:noWrap/>
            <w:vAlign w:val="center"/>
          </w:tcPr>
          <w:p>
            <w:pPr>
              <w:jc w:val="center"/>
              <w:rPr>
                <w:sz w:val="18"/>
                <w:szCs w:val="18"/>
              </w:rPr>
            </w:pPr>
            <w:r>
              <w:rPr>
                <w:sz w:val="18"/>
                <w:szCs w:val="18"/>
              </w:rPr>
              <w:t>3870</w:t>
            </w:r>
          </w:p>
        </w:tc>
        <w:tc>
          <w:tcPr>
            <w:tcW w:w="467" w:type="pct"/>
            <w:shd w:val="clear" w:color="auto" w:fill="auto"/>
            <w:noWrap/>
            <w:vAlign w:val="center"/>
          </w:tcPr>
          <w:p>
            <w:pPr>
              <w:jc w:val="center"/>
              <w:rPr>
                <w:sz w:val="18"/>
                <w:szCs w:val="18"/>
              </w:rPr>
            </w:pPr>
            <w:r>
              <w:rPr>
                <w:sz w:val="18"/>
                <w:szCs w:val="18"/>
              </w:rPr>
              <w:t>1.2</w:t>
            </w:r>
          </w:p>
        </w:tc>
        <w:tc>
          <w:tcPr>
            <w:tcW w:w="415" w:type="pct"/>
            <w:shd w:val="clear" w:color="auto" w:fill="auto"/>
            <w:noWrap/>
            <w:vAlign w:val="center"/>
          </w:tcPr>
          <w:p>
            <w:pPr>
              <w:jc w:val="center"/>
              <w:rPr>
                <w:sz w:val="18"/>
                <w:szCs w:val="18"/>
              </w:rPr>
            </w:pPr>
            <w:r>
              <w:rPr>
                <w:sz w:val="18"/>
                <w:szCs w:val="18"/>
              </w:rPr>
              <w:t>17.6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81734.4</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81734.4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7</w:t>
            </w:r>
          </w:p>
        </w:tc>
        <w:tc>
          <w:tcPr>
            <w:tcW w:w="1060" w:type="pct"/>
            <w:shd w:val="clear" w:color="auto" w:fill="auto"/>
            <w:noWrap/>
            <w:vAlign w:val="center"/>
          </w:tcPr>
          <w:p>
            <w:pPr>
              <w:widowControl/>
              <w:jc w:val="left"/>
              <w:rPr>
                <w:rFonts w:eastAsiaTheme="minorEastAsia"/>
                <w:kern w:val="0"/>
                <w:sz w:val="18"/>
                <w:szCs w:val="18"/>
              </w:rPr>
            </w:pPr>
            <w:r>
              <w:rPr>
                <w:rFonts w:eastAsiaTheme="minorEastAsia"/>
                <w:kern w:val="0"/>
                <w:sz w:val="18"/>
                <w:szCs w:val="18"/>
              </w:rPr>
              <w:t>2号转载点</w:t>
            </w:r>
          </w:p>
        </w:tc>
        <w:tc>
          <w:tcPr>
            <w:tcW w:w="415" w:type="pct"/>
            <w:shd w:val="clear" w:color="auto" w:fill="auto"/>
            <w:noWrap/>
            <w:vAlign w:val="center"/>
          </w:tcPr>
          <w:p>
            <w:pPr>
              <w:jc w:val="center"/>
              <w:rPr>
                <w:sz w:val="18"/>
                <w:szCs w:val="18"/>
              </w:rPr>
            </w:pPr>
            <w:r>
              <w:rPr>
                <w:sz w:val="18"/>
                <w:szCs w:val="18"/>
              </w:rPr>
              <w:t>5</w:t>
            </w:r>
          </w:p>
        </w:tc>
        <w:tc>
          <w:tcPr>
            <w:tcW w:w="415" w:type="pct"/>
            <w:shd w:val="clear" w:color="auto" w:fill="auto"/>
            <w:noWrap/>
            <w:vAlign w:val="center"/>
          </w:tcPr>
          <w:p>
            <w:pPr>
              <w:jc w:val="center"/>
              <w:rPr>
                <w:sz w:val="18"/>
                <w:szCs w:val="18"/>
              </w:rPr>
            </w:pPr>
            <w:r>
              <w:rPr>
                <w:sz w:val="18"/>
                <w:szCs w:val="18"/>
              </w:rPr>
              <w:t>72</w:t>
            </w:r>
          </w:p>
        </w:tc>
        <w:tc>
          <w:tcPr>
            <w:tcW w:w="416" w:type="pct"/>
            <w:shd w:val="clear" w:color="auto" w:fill="auto"/>
            <w:noWrap/>
            <w:vAlign w:val="center"/>
          </w:tcPr>
          <w:p>
            <w:pPr>
              <w:jc w:val="center"/>
              <w:rPr>
                <w:sz w:val="18"/>
                <w:szCs w:val="18"/>
              </w:rPr>
            </w:pPr>
            <w:r>
              <w:rPr>
                <w:sz w:val="18"/>
                <w:szCs w:val="18"/>
              </w:rPr>
              <w:t>360</w:t>
            </w:r>
          </w:p>
        </w:tc>
        <w:tc>
          <w:tcPr>
            <w:tcW w:w="467" w:type="pct"/>
            <w:shd w:val="clear" w:color="auto" w:fill="auto"/>
            <w:noWrap/>
            <w:vAlign w:val="center"/>
          </w:tcPr>
          <w:p>
            <w:pPr>
              <w:jc w:val="center"/>
              <w:rPr>
                <w:sz w:val="18"/>
                <w:szCs w:val="18"/>
              </w:rPr>
            </w:pPr>
            <w:r>
              <w:rPr>
                <w:sz w:val="18"/>
                <w:szCs w:val="18"/>
              </w:rPr>
              <w:t>2.2</w:t>
            </w:r>
          </w:p>
        </w:tc>
        <w:tc>
          <w:tcPr>
            <w:tcW w:w="415" w:type="pct"/>
            <w:shd w:val="clear" w:color="auto" w:fill="auto"/>
            <w:noWrap/>
            <w:vAlign w:val="center"/>
          </w:tcPr>
          <w:p>
            <w:pPr>
              <w:jc w:val="center"/>
              <w:rPr>
                <w:sz w:val="18"/>
                <w:szCs w:val="18"/>
              </w:rPr>
            </w:pPr>
            <w:r>
              <w:rPr>
                <w:sz w:val="18"/>
                <w:szCs w:val="18"/>
              </w:rPr>
              <w:t>17.6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13939.2</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13939.2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8</w:t>
            </w:r>
          </w:p>
        </w:tc>
        <w:tc>
          <w:tcPr>
            <w:tcW w:w="1060" w:type="pct"/>
            <w:shd w:val="clear" w:color="auto" w:fill="auto"/>
            <w:noWrap/>
            <w:vAlign w:val="center"/>
          </w:tcPr>
          <w:p>
            <w:pPr>
              <w:widowControl/>
              <w:jc w:val="left"/>
              <w:rPr>
                <w:rFonts w:eastAsiaTheme="minorEastAsia"/>
                <w:kern w:val="0"/>
                <w:sz w:val="18"/>
                <w:szCs w:val="18"/>
              </w:rPr>
            </w:pPr>
            <w:r>
              <w:rPr>
                <w:rFonts w:eastAsiaTheme="minorEastAsia"/>
                <w:kern w:val="0"/>
                <w:sz w:val="18"/>
                <w:szCs w:val="18"/>
              </w:rPr>
              <w:t>地面电机机房</w:t>
            </w:r>
          </w:p>
        </w:tc>
        <w:tc>
          <w:tcPr>
            <w:tcW w:w="415" w:type="pct"/>
            <w:shd w:val="clear" w:color="auto" w:fill="auto"/>
            <w:noWrap/>
            <w:vAlign w:val="center"/>
          </w:tcPr>
          <w:p>
            <w:pPr>
              <w:jc w:val="center"/>
              <w:rPr>
                <w:sz w:val="18"/>
                <w:szCs w:val="18"/>
              </w:rPr>
            </w:pPr>
            <w:r>
              <w:rPr>
                <w:sz w:val="18"/>
                <w:szCs w:val="18"/>
              </w:rPr>
              <w:t>10</w:t>
            </w:r>
          </w:p>
        </w:tc>
        <w:tc>
          <w:tcPr>
            <w:tcW w:w="415" w:type="pct"/>
            <w:shd w:val="clear" w:color="auto" w:fill="auto"/>
            <w:noWrap/>
            <w:vAlign w:val="center"/>
          </w:tcPr>
          <w:p>
            <w:pPr>
              <w:jc w:val="center"/>
              <w:rPr>
                <w:sz w:val="18"/>
                <w:szCs w:val="18"/>
              </w:rPr>
            </w:pPr>
            <w:r>
              <w:rPr>
                <w:sz w:val="18"/>
                <w:szCs w:val="18"/>
              </w:rPr>
              <w:t>135</w:t>
            </w:r>
          </w:p>
        </w:tc>
        <w:tc>
          <w:tcPr>
            <w:tcW w:w="416" w:type="pct"/>
            <w:shd w:val="clear" w:color="auto" w:fill="auto"/>
            <w:noWrap/>
            <w:vAlign w:val="center"/>
          </w:tcPr>
          <w:p>
            <w:pPr>
              <w:jc w:val="center"/>
              <w:rPr>
                <w:sz w:val="18"/>
                <w:szCs w:val="18"/>
              </w:rPr>
            </w:pPr>
            <w:r>
              <w:rPr>
                <w:sz w:val="18"/>
                <w:szCs w:val="18"/>
              </w:rPr>
              <w:t>810</w:t>
            </w:r>
          </w:p>
        </w:tc>
        <w:tc>
          <w:tcPr>
            <w:tcW w:w="467" w:type="pct"/>
            <w:shd w:val="clear" w:color="auto" w:fill="auto"/>
            <w:noWrap/>
            <w:vAlign w:val="center"/>
          </w:tcPr>
          <w:p>
            <w:pPr>
              <w:jc w:val="center"/>
              <w:rPr>
                <w:sz w:val="18"/>
                <w:szCs w:val="18"/>
              </w:rPr>
            </w:pPr>
            <w:r>
              <w:rPr>
                <w:sz w:val="18"/>
                <w:szCs w:val="18"/>
              </w:rPr>
              <w:t>1.4</w:t>
            </w:r>
          </w:p>
        </w:tc>
        <w:tc>
          <w:tcPr>
            <w:tcW w:w="415" w:type="pct"/>
            <w:shd w:val="clear" w:color="auto" w:fill="auto"/>
            <w:noWrap/>
            <w:vAlign w:val="center"/>
          </w:tcPr>
          <w:p>
            <w:pPr>
              <w:jc w:val="center"/>
              <w:rPr>
                <w:sz w:val="18"/>
                <w:szCs w:val="18"/>
              </w:rPr>
            </w:pPr>
            <w:r>
              <w:rPr>
                <w:sz w:val="18"/>
                <w:szCs w:val="18"/>
              </w:rPr>
              <w:t>22.6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25628.4</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25628.4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9</w:t>
            </w:r>
          </w:p>
        </w:tc>
        <w:tc>
          <w:tcPr>
            <w:tcW w:w="1060" w:type="pct"/>
            <w:shd w:val="clear" w:color="auto" w:fill="auto"/>
            <w:noWrap/>
            <w:vAlign w:val="center"/>
          </w:tcPr>
          <w:p>
            <w:pPr>
              <w:widowControl/>
              <w:jc w:val="left"/>
              <w:rPr>
                <w:rFonts w:eastAsiaTheme="minorEastAsia"/>
                <w:kern w:val="0"/>
                <w:sz w:val="18"/>
                <w:szCs w:val="18"/>
              </w:rPr>
            </w:pPr>
            <w:r>
              <w:rPr>
                <w:rFonts w:eastAsiaTheme="minorEastAsia"/>
                <w:kern w:val="0"/>
                <w:sz w:val="18"/>
                <w:szCs w:val="18"/>
              </w:rPr>
              <w:t>矿井水净化综合间</w:t>
            </w:r>
          </w:p>
        </w:tc>
        <w:tc>
          <w:tcPr>
            <w:tcW w:w="415" w:type="pct"/>
            <w:shd w:val="clear" w:color="auto" w:fill="auto"/>
            <w:noWrap/>
            <w:vAlign w:val="center"/>
          </w:tcPr>
          <w:p>
            <w:pPr>
              <w:jc w:val="center"/>
              <w:rPr>
                <w:sz w:val="18"/>
                <w:szCs w:val="18"/>
              </w:rPr>
            </w:pPr>
            <w:r>
              <w:rPr>
                <w:sz w:val="18"/>
                <w:szCs w:val="18"/>
              </w:rPr>
              <w:t>5</w:t>
            </w:r>
          </w:p>
        </w:tc>
        <w:tc>
          <w:tcPr>
            <w:tcW w:w="415" w:type="pct"/>
            <w:shd w:val="clear" w:color="auto" w:fill="auto"/>
            <w:noWrap/>
            <w:vAlign w:val="center"/>
          </w:tcPr>
          <w:p>
            <w:pPr>
              <w:jc w:val="center"/>
              <w:rPr>
                <w:sz w:val="18"/>
                <w:szCs w:val="18"/>
              </w:rPr>
            </w:pPr>
            <w:r>
              <w:rPr>
                <w:sz w:val="18"/>
                <w:szCs w:val="18"/>
              </w:rPr>
              <w:t>2193</w:t>
            </w:r>
          </w:p>
        </w:tc>
        <w:tc>
          <w:tcPr>
            <w:tcW w:w="416" w:type="pct"/>
            <w:shd w:val="clear" w:color="auto" w:fill="auto"/>
            <w:noWrap/>
            <w:vAlign w:val="center"/>
          </w:tcPr>
          <w:p>
            <w:pPr>
              <w:jc w:val="center"/>
              <w:rPr>
                <w:sz w:val="18"/>
                <w:szCs w:val="18"/>
              </w:rPr>
            </w:pPr>
            <w:r>
              <w:rPr>
                <w:sz w:val="18"/>
                <w:szCs w:val="18"/>
              </w:rPr>
              <w:t>13158</w:t>
            </w:r>
          </w:p>
        </w:tc>
        <w:tc>
          <w:tcPr>
            <w:tcW w:w="467" w:type="pct"/>
            <w:shd w:val="clear" w:color="auto" w:fill="auto"/>
            <w:noWrap/>
            <w:vAlign w:val="center"/>
          </w:tcPr>
          <w:p>
            <w:pPr>
              <w:jc w:val="center"/>
              <w:rPr>
                <w:sz w:val="18"/>
                <w:szCs w:val="18"/>
              </w:rPr>
            </w:pPr>
            <w:r>
              <w:rPr>
                <w:sz w:val="18"/>
                <w:szCs w:val="18"/>
              </w:rPr>
              <w:t>1</w:t>
            </w:r>
          </w:p>
        </w:tc>
        <w:tc>
          <w:tcPr>
            <w:tcW w:w="415" w:type="pct"/>
            <w:shd w:val="clear" w:color="auto" w:fill="auto"/>
            <w:noWrap/>
            <w:vAlign w:val="center"/>
          </w:tcPr>
          <w:p>
            <w:pPr>
              <w:jc w:val="center"/>
              <w:rPr>
                <w:sz w:val="18"/>
                <w:szCs w:val="18"/>
              </w:rPr>
            </w:pPr>
            <w:r>
              <w:rPr>
                <w:sz w:val="18"/>
                <w:szCs w:val="18"/>
              </w:rPr>
              <w:t>17.6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231580.8</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231580.8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hint="eastAsia" w:eastAsiaTheme="minorEastAsia"/>
                <w:kern w:val="0"/>
                <w:sz w:val="18"/>
                <w:szCs w:val="18"/>
              </w:rPr>
              <w:t>10</w:t>
            </w:r>
          </w:p>
        </w:tc>
        <w:tc>
          <w:tcPr>
            <w:tcW w:w="1060" w:type="pct"/>
            <w:shd w:val="clear" w:color="auto" w:fill="auto"/>
            <w:noWrap/>
            <w:vAlign w:val="center"/>
          </w:tcPr>
          <w:p>
            <w:pPr>
              <w:widowControl/>
              <w:jc w:val="left"/>
              <w:rPr>
                <w:rFonts w:eastAsiaTheme="minorEastAsia"/>
                <w:kern w:val="0"/>
                <w:sz w:val="18"/>
                <w:szCs w:val="18"/>
              </w:rPr>
            </w:pPr>
            <w:r>
              <w:rPr>
                <w:rFonts w:eastAsiaTheme="minorEastAsia"/>
                <w:kern w:val="0"/>
                <w:sz w:val="18"/>
                <w:szCs w:val="18"/>
              </w:rPr>
              <w:t>消防材料库</w:t>
            </w:r>
          </w:p>
        </w:tc>
        <w:tc>
          <w:tcPr>
            <w:tcW w:w="415" w:type="pct"/>
            <w:shd w:val="clear" w:color="auto" w:fill="auto"/>
            <w:noWrap/>
            <w:vAlign w:val="center"/>
          </w:tcPr>
          <w:p>
            <w:pPr>
              <w:jc w:val="center"/>
              <w:rPr>
                <w:sz w:val="18"/>
                <w:szCs w:val="18"/>
              </w:rPr>
            </w:pPr>
            <w:r>
              <w:rPr>
                <w:sz w:val="18"/>
                <w:szCs w:val="18"/>
              </w:rPr>
              <w:t>5</w:t>
            </w:r>
          </w:p>
        </w:tc>
        <w:tc>
          <w:tcPr>
            <w:tcW w:w="415" w:type="pct"/>
            <w:shd w:val="clear" w:color="auto" w:fill="auto"/>
            <w:noWrap/>
            <w:vAlign w:val="center"/>
          </w:tcPr>
          <w:p>
            <w:pPr>
              <w:jc w:val="center"/>
              <w:rPr>
                <w:sz w:val="18"/>
                <w:szCs w:val="18"/>
              </w:rPr>
            </w:pPr>
            <w:r>
              <w:rPr>
                <w:sz w:val="18"/>
                <w:szCs w:val="18"/>
              </w:rPr>
              <w:t>72</w:t>
            </w:r>
          </w:p>
        </w:tc>
        <w:tc>
          <w:tcPr>
            <w:tcW w:w="416" w:type="pct"/>
            <w:shd w:val="clear" w:color="auto" w:fill="auto"/>
            <w:noWrap/>
            <w:vAlign w:val="center"/>
          </w:tcPr>
          <w:p>
            <w:pPr>
              <w:jc w:val="center"/>
              <w:rPr>
                <w:sz w:val="18"/>
                <w:szCs w:val="18"/>
              </w:rPr>
            </w:pPr>
            <w:r>
              <w:rPr>
                <w:sz w:val="18"/>
                <w:szCs w:val="18"/>
              </w:rPr>
              <w:t>259.2</w:t>
            </w:r>
          </w:p>
        </w:tc>
        <w:tc>
          <w:tcPr>
            <w:tcW w:w="467" w:type="pct"/>
            <w:shd w:val="clear" w:color="auto" w:fill="auto"/>
            <w:noWrap/>
            <w:vAlign w:val="center"/>
          </w:tcPr>
          <w:p>
            <w:pPr>
              <w:jc w:val="center"/>
              <w:rPr>
                <w:sz w:val="18"/>
                <w:szCs w:val="18"/>
              </w:rPr>
            </w:pPr>
            <w:r>
              <w:rPr>
                <w:sz w:val="18"/>
                <w:szCs w:val="18"/>
              </w:rPr>
              <w:t>2.1</w:t>
            </w:r>
          </w:p>
        </w:tc>
        <w:tc>
          <w:tcPr>
            <w:tcW w:w="415" w:type="pct"/>
            <w:shd w:val="clear" w:color="auto" w:fill="auto"/>
            <w:noWrap/>
            <w:vAlign w:val="center"/>
          </w:tcPr>
          <w:p>
            <w:pPr>
              <w:jc w:val="center"/>
              <w:rPr>
                <w:sz w:val="18"/>
                <w:szCs w:val="18"/>
              </w:rPr>
            </w:pPr>
            <w:r>
              <w:rPr>
                <w:sz w:val="18"/>
                <w:szCs w:val="18"/>
              </w:rPr>
              <w:t>17.6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9580.032</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9580.032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11</w:t>
            </w:r>
          </w:p>
        </w:tc>
        <w:tc>
          <w:tcPr>
            <w:tcW w:w="1060" w:type="pct"/>
            <w:shd w:val="clear" w:color="auto" w:fill="auto"/>
            <w:noWrap/>
            <w:vAlign w:val="center"/>
          </w:tcPr>
          <w:p>
            <w:pPr>
              <w:widowControl/>
              <w:jc w:val="left"/>
              <w:rPr>
                <w:rFonts w:eastAsiaTheme="minorEastAsia"/>
                <w:kern w:val="0"/>
                <w:sz w:val="18"/>
                <w:szCs w:val="18"/>
              </w:rPr>
            </w:pPr>
            <w:r>
              <w:rPr>
                <w:rFonts w:eastAsiaTheme="minorEastAsia"/>
                <w:kern w:val="0"/>
                <w:sz w:val="18"/>
                <w:szCs w:val="18"/>
              </w:rPr>
              <w:t>回用泵房及消毒间</w:t>
            </w:r>
          </w:p>
        </w:tc>
        <w:tc>
          <w:tcPr>
            <w:tcW w:w="415" w:type="pct"/>
            <w:shd w:val="clear" w:color="auto" w:fill="auto"/>
            <w:noWrap/>
            <w:vAlign w:val="center"/>
          </w:tcPr>
          <w:p>
            <w:pPr>
              <w:jc w:val="center"/>
              <w:rPr>
                <w:sz w:val="18"/>
                <w:szCs w:val="18"/>
              </w:rPr>
            </w:pPr>
            <w:r>
              <w:rPr>
                <w:sz w:val="18"/>
                <w:szCs w:val="18"/>
              </w:rPr>
              <w:t>5</w:t>
            </w:r>
          </w:p>
        </w:tc>
        <w:tc>
          <w:tcPr>
            <w:tcW w:w="415" w:type="pct"/>
            <w:shd w:val="clear" w:color="auto" w:fill="auto"/>
            <w:noWrap/>
            <w:vAlign w:val="center"/>
          </w:tcPr>
          <w:p>
            <w:pPr>
              <w:jc w:val="center"/>
              <w:rPr>
                <w:sz w:val="18"/>
                <w:szCs w:val="18"/>
              </w:rPr>
            </w:pPr>
            <w:r>
              <w:rPr>
                <w:sz w:val="18"/>
                <w:szCs w:val="18"/>
              </w:rPr>
              <w:t>78</w:t>
            </w:r>
          </w:p>
        </w:tc>
        <w:tc>
          <w:tcPr>
            <w:tcW w:w="416" w:type="pct"/>
            <w:shd w:val="clear" w:color="auto" w:fill="auto"/>
            <w:noWrap/>
            <w:vAlign w:val="center"/>
          </w:tcPr>
          <w:p>
            <w:pPr>
              <w:jc w:val="center"/>
              <w:rPr>
                <w:sz w:val="18"/>
                <w:szCs w:val="18"/>
              </w:rPr>
            </w:pPr>
            <w:r>
              <w:rPr>
                <w:sz w:val="18"/>
                <w:szCs w:val="18"/>
              </w:rPr>
              <w:t>546</w:t>
            </w:r>
          </w:p>
        </w:tc>
        <w:tc>
          <w:tcPr>
            <w:tcW w:w="467" w:type="pct"/>
            <w:shd w:val="clear" w:color="auto" w:fill="auto"/>
            <w:noWrap/>
            <w:vAlign w:val="center"/>
          </w:tcPr>
          <w:p>
            <w:pPr>
              <w:jc w:val="center"/>
              <w:rPr>
                <w:sz w:val="18"/>
                <w:szCs w:val="18"/>
              </w:rPr>
            </w:pPr>
            <w:r>
              <w:rPr>
                <w:sz w:val="18"/>
                <w:szCs w:val="18"/>
              </w:rPr>
              <w:t>2</w:t>
            </w:r>
          </w:p>
        </w:tc>
        <w:tc>
          <w:tcPr>
            <w:tcW w:w="415" w:type="pct"/>
            <w:shd w:val="clear" w:color="auto" w:fill="auto"/>
            <w:noWrap/>
            <w:vAlign w:val="center"/>
          </w:tcPr>
          <w:p>
            <w:pPr>
              <w:jc w:val="center"/>
              <w:rPr>
                <w:sz w:val="18"/>
                <w:szCs w:val="18"/>
              </w:rPr>
            </w:pPr>
            <w:r>
              <w:rPr>
                <w:sz w:val="18"/>
                <w:szCs w:val="18"/>
              </w:rPr>
              <w:t>17.6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19219.2</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19219.2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12</w:t>
            </w:r>
          </w:p>
        </w:tc>
        <w:tc>
          <w:tcPr>
            <w:tcW w:w="1060" w:type="pct"/>
            <w:shd w:val="clear" w:color="auto" w:fill="auto"/>
            <w:noWrap/>
            <w:vAlign w:val="center"/>
          </w:tcPr>
          <w:p>
            <w:pPr>
              <w:widowControl/>
              <w:jc w:val="left"/>
              <w:rPr>
                <w:rFonts w:eastAsiaTheme="minorEastAsia"/>
                <w:kern w:val="0"/>
                <w:sz w:val="18"/>
                <w:szCs w:val="18"/>
              </w:rPr>
            </w:pPr>
            <w:r>
              <w:rPr>
                <w:rFonts w:eastAsiaTheme="minorEastAsia"/>
                <w:kern w:val="0"/>
                <w:sz w:val="18"/>
                <w:szCs w:val="18"/>
              </w:rPr>
              <w:t>工业场地35kV变电所</w:t>
            </w:r>
          </w:p>
        </w:tc>
        <w:tc>
          <w:tcPr>
            <w:tcW w:w="415" w:type="pct"/>
            <w:shd w:val="clear" w:color="auto" w:fill="auto"/>
            <w:noWrap/>
            <w:vAlign w:val="center"/>
          </w:tcPr>
          <w:p>
            <w:pPr>
              <w:jc w:val="center"/>
              <w:rPr>
                <w:sz w:val="18"/>
                <w:szCs w:val="18"/>
              </w:rPr>
            </w:pPr>
            <w:r>
              <w:rPr>
                <w:sz w:val="18"/>
                <w:szCs w:val="18"/>
              </w:rPr>
              <w:t>14</w:t>
            </w:r>
          </w:p>
        </w:tc>
        <w:tc>
          <w:tcPr>
            <w:tcW w:w="415" w:type="pct"/>
            <w:shd w:val="clear" w:color="auto" w:fill="auto"/>
            <w:noWrap/>
            <w:vAlign w:val="center"/>
          </w:tcPr>
          <w:p>
            <w:pPr>
              <w:jc w:val="center"/>
              <w:rPr>
                <w:sz w:val="18"/>
                <w:szCs w:val="18"/>
              </w:rPr>
            </w:pPr>
            <w:r>
              <w:rPr>
                <w:rFonts w:hint="eastAsia"/>
                <w:sz w:val="18"/>
                <w:szCs w:val="18"/>
              </w:rPr>
              <w:t>898</w:t>
            </w:r>
          </w:p>
        </w:tc>
        <w:tc>
          <w:tcPr>
            <w:tcW w:w="416" w:type="pct"/>
            <w:shd w:val="clear" w:color="auto" w:fill="auto"/>
            <w:noWrap/>
            <w:vAlign w:val="center"/>
          </w:tcPr>
          <w:p>
            <w:pPr>
              <w:jc w:val="center"/>
              <w:rPr>
                <w:sz w:val="18"/>
                <w:szCs w:val="18"/>
              </w:rPr>
            </w:pPr>
            <w:r>
              <w:rPr>
                <w:rFonts w:hint="eastAsia"/>
                <w:sz w:val="18"/>
                <w:szCs w:val="18"/>
              </w:rPr>
              <w:t>3592</w:t>
            </w:r>
          </w:p>
        </w:tc>
        <w:tc>
          <w:tcPr>
            <w:tcW w:w="467" w:type="pct"/>
            <w:shd w:val="clear" w:color="auto" w:fill="auto"/>
            <w:noWrap/>
            <w:vAlign w:val="center"/>
          </w:tcPr>
          <w:p>
            <w:pPr>
              <w:jc w:val="center"/>
              <w:rPr>
                <w:sz w:val="18"/>
                <w:szCs w:val="18"/>
              </w:rPr>
            </w:pPr>
            <w:r>
              <w:rPr>
                <w:sz w:val="18"/>
                <w:szCs w:val="18"/>
              </w:rPr>
              <w:t>0.8</w:t>
            </w:r>
          </w:p>
        </w:tc>
        <w:tc>
          <w:tcPr>
            <w:tcW w:w="415" w:type="pct"/>
            <w:shd w:val="clear" w:color="auto" w:fill="auto"/>
            <w:noWrap/>
            <w:vAlign w:val="center"/>
          </w:tcPr>
          <w:p>
            <w:pPr>
              <w:jc w:val="center"/>
              <w:rPr>
                <w:sz w:val="18"/>
                <w:szCs w:val="18"/>
              </w:rPr>
            </w:pPr>
            <w:r>
              <w:rPr>
                <w:sz w:val="18"/>
                <w:szCs w:val="18"/>
              </w:rPr>
              <w:t>26.6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76437.76</w:t>
            </w:r>
          </w:p>
        </w:tc>
        <w:tc>
          <w:tcPr>
            <w:tcW w:w="363"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76437.76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13</w:t>
            </w:r>
          </w:p>
        </w:tc>
        <w:tc>
          <w:tcPr>
            <w:tcW w:w="1060" w:type="pct"/>
            <w:shd w:val="clear" w:color="auto" w:fill="auto"/>
            <w:noWrap/>
            <w:vAlign w:val="center"/>
          </w:tcPr>
          <w:p>
            <w:pPr>
              <w:widowControl/>
              <w:jc w:val="left"/>
              <w:rPr>
                <w:rFonts w:eastAsiaTheme="minorEastAsia"/>
                <w:kern w:val="0"/>
                <w:sz w:val="18"/>
                <w:szCs w:val="18"/>
              </w:rPr>
            </w:pPr>
            <w:r>
              <w:rPr>
                <w:rFonts w:hAnsiTheme="minorEastAsia" w:eastAsiaTheme="minorEastAsia"/>
                <w:kern w:val="0"/>
                <w:sz w:val="18"/>
                <w:szCs w:val="18"/>
              </w:rPr>
              <w:t>主斜井井口房</w:t>
            </w:r>
          </w:p>
        </w:tc>
        <w:tc>
          <w:tcPr>
            <w:tcW w:w="415" w:type="pct"/>
            <w:shd w:val="clear" w:color="auto" w:fill="auto"/>
            <w:noWrap/>
            <w:vAlign w:val="center"/>
          </w:tcPr>
          <w:p>
            <w:pPr>
              <w:jc w:val="center"/>
              <w:rPr>
                <w:sz w:val="18"/>
                <w:szCs w:val="18"/>
              </w:rPr>
            </w:pPr>
            <w:r>
              <w:rPr>
                <w:sz w:val="18"/>
                <w:szCs w:val="18"/>
              </w:rPr>
              <w:t>10</w:t>
            </w:r>
          </w:p>
        </w:tc>
        <w:tc>
          <w:tcPr>
            <w:tcW w:w="415" w:type="pct"/>
            <w:shd w:val="clear" w:color="auto" w:fill="auto"/>
            <w:noWrap/>
            <w:vAlign w:val="center"/>
          </w:tcPr>
          <w:p>
            <w:pPr>
              <w:jc w:val="center"/>
              <w:rPr>
                <w:sz w:val="18"/>
                <w:szCs w:val="18"/>
              </w:rPr>
            </w:pPr>
            <w:r>
              <w:rPr>
                <w:sz w:val="18"/>
                <w:szCs w:val="18"/>
              </w:rPr>
              <w:t>216</w:t>
            </w:r>
          </w:p>
        </w:tc>
        <w:tc>
          <w:tcPr>
            <w:tcW w:w="416" w:type="pct"/>
            <w:shd w:val="clear" w:color="auto" w:fill="auto"/>
            <w:noWrap/>
            <w:vAlign w:val="center"/>
          </w:tcPr>
          <w:p>
            <w:pPr>
              <w:jc w:val="center"/>
              <w:rPr>
                <w:sz w:val="18"/>
                <w:szCs w:val="18"/>
              </w:rPr>
            </w:pPr>
            <w:r>
              <w:rPr>
                <w:sz w:val="18"/>
                <w:szCs w:val="18"/>
              </w:rPr>
              <w:t>2484</w:t>
            </w:r>
          </w:p>
        </w:tc>
        <w:tc>
          <w:tcPr>
            <w:tcW w:w="467" w:type="pct"/>
            <w:shd w:val="clear" w:color="auto" w:fill="auto"/>
            <w:noWrap/>
            <w:vAlign w:val="center"/>
          </w:tcPr>
          <w:p>
            <w:pPr>
              <w:jc w:val="center"/>
              <w:rPr>
                <w:sz w:val="18"/>
                <w:szCs w:val="18"/>
              </w:rPr>
            </w:pPr>
            <w:r>
              <w:rPr>
                <w:sz w:val="18"/>
                <w:szCs w:val="18"/>
              </w:rPr>
              <w:t>1.1</w:t>
            </w:r>
          </w:p>
        </w:tc>
        <w:tc>
          <w:tcPr>
            <w:tcW w:w="415" w:type="pct"/>
            <w:shd w:val="clear" w:color="auto" w:fill="auto"/>
            <w:noWrap/>
            <w:vAlign w:val="center"/>
          </w:tcPr>
          <w:p>
            <w:pPr>
              <w:jc w:val="center"/>
              <w:rPr>
                <w:sz w:val="18"/>
                <w:szCs w:val="18"/>
              </w:rPr>
            </w:pPr>
            <w:r>
              <w:rPr>
                <w:sz w:val="18"/>
                <w:szCs w:val="18"/>
              </w:rPr>
              <w:t>22.6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61752.24</w:t>
            </w:r>
          </w:p>
        </w:tc>
        <w:tc>
          <w:tcPr>
            <w:tcW w:w="363" w:type="pct"/>
            <w:shd w:val="clear" w:color="auto" w:fill="auto"/>
            <w:noWrap/>
            <w:vAlign w:val="center"/>
          </w:tcPr>
          <w:p>
            <w:pPr>
              <w:widowControl/>
              <w:jc w:val="center"/>
              <w:rPr>
                <w:rFonts w:eastAsiaTheme="minorEastAsia"/>
                <w:kern w:val="0"/>
                <w:sz w:val="18"/>
                <w:szCs w:val="18"/>
              </w:rPr>
            </w:pPr>
            <w:r>
              <w:rPr>
                <w:rFonts w:hAnsiTheme="minorEastAsia"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hAnsiTheme="minorEastAsia"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61752.24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6" w:type="pct"/>
            <w:shd w:val="clear" w:color="auto" w:fill="auto"/>
            <w:noWrap/>
            <w:vAlign w:val="center"/>
          </w:tcPr>
          <w:p>
            <w:pPr>
              <w:widowControl/>
              <w:jc w:val="center"/>
              <w:rPr>
                <w:rFonts w:eastAsiaTheme="minorEastAsia"/>
                <w:kern w:val="0"/>
                <w:sz w:val="18"/>
                <w:szCs w:val="18"/>
              </w:rPr>
            </w:pPr>
            <w:r>
              <w:rPr>
                <w:rFonts w:eastAsiaTheme="minorEastAsia"/>
                <w:kern w:val="0"/>
                <w:sz w:val="18"/>
                <w:szCs w:val="18"/>
              </w:rPr>
              <w:t>14</w:t>
            </w:r>
          </w:p>
        </w:tc>
        <w:tc>
          <w:tcPr>
            <w:tcW w:w="1060" w:type="pct"/>
            <w:shd w:val="clear" w:color="auto" w:fill="auto"/>
            <w:noWrap/>
            <w:vAlign w:val="center"/>
          </w:tcPr>
          <w:p>
            <w:pPr>
              <w:widowControl/>
              <w:jc w:val="left"/>
              <w:rPr>
                <w:rFonts w:eastAsiaTheme="minorEastAsia"/>
                <w:kern w:val="0"/>
                <w:sz w:val="18"/>
                <w:szCs w:val="18"/>
              </w:rPr>
            </w:pPr>
            <w:r>
              <w:rPr>
                <w:rFonts w:hAnsiTheme="minorEastAsia" w:eastAsiaTheme="minorEastAsia"/>
                <w:kern w:val="0"/>
                <w:sz w:val="18"/>
                <w:szCs w:val="18"/>
              </w:rPr>
              <w:t>污泥池联合建筑</w:t>
            </w:r>
          </w:p>
        </w:tc>
        <w:tc>
          <w:tcPr>
            <w:tcW w:w="415" w:type="pct"/>
            <w:shd w:val="clear" w:color="auto" w:fill="auto"/>
            <w:noWrap/>
            <w:vAlign w:val="center"/>
          </w:tcPr>
          <w:p>
            <w:pPr>
              <w:jc w:val="center"/>
              <w:rPr>
                <w:sz w:val="18"/>
                <w:szCs w:val="18"/>
              </w:rPr>
            </w:pPr>
            <w:r>
              <w:rPr>
                <w:sz w:val="18"/>
                <w:szCs w:val="18"/>
              </w:rPr>
              <w:t>5</w:t>
            </w:r>
          </w:p>
        </w:tc>
        <w:tc>
          <w:tcPr>
            <w:tcW w:w="415" w:type="pct"/>
            <w:shd w:val="clear" w:color="auto" w:fill="auto"/>
            <w:noWrap/>
            <w:vAlign w:val="center"/>
          </w:tcPr>
          <w:p>
            <w:pPr>
              <w:jc w:val="center"/>
              <w:rPr>
                <w:sz w:val="18"/>
                <w:szCs w:val="18"/>
              </w:rPr>
            </w:pPr>
            <w:r>
              <w:rPr>
                <w:sz w:val="18"/>
                <w:szCs w:val="18"/>
              </w:rPr>
              <w:t>300</w:t>
            </w:r>
          </w:p>
        </w:tc>
        <w:tc>
          <w:tcPr>
            <w:tcW w:w="416" w:type="pct"/>
            <w:shd w:val="clear" w:color="auto" w:fill="auto"/>
            <w:noWrap/>
            <w:vAlign w:val="center"/>
          </w:tcPr>
          <w:p>
            <w:pPr>
              <w:jc w:val="center"/>
              <w:rPr>
                <w:sz w:val="18"/>
                <w:szCs w:val="18"/>
              </w:rPr>
            </w:pPr>
            <w:r>
              <w:rPr>
                <w:sz w:val="18"/>
                <w:szCs w:val="18"/>
              </w:rPr>
              <w:t>1500</w:t>
            </w:r>
          </w:p>
        </w:tc>
        <w:tc>
          <w:tcPr>
            <w:tcW w:w="467" w:type="pct"/>
            <w:shd w:val="clear" w:color="auto" w:fill="auto"/>
            <w:noWrap/>
            <w:vAlign w:val="center"/>
          </w:tcPr>
          <w:p>
            <w:pPr>
              <w:jc w:val="center"/>
              <w:rPr>
                <w:sz w:val="18"/>
                <w:szCs w:val="18"/>
              </w:rPr>
            </w:pPr>
            <w:r>
              <w:rPr>
                <w:sz w:val="18"/>
                <w:szCs w:val="18"/>
              </w:rPr>
              <w:t>2.3</w:t>
            </w:r>
          </w:p>
        </w:tc>
        <w:tc>
          <w:tcPr>
            <w:tcW w:w="415" w:type="pct"/>
            <w:shd w:val="clear" w:color="auto" w:fill="auto"/>
            <w:noWrap/>
            <w:vAlign w:val="center"/>
          </w:tcPr>
          <w:p>
            <w:pPr>
              <w:jc w:val="center"/>
              <w:rPr>
                <w:sz w:val="18"/>
                <w:szCs w:val="18"/>
              </w:rPr>
            </w:pPr>
            <w:r>
              <w:rPr>
                <w:sz w:val="18"/>
                <w:szCs w:val="18"/>
              </w:rPr>
              <w:t>17.6</w:t>
            </w:r>
          </w:p>
        </w:tc>
        <w:tc>
          <w:tcPr>
            <w:tcW w:w="416" w:type="pct"/>
            <w:shd w:val="clear" w:color="auto" w:fill="auto"/>
            <w:noWrap/>
            <w:vAlign w:val="center"/>
          </w:tcPr>
          <w:p>
            <w:pPr>
              <w:jc w:val="center"/>
              <w:rPr>
                <w:rFonts w:ascii="宋体" w:hAnsi="宋体" w:cs="宋体"/>
                <w:sz w:val="18"/>
                <w:szCs w:val="18"/>
              </w:rPr>
            </w:pPr>
            <w:r>
              <w:rPr>
                <w:rFonts w:hint="eastAsia"/>
                <w:sz w:val="18"/>
                <w:szCs w:val="18"/>
              </w:rPr>
              <w:t>60720</w:t>
            </w:r>
          </w:p>
        </w:tc>
        <w:tc>
          <w:tcPr>
            <w:tcW w:w="363" w:type="pct"/>
            <w:shd w:val="clear" w:color="auto" w:fill="auto"/>
            <w:noWrap/>
            <w:vAlign w:val="center"/>
          </w:tcPr>
          <w:p>
            <w:pPr>
              <w:widowControl/>
              <w:jc w:val="center"/>
              <w:rPr>
                <w:rFonts w:eastAsiaTheme="minorEastAsia"/>
                <w:kern w:val="0"/>
                <w:sz w:val="18"/>
                <w:szCs w:val="18"/>
              </w:rPr>
            </w:pPr>
            <w:r>
              <w:rPr>
                <w:rFonts w:hAnsiTheme="minorEastAsia" w:eastAsiaTheme="minorEastAsia"/>
                <w:kern w:val="0"/>
                <w:sz w:val="18"/>
                <w:szCs w:val="18"/>
              </w:rPr>
              <w:t>　</w:t>
            </w:r>
          </w:p>
        </w:tc>
        <w:tc>
          <w:tcPr>
            <w:tcW w:w="364" w:type="pct"/>
            <w:shd w:val="clear" w:color="auto" w:fill="auto"/>
            <w:noWrap/>
            <w:vAlign w:val="center"/>
          </w:tcPr>
          <w:p>
            <w:pPr>
              <w:widowControl/>
              <w:jc w:val="center"/>
              <w:rPr>
                <w:rFonts w:eastAsiaTheme="minorEastAsia"/>
                <w:kern w:val="0"/>
                <w:sz w:val="18"/>
                <w:szCs w:val="18"/>
              </w:rPr>
            </w:pPr>
            <w:r>
              <w:rPr>
                <w:rFonts w:hAnsiTheme="minorEastAsia" w:eastAsiaTheme="minorEastAsia"/>
                <w:kern w:val="0"/>
                <w:sz w:val="18"/>
                <w:szCs w:val="18"/>
              </w:rPr>
              <w:t>　</w:t>
            </w:r>
          </w:p>
        </w:tc>
        <w:tc>
          <w:tcPr>
            <w:tcW w:w="443" w:type="pct"/>
            <w:shd w:val="clear" w:color="auto" w:fill="auto"/>
            <w:noWrap/>
            <w:vAlign w:val="center"/>
          </w:tcPr>
          <w:p>
            <w:pPr>
              <w:jc w:val="center"/>
              <w:rPr>
                <w:rFonts w:ascii="宋体" w:hAnsi="宋体" w:cs="宋体"/>
                <w:sz w:val="18"/>
                <w:szCs w:val="18"/>
              </w:rPr>
            </w:pPr>
            <w:r>
              <w:rPr>
                <w:rFonts w:hint="eastAsia"/>
                <w:sz w:val="18"/>
                <w:szCs w:val="18"/>
              </w:rPr>
              <w:t>60720</w:t>
            </w:r>
          </w:p>
        </w:tc>
      </w:tr>
    </w:tbl>
    <w:p>
      <w:pPr>
        <w:widowControl/>
        <w:spacing w:line="360" w:lineRule="auto"/>
        <w:jc w:val="center"/>
        <w:rPr>
          <w:rFonts w:eastAsiaTheme="minorEastAsia"/>
          <w:kern w:val="0"/>
          <w:szCs w:val="21"/>
        </w:rPr>
      </w:pPr>
      <w:r>
        <w:rPr>
          <w:rFonts w:hAnsiTheme="minorEastAsia" w:eastAsiaTheme="minorEastAsia"/>
          <w:b/>
          <w:szCs w:val="21"/>
        </w:rPr>
        <w:t>续表</w:t>
      </w:r>
      <w:r>
        <w:rPr>
          <w:rFonts w:eastAsiaTheme="minorEastAsia"/>
          <w:b/>
          <w:szCs w:val="21"/>
        </w:rPr>
        <w:t xml:space="preserve">2-4-1   </w:t>
      </w:r>
      <w:r>
        <w:rPr>
          <w:rFonts w:hAnsiTheme="minorEastAsia" w:eastAsiaTheme="minorEastAsia"/>
          <w:b/>
          <w:szCs w:val="21"/>
        </w:rPr>
        <w:t>工业场地各建筑物耗热量表</w:t>
      </w:r>
      <w:r>
        <w:rPr>
          <w:rFonts w:eastAsiaTheme="minorEastAsia"/>
          <w:b/>
          <w:szCs w:val="21"/>
        </w:rPr>
        <w:t xml:space="preserve">      </w:t>
      </w:r>
      <w:r>
        <w:rPr>
          <w:rFonts w:hAnsiTheme="minorEastAsia" w:eastAsiaTheme="minorEastAsia"/>
          <w:b/>
          <w:szCs w:val="21"/>
        </w:rPr>
        <w:t>室外计算温度：</w:t>
      </w:r>
      <w:r>
        <w:rPr>
          <w:rFonts w:eastAsiaTheme="minorEastAsia"/>
          <w:b/>
          <w:szCs w:val="21"/>
        </w:rPr>
        <w:t>-12.6</w:t>
      </w:r>
      <w:r>
        <w:rPr>
          <w:rFonts w:hAnsiTheme="minorEastAsia" w:eastAsiaTheme="minorEastAsia"/>
          <w:b/>
          <w:szCs w:val="21"/>
        </w:rPr>
        <w:t>℃</w:t>
      </w:r>
    </w:p>
    <w:tbl>
      <w:tblPr>
        <w:tblStyle w:val="24"/>
        <w:tblW w:w="4996" w:type="pct"/>
        <w:tblInd w:w="0" w:type="dxa"/>
        <w:tblLayout w:type="fixed"/>
        <w:tblCellMar>
          <w:top w:w="0" w:type="dxa"/>
          <w:left w:w="108" w:type="dxa"/>
          <w:bottom w:w="0" w:type="dxa"/>
          <w:right w:w="108" w:type="dxa"/>
        </w:tblCellMar>
      </w:tblPr>
      <w:tblGrid>
        <w:gridCol w:w="674"/>
        <w:gridCol w:w="2835"/>
        <w:gridCol w:w="1135"/>
        <w:gridCol w:w="1135"/>
        <w:gridCol w:w="1132"/>
        <w:gridCol w:w="1277"/>
        <w:gridCol w:w="1135"/>
        <w:gridCol w:w="1132"/>
        <w:gridCol w:w="993"/>
        <w:gridCol w:w="993"/>
        <w:gridCol w:w="1200"/>
      </w:tblGrid>
      <w:tr>
        <w:tblPrEx>
          <w:tblCellMar>
            <w:top w:w="0" w:type="dxa"/>
            <w:left w:w="108" w:type="dxa"/>
            <w:bottom w:w="0" w:type="dxa"/>
            <w:right w:w="108" w:type="dxa"/>
          </w:tblCellMar>
        </w:tblPrEx>
        <w:trPr>
          <w:trHeight w:val="323" w:hRule="atLeast"/>
        </w:trPr>
        <w:tc>
          <w:tcPr>
            <w:tcW w:w="24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序号</w:t>
            </w:r>
          </w:p>
        </w:tc>
        <w:tc>
          <w:tcPr>
            <w:tcW w:w="103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建</w:t>
            </w:r>
            <w:r>
              <w:rPr>
                <w:rFonts w:eastAsiaTheme="minorEastAsia"/>
                <w:kern w:val="0"/>
                <w:sz w:val="18"/>
                <w:szCs w:val="18"/>
              </w:rPr>
              <w:t xml:space="preserve"> </w:t>
            </w:r>
            <w:r>
              <w:rPr>
                <w:rFonts w:hAnsiTheme="minorEastAsia" w:eastAsiaTheme="minorEastAsia"/>
                <w:kern w:val="0"/>
                <w:sz w:val="18"/>
                <w:szCs w:val="18"/>
              </w:rPr>
              <w:t>筑</w:t>
            </w:r>
            <w:r>
              <w:rPr>
                <w:rFonts w:eastAsiaTheme="minorEastAsia"/>
                <w:kern w:val="0"/>
                <w:sz w:val="18"/>
                <w:szCs w:val="18"/>
              </w:rPr>
              <w:t xml:space="preserve"> </w:t>
            </w:r>
            <w:r>
              <w:rPr>
                <w:rFonts w:hAnsiTheme="minorEastAsia" w:eastAsiaTheme="minorEastAsia"/>
                <w:kern w:val="0"/>
                <w:sz w:val="18"/>
                <w:szCs w:val="18"/>
              </w:rPr>
              <w:t>物</w:t>
            </w:r>
            <w:r>
              <w:rPr>
                <w:rFonts w:eastAsiaTheme="minorEastAsia"/>
                <w:kern w:val="0"/>
                <w:sz w:val="18"/>
                <w:szCs w:val="18"/>
              </w:rPr>
              <w:t xml:space="preserve"> </w:t>
            </w:r>
            <w:r>
              <w:rPr>
                <w:rFonts w:hAnsiTheme="minorEastAsia" w:eastAsiaTheme="minorEastAsia"/>
                <w:kern w:val="0"/>
                <w:sz w:val="18"/>
                <w:szCs w:val="18"/>
              </w:rPr>
              <w:t>名</w:t>
            </w:r>
            <w:r>
              <w:rPr>
                <w:rFonts w:eastAsiaTheme="minorEastAsia"/>
                <w:kern w:val="0"/>
                <w:sz w:val="18"/>
                <w:szCs w:val="18"/>
              </w:rPr>
              <w:t xml:space="preserve"> </w:t>
            </w:r>
            <w:r>
              <w:rPr>
                <w:rFonts w:hAnsiTheme="minorEastAsia" w:eastAsiaTheme="minorEastAsia"/>
                <w:kern w:val="0"/>
                <w:sz w:val="18"/>
                <w:szCs w:val="18"/>
              </w:rPr>
              <w:t>称</w:t>
            </w:r>
          </w:p>
        </w:tc>
        <w:tc>
          <w:tcPr>
            <w:tcW w:w="41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室内采暖</w:t>
            </w:r>
            <w:r>
              <w:rPr>
                <w:rFonts w:eastAsiaTheme="minorEastAsia"/>
                <w:kern w:val="0"/>
                <w:sz w:val="18"/>
                <w:szCs w:val="18"/>
              </w:rPr>
              <w:t xml:space="preserve">        </w:t>
            </w:r>
            <w:r>
              <w:rPr>
                <w:rFonts w:hAnsiTheme="minorEastAsia" w:eastAsiaTheme="minorEastAsia"/>
                <w:kern w:val="0"/>
                <w:sz w:val="18"/>
                <w:szCs w:val="18"/>
              </w:rPr>
              <w:t>计算温度</w:t>
            </w:r>
          </w:p>
        </w:tc>
        <w:tc>
          <w:tcPr>
            <w:tcW w:w="41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88" w:lineRule="auto"/>
              <w:jc w:val="center"/>
              <w:rPr>
                <w:rFonts w:eastAsiaTheme="minorEastAsia"/>
                <w:kern w:val="0"/>
                <w:sz w:val="18"/>
                <w:szCs w:val="18"/>
              </w:rPr>
            </w:pPr>
            <w:r>
              <w:rPr>
                <w:rFonts w:eastAsiaTheme="minorEastAsia"/>
                <w:kern w:val="0"/>
                <w:sz w:val="18"/>
                <w:szCs w:val="18"/>
              </w:rPr>
              <w:t xml:space="preserve"> </w:t>
            </w:r>
            <w:r>
              <w:rPr>
                <w:rFonts w:hAnsiTheme="minorEastAsia" w:eastAsiaTheme="minorEastAsia"/>
                <w:kern w:val="0"/>
                <w:sz w:val="18"/>
                <w:szCs w:val="18"/>
              </w:rPr>
              <w:t>建筑面积</w:t>
            </w:r>
          </w:p>
        </w:tc>
        <w:tc>
          <w:tcPr>
            <w:tcW w:w="41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采暖建筑</w:t>
            </w:r>
            <w:r>
              <w:rPr>
                <w:rFonts w:eastAsiaTheme="minorEastAsia"/>
                <w:kern w:val="0"/>
                <w:sz w:val="18"/>
                <w:szCs w:val="18"/>
              </w:rPr>
              <w:t xml:space="preserve">      </w:t>
            </w:r>
            <w:r>
              <w:rPr>
                <w:rFonts w:hAnsiTheme="minorEastAsia" w:eastAsiaTheme="minorEastAsia"/>
                <w:kern w:val="0"/>
                <w:sz w:val="18"/>
                <w:szCs w:val="18"/>
              </w:rPr>
              <w:t>物体积</w:t>
            </w:r>
          </w:p>
        </w:tc>
        <w:tc>
          <w:tcPr>
            <w:tcW w:w="46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单位体积采</w:t>
            </w:r>
            <w:r>
              <w:rPr>
                <w:rFonts w:eastAsiaTheme="minorEastAsia"/>
                <w:kern w:val="0"/>
                <w:sz w:val="18"/>
                <w:szCs w:val="18"/>
              </w:rPr>
              <w:t xml:space="preserve">  </w:t>
            </w:r>
            <w:r>
              <w:rPr>
                <w:rFonts w:hAnsiTheme="minorEastAsia" w:eastAsiaTheme="minorEastAsia"/>
                <w:kern w:val="0"/>
                <w:sz w:val="18"/>
                <w:szCs w:val="18"/>
              </w:rPr>
              <w:t>暖热指标</w:t>
            </w:r>
          </w:p>
        </w:tc>
        <w:tc>
          <w:tcPr>
            <w:tcW w:w="41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室内外温差</w:t>
            </w:r>
          </w:p>
        </w:tc>
        <w:tc>
          <w:tcPr>
            <w:tcW w:w="1583" w:type="pct"/>
            <w:gridSpan w:val="4"/>
            <w:tcBorders>
              <w:top w:val="single" w:color="auto" w:sz="4" w:space="0"/>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耗</w:t>
            </w:r>
            <w:r>
              <w:rPr>
                <w:rFonts w:eastAsiaTheme="minorEastAsia"/>
                <w:kern w:val="0"/>
                <w:sz w:val="18"/>
                <w:szCs w:val="18"/>
              </w:rPr>
              <w:t xml:space="preserve">  </w:t>
            </w:r>
            <w:r>
              <w:rPr>
                <w:rFonts w:hAnsiTheme="minorEastAsia" w:eastAsiaTheme="minorEastAsia"/>
                <w:kern w:val="0"/>
                <w:sz w:val="18"/>
                <w:szCs w:val="18"/>
              </w:rPr>
              <w:t>热</w:t>
            </w:r>
            <w:r>
              <w:rPr>
                <w:rFonts w:eastAsiaTheme="minorEastAsia"/>
                <w:kern w:val="0"/>
                <w:sz w:val="18"/>
                <w:szCs w:val="18"/>
              </w:rPr>
              <w:t xml:space="preserve">  </w:t>
            </w:r>
            <w:r>
              <w:rPr>
                <w:rFonts w:hAnsiTheme="minorEastAsia" w:eastAsiaTheme="minorEastAsia"/>
                <w:kern w:val="0"/>
                <w:sz w:val="18"/>
                <w:szCs w:val="18"/>
              </w:rPr>
              <w:t>量</w:t>
            </w:r>
          </w:p>
        </w:tc>
      </w:tr>
      <w:tr>
        <w:tblPrEx>
          <w:tblCellMar>
            <w:top w:w="0" w:type="dxa"/>
            <w:left w:w="108" w:type="dxa"/>
            <w:bottom w:w="0" w:type="dxa"/>
            <w:right w:w="108" w:type="dxa"/>
          </w:tblCellMar>
        </w:tblPrEx>
        <w:trPr>
          <w:trHeight w:val="323" w:hRule="atLeast"/>
        </w:trPr>
        <w:tc>
          <w:tcPr>
            <w:tcW w:w="24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kern w:val="0"/>
                <w:sz w:val="18"/>
                <w:szCs w:val="18"/>
              </w:rPr>
            </w:pPr>
          </w:p>
        </w:tc>
        <w:tc>
          <w:tcPr>
            <w:tcW w:w="103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kern w:val="0"/>
                <w:sz w:val="18"/>
                <w:szCs w:val="18"/>
              </w:rPr>
            </w:pPr>
          </w:p>
        </w:tc>
        <w:tc>
          <w:tcPr>
            <w:tcW w:w="416"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88" w:lineRule="auto"/>
              <w:jc w:val="left"/>
              <w:rPr>
                <w:rFonts w:eastAsiaTheme="minorEastAsia"/>
                <w:kern w:val="0"/>
                <w:sz w:val="18"/>
                <w:szCs w:val="18"/>
              </w:rPr>
            </w:pPr>
          </w:p>
        </w:tc>
        <w:tc>
          <w:tcPr>
            <w:tcW w:w="416"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88" w:lineRule="auto"/>
              <w:jc w:val="left"/>
              <w:rPr>
                <w:rFonts w:eastAsiaTheme="minorEastAsia"/>
                <w:kern w:val="0"/>
                <w:sz w:val="18"/>
                <w:szCs w:val="18"/>
              </w:rPr>
            </w:pPr>
          </w:p>
        </w:tc>
        <w:tc>
          <w:tcPr>
            <w:tcW w:w="415"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88" w:lineRule="auto"/>
              <w:jc w:val="left"/>
              <w:rPr>
                <w:rFonts w:eastAsiaTheme="minorEastAsia"/>
                <w:kern w:val="0"/>
                <w:sz w:val="18"/>
                <w:szCs w:val="18"/>
              </w:rPr>
            </w:pPr>
          </w:p>
        </w:tc>
        <w:tc>
          <w:tcPr>
            <w:tcW w:w="468"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88" w:lineRule="auto"/>
              <w:jc w:val="left"/>
              <w:rPr>
                <w:rFonts w:eastAsiaTheme="minorEastAsia"/>
                <w:kern w:val="0"/>
                <w:sz w:val="18"/>
                <w:szCs w:val="18"/>
              </w:rPr>
            </w:pPr>
          </w:p>
        </w:tc>
        <w:tc>
          <w:tcPr>
            <w:tcW w:w="416"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88" w:lineRule="auto"/>
              <w:jc w:val="left"/>
              <w:rPr>
                <w:rFonts w:eastAsiaTheme="minorEastAsia"/>
                <w:kern w:val="0"/>
                <w:sz w:val="18"/>
                <w:szCs w:val="18"/>
              </w:rPr>
            </w:pPr>
          </w:p>
        </w:tc>
        <w:tc>
          <w:tcPr>
            <w:tcW w:w="1583" w:type="pct"/>
            <w:gridSpan w:val="4"/>
            <w:tcBorders>
              <w:top w:val="single" w:color="auto" w:sz="4" w:space="0"/>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W</w:t>
            </w:r>
          </w:p>
        </w:tc>
      </w:tr>
      <w:tr>
        <w:tblPrEx>
          <w:tblCellMar>
            <w:top w:w="0" w:type="dxa"/>
            <w:left w:w="108" w:type="dxa"/>
            <w:bottom w:w="0" w:type="dxa"/>
            <w:right w:w="108" w:type="dxa"/>
          </w:tblCellMar>
        </w:tblPrEx>
        <w:trPr>
          <w:trHeight w:val="323" w:hRule="atLeast"/>
        </w:trPr>
        <w:tc>
          <w:tcPr>
            <w:tcW w:w="24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kern w:val="0"/>
                <w:sz w:val="18"/>
                <w:szCs w:val="18"/>
              </w:rPr>
            </w:pPr>
          </w:p>
        </w:tc>
        <w:tc>
          <w:tcPr>
            <w:tcW w:w="103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kern w:val="0"/>
                <w:sz w:val="18"/>
                <w:szCs w:val="18"/>
              </w:rPr>
            </w:pPr>
          </w:p>
        </w:tc>
        <w:tc>
          <w:tcPr>
            <w:tcW w:w="416"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w:t>
            </w:r>
          </w:p>
        </w:tc>
        <w:tc>
          <w:tcPr>
            <w:tcW w:w="416"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int="eastAsia" w:eastAsiaTheme="minorEastAsia"/>
                <w:kern w:val="0"/>
                <w:sz w:val="18"/>
                <w:szCs w:val="18"/>
              </w:rPr>
              <w:t>m</w:t>
            </w:r>
            <w:r>
              <w:rPr>
                <w:rFonts w:hint="eastAsia" w:eastAsiaTheme="minorEastAsia"/>
                <w:kern w:val="0"/>
                <w:sz w:val="18"/>
                <w:szCs w:val="18"/>
                <w:vertAlign w:val="superscript"/>
              </w:rPr>
              <w:t>2</w:t>
            </w:r>
          </w:p>
        </w:tc>
        <w:tc>
          <w:tcPr>
            <w:tcW w:w="415"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int="eastAsia" w:eastAsiaTheme="minorEastAsia"/>
                <w:kern w:val="0"/>
                <w:sz w:val="18"/>
                <w:szCs w:val="18"/>
              </w:rPr>
              <w:t>m</w:t>
            </w:r>
            <w:r>
              <w:rPr>
                <w:rFonts w:hint="eastAsia" w:eastAsiaTheme="minorEastAsia"/>
                <w:kern w:val="0"/>
                <w:sz w:val="18"/>
                <w:szCs w:val="18"/>
                <w:vertAlign w:val="superscript"/>
              </w:rPr>
              <w:t>3</w:t>
            </w:r>
          </w:p>
        </w:tc>
        <w:tc>
          <w:tcPr>
            <w:tcW w:w="468"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W/m·K</w:t>
            </w:r>
          </w:p>
        </w:tc>
        <w:tc>
          <w:tcPr>
            <w:tcW w:w="416"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w:t>
            </w:r>
          </w:p>
        </w:tc>
        <w:tc>
          <w:tcPr>
            <w:tcW w:w="415"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采暖</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通风</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供热</w:t>
            </w:r>
          </w:p>
        </w:tc>
        <w:tc>
          <w:tcPr>
            <w:tcW w:w="440"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合计</w:t>
            </w:r>
          </w:p>
        </w:tc>
      </w:tr>
      <w:tr>
        <w:tblPrEx>
          <w:tblCellMar>
            <w:top w:w="0" w:type="dxa"/>
            <w:left w:w="108" w:type="dxa"/>
            <w:bottom w:w="0" w:type="dxa"/>
            <w:right w:w="108" w:type="dxa"/>
          </w:tblCellMar>
        </w:tblPrEx>
        <w:trPr>
          <w:trHeight w:val="323" w:hRule="atLeast"/>
        </w:trPr>
        <w:tc>
          <w:tcPr>
            <w:tcW w:w="247" w:type="pc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rFonts w:eastAsiaTheme="minorEastAsia"/>
                <w:kern w:val="0"/>
                <w:sz w:val="18"/>
                <w:szCs w:val="18"/>
              </w:rPr>
            </w:pPr>
            <w:r>
              <w:rPr>
                <w:rFonts w:eastAsiaTheme="minorEastAsia"/>
                <w:kern w:val="0"/>
                <w:sz w:val="18"/>
                <w:szCs w:val="18"/>
              </w:rPr>
              <w:t>15</w:t>
            </w:r>
          </w:p>
        </w:tc>
        <w:tc>
          <w:tcPr>
            <w:tcW w:w="1039" w:type="pct"/>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生活污水车间</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5</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324</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1944</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1.5</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17.6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51321.6</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51321.6</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16</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乳化液泵站</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5</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150</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900</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17.6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34848</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34848</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17</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综采设备库及机修车间联合建筑</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1008</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10584</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0.75</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179398.8</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179398.8</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18</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副井井口房</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613</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5206</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1.1</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129421.2</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129421.2</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19</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副井提升机房</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265</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2271</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1.1</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56457.06</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56457.06</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20</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日用消防泵房</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180</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1890</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1.4</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59799.6</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59799.6</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21</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水源井泵房</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33</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115</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2.5</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6497.5</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6497.5</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22</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注氮站与压风机站</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1035</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6210</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1.1</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154380.6</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154380.6</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23</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电控室</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140</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630</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1.7</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24204.6</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24204.6</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24</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器材库、棚</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864</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8208</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0.78</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144690.6</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144690.6</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25</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初沉调节池车间</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576</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2880</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1.4</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91123.2</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91123.2</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26</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油脂库</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90</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360</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17899.2</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17899.2</w:t>
            </w:r>
          </w:p>
        </w:tc>
      </w:tr>
      <w:tr>
        <w:tblPrEx>
          <w:tblCellMar>
            <w:top w:w="0" w:type="dxa"/>
            <w:left w:w="108" w:type="dxa"/>
            <w:bottom w:w="0" w:type="dxa"/>
            <w:right w:w="108" w:type="dxa"/>
          </w:tblCellMar>
        </w:tblPrEx>
        <w:trPr>
          <w:trHeight w:val="323"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eastAsiaTheme="minorEastAsia"/>
                <w:kern w:val="0"/>
                <w:sz w:val="18"/>
                <w:szCs w:val="18"/>
              </w:rPr>
              <w:t>27</w:t>
            </w:r>
          </w:p>
        </w:tc>
        <w:tc>
          <w:tcPr>
            <w:tcW w:w="1039" w:type="pct"/>
            <w:tcBorders>
              <w:top w:val="nil"/>
              <w:left w:val="nil"/>
              <w:bottom w:val="single" w:color="auto" w:sz="4" w:space="0"/>
              <w:right w:val="single" w:color="auto" w:sz="4" w:space="0"/>
            </w:tcBorders>
            <w:shd w:val="clear" w:color="auto" w:fill="auto"/>
            <w:noWrap/>
            <w:vAlign w:val="center"/>
          </w:tcPr>
          <w:p>
            <w:pPr>
              <w:widowControl/>
              <w:spacing w:line="288" w:lineRule="auto"/>
              <w:jc w:val="left"/>
              <w:rPr>
                <w:rFonts w:eastAsiaTheme="minorEastAsia"/>
                <w:kern w:val="0"/>
                <w:sz w:val="18"/>
                <w:szCs w:val="18"/>
              </w:rPr>
            </w:pPr>
            <w:r>
              <w:rPr>
                <w:rFonts w:hAnsiTheme="minorEastAsia" w:eastAsiaTheme="minorEastAsia"/>
                <w:kern w:val="0"/>
                <w:sz w:val="18"/>
                <w:szCs w:val="18"/>
              </w:rPr>
              <w:t>危化品库</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10</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90</w:t>
            </w:r>
          </w:p>
        </w:tc>
        <w:tc>
          <w:tcPr>
            <w:tcW w:w="41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360</w:t>
            </w:r>
          </w:p>
        </w:tc>
        <w:tc>
          <w:tcPr>
            <w:tcW w:w="46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w:t>
            </w:r>
          </w:p>
        </w:tc>
        <w:tc>
          <w:tcPr>
            <w:tcW w:w="41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22.6</w:t>
            </w:r>
          </w:p>
        </w:tc>
        <w:tc>
          <w:tcPr>
            <w:tcW w:w="415"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17899.2</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364"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　</w:t>
            </w:r>
          </w:p>
        </w:tc>
        <w:tc>
          <w:tcPr>
            <w:tcW w:w="44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18"/>
                <w:szCs w:val="18"/>
              </w:rPr>
            </w:pPr>
            <w:r>
              <w:rPr>
                <w:rFonts w:hint="eastAsia"/>
                <w:sz w:val="18"/>
                <w:szCs w:val="18"/>
              </w:rPr>
              <w:t>17899.2</w:t>
            </w:r>
          </w:p>
        </w:tc>
      </w:tr>
      <w:tr>
        <w:tblPrEx>
          <w:tblCellMar>
            <w:top w:w="0" w:type="dxa"/>
            <w:left w:w="108" w:type="dxa"/>
            <w:bottom w:w="0" w:type="dxa"/>
            <w:right w:w="108" w:type="dxa"/>
          </w:tblCellMar>
        </w:tblPrEx>
        <w:trPr>
          <w:trHeight w:val="323" w:hRule="atLeast"/>
        </w:trPr>
        <w:tc>
          <w:tcPr>
            <w:tcW w:w="4560" w:type="pct"/>
            <w:gridSpan w:val="10"/>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AnsiTheme="minorEastAsia" w:eastAsiaTheme="minorEastAsia"/>
                <w:kern w:val="0"/>
                <w:sz w:val="18"/>
                <w:szCs w:val="18"/>
              </w:rPr>
              <w:t>工业场地采暖负荷合计</w:t>
            </w:r>
          </w:p>
        </w:tc>
        <w:tc>
          <w:tcPr>
            <w:tcW w:w="440" w:type="pct"/>
            <w:tcBorders>
              <w:top w:val="nil"/>
              <w:left w:val="nil"/>
              <w:bottom w:val="single" w:color="auto" w:sz="4" w:space="0"/>
              <w:right w:val="single" w:color="auto" w:sz="4" w:space="0"/>
            </w:tcBorders>
            <w:shd w:val="clear" w:color="auto" w:fill="auto"/>
            <w:noWrap/>
            <w:vAlign w:val="center"/>
          </w:tcPr>
          <w:p>
            <w:pPr>
              <w:widowControl/>
              <w:spacing w:line="288" w:lineRule="auto"/>
              <w:jc w:val="center"/>
              <w:rPr>
                <w:rFonts w:eastAsiaTheme="minorEastAsia"/>
                <w:kern w:val="0"/>
                <w:sz w:val="18"/>
                <w:szCs w:val="18"/>
              </w:rPr>
            </w:pPr>
            <w:r>
              <w:rPr>
                <w:rFonts w:hint="eastAsia" w:eastAsiaTheme="minorEastAsia"/>
                <w:kern w:val="0"/>
                <w:sz w:val="18"/>
                <w:szCs w:val="18"/>
              </w:rPr>
              <w:t>1688384.50</w:t>
            </w:r>
          </w:p>
        </w:tc>
      </w:tr>
    </w:tbl>
    <w:p>
      <w:pPr>
        <w:widowControl/>
        <w:jc w:val="left"/>
        <w:rPr>
          <w:rFonts w:hAnsiTheme="minorEastAsia" w:eastAsiaTheme="minorEastAsia"/>
          <w:kern w:val="0"/>
          <w:sz w:val="24"/>
        </w:rPr>
      </w:pPr>
    </w:p>
    <w:p>
      <w:pPr>
        <w:spacing w:line="360" w:lineRule="auto"/>
        <w:ind w:firstLine="480" w:firstLineChars="200"/>
        <w:rPr>
          <w:rFonts w:hAnsiTheme="minorEastAsia" w:eastAsiaTheme="minorEastAsia"/>
          <w:kern w:val="0"/>
          <w:sz w:val="24"/>
        </w:rPr>
        <w:sectPr>
          <w:pgSz w:w="16838" w:h="11906" w:orient="landscape"/>
          <w:pgMar w:top="1418" w:right="1701" w:bottom="1418" w:left="1701" w:header="992" w:footer="992" w:gutter="0"/>
          <w:cols w:space="425" w:num="1"/>
          <w:docGrid w:type="lines" w:linePitch="312" w:charSpace="0"/>
        </w:sectPr>
      </w:pP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2-4-2</w:t>
      </w:r>
      <w:r>
        <w:rPr>
          <w:rFonts w:hAnsiTheme="minorEastAsia" w:eastAsiaTheme="minorEastAsia"/>
          <w:b/>
          <w:szCs w:val="21"/>
        </w:rPr>
        <w:t>　工业场地热负荷汇总表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4138"/>
        <w:gridCol w:w="3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2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ascii="Times New Roman" w:hAnsi="宋体"/>
                <w:snapToGrid w:val="0"/>
                <w:kern w:val="0"/>
              </w:rPr>
              <w:t>序号</w:t>
            </w:r>
          </w:p>
        </w:tc>
        <w:tc>
          <w:tcPr>
            <w:tcW w:w="2228"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ascii="Times New Roman" w:hAnsi="宋体"/>
                <w:snapToGrid w:val="0"/>
                <w:kern w:val="0"/>
              </w:rPr>
              <w:t>项目</w:t>
            </w:r>
          </w:p>
        </w:tc>
        <w:tc>
          <w:tcPr>
            <w:tcW w:w="204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ascii="Times New Roman" w:hAnsi="宋体"/>
                <w:snapToGrid w:val="0"/>
                <w:kern w:val="0"/>
              </w:rPr>
              <w:t>耗热量（</w:t>
            </w:r>
            <w:r>
              <w:rPr>
                <w:rFonts w:ascii="Times New Roman" w:hAnsi="Times New Roman"/>
                <w:snapToGrid w:val="0"/>
                <w:kern w:val="0"/>
              </w:rPr>
              <w:t>10</w:t>
            </w:r>
            <w:r>
              <w:rPr>
                <w:rFonts w:ascii="Times New Roman" w:hAnsi="Times New Roman"/>
                <w:snapToGrid w:val="0"/>
                <w:kern w:val="0"/>
                <w:vertAlign w:val="superscript"/>
              </w:rPr>
              <w:t>4</w:t>
            </w:r>
            <w:r>
              <w:rPr>
                <w:rFonts w:ascii="Times New Roman" w:hAnsi="Times New Roman"/>
                <w:snapToGrid w:val="0"/>
                <w:kern w:val="0"/>
              </w:rPr>
              <w:t>W</w:t>
            </w:r>
            <w:r>
              <w:rPr>
                <w:rFonts w:ascii="Times New Roman" w:hAnsi="宋体"/>
                <w:snapToGrid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2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bookmarkStart w:id="158" w:name="_Hlk260693101"/>
            <w:r>
              <w:rPr>
                <w:rFonts w:ascii="Times New Roman" w:hAnsi="Times New Roman"/>
                <w:snapToGrid w:val="0"/>
                <w:kern w:val="0"/>
              </w:rPr>
              <w:t>1</w:t>
            </w:r>
          </w:p>
        </w:tc>
        <w:tc>
          <w:tcPr>
            <w:tcW w:w="2228"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ascii="Times New Roman" w:hAnsi="宋体"/>
                <w:snapToGrid w:val="0"/>
                <w:kern w:val="0"/>
              </w:rPr>
              <w:t>地面建筑</w:t>
            </w:r>
            <w:r>
              <w:rPr>
                <w:rFonts w:ascii="Times New Roman" w:hAnsi="宋体"/>
              </w:rPr>
              <w:t>物采暖</w:t>
            </w:r>
          </w:p>
        </w:tc>
        <w:tc>
          <w:tcPr>
            <w:tcW w:w="204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hint="eastAsia" w:ascii="Times New Roman" w:hAnsi="Times New Roman"/>
                <w:snapToGrid w:val="0"/>
                <w:kern w:val="0"/>
              </w:rPr>
              <w:t>168.84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2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hint="eastAsia" w:ascii="Times New Roman" w:hAnsi="Times New Roman"/>
                <w:snapToGrid w:val="0"/>
                <w:kern w:val="0"/>
              </w:rPr>
              <w:t>2</w:t>
            </w:r>
          </w:p>
        </w:tc>
        <w:tc>
          <w:tcPr>
            <w:tcW w:w="2228"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宋体"/>
                <w:snapToGrid w:val="0"/>
                <w:kern w:val="0"/>
              </w:rPr>
            </w:pPr>
            <w:r>
              <w:rPr>
                <w:rFonts w:hint="eastAsia" w:ascii="Times New Roman" w:hAnsi="宋体"/>
                <w:snapToGrid w:val="0"/>
                <w:kern w:val="0"/>
              </w:rPr>
              <w:t>生活供暖</w:t>
            </w:r>
          </w:p>
        </w:tc>
        <w:tc>
          <w:tcPr>
            <w:tcW w:w="204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hint="eastAsia" w:ascii="Times New Roman" w:hAnsi="Times New Roman"/>
                <w:snapToGrid w:val="0"/>
                <w:kern w:val="0"/>
              </w:rPr>
              <w:t>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2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hint="eastAsia" w:ascii="Times New Roman" w:hAnsi="Times New Roman"/>
                <w:snapToGrid w:val="0"/>
                <w:kern w:val="0"/>
              </w:rPr>
              <w:t>3</w:t>
            </w:r>
          </w:p>
        </w:tc>
        <w:tc>
          <w:tcPr>
            <w:tcW w:w="2228"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ascii="Times New Roman" w:hAnsi="宋体"/>
                <w:snapToGrid w:val="0"/>
                <w:kern w:val="0"/>
              </w:rPr>
              <w:t>井筒保温</w:t>
            </w:r>
          </w:p>
        </w:tc>
        <w:tc>
          <w:tcPr>
            <w:tcW w:w="204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hint="eastAsia" w:ascii="Times New Roman" w:hAnsi="Times New Roman"/>
                <w:snapToGrid w:val="0"/>
                <w:kern w:val="0"/>
              </w:rPr>
              <w:t>438.54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2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hint="eastAsia" w:ascii="Times New Roman" w:hAnsi="Times New Roman"/>
                <w:snapToGrid w:val="0"/>
                <w:kern w:val="0"/>
              </w:rPr>
              <w:t>4</w:t>
            </w:r>
          </w:p>
        </w:tc>
        <w:tc>
          <w:tcPr>
            <w:tcW w:w="2228"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宋体"/>
                <w:snapToGrid w:val="0"/>
                <w:kern w:val="0"/>
              </w:rPr>
            </w:pPr>
            <w:r>
              <w:rPr>
                <w:rFonts w:hint="eastAsia" w:ascii="Times New Roman" w:hAnsi="宋体"/>
                <w:snapToGrid w:val="0"/>
                <w:kern w:val="0"/>
              </w:rPr>
              <w:t>洗煤厂供热</w:t>
            </w:r>
          </w:p>
        </w:tc>
        <w:tc>
          <w:tcPr>
            <w:tcW w:w="204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hint="eastAsia" w:ascii="Times New Roman" w:hAnsi="Times New Roman"/>
                <w:snapToGrid w:val="0"/>
                <w:kern w:val="0"/>
              </w:rPr>
              <w:t>138.75</w:t>
            </w:r>
          </w:p>
        </w:tc>
      </w:tr>
      <w:bookmarkEnd w:id="15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2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highlight w:val="yellow"/>
              </w:rPr>
            </w:pPr>
          </w:p>
        </w:tc>
        <w:tc>
          <w:tcPr>
            <w:tcW w:w="2228"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ascii="Times New Roman" w:hAnsi="宋体"/>
                <w:snapToGrid w:val="0"/>
                <w:kern w:val="0"/>
              </w:rPr>
              <w:t>热负荷总计</w:t>
            </w:r>
          </w:p>
        </w:tc>
        <w:tc>
          <w:tcPr>
            <w:tcW w:w="2046" w:type="pct"/>
            <w:tcBorders>
              <w:top w:val="single" w:color="auto" w:sz="4" w:space="0"/>
              <w:left w:val="single" w:color="auto" w:sz="4" w:space="0"/>
              <w:bottom w:val="single" w:color="auto" w:sz="4" w:space="0"/>
              <w:right w:val="single" w:color="auto" w:sz="4" w:space="0"/>
            </w:tcBorders>
            <w:vAlign w:val="center"/>
          </w:tcPr>
          <w:p>
            <w:pPr>
              <w:pStyle w:val="13"/>
              <w:spacing w:line="288" w:lineRule="auto"/>
              <w:jc w:val="center"/>
              <w:rPr>
                <w:rFonts w:ascii="Times New Roman" w:hAnsi="Times New Roman"/>
                <w:snapToGrid w:val="0"/>
                <w:kern w:val="0"/>
              </w:rPr>
            </w:pPr>
            <w:r>
              <w:rPr>
                <w:rFonts w:hint="eastAsia" w:ascii="Times New Roman" w:hAnsi="Times New Roman"/>
                <w:snapToGrid w:val="0"/>
                <w:kern w:val="0"/>
              </w:rPr>
              <w:t>871.93</w:t>
            </w:r>
          </w:p>
        </w:tc>
      </w:tr>
    </w:tbl>
    <w:p>
      <w:pPr>
        <w:spacing w:line="360" w:lineRule="auto"/>
        <w:ind w:firstLine="480" w:firstLineChars="200"/>
        <w:rPr>
          <w:rFonts w:eastAsiaTheme="minorEastAsia"/>
          <w:sz w:val="24"/>
        </w:rPr>
      </w:pPr>
      <w:r>
        <w:rPr>
          <w:rFonts w:hAnsiTheme="minorEastAsia" w:eastAsiaTheme="minorEastAsia"/>
          <w:sz w:val="24"/>
        </w:rPr>
        <w:t>由表</w:t>
      </w:r>
      <w:r>
        <w:rPr>
          <w:rFonts w:eastAsiaTheme="minorEastAsia"/>
          <w:sz w:val="24"/>
        </w:rPr>
        <w:t>2-4-2</w:t>
      </w:r>
      <w:r>
        <w:rPr>
          <w:rFonts w:hAnsiTheme="minorEastAsia" w:eastAsiaTheme="minorEastAsia"/>
          <w:sz w:val="24"/>
        </w:rPr>
        <w:t>知，工业场地总热负荷：采暖期</w:t>
      </w:r>
      <w:r>
        <w:rPr>
          <w:rFonts w:hint="eastAsia" w:eastAsiaTheme="minorEastAsia"/>
          <w:sz w:val="24"/>
        </w:rPr>
        <w:t>871.93</w:t>
      </w:r>
      <w:r>
        <w:rPr>
          <w:rFonts w:eastAsiaTheme="minorEastAsia"/>
          <w:sz w:val="24"/>
        </w:rPr>
        <w:t>×10</w:t>
      </w:r>
      <w:r>
        <w:rPr>
          <w:rFonts w:eastAsiaTheme="minorEastAsia"/>
          <w:sz w:val="24"/>
          <w:vertAlign w:val="superscript"/>
        </w:rPr>
        <w:t>4</w:t>
      </w:r>
      <w:r>
        <w:rPr>
          <w:rFonts w:eastAsiaTheme="minorEastAsia"/>
          <w:sz w:val="24"/>
        </w:rPr>
        <w:t>W</w:t>
      </w:r>
      <w:r>
        <w:rPr>
          <w:rFonts w:hAnsiTheme="minorEastAsia" w:eastAsiaTheme="minorEastAsia"/>
          <w:sz w:val="24"/>
        </w:rPr>
        <w:t>；非采暖期</w:t>
      </w:r>
      <w:r>
        <w:rPr>
          <w:rFonts w:hint="eastAsia" w:eastAsiaTheme="minorEastAsia"/>
          <w:sz w:val="24"/>
        </w:rPr>
        <w:t>159.8</w:t>
      </w:r>
      <w:r>
        <w:rPr>
          <w:rFonts w:eastAsiaTheme="minorEastAsia"/>
          <w:sz w:val="24"/>
        </w:rPr>
        <w:t>×10</w:t>
      </w:r>
      <w:r>
        <w:rPr>
          <w:rFonts w:eastAsiaTheme="minorEastAsia"/>
          <w:sz w:val="24"/>
          <w:vertAlign w:val="superscript"/>
        </w:rPr>
        <w:t>4</w:t>
      </w:r>
      <w:r>
        <w:rPr>
          <w:rFonts w:eastAsiaTheme="minorEastAsia"/>
          <w:sz w:val="24"/>
        </w:rPr>
        <w:t>W</w:t>
      </w:r>
      <w:r>
        <w:rPr>
          <w:rFonts w:hint="eastAsia" w:hAnsiTheme="minorEastAsia" w:eastAsiaTheme="minorEastAsia"/>
          <w:sz w:val="24"/>
        </w:rPr>
        <w:t>，</w:t>
      </w:r>
      <w:r>
        <w:rPr>
          <w:rFonts w:hAnsiTheme="minorEastAsia" w:eastAsiaTheme="minorEastAsia"/>
          <w:sz w:val="24"/>
        </w:rPr>
        <w:t>考虑</w:t>
      </w:r>
      <w:r>
        <w:rPr>
          <w:rFonts w:eastAsiaTheme="minorEastAsia"/>
          <w:sz w:val="24"/>
        </w:rPr>
        <w:t>1.2</w:t>
      </w:r>
      <w:r>
        <w:rPr>
          <w:rFonts w:hAnsiTheme="minorEastAsia" w:eastAsiaTheme="minorEastAsia"/>
          <w:sz w:val="24"/>
        </w:rPr>
        <w:t>的管网损失，采暖期</w:t>
      </w:r>
      <w:r>
        <w:rPr>
          <w:rFonts w:hint="eastAsia" w:eastAsiaTheme="minorEastAsia"/>
          <w:sz w:val="24"/>
        </w:rPr>
        <w:t>1046.32</w:t>
      </w:r>
      <w:r>
        <w:rPr>
          <w:rFonts w:eastAsiaTheme="minorEastAsia"/>
          <w:sz w:val="24"/>
        </w:rPr>
        <w:t>×10</w:t>
      </w:r>
      <w:r>
        <w:rPr>
          <w:rFonts w:eastAsiaTheme="minorEastAsia"/>
          <w:sz w:val="24"/>
          <w:vertAlign w:val="superscript"/>
        </w:rPr>
        <w:t>4</w:t>
      </w:r>
      <w:r>
        <w:rPr>
          <w:rFonts w:eastAsiaTheme="minorEastAsia"/>
          <w:sz w:val="24"/>
        </w:rPr>
        <w:t>W</w:t>
      </w:r>
      <w:r>
        <w:rPr>
          <w:rFonts w:hint="eastAsia" w:eastAsiaTheme="minorEastAsia"/>
          <w:sz w:val="24"/>
        </w:rPr>
        <w:t>，非</w:t>
      </w:r>
      <w:r>
        <w:rPr>
          <w:rFonts w:hAnsiTheme="minorEastAsia" w:eastAsiaTheme="minorEastAsia"/>
          <w:sz w:val="24"/>
        </w:rPr>
        <w:t>采暖期</w:t>
      </w:r>
      <w:r>
        <w:rPr>
          <w:rFonts w:hint="eastAsia" w:eastAsiaTheme="minorEastAsia"/>
          <w:sz w:val="24"/>
        </w:rPr>
        <w:t>191.76</w:t>
      </w:r>
      <w:r>
        <w:rPr>
          <w:rFonts w:eastAsiaTheme="minorEastAsia"/>
          <w:sz w:val="24"/>
        </w:rPr>
        <w:t>×10</w:t>
      </w:r>
      <w:r>
        <w:rPr>
          <w:rFonts w:eastAsiaTheme="minorEastAsia"/>
          <w:sz w:val="24"/>
          <w:vertAlign w:val="superscript"/>
        </w:rPr>
        <w:t>4</w:t>
      </w:r>
      <w:r>
        <w:rPr>
          <w:rFonts w:eastAsiaTheme="minorEastAsia"/>
          <w:sz w:val="24"/>
        </w:rPr>
        <w:t>W</w:t>
      </w:r>
      <w:r>
        <w:rPr>
          <w:rFonts w:hAnsiTheme="minorEastAsia" w:eastAsiaTheme="minorEastAsia"/>
          <w:sz w:val="24"/>
        </w:rPr>
        <w:t>。</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②锅炉房配置</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工业场地新建锅炉房一座，锅炉选用</w:t>
      </w:r>
      <w:r>
        <w:rPr>
          <w:rFonts w:hAnsiTheme="minorEastAsia" w:eastAsiaTheme="minorEastAsia"/>
          <w:kern w:val="0"/>
          <w:sz w:val="24"/>
        </w:rPr>
        <w:t>2</w:t>
      </w:r>
      <w:r>
        <w:rPr>
          <w:rFonts w:hint="eastAsia" w:hAnsiTheme="minorEastAsia" w:eastAsiaTheme="minorEastAsia"/>
          <w:kern w:val="0"/>
          <w:sz w:val="24"/>
        </w:rPr>
        <w:t>台超低氮</w:t>
      </w:r>
      <w:r>
        <w:rPr>
          <w:rFonts w:hAnsiTheme="minorEastAsia" w:eastAsiaTheme="minorEastAsia"/>
          <w:kern w:val="0"/>
          <w:sz w:val="24"/>
        </w:rPr>
        <w:t>LSS8-1.25</w:t>
      </w:r>
      <w:r>
        <w:rPr>
          <w:rFonts w:hint="eastAsia" w:hAnsiTheme="minorEastAsia" w:eastAsiaTheme="minorEastAsia"/>
          <w:kern w:val="0"/>
          <w:sz w:val="24"/>
        </w:rPr>
        <w:t>型燃气蒸汽锅炉，锅炉房设一根烟囱，烟囱高1</w:t>
      </w:r>
      <w:r>
        <w:rPr>
          <w:rFonts w:hAnsiTheme="minorEastAsia" w:eastAsiaTheme="minorEastAsia"/>
          <w:kern w:val="0"/>
          <w:sz w:val="24"/>
        </w:rPr>
        <w:t>5m</w:t>
      </w:r>
      <w:r>
        <w:rPr>
          <w:rFonts w:hint="eastAsia" w:hAnsiTheme="minorEastAsia" w:eastAsiaTheme="minorEastAsia"/>
          <w:kern w:val="0"/>
          <w:sz w:val="24"/>
        </w:rPr>
        <w:t>，内径0.2</w:t>
      </w:r>
      <w:r>
        <w:rPr>
          <w:rFonts w:hAnsiTheme="minorEastAsia" w:eastAsiaTheme="minorEastAsia"/>
          <w:kern w:val="0"/>
          <w:sz w:val="24"/>
        </w:rPr>
        <w:t>m</w:t>
      </w:r>
      <w:r>
        <w:rPr>
          <w:rFonts w:hint="eastAsia" w:hAnsiTheme="minorEastAsia" w:eastAsiaTheme="minorEastAsia"/>
          <w:kern w:val="0"/>
          <w:sz w:val="24"/>
        </w:rPr>
        <w:t>。</w:t>
      </w:r>
    </w:p>
    <w:p>
      <w:pPr>
        <w:spacing w:line="360" w:lineRule="auto"/>
        <w:ind w:firstLine="480" w:firstLineChars="200"/>
        <w:rPr>
          <w:rFonts w:hAnsiTheme="minorEastAsia" w:eastAsiaTheme="minorEastAsia"/>
          <w:b/>
          <w:kern w:val="0"/>
          <w:sz w:val="24"/>
        </w:rPr>
      </w:pPr>
      <w:r>
        <w:rPr>
          <w:rFonts w:hint="eastAsia" w:hAnsiTheme="minorEastAsia" w:eastAsiaTheme="minorEastAsia"/>
          <w:kern w:val="0"/>
          <w:sz w:val="24"/>
        </w:rPr>
        <w:t>采暖期</w:t>
      </w:r>
      <w:r>
        <w:rPr>
          <w:rFonts w:hAnsiTheme="minorEastAsia" w:eastAsiaTheme="minorEastAsia"/>
          <w:kern w:val="0"/>
          <w:sz w:val="24"/>
        </w:rPr>
        <w:t>2</w:t>
      </w:r>
      <w:r>
        <w:rPr>
          <w:rFonts w:hint="eastAsia" w:hAnsiTheme="minorEastAsia" w:eastAsiaTheme="minorEastAsia"/>
          <w:kern w:val="0"/>
          <w:sz w:val="24"/>
        </w:rPr>
        <w:t>台蒸汽锅炉同时运行，供建筑物采暖系统、生活用热、井筒防冻系统；非采暖季节，锅炉运行1台，供浴室和食堂用热。</w:t>
      </w:r>
    </w:p>
    <w:p>
      <w:pPr>
        <w:spacing w:line="360" w:lineRule="auto"/>
        <w:jc w:val="center"/>
        <w:rPr>
          <w:rFonts w:hAnsiTheme="minorEastAsia" w:eastAsiaTheme="minorEastAsia"/>
          <w:b/>
          <w:szCs w:val="21"/>
        </w:rPr>
      </w:pPr>
      <w:r>
        <w:rPr>
          <w:rFonts w:hint="eastAsia" w:hAnsiTheme="minorEastAsia" w:eastAsiaTheme="minorEastAsia"/>
          <w:b/>
          <w:szCs w:val="21"/>
        </w:rPr>
        <w:t>表2.4-3  锅炉房热负荷</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992"/>
        <w:gridCol w:w="992"/>
        <w:gridCol w:w="1418"/>
        <w:gridCol w:w="1256"/>
        <w:gridCol w:w="126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034"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名</w:t>
            </w:r>
            <w:r>
              <w:rPr>
                <w:rFonts w:eastAsiaTheme="minorEastAsia"/>
                <w:szCs w:val="21"/>
              </w:rPr>
              <w:t xml:space="preserve">  </w:t>
            </w:r>
            <w:r>
              <w:rPr>
                <w:rFonts w:hAnsiTheme="minorEastAsia" w:eastAsiaTheme="minorEastAsia"/>
                <w:szCs w:val="21"/>
              </w:rPr>
              <w:t>称</w:t>
            </w:r>
          </w:p>
        </w:tc>
        <w:tc>
          <w:tcPr>
            <w:tcW w:w="3402" w:type="dxa"/>
            <w:gridSpan w:val="3"/>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供</w:t>
            </w:r>
            <w:r>
              <w:rPr>
                <w:rFonts w:eastAsiaTheme="minorEastAsia"/>
                <w:szCs w:val="21"/>
              </w:rPr>
              <w:t xml:space="preserve">  </w:t>
            </w:r>
            <w:r>
              <w:rPr>
                <w:rFonts w:hAnsiTheme="minorEastAsia" w:eastAsiaTheme="minorEastAsia"/>
                <w:szCs w:val="21"/>
              </w:rPr>
              <w:t>热（</w:t>
            </w:r>
            <w:r>
              <w:rPr>
                <w:rFonts w:hint="eastAsia" w:hAnsiTheme="minorEastAsia" w:eastAsiaTheme="minorEastAsia"/>
                <w:szCs w:val="21"/>
              </w:rPr>
              <w:t>M</w:t>
            </w:r>
            <w:r>
              <w:rPr>
                <w:rFonts w:eastAsiaTheme="minorEastAsia"/>
                <w:szCs w:val="21"/>
              </w:rPr>
              <w:t>W</w:t>
            </w:r>
            <w:r>
              <w:rPr>
                <w:rFonts w:hAnsiTheme="minorEastAsia" w:eastAsiaTheme="minorEastAsia"/>
                <w:szCs w:val="21"/>
              </w:rPr>
              <w:t>）</w:t>
            </w:r>
          </w:p>
        </w:tc>
        <w:tc>
          <w:tcPr>
            <w:tcW w:w="1256"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采</w:t>
            </w:r>
            <w:r>
              <w:rPr>
                <w:rFonts w:eastAsiaTheme="minorEastAsia"/>
                <w:szCs w:val="21"/>
              </w:rPr>
              <w:t xml:space="preserve"> </w:t>
            </w:r>
            <w:r>
              <w:rPr>
                <w:rFonts w:hAnsiTheme="minorEastAsia" w:eastAsiaTheme="minorEastAsia"/>
                <w:szCs w:val="21"/>
              </w:rPr>
              <w:t>暖</w:t>
            </w:r>
          </w:p>
          <w:p>
            <w:pPr>
              <w:spacing w:line="288" w:lineRule="auto"/>
              <w:jc w:val="center"/>
              <w:rPr>
                <w:rFonts w:eastAsiaTheme="minorEastAsia"/>
                <w:szCs w:val="21"/>
              </w:rPr>
            </w:pPr>
            <w:r>
              <w:rPr>
                <w:rFonts w:hAnsiTheme="minorEastAsia" w:eastAsiaTheme="minorEastAsia"/>
                <w:szCs w:val="21"/>
              </w:rPr>
              <w:t>（</w:t>
            </w:r>
            <w:r>
              <w:rPr>
                <w:rFonts w:hint="eastAsia" w:hAnsiTheme="minorEastAsia" w:eastAsiaTheme="minorEastAsia"/>
                <w:szCs w:val="21"/>
              </w:rPr>
              <w:t>M</w:t>
            </w:r>
            <w:r>
              <w:rPr>
                <w:rFonts w:eastAsiaTheme="minorEastAsia"/>
                <w:szCs w:val="21"/>
              </w:rPr>
              <w:t>W</w:t>
            </w:r>
            <w:r>
              <w:rPr>
                <w:rFonts w:hAnsiTheme="minorEastAsia" w:eastAsiaTheme="minorEastAsia"/>
                <w:szCs w:val="21"/>
              </w:rPr>
              <w:t>）</w:t>
            </w:r>
          </w:p>
        </w:tc>
        <w:tc>
          <w:tcPr>
            <w:tcW w:w="2476"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井筒防冻（</w:t>
            </w:r>
            <w:r>
              <w:rPr>
                <w:rFonts w:hint="eastAsia" w:hAnsiTheme="minorEastAsia" w:eastAsiaTheme="minorEastAsia"/>
                <w:szCs w:val="21"/>
              </w:rPr>
              <w:t>M</w:t>
            </w:r>
            <w:r>
              <w:rPr>
                <w:rFonts w:eastAsiaTheme="minorEastAsia"/>
                <w:szCs w:val="21"/>
              </w:rPr>
              <w:t>W</w:t>
            </w:r>
            <w:r>
              <w:rPr>
                <w:rFonts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pacing w:val="-20"/>
                <w:szCs w:val="21"/>
              </w:rPr>
            </w:pPr>
            <w:r>
              <w:rPr>
                <w:rFonts w:hAnsiTheme="minorEastAsia" w:eastAsiaTheme="minorEastAsia"/>
                <w:szCs w:val="21"/>
              </w:rPr>
              <w:t>浴室</w:t>
            </w:r>
          </w:p>
        </w:tc>
        <w:tc>
          <w:tcPr>
            <w:tcW w:w="99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洗衣烘干</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食堂蒸煮及开水供应</w:t>
            </w:r>
          </w:p>
        </w:tc>
        <w:tc>
          <w:tcPr>
            <w:tcW w:w="125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主斜井</w:t>
            </w:r>
          </w:p>
        </w:tc>
        <w:tc>
          <w:tcPr>
            <w:tcW w:w="120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副斜井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pPr>
              <w:pStyle w:val="9"/>
              <w:spacing w:line="288" w:lineRule="auto"/>
              <w:jc w:val="center"/>
              <w:rPr>
                <w:rFonts w:eastAsiaTheme="minorEastAsia"/>
                <w:kern w:val="28"/>
                <w:szCs w:val="21"/>
              </w:rPr>
            </w:pPr>
            <w:r>
              <w:rPr>
                <w:rFonts w:hAnsiTheme="minorEastAsia" w:eastAsiaTheme="minorEastAsia"/>
                <w:kern w:val="28"/>
                <w:szCs w:val="21"/>
              </w:rPr>
              <w:t>工业场地</w:t>
            </w:r>
          </w:p>
        </w:tc>
        <w:tc>
          <w:tcPr>
            <w:tcW w:w="99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color w:val="0070C0"/>
                <w:sz w:val="28"/>
              </w:rPr>
            </w:pPr>
            <w:r>
              <w:rPr>
                <w:rFonts w:hint="eastAsia" w:eastAsiaTheme="minorEastAsia"/>
                <w:szCs w:val="21"/>
              </w:rPr>
              <w:t>0.97</w:t>
            </w:r>
          </w:p>
        </w:tc>
        <w:tc>
          <w:tcPr>
            <w:tcW w:w="99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color w:val="0070C0"/>
                <w:sz w:val="28"/>
              </w:rPr>
            </w:pPr>
            <w:r>
              <w:rPr>
                <w:rFonts w:eastAsiaTheme="minorEastAsia"/>
                <w:szCs w:val="21"/>
              </w:rPr>
              <w:t>0</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color w:val="0070C0"/>
                <w:sz w:val="28"/>
              </w:rPr>
            </w:pPr>
            <w:r>
              <w:rPr>
                <w:rFonts w:hint="eastAsia" w:eastAsiaTheme="minorEastAsia"/>
                <w:szCs w:val="21"/>
              </w:rPr>
              <w:t>0.18</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1.69</w:t>
            </w:r>
          </w:p>
        </w:tc>
        <w:tc>
          <w:tcPr>
            <w:tcW w:w="1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2.18</w:t>
            </w:r>
          </w:p>
        </w:tc>
        <w:tc>
          <w:tcPr>
            <w:tcW w:w="120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pPr>
              <w:pStyle w:val="9"/>
              <w:spacing w:line="288" w:lineRule="auto"/>
              <w:jc w:val="center"/>
              <w:rPr>
                <w:rFonts w:eastAsiaTheme="minorEastAsia"/>
                <w:kern w:val="28"/>
                <w:szCs w:val="21"/>
              </w:rPr>
            </w:pPr>
            <w:r>
              <w:rPr>
                <w:rFonts w:hAnsiTheme="minorEastAsia" w:eastAsiaTheme="minorEastAsia"/>
                <w:kern w:val="28"/>
                <w:szCs w:val="21"/>
              </w:rPr>
              <w:t>选</w:t>
            </w:r>
            <w:r>
              <w:rPr>
                <w:rFonts w:eastAsiaTheme="minorEastAsia"/>
                <w:kern w:val="28"/>
                <w:szCs w:val="21"/>
              </w:rPr>
              <w:t xml:space="preserve"> </w:t>
            </w:r>
            <w:r>
              <w:rPr>
                <w:rFonts w:hAnsiTheme="minorEastAsia" w:eastAsiaTheme="minorEastAsia"/>
                <w:kern w:val="28"/>
                <w:szCs w:val="21"/>
              </w:rPr>
              <w:t>煤</w:t>
            </w:r>
            <w:r>
              <w:rPr>
                <w:rFonts w:eastAsiaTheme="minorEastAsia"/>
                <w:kern w:val="28"/>
                <w:szCs w:val="21"/>
              </w:rPr>
              <w:t xml:space="preserve"> </w:t>
            </w:r>
            <w:r>
              <w:rPr>
                <w:rFonts w:hAnsiTheme="minorEastAsia" w:eastAsiaTheme="minorEastAsia"/>
                <w:kern w:val="28"/>
                <w:szCs w:val="21"/>
              </w:rPr>
              <w:t>厂</w:t>
            </w:r>
          </w:p>
        </w:tc>
        <w:tc>
          <w:tcPr>
            <w:tcW w:w="3402" w:type="dxa"/>
            <w:gridSpan w:val="3"/>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1.39</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w:t>
            </w:r>
          </w:p>
        </w:tc>
        <w:tc>
          <w:tcPr>
            <w:tcW w:w="1268" w:type="dxa"/>
            <w:tcBorders>
              <w:top w:val="single" w:color="auto" w:sz="4" w:space="0"/>
              <w:left w:val="single" w:color="auto" w:sz="4" w:space="0"/>
              <w:bottom w:val="single" w:color="auto" w:sz="4" w:space="0"/>
              <w:right w:val="single" w:color="auto" w:sz="4" w:space="0"/>
            </w:tcBorders>
            <w:vAlign w:val="center"/>
          </w:tcPr>
          <w:p>
            <w:pPr>
              <w:spacing w:line="288" w:lineRule="auto"/>
              <w:ind w:firstLine="105" w:firstLineChars="50"/>
              <w:jc w:val="center"/>
              <w:rPr>
                <w:rFonts w:eastAsiaTheme="minorEastAsia"/>
                <w:szCs w:val="21"/>
              </w:rPr>
            </w:pPr>
            <w:r>
              <w:rPr>
                <w:rFonts w:eastAsiaTheme="minorEastAsia"/>
                <w:szCs w:val="21"/>
              </w:rPr>
              <w:t>——</w:t>
            </w:r>
          </w:p>
        </w:tc>
        <w:tc>
          <w:tcPr>
            <w:tcW w:w="120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小</w:t>
            </w:r>
            <w:r>
              <w:rPr>
                <w:rFonts w:eastAsiaTheme="minorEastAsia"/>
                <w:szCs w:val="21"/>
              </w:rPr>
              <w:t xml:space="preserve">   </w:t>
            </w:r>
            <w:r>
              <w:rPr>
                <w:rFonts w:hAnsiTheme="minorEastAsia" w:eastAsiaTheme="minorEastAsia"/>
                <w:szCs w:val="21"/>
              </w:rPr>
              <w:t>计</w:t>
            </w:r>
          </w:p>
        </w:tc>
        <w:tc>
          <w:tcPr>
            <w:tcW w:w="3402" w:type="dxa"/>
            <w:gridSpan w:val="3"/>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2.54</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1.69</w:t>
            </w:r>
          </w:p>
        </w:tc>
        <w:tc>
          <w:tcPr>
            <w:tcW w:w="2476"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考虑热网损失同时使用系数并折算到锅炉房负荷</w:t>
            </w:r>
            <w:r>
              <w:rPr>
                <w:rFonts w:hint="eastAsia" w:eastAsiaTheme="minorEastAsia"/>
                <w:szCs w:val="21"/>
              </w:rPr>
              <w:t>（</w:t>
            </w:r>
            <w:r>
              <w:rPr>
                <w:rFonts w:eastAsiaTheme="minorEastAsia"/>
                <w:szCs w:val="21"/>
              </w:rPr>
              <w:t>t/h</w:t>
            </w:r>
            <w:r>
              <w:rPr>
                <w:rFonts w:hint="eastAsia" w:eastAsiaTheme="minorEastAsia"/>
                <w:szCs w:val="21"/>
              </w:rPr>
              <w:t>）</w:t>
            </w:r>
          </w:p>
        </w:tc>
        <w:tc>
          <w:tcPr>
            <w:tcW w:w="3402" w:type="dxa"/>
            <w:gridSpan w:val="3"/>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4.35</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2.90</w:t>
            </w:r>
          </w:p>
        </w:tc>
        <w:tc>
          <w:tcPr>
            <w:tcW w:w="2476"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highlight w:val="yellow"/>
              </w:rPr>
            </w:pPr>
            <w:r>
              <w:rPr>
                <w:rFonts w:hAnsiTheme="minorEastAsia" w:eastAsiaTheme="minorEastAsia"/>
                <w:szCs w:val="21"/>
              </w:rPr>
              <w:t>合计</w:t>
            </w:r>
            <w:r>
              <w:rPr>
                <w:rFonts w:hint="eastAsia" w:hAnsiTheme="minorEastAsia" w:eastAsiaTheme="minorEastAsia"/>
                <w:szCs w:val="21"/>
              </w:rPr>
              <w:t>（</w:t>
            </w:r>
            <w:r>
              <w:rPr>
                <w:rFonts w:hAnsiTheme="minorEastAsia" w:eastAsiaTheme="minorEastAsia"/>
                <w:szCs w:val="21"/>
              </w:rPr>
              <w:t>锅炉房负荷</w:t>
            </w:r>
            <w:r>
              <w:rPr>
                <w:rFonts w:eastAsiaTheme="minorEastAsia"/>
                <w:szCs w:val="21"/>
              </w:rPr>
              <w:t>t/h</w:t>
            </w:r>
            <w:r>
              <w:rPr>
                <w:rFonts w:hint="eastAsia" w:hAnsiTheme="minorEastAsia" w:eastAsiaTheme="minorEastAsia"/>
                <w:szCs w:val="21"/>
              </w:rPr>
              <w:t>）</w:t>
            </w:r>
          </w:p>
        </w:tc>
        <w:tc>
          <w:tcPr>
            <w:tcW w:w="7134" w:type="dxa"/>
            <w:gridSpan w:val="6"/>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int="eastAsia" w:eastAsiaTheme="minorEastAsia"/>
                <w:szCs w:val="21"/>
              </w:rPr>
              <w:t>14.78</w:t>
            </w:r>
          </w:p>
        </w:tc>
      </w:tr>
    </w:tbl>
    <w:p>
      <w:pPr>
        <w:spacing w:line="360" w:lineRule="auto"/>
        <w:outlineLvl w:val="2"/>
        <w:rPr>
          <w:rFonts w:eastAsiaTheme="minorEastAsia"/>
          <w:b/>
          <w:sz w:val="24"/>
        </w:rPr>
      </w:pPr>
      <w:r>
        <w:rPr>
          <w:rFonts w:eastAsiaTheme="minorEastAsia"/>
          <w:b/>
          <w:sz w:val="24"/>
        </w:rPr>
        <w:t>3.2.</w:t>
      </w:r>
      <w:r>
        <w:rPr>
          <w:rFonts w:hint="eastAsia" w:eastAsiaTheme="minorEastAsia"/>
          <w:b/>
          <w:sz w:val="24"/>
        </w:rPr>
        <w:t>6</w:t>
      </w:r>
      <w:r>
        <w:rPr>
          <w:rFonts w:eastAsiaTheme="minorEastAsia"/>
          <w:b/>
          <w:sz w:val="24"/>
        </w:rPr>
        <w:t>井田境界及资源概况</w:t>
      </w:r>
    </w:p>
    <w:p>
      <w:pPr>
        <w:spacing w:line="360" w:lineRule="auto"/>
        <w:outlineLvl w:val="3"/>
        <w:rPr>
          <w:rFonts w:eastAsiaTheme="minorEastAsia"/>
          <w:b/>
          <w:sz w:val="24"/>
        </w:rPr>
      </w:pPr>
      <w:r>
        <w:rPr>
          <w:rFonts w:eastAsiaTheme="minorEastAsia"/>
          <w:b/>
          <w:sz w:val="24"/>
        </w:rPr>
        <w:t>3.2.</w:t>
      </w:r>
      <w:r>
        <w:rPr>
          <w:rFonts w:hint="eastAsia" w:eastAsiaTheme="minorEastAsia"/>
          <w:b/>
          <w:sz w:val="24"/>
        </w:rPr>
        <w:t>6</w:t>
      </w:r>
      <w:r>
        <w:rPr>
          <w:rFonts w:eastAsiaTheme="minorEastAsia"/>
          <w:b/>
          <w:sz w:val="24"/>
        </w:rPr>
        <w:t>.1</w:t>
      </w:r>
      <w:r>
        <w:rPr>
          <w:rFonts w:hAnsiTheme="minorEastAsia" w:eastAsiaTheme="minorEastAsia"/>
          <w:b/>
          <w:sz w:val="24"/>
        </w:rPr>
        <w:t>井田境界</w:t>
      </w:r>
    </w:p>
    <w:p>
      <w:pPr>
        <w:spacing w:line="360" w:lineRule="auto"/>
        <w:ind w:firstLine="480" w:firstLineChars="200"/>
        <w:rPr>
          <w:rFonts w:eastAsiaTheme="minorEastAsia"/>
          <w:sz w:val="24"/>
        </w:rPr>
      </w:pPr>
      <w:r>
        <w:rPr>
          <w:rFonts w:hAnsiTheme="minorEastAsia" w:eastAsiaTheme="minorEastAsia"/>
          <w:sz w:val="24"/>
          <w:lang w:val="zh-CN"/>
        </w:rPr>
        <w:t>依据</w:t>
      </w:r>
      <w:r>
        <w:rPr>
          <w:rFonts w:hint="eastAsia" w:hAnsiTheme="minorEastAsia" w:eastAsiaTheme="minorEastAsia"/>
          <w:sz w:val="24"/>
        </w:rPr>
        <w:t>山西省国土资源厅</w:t>
      </w:r>
      <w:r>
        <w:rPr>
          <w:rFonts w:hAnsiTheme="minorEastAsia" w:eastAsiaTheme="minorEastAsia"/>
          <w:sz w:val="24"/>
        </w:rPr>
        <w:t>颁发的</w:t>
      </w:r>
      <w:r>
        <w:rPr>
          <w:rFonts w:hint="eastAsia" w:hAnsiTheme="minorEastAsia" w:eastAsiaTheme="minorEastAsia"/>
          <w:sz w:val="24"/>
        </w:rPr>
        <w:t>C140000</w:t>
      </w:r>
      <w:r>
        <w:rPr>
          <w:rFonts w:hint="eastAsia" w:eastAsiaTheme="minorEastAsia"/>
          <w:sz w:val="24"/>
        </w:rPr>
        <w:t>2009121220047240</w:t>
      </w:r>
      <w:r>
        <w:rPr>
          <w:rFonts w:hAnsiTheme="minorEastAsia" w:eastAsiaTheme="minorEastAsia"/>
          <w:sz w:val="24"/>
        </w:rPr>
        <w:t>号采矿许可证，矿区面积</w:t>
      </w:r>
      <w:r>
        <w:rPr>
          <w:rFonts w:hint="eastAsia" w:eastAsiaTheme="minorEastAsia"/>
          <w:sz w:val="24"/>
        </w:rPr>
        <w:t>5.4518</w:t>
      </w:r>
      <w:r>
        <w:rPr>
          <w:rFonts w:eastAsiaTheme="minorEastAsia"/>
          <w:sz w:val="24"/>
        </w:rPr>
        <w:t>km</w:t>
      </w:r>
      <w:r>
        <w:rPr>
          <w:rFonts w:eastAsiaTheme="minorEastAsia"/>
          <w:sz w:val="24"/>
          <w:vertAlign w:val="superscript"/>
        </w:rPr>
        <w:t>2</w:t>
      </w:r>
      <w:r>
        <w:rPr>
          <w:rFonts w:hAnsiTheme="minorEastAsia" w:eastAsiaTheme="minorEastAsia"/>
          <w:sz w:val="24"/>
        </w:rPr>
        <w:t>，</w:t>
      </w:r>
      <w:r>
        <w:rPr>
          <w:rFonts w:hint="eastAsia" w:hAnsi="宋体"/>
          <w:sz w:val="24"/>
        </w:rPr>
        <w:t>批准开采4-9号煤层，</w:t>
      </w:r>
      <w:r>
        <w:rPr>
          <w:rFonts w:hAnsiTheme="minorEastAsia" w:eastAsiaTheme="minorEastAsia"/>
          <w:sz w:val="24"/>
        </w:rPr>
        <w:t>开采深度由</w:t>
      </w:r>
      <w:r>
        <w:rPr>
          <w:rFonts w:hint="eastAsia" w:eastAsiaTheme="minorEastAsia"/>
          <w:sz w:val="24"/>
        </w:rPr>
        <w:t>92</w:t>
      </w:r>
      <w:r>
        <w:rPr>
          <w:rFonts w:eastAsiaTheme="minorEastAsia"/>
          <w:sz w:val="24"/>
        </w:rPr>
        <w:t>0m</w:t>
      </w:r>
      <w:r>
        <w:rPr>
          <w:rFonts w:hAnsiTheme="minorEastAsia" w:eastAsiaTheme="minorEastAsia"/>
          <w:sz w:val="24"/>
        </w:rPr>
        <w:t>至</w:t>
      </w:r>
      <w:r>
        <w:rPr>
          <w:rFonts w:eastAsiaTheme="minorEastAsia"/>
          <w:sz w:val="24"/>
        </w:rPr>
        <w:t>4</w:t>
      </w:r>
      <w:r>
        <w:rPr>
          <w:rFonts w:hint="eastAsia" w:eastAsiaTheme="minorEastAsia"/>
          <w:sz w:val="24"/>
        </w:rPr>
        <w:t>90</w:t>
      </w:r>
      <w:r>
        <w:rPr>
          <w:rFonts w:eastAsiaTheme="minorEastAsia"/>
          <w:sz w:val="24"/>
        </w:rPr>
        <w:t>m</w:t>
      </w:r>
      <w:r>
        <w:rPr>
          <w:rFonts w:hAnsiTheme="minorEastAsia" w:eastAsiaTheme="minorEastAsia"/>
          <w:sz w:val="24"/>
        </w:rPr>
        <w:t>标高，生产能力为</w:t>
      </w:r>
      <w:r>
        <w:rPr>
          <w:rFonts w:hint="eastAsia" w:eastAsiaTheme="minorEastAsia"/>
          <w:sz w:val="24"/>
        </w:rPr>
        <w:t>120</w:t>
      </w:r>
      <w:r>
        <w:rPr>
          <w:rFonts w:hAnsiTheme="minorEastAsia" w:eastAsiaTheme="minorEastAsia"/>
          <w:sz w:val="24"/>
        </w:rPr>
        <w:t>万</w:t>
      </w:r>
      <w:r>
        <w:rPr>
          <w:rFonts w:eastAsiaTheme="minorEastAsia"/>
          <w:sz w:val="24"/>
        </w:rPr>
        <w:t>t/a</w:t>
      </w:r>
      <w:r>
        <w:rPr>
          <w:rFonts w:hAnsiTheme="minorEastAsia" w:eastAsiaTheme="minorEastAsia"/>
          <w:sz w:val="24"/>
        </w:rPr>
        <w:t>，</w:t>
      </w:r>
      <w:r>
        <w:rPr>
          <w:rFonts w:hint="eastAsia" w:hAnsi="宋体"/>
          <w:sz w:val="24"/>
        </w:rPr>
        <w:t>全井田东西长3.262km，南北宽2.980km。</w:t>
      </w:r>
      <w:r>
        <w:rPr>
          <w:rFonts w:hAnsiTheme="minorEastAsia" w:eastAsiaTheme="minorEastAsia"/>
          <w:sz w:val="24"/>
        </w:rPr>
        <w:t>矿区范围由以下</w:t>
      </w:r>
      <w:r>
        <w:rPr>
          <w:rFonts w:eastAsiaTheme="minorEastAsia"/>
          <w:sz w:val="24"/>
        </w:rPr>
        <w:t>1</w:t>
      </w:r>
      <w:r>
        <w:rPr>
          <w:rFonts w:hint="eastAsia" w:eastAsiaTheme="minorEastAsia"/>
          <w:sz w:val="24"/>
        </w:rPr>
        <w:t>3</w:t>
      </w:r>
      <w:r>
        <w:rPr>
          <w:rFonts w:hAnsiTheme="minorEastAsia" w:eastAsiaTheme="minorEastAsia"/>
          <w:sz w:val="24"/>
        </w:rPr>
        <w:t>个拐点坐标圈定，详见表</w:t>
      </w:r>
      <w:r>
        <w:rPr>
          <w:rFonts w:eastAsiaTheme="minorEastAsia"/>
          <w:sz w:val="24"/>
        </w:rPr>
        <w:t>3.2-</w:t>
      </w:r>
      <w:r>
        <w:rPr>
          <w:rFonts w:hint="eastAsia" w:eastAsiaTheme="minorEastAsia"/>
          <w:sz w:val="24"/>
        </w:rPr>
        <w:t>9。</w:t>
      </w:r>
    </w:p>
    <w:p>
      <w:pPr>
        <w:spacing w:line="360" w:lineRule="auto"/>
        <w:ind w:firstLine="480" w:firstLineChars="200"/>
        <w:rPr>
          <w:rFonts w:hAnsiTheme="minorEastAsia" w:eastAsiaTheme="minorEastAsia"/>
          <w:b/>
          <w:sz w:val="24"/>
        </w:rPr>
      </w:pPr>
      <w:r>
        <w:rPr>
          <w:rFonts w:hAnsiTheme="minorEastAsia" w:eastAsiaTheme="minorEastAsia"/>
          <w:sz w:val="24"/>
        </w:rPr>
        <w:t>本次</w:t>
      </w:r>
      <w:r>
        <w:rPr>
          <w:rFonts w:hint="eastAsia" w:hAnsiTheme="minorEastAsia" w:eastAsiaTheme="minorEastAsia"/>
          <w:sz w:val="24"/>
        </w:rPr>
        <w:t>变更</w:t>
      </w:r>
      <w:r>
        <w:rPr>
          <w:rFonts w:hAnsiTheme="minorEastAsia" w:eastAsiaTheme="minorEastAsia"/>
          <w:sz w:val="24"/>
          <w:lang w:val="zh-CN"/>
        </w:rPr>
        <w:t>井田境界未发生变化。</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3.2-</w:t>
      </w:r>
      <w:r>
        <w:rPr>
          <w:rFonts w:hint="eastAsia" w:eastAsiaTheme="minorEastAsia"/>
          <w:b/>
          <w:szCs w:val="21"/>
        </w:rPr>
        <w:t>3</w:t>
      </w:r>
      <w:r>
        <w:rPr>
          <w:rFonts w:hAnsiTheme="minorEastAsia" w:eastAsiaTheme="minorEastAsia"/>
          <w:b/>
          <w:szCs w:val="21"/>
        </w:rPr>
        <w:t>矿区范围拐点坐标一览表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3"/>
        <w:gridCol w:w="1826"/>
        <w:gridCol w:w="1826"/>
        <w:gridCol w:w="733"/>
        <w:gridCol w:w="2094"/>
        <w:gridCol w:w="20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vMerge w:val="restart"/>
            <w:noWrap/>
            <w:vAlign w:val="center"/>
          </w:tcPr>
          <w:p>
            <w:pPr>
              <w:spacing w:line="288" w:lineRule="auto"/>
              <w:jc w:val="center"/>
              <w:rPr>
                <w:rFonts w:eastAsiaTheme="minorEastAsia"/>
                <w:szCs w:val="21"/>
              </w:rPr>
            </w:pPr>
            <w:r>
              <w:rPr>
                <w:rFonts w:hAnsiTheme="minorEastAsia" w:eastAsiaTheme="minorEastAsia"/>
                <w:szCs w:val="21"/>
              </w:rPr>
              <w:t>点</w:t>
            </w:r>
            <w:r>
              <w:rPr>
                <w:rFonts w:hint="eastAsia" w:hAnsiTheme="minorEastAsia" w:eastAsiaTheme="minorEastAsia"/>
                <w:szCs w:val="21"/>
              </w:rPr>
              <w:t>号</w:t>
            </w:r>
          </w:p>
        </w:tc>
        <w:tc>
          <w:tcPr>
            <w:tcW w:w="3652" w:type="dxa"/>
            <w:gridSpan w:val="2"/>
            <w:noWrap/>
            <w:vAlign w:val="center"/>
          </w:tcPr>
          <w:p>
            <w:pPr>
              <w:spacing w:line="288" w:lineRule="auto"/>
              <w:jc w:val="center"/>
              <w:rPr>
                <w:rFonts w:eastAsiaTheme="minorEastAsia"/>
                <w:szCs w:val="21"/>
              </w:rPr>
            </w:pPr>
            <w:r>
              <w:rPr>
                <w:rFonts w:hint="eastAsia" w:hAnsiTheme="minorEastAsia" w:eastAsiaTheme="minorEastAsia"/>
                <w:szCs w:val="21"/>
              </w:rPr>
              <w:t>西安</w:t>
            </w:r>
            <w:r>
              <w:rPr>
                <w:rFonts w:hint="eastAsia" w:eastAsiaTheme="minorEastAsia"/>
                <w:szCs w:val="21"/>
              </w:rPr>
              <w:t>80</w:t>
            </w:r>
            <w:r>
              <w:rPr>
                <w:rFonts w:hAnsiTheme="minorEastAsia" w:eastAsiaTheme="minorEastAsia"/>
                <w:szCs w:val="21"/>
              </w:rPr>
              <w:t>坐标</w:t>
            </w:r>
            <w:r>
              <w:rPr>
                <w:rFonts w:eastAsiaTheme="minorEastAsia"/>
                <w:szCs w:val="21"/>
              </w:rPr>
              <w:t>6</w:t>
            </w:r>
            <w:r>
              <w:rPr>
                <w:rFonts w:hAnsiTheme="minorEastAsia" w:eastAsiaTheme="minorEastAsia"/>
                <w:szCs w:val="21"/>
              </w:rPr>
              <w:t>度带</w:t>
            </w:r>
          </w:p>
        </w:tc>
        <w:tc>
          <w:tcPr>
            <w:tcW w:w="733" w:type="dxa"/>
            <w:vMerge w:val="restart"/>
            <w:vAlign w:val="center"/>
          </w:tcPr>
          <w:p>
            <w:pPr>
              <w:spacing w:line="288" w:lineRule="auto"/>
              <w:jc w:val="center"/>
              <w:rPr>
                <w:rFonts w:eastAsiaTheme="minorEastAsia"/>
                <w:szCs w:val="21"/>
              </w:rPr>
            </w:pPr>
            <w:r>
              <w:rPr>
                <w:rFonts w:hAnsiTheme="minorEastAsia" w:eastAsiaTheme="minorEastAsia"/>
                <w:szCs w:val="21"/>
              </w:rPr>
              <w:t>点</w:t>
            </w:r>
            <w:r>
              <w:rPr>
                <w:rFonts w:hint="eastAsia" w:hAnsiTheme="minorEastAsia" w:eastAsiaTheme="minorEastAsia"/>
                <w:szCs w:val="21"/>
              </w:rPr>
              <w:t>号</w:t>
            </w:r>
          </w:p>
        </w:tc>
        <w:tc>
          <w:tcPr>
            <w:tcW w:w="4188" w:type="dxa"/>
            <w:gridSpan w:val="2"/>
            <w:noWrap/>
            <w:vAlign w:val="center"/>
          </w:tcPr>
          <w:p>
            <w:pPr>
              <w:spacing w:line="288" w:lineRule="auto"/>
              <w:jc w:val="center"/>
              <w:rPr>
                <w:rFonts w:eastAsiaTheme="minorEastAsia"/>
                <w:szCs w:val="21"/>
              </w:rPr>
            </w:pPr>
            <w:r>
              <w:rPr>
                <w:rFonts w:hint="eastAsia" w:hAnsiTheme="minorEastAsia" w:eastAsiaTheme="minorEastAsia"/>
                <w:szCs w:val="21"/>
              </w:rPr>
              <w:t>西安</w:t>
            </w:r>
            <w:r>
              <w:rPr>
                <w:rFonts w:hint="eastAsia" w:eastAsiaTheme="minorEastAsia"/>
                <w:szCs w:val="21"/>
              </w:rPr>
              <w:t>80</w:t>
            </w:r>
            <w:r>
              <w:rPr>
                <w:rFonts w:hAnsiTheme="minorEastAsia" w:eastAsiaTheme="minorEastAsia"/>
                <w:szCs w:val="21"/>
              </w:rPr>
              <w:t>坐标</w:t>
            </w:r>
            <w:r>
              <w:rPr>
                <w:rFonts w:hint="eastAsia" w:eastAsiaTheme="minorEastAsia"/>
                <w:szCs w:val="21"/>
              </w:rPr>
              <w:t>3</w:t>
            </w:r>
            <w:r>
              <w:rPr>
                <w:rFonts w:hAnsiTheme="minorEastAsia" w:eastAsiaTheme="minorEastAsia"/>
                <w:szCs w:val="21"/>
              </w:rPr>
              <w:t>度带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vMerge w:val="continue"/>
            <w:noWrap/>
            <w:vAlign w:val="center"/>
          </w:tcPr>
          <w:p>
            <w:pPr>
              <w:spacing w:line="288" w:lineRule="auto"/>
              <w:jc w:val="center"/>
              <w:rPr>
                <w:rFonts w:eastAsiaTheme="minorEastAsia"/>
                <w:szCs w:val="21"/>
              </w:rPr>
            </w:pPr>
          </w:p>
        </w:tc>
        <w:tc>
          <w:tcPr>
            <w:tcW w:w="1826" w:type="dxa"/>
            <w:noWrap/>
            <w:vAlign w:val="center"/>
          </w:tcPr>
          <w:p>
            <w:pPr>
              <w:spacing w:line="288" w:lineRule="auto"/>
              <w:jc w:val="center"/>
              <w:rPr>
                <w:rFonts w:eastAsiaTheme="minorEastAsia"/>
                <w:szCs w:val="21"/>
              </w:rPr>
            </w:pPr>
            <w:r>
              <w:rPr>
                <w:rFonts w:eastAsiaTheme="minorEastAsia"/>
                <w:szCs w:val="21"/>
              </w:rPr>
              <w:t>X</w:t>
            </w:r>
          </w:p>
        </w:tc>
        <w:tc>
          <w:tcPr>
            <w:tcW w:w="1826" w:type="dxa"/>
            <w:vAlign w:val="center"/>
          </w:tcPr>
          <w:p>
            <w:pPr>
              <w:spacing w:line="288" w:lineRule="auto"/>
              <w:jc w:val="center"/>
              <w:rPr>
                <w:rFonts w:eastAsiaTheme="minorEastAsia"/>
                <w:szCs w:val="21"/>
              </w:rPr>
            </w:pPr>
            <w:r>
              <w:rPr>
                <w:rFonts w:eastAsiaTheme="minorEastAsia"/>
                <w:szCs w:val="21"/>
              </w:rPr>
              <w:t xml:space="preserve"> Y</w:t>
            </w:r>
          </w:p>
        </w:tc>
        <w:tc>
          <w:tcPr>
            <w:tcW w:w="733" w:type="dxa"/>
            <w:vMerge w:val="continue"/>
            <w:noWrap/>
            <w:vAlign w:val="center"/>
          </w:tcPr>
          <w:p>
            <w:pPr>
              <w:spacing w:line="288" w:lineRule="auto"/>
              <w:jc w:val="center"/>
              <w:rPr>
                <w:rFonts w:eastAsiaTheme="minorEastAsia"/>
                <w:szCs w:val="21"/>
              </w:rPr>
            </w:pPr>
          </w:p>
        </w:tc>
        <w:tc>
          <w:tcPr>
            <w:tcW w:w="2094" w:type="dxa"/>
            <w:noWrap/>
            <w:vAlign w:val="center"/>
          </w:tcPr>
          <w:p>
            <w:pPr>
              <w:spacing w:line="288" w:lineRule="auto"/>
              <w:jc w:val="center"/>
              <w:rPr>
                <w:rFonts w:eastAsiaTheme="minorEastAsia"/>
                <w:szCs w:val="21"/>
              </w:rPr>
            </w:pPr>
            <w:r>
              <w:rPr>
                <w:rFonts w:eastAsiaTheme="minorEastAsia"/>
                <w:szCs w:val="21"/>
              </w:rPr>
              <w:t>X</w:t>
            </w:r>
          </w:p>
        </w:tc>
        <w:tc>
          <w:tcPr>
            <w:tcW w:w="2094" w:type="dxa"/>
            <w:noWrap/>
            <w:vAlign w:val="center"/>
          </w:tcPr>
          <w:p>
            <w:pPr>
              <w:spacing w:line="288" w:lineRule="auto"/>
              <w:jc w:val="center"/>
              <w:rPr>
                <w:rFonts w:eastAsiaTheme="minorEastAsia"/>
                <w:szCs w:val="21"/>
              </w:rPr>
            </w:pPr>
            <w:r>
              <w:rPr>
                <w:rFonts w:eastAsiaTheme="minorEastAsia"/>
                <w:szCs w:val="21"/>
              </w:rPr>
              <w: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1</w:t>
            </w:r>
          </w:p>
        </w:tc>
        <w:tc>
          <w:tcPr>
            <w:tcW w:w="1826" w:type="dxa"/>
            <w:noWrap/>
            <w:vAlign w:val="center"/>
          </w:tcPr>
          <w:p>
            <w:pPr>
              <w:pStyle w:val="146"/>
              <w:spacing w:line="240" w:lineRule="exact"/>
              <w:jc w:val="center"/>
              <w:rPr>
                <w:szCs w:val="21"/>
              </w:rPr>
            </w:pPr>
            <w:r>
              <w:rPr>
                <w:szCs w:val="21"/>
              </w:rPr>
              <w:t>4169531.530</w:t>
            </w:r>
          </w:p>
        </w:tc>
        <w:tc>
          <w:tcPr>
            <w:tcW w:w="1826" w:type="dxa"/>
            <w:vAlign w:val="center"/>
          </w:tcPr>
          <w:p>
            <w:pPr>
              <w:pStyle w:val="146"/>
              <w:spacing w:line="240" w:lineRule="exact"/>
              <w:jc w:val="center"/>
              <w:rPr>
                <w:szCs w:val="21"/>
              </w:rPr>
            </w:pPr>
            <w:r>
              <w:rPr>
                <w:szCs w:val="21"/>
              </w:rPr>
              <w:t>19492714.520</w:t>
            </w:r>
          </w:p>
        </w:tc>
        <w:tc>
          <w:tcPr>
            <w:tcW w:w="733" w:type="dxa"/>
            <w:noWrap/>
            <w:vAlign w:val="center"/>
          </w:tcPr>
          <w:p>
            <w:pPr>
              <w:spacing w:line="288" w:lineRule="auto"/>
              <w:jc w:val="center"/>
              <w:rPr>
                <w:rFonts w:eastAsiaTheme="minorEastAsia"/>
                <w:szCs w:val="21"/>
              </w:rPr>
            </w:pPr>
            <w:r>
              <w:rPr>
                <w:rFonts w:eastAsiaTheme="minorEastAsia"/>
                <w:szCs w:val="21"/>
              </w:rPr>
              <w:t>1</w:t>
            </w:r>
          </w:p>
        </w:tc>
        <w:tc>
          <w:tcPr>
            <w:tcW w:w="2094" w:type="dxa"/>
            <w:noWrap/>
            <w:vAlign w:val="center"/>
          </w:tcPr>
          <w:p>
            <w:pPr>
              <w:pStyle w:val="146"/>
              <w:spacing w:line="240" w:lineRule="exact"/>
              <w:jc w:val="center"/>
              <w:rPr>
                <w:szCs w:val="21"/>
              </w:rPr>
            </w:pPr>
            <w:r>
              <w:rPr>
                <w:szCs w:val="21"/>
              </w:rPr>
              <w:t>4169531.530</w:t>
            </w:r>
          </w:p>
        </w:tc>
        <w:tc>
          <w:tcPr>
            <w:tcW w:w="2094" w:type="dxa"/>
            <w:noWrap/>
            <w:vAlign w:val="center"/>
          </w:tcPr>
          <w:p>
            <w:pPr>
              <w:pStyle w:val="146"/>
              <w:spacing w:line="240" w:lineRule="exact"/>
              <w:jc w:val="center"/>
              <w:rPr>
                <w:szCs w:val="21"/>
              </w:rPr>
            </w:pPr>
            <w:r>
              <w:rPr>
                <w:rFonts w:hint="eastAsia"/>
                <w:szCs w:val="21"/>
              </w:rPr>
              <w:t>37</w:t>
            </w:r>
            <w:r>
              <w:rPr>
                <w:szCs w:val="21"/>
              </w:rPr>
              <w:t>492714.520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2</w:t>
            </w:r>
          </w:p>
        </w:tc>
        <w:tc>
          <w:tcPr>
            <w:tcW w:w="1826" w:type="dxa"/>
            <w:noWrap/>
            <w:vAlign w:val="center"/>
          </w:tcPr>
          <w:p>
            <w:pPr>
              <w:pStyle w:val="146"/>
              <w:spacing w:line="240" w:lineRule="exact"/>
              <w:jc w:val="center"/>
              <w:rPr>
                <w:szCs w:val="21"/>
              </w:rPr>
            </w:pPr>
            <w:r>
              <w:rPr>
                <w:szCs w:val="21"/>
              </w:rPr>
              <w:t>4169439.530</w:t>
            </w:r>
          </w:p>
        </w:tc>
        <w:tc>
          <w:tcPr>
            <w:tcW w:w="1826" w:type="dxa"/>
            <w:vAlign w:val="center"/>
          </w:tcPr>
          <w:p>
            <w:pPr>
              <w:pStyle w:val="146"/>
              <w:spacing w:line="240" w:lineRule="exact"/>
              <w:jc w:val="center"/>
              <w:rPr>
                <w:szCs w:val="21"/>
              </w:rPr>
            </w:pPr>
            <w:r>
              <w:rPr>
                <w:szCs w:val="21"/>
              </w:rPr>
              <w:t>19492638.520</w:t>
            </w:r>
          </w:p>
        </w:tc>
        <w:tc>
          <w:tcPr>
            <w:tcW w:w="733" w:type="dxa"/>
            <w:noWrap/>
            <w:vAlign w:val="center"/>
          </w:tcPr>
          <w:p>
            <w:pPr>
              <w:spacing w:line="288" w:lineRule="auto"/>
              <w:jc w:val="center"/>
              <w:rPr>
                <w:rFonts w:eastAsiaTheme="minorEastAsia"/>
                <w:szCs w:val="21"/>
              </w:rPr>
            </w:pPr>
            <w:r>
              <w:rPr>
                <w:rFonts w:eastAsiaTheme="minorEastAsia"/>
                <w:szCs w:val="21"/>
              </w:rPr>
              <w:t>2</w:t>
            </w:r>
          </w:p>
        </w:tc>
        <w:tc>
          <w:tcPr>
            <w:tcW w:w="2094" w:type="dxa"/>
            <w:noWrap/>
            <w:vAlign w:val="center"/>
          </w:tcPr>
          <w:p>
            <w:pPr>
              <w:pStyle w:val="146"/>
              <w:spacing w:line="240" w:lineRule="exact"/>
              <w:jc w:val="center"/>
              <w:rPr>
                <w:szCs w:val="21"/>
              </w:rPr>
            </w:pPr>
            <w:r>
              <w:rPr>
                <w:szCs w:val="21"/>
              </w:rPr>
              <w:t>4169439.530</w:t>
            </w:r>
          </w:p>
        </w:tc>
        <w:tc>
          <w:tcPr>
            <w:tcW w:w="2094" w:type="dxa"/>
            <w:noWrap/>
            <w:vAlign w:val="center"/>
          </w:tcPr>
          <w:p>
            <w:pPr>
              <w:pStyle w:val="146"/>
              <w:spacing w:line="240" w:lineRule="exact"/>
              <w:jc w:val="center"/>
              <w:rPr>
                <w:szCs w:val="21"/>
              </w:rPr>
            </w:pPr>
            <w:r>
              <w:rPr>
                <w:rFonts w:hint="eastAsia"/>
                <w:szCs w:val="21"/>
              </w:rPr>
              <w:t>37</w:t>
            </w:r>
            <w:r>
              <w:rPr>
                <w:szCs w:val="21"/>
              </w:rPr>
              <w:t>492638.520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3</w:t>
            </w:r>
          </w:p>
        </w:tc>
        <w:tc>
          <w:tcPr>
            <w:tcW w:w="1826" w:type="dxa"/>
            <w:noWrap/>
            <w:vAlign w:val="center"/>
          </w:tcPr>
          <w:p>
            <w:pPr>
              <w:pStyle w:val="146"/>
              <w:spacing w:line="240" w:lineRule="exact"/>
              <w:jc w:val="center"/>
              <w:rPr>
                <w:szCs w:val="21"/>
              </w:rPr>
            </w:pPr>
            <w:r>
              <w:rPr>
                <w:szCs w:val="21"/>
              </w:rPr>
              <w:t>4169231.520</w:t>
            </w:r>
          </w:p>
        </w:tc>
        <w:tc>
          <w:tcPr>
            <w:tcW w:w="1826" w:type="dxa"/>
            <w:vAlign w:val="center"/>
          </w:tcPr>
          <w:p>
            <w:pPr>
              <w:pStyle w:val="146"/>
              <w:spacing w:line="240" w:lineRule="exact"/>
              <w:jc w:val="center"/>
              <w:rPr>
                <w:szCs w:val="21"/>
              </w:rPr>
            </w:pPr>
            <w:r>
              <w:rPr>
                <w:szCs w:val="21"/>
              </w:rPr>
              <w:t>19492519.520</w:t>
            </w:r>
          </w:p>
        </w:tc>
        <w:tc>
          <w:tcPr>
            <w:tcW w:w="733" w:type="dxa"/>
            <w:noWrap/>
            <w:vAlign w:val="center"/>
          </w:tcPr>
          <w:p>
            <w:pPr>
              <w:spacing w:line="288" w:lineRule="auto"/>
              <w:jc w:val="center"/>
              <w:rPr>
                <w:rFonts w:eastAsiaTheme="minorEastAsia"/>
                <w:szCs w:val="21"/>
              </w:rPr>
            </w:pPr>
            <w:r>
              <w:rPr>
                <w:rFonts w:eastAsiaTheme="minorEastAsia"/>
                <w:szCs w:val="21"/>
              </w:rPr>
              <w:t>3</w:t>
            </w:r>
          </w:p>
        </w:tc>
        <w:tc>
          <w:tcPr>
            <w:tcW w:w="2094" w:type="dxa"/>
            <w:noWrap/>
            <w:vAlign w:val="center"/>
          </w:tcPr>
          <w:p>
            <w:pPr>
              <w:pStyle w:val="146"/>
              <w:spacing w:line="240" w:lineRule="exact"/>
              <w:jc w:val="center"/>
              <w:rPr>
                <w:szCs w:val="21"/>
              </w:rPr>
            </w:pPr>
            <w:r>
              <w:rPr>
                <w:szCs w:val="21"/>
              </w:rPr>
              <w:t>4169231.520</w:t>
            </w:r>
          </w:p>
        </w:tc>
        <w:tc>
          <w:tcPr>
            <w:tcW w:w="2094" w:type="dxa"/>
            <w:noWrap/>
            <w:vAlign w:val="center"/>
          </w:tcPr>
          <w:p>
            <w:pPr>
              <w:pStyle w:val="146"/>
              <w:spacing w:line="240" w:lineRule="exact"/>
              <w:jc w:val="center"/>
              <w:rPr>
                <w:szCs w:val="21"/>
              </w:rPr>
            </w:pPr>
            <w:r>
              <w:rPr>
                <w:rFonts w:hint="eastAsia"/>
                <w:szCs w:val="21"/>
              </w:rPr>
              <w:t>37</w:t>
            </w:r>
            <w:r>
              <w:rPr>
                <w:szCs w:val="21"/>
              </w:rPr>
              <w:t>492519.520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4</w:t>
            </w:r>
          </w:p>
        </w:tc>
        <w:tc>
          <w:tcPr>
            <w:tcW w:w="1826" w:type="dxa"/>
            <w:noWrap/>
            <w:vAlign w:val="center"/>
          </w:tcPr>
          <w:p>
            <w:pPr>
              <w:pStyle w:val="146"/>
              <w:spacing w:line="240" w:lineRule="exact"/>
              <w:jc w:val="center"/>
              <w:rPr>
                <w:szCs w:val="21"/>
              </w:rPr>
            </w:pPr>
            <w:r>
              <w:rPr>
                <w:szCs w:val="21"/>
              </w:rPr>
              <w:t>4168901.520</w:t>
            </w:r>
          </w:p>
        </w:tc>
        <w:tc>
          <w:tcPr>
            <w:tcW w:w="1826" w:type="dxa"/>
            <w:vAlign w:val="center"/>
          </w:tcPr>
          <w:p>
            <w:pPr>
              <w:pStyle w:val="146"/>
              <w:spacing w:line="240" w:lineRule="exact"/>
              <w:jc w:val="center"/>
              <w:rPr>
                <w:szCs w:val="21"/>
              </w:rPr>
            </w:pPr>
            <w:r>
              <w:rPr>
                <w:szCs w:val="21"/>
              </w:rPr>
              <w:t>19493179.530</w:t>
            </w:r>
          </w:p>
        </w:tc>
        <w:tc>
          <w:tcPr>
            <w:tcW w:w="733" w:type="dxa"/>
            <w:noWrap/>
            <w:vAlign w:val="center"/>
          </w:tcPr>
          <w:p>
            <w:pPr>
              <w:spacing w:line="288" w:lineRule="auto"/>
              <w:jc w:val="center"/>
              <w:rPr>
                <w:rFonts w:eastAsiaTheme="minorEastAsia"/>
                <w:szCs w:val="21"/>
              </w:rPr>
            </w:pPr>
            <w:r>
              <w:rPr>
                <w:rFonts w:eastAsiaTheme="minorEastAsia"/>
                <w:szCs w:val="21"/>
              </w:rPr>
              <w:t>4</w:t>
            </w:r>
          </w:p>
        </w:tc>
        <w:tc>
          <w:tcPr>
            <w:tcW w:w="2094" w:type="dxa"/>
            <w:noWrap/>
            <w:vAlign w:val="center"/>
          </w:tcPr>
          <w:p>
            <w:pPr>
              <w:pStyle w:val="146"/>
              <w:spacing w:line="240" w:lineRule="exact"/>
              <w:jc w:val="center"/>
              <w:rPr>
                <w:szCs w:val="21"/>
              </w:rPr>
            </w:pPr>
            <w:r>
              <w:rPr>
                <w:szCs w:val="21"/>
              </w:rPr>
              <w:t>4168901.520</w:t>
            </w:r>
          </w:p>
        </w:tc>
        <w:tc>
          <w:tcPr>
            <w:tcW w:w="2094" w:type="dxa"/>
            <w:noWrap/>
            <w:vAlign w:val="center"/>
          </w:tcPr>
          <w:p>
            <w:pPr>
              <w:pStyle w:val="146"/>
              <w:spacing w:line="240" w:lineRule="exact"/>
              <w:jc w:val="center"/>
              <w:rPr>
                <w:szCs w:val="21"/>
              </w:rPr>
            </w:pPr>
            <w:r>
              <w:rPr>
                <w:rFonts w:hint="eastAsia"/>
                <w:szCs w:val="21"/>
              </w:rPr>
              <w:t>37</w:t>
            </w:r>
            <w:r>
              <w:rPr>
                <w:szCs w:val="21"/>
              </w:rPr>
              <w:t>493179.530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5</w:t>
            </w:r>
          </w:p>
        </w:tc>
        <w:tc>
          <w:tcPr>
            <w:tcW w:w="1826" w:type="dxa"/>
            <w:noWrap/>
            <w:vAlign w:val="center"/>
          </w:tcPr>
          <w:p>
            <w:pPr>
              <w:pStyle w:val="146"/>
              <w:spacing w:line="240" w:lineRule="exact"/>
              <w:jc w:val="center"/>
              <w:rPr>
                <w:szCs w:val="21"/>
              </w:rPr>
            </w:pPr>
            <w:r>
              <w:rPr>
                <w:szCs w:val="21"/>
              </w:rPr>
              <w:t>4168891.520</w:t>
            </w:r>
          </w:p>
        </w:tc>
        <w:tc>
          <w:tcPr>
            <w:tcW w:w="1826" w:type="dxa"/>
            <w:vAlign w:val="center"/>
          </w:tcPr>
          <w:p>
            <w:pPr>
              <w:pStyle w:val="146"/>
              <w:spacing w:line="240" w:lineRule="exact"/>
              <w:jc w:val="center"/>
              <w:rPr>
                <w:szCs w:val="21"/>
              </w:rPr>
            </w:pPr>
            <w:r>
              <w:rPr>
                <w:szCs w:val="21"/>
              </w:rPr>
              <w:t>19493175.530</w:t>
            </w:r>
          </w:p>
        </w:tc>
        <w:tc>
          <w:tcPr>
            <w:tcW w:w="733" w:type="dxa"/>
            <w:noWrap/>
            <w:vAlign w:val="center"/>
          </w:tcPr>
          <w:p>
            <w:pPr>
              <w:spacing w:line="288" w:lineRule="auto"/>
              <w:jc w:val="center"/>
              <w:rPr>
                <w:rFonts w:eastAsiaTheme="minorEastAsia"/>
                <w:szCs w:val="21"/>
              </w:rPr>
            </w:pPr>
            <w:r>
              <w:rPr>
                <w:rFonts w:eastAsiaTheme="minorEastAsia"/>
                <w:szCs w:val="21"/>
              </w:rPr>
              <w:t>5</w:t>
            </w:r>
          </w:p>
        </w:tc>
        <w:tc>
          <w:tcPr>
            <w:tcW w:w="2094" w:type="dxa"/>
            <w:noWrap/>
            <w:vAlign w:val="center"/>
          </w:tcPr>
          <w:p>
            <w:pPr>
              <w:pStyle w:val="146"/>
              <w:spacing w:line="240" w:lineRule="exact"/>
              <w:jc w:val="center"/>
              <w:rPr>
                <w:szCs w:val="21"/>
              </w:rPr>
            </w:pPr>
            <w:r>
              <w:rPr>
                <w:szCs w:val="21"/>
              </w:rPr>
              <w:t>4168891.520</w:t>
            </w:r>
          </w:p>
        </w:tc>
        <w:tc>
          <w:tcPr>
            <w:tcW w:w="2094" w:type="dxa"/>
            <w:noWrap/>
            <w:vAlign w:val="center"/>
          </w:tcPr>
          <w:p>
            <w:pPr>
              <w:pStyle w:val="146"/>
              <w:spacing w:line="240" w:lineRule="exact"/>
              <w:jc w:val="center"/>
              <w:rPr>
                <w:szCs w:val="21"/>
              </w:rPr>
            </w:pPr>
            <w:r>
              <w:rPr>
                <w:rFonts w:hint="eastAsia"/>
                <w:szCs w:val="21"/>
              </w:rPr>
              <w:t>37</w:t>
            </w:r>
            <w:r>
              <w:rPr>
                <w:szCs w:val="21"/>
              </w:rPr>
              <w:t>493175.530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6</w:t>
            </w:r>
          </w:p>
        </w:tc>
        <w:tc>
          <w:tcPr>
            <w:tcW w:w="1826" w:type="dxa"/>
            <w:noWrap/>
            <w:vAlign w:val="center"/>
          </w:tcPr>
          <w:p>
            <w:pPr>
              <w:pStyle w:val="146"/>
              <w:spacing w:line="240" w:lineRule="exact"/>
              <w:jc w:val="center"/>
              <w:rPr>
                <w:szCs w:val="21"/>
              </w:rPr>
            </w:pPr>
            <w:r>
              <w:rPr>
                <w:szCs w:val="21"/>
              </w:rPr>
              <w:t>4168311.520</w:t>
            </w:r>
          </w:p>
        </w:tc>
        <w:tc>
          <w:tcPr>
            <w:tcW w:w="1826" w:type="dxa"/>
            <w:vAlign w:val="center"/>
          </w:tcPr>
          <w:p>
            <w:pPr>
              <w:pStyle w:val="146"/>
              <w:spacing w:line="240" w:lineRule="exact"/>
              <w:jc w:val="center"/>
              <w:rPr>
                <w:szCs w:val="21"/>
              </w:rPr>
            </w:pPr>
            <w:r>
              <w:rPr>
                <w:szCs w:val="21"/>
              </w:rPr>
              <w:t>19494329.540</w:t>
            </w:r>
          </w:p>
        </w:tc>
        <w:tc>
          <w:tcPr>
            <w:tcW w:w="733" w:type="dxa"/>
            <w:noWrap/>
            <w:vAlign w:val="center"/>
          </w:tcPr>
          <w:p>
            <w:pPr>
              <w:spacing w:line="288" w:lineRule="auto"/>
              <w:jc w:val="center"/>
              <w:rPr>
                <w:rFonts w:eastAsiaTheme="minorEastAsia"/>
                <w:szCs w:val="21"/>
              </w:rPr>
            </w:pPr>
            <w:r>
              <w:rPr>
                <w:rFonts w:eastAsiaTheme="minorEastAsia"/>
                <w:szCs w:val="21"/>
              </w:rPr>
              <w:t>6</w:t>
            </w:r>
          </w:p>
        </w:tc>
        <w:tc>
          <w:tcPr>
            <w:tcW w:w="2094" w:type="dxa"/>
            <w:noWrap/>
            <w:vAlign w:val="center"/>
          </w:tcPr>
          <w:p>
            <w:pPr>
              <w:pStyle w:val="146"/>
              <w:spacing w:line="240" w:lineRule="exact"/>
              <w:jc w:val="center"/>
              <w:rPr>
                <w:szCs w:val="21"/>
              </w:rPr>
            </w:pPr>
            <w:r>
              <w:rPr>
                <w:szCs w:val="21"/>
              </w:rPr>
              <w:t>4168311.520</w:t>
            </w:r>
          </w:p>
        </w:tc>
        <w:tc>
          <w:tcPr>
            <w:tcW w:w="2094" w:type="dxa"/>
            <w:noWrap/>
            <w:vAlign w:val="center"/>
          </w:tcPr>
          <w:p>
            <w:pPr>
              <w:pStyle w:val="146"/>
              <w:spacing w:line="240" w:lineRule="exact"/>
              <w:jc w:val="center"/>
              <w:rPr>
                <w:szCs w:val="21"/>
              </w:rPr>
            </w:pPr>
            <w:r>
              <w:rPr>
                <w:rFonts w:hint="eastAsia"/>
                <w:szCs w:val="21"/>
              </w:rPr>
              <w:t>37</w:t>
            </w:r>
            <w:r>
              <w:rPr>
                <w:szCs w:val="21"/>
              </w:rPr>
              <w:t>494329.540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7</w:t>
            </w:r>
          </w:p>
        </w:tc>
        <w:tc>
          <w:tcPr>
            <w:tcW w:w="1826" w:type="dxa"/>
            <w:noWrap/>
            <w:vAlign w:val="center"/>
          </w:tcPr>
          <w:p>
            <w:pPr>
              <w:pStyle w:val="146"/>
              <w:spacing w:line="240" w:lineRule="exact"/>
              <w:jc w:val="center"/>
              <w:rPr>
                <w:szCs w:val="21"/>
              </w:rPr>
            </w:pPr>
            <w:r>
              <w:rPr>
                <w:szCs w:val="21"/>
              </w:rPr>
              <w:t>4170451.540</w:t>
            </w:r>
          </w:p>
        </w:tc>
        <w:tc>
          <w:tcPr>
            <w:tcW w:w="1826" w:type="dxa"/>
            <w:vAlign w:val="center"/>
          </w:tcPr>
          <w:p>
            <w:pPr>
              <w:pStyle w:val="146"/>
              <w:spacing w:line="240" w:lineRule="exact"/>
              <w:jc w:val="center"/>
              <w:rPr>
                <w:szCs w:val="21"/>
              </w:rPr>
            </w:pPr>
            <w:r>
              <w:rPr>
                <w:szCs w:val="21"/>
              </w:rPr>
              <w:t>19494929.540</w:t>
            </w:r>
          </w:p>
        </w:tc>
        <w:tc>
          <w:tcPr>
            <w:tcW w:w="733" w:type="dxa"/>
            <w:noWrap/>
            <w:vAlign w:val="center"/>
          </w:tcPr>
          <w:p>
            <w:pPr>
              <w:spacing w:line="288" w:lineRule="auto"/>
              <w:jc w:val="center"/>
              <w:rPr>
                <w:rFonts w:eastAsiaTheme="minorEastAsia"/>
                <w:szCs w:val="21"/>
              </w:rPr>
            </w:pPr>
            <w:r>
              <w:rPr>
                <w:rFonts w:eastAsiaTheme="minorEastAsia"/>
                <w:szCs w:val="21"/>
              </w:rPr>
              <w:t>7</w:t>
            </w:r>
          </w:p>
        </w:tc>
        <w:tc>
          <w:tcPr>
            <w:tcW w:w="2094" w:type="dxa"/>
            <w:noWrap/>
            <w:vAlign w:val="center"/>
          </w:tcPr>
          <w:p>
            <w:pPr>
              <w:pStyle w:val="146"/>
              <w:spacing w:line="240" w:lineRule="exact"/>
              <w:jc w:val="center"/>
              <w:rPr>
                <w:szCs w:val="21"/>
              </w:rPr>
            </w:pPr>
            <w:r>
              <w:rPr>
                <w:szCs w:val="21"/>
              </w:rPr>
              <w:t>4170451.540</w:t>
            </w:r>
          </w:p>
        </w:tc>
        <w:tc>
          <w:tcPr>
            <w:tcW w:w="2094" w:type="dxa"/>
            <w:noWrap/>
            <w:vAlign w:val="center"/>
          </w:tcPr>
          <w:p>
            <w:pPr>
              <w:pStyle w:val="146"/>
              <w:spacing w:line="240" w:lineRule="exact"/>
              <w:jc w:val="center"/>
              <w:rPr>
                <w:szCs w:val="21"/>
              </w:rPr>
            </w:pPr>
            <w:r>
              <w:rPr>
                <w:rFonts w:hint="eastAsia"/>
                <w:szCs w:val="21"/>
              </w:rPr>
              <w:t>37</w:t>
            </w:r>
            <w:r>
              <w:rPr>
                <w:szCs w:val="21"/>
              </w:rPr>
              <w:t>494929.540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8</w:t>
            </w:r>
          </w:p>
        </w:tc>
        <w:tc>
          <w:tcPr>
            <w:tcW w:w="1826" w:type="dxa"/>
            <w:noWrap/>
            <w:vAlign w:val="center"/>
          </w:tcPr>
          <w:p>
            <w:pPr>
              <w:pStyle w:val="146"/>
              <w:spacing w:line="240" w:lineRule="exact"/>
              <w:jc w:val="center"/>
              <w:rPr>
                <w:szCs w:val="21"/>
              </w:rPr>
            </w:pPr>
            <w:r>
              <w:rPr>
                <w:szCs w:val="21"/>
              </w:rPr>
              <w:t>4171573.540</w:t>
            </w:r>
          </w:p>
        </w:tc>
        <w:tc>
          <w:tcPr>
            <w:tcW w:w="1826" w:type="dxa"/>
            <w:vAlign w:val="center"/>
          </w:tcPr>
          <w:p>
            <w:pPr>
              <w:pStyle w:val="146"/>
              <w:spacing w:line="240" w:lineRule="exact"/>
              <w:jc w:val="center"/>
              <w:rPr>
                <w:szCs w:val="21"/>
              </w:rPr>
            </w:pPr>
            <w:r>
              <w:rPr>
                <w:szCs w:val="21"/>
              </w:rPr>
              <w:t>19492628.520</w:t>
            </w:r>
          </w:p>
        </w:tc>
        <w:tc>
          <w:tcPr>
            <w:tcW w:w="733" w:type="dxa"/>
            <w:noWrap/>
            <w:vAlign w:val="center"/>
          </w:tcPr>
          <w:p>
            <w:pPr>
              <w:spacing w:line="288" w:lineRule="auto"/>
              <w:jc w:val="center"/>
              <w:rPr>
                <w:rFonts w:eastAsiaTheme="minorEastAsia"/>
                <w:szCs w:val="21"/>
              </w:rPr>
            </w:pPr>
            <w:r>
              <w:rPr>
                <w:rFonts w:eastAsiaTheme="minorEastAsia"/>
                <w:szCs w:val="21"/>
              </w:rPr>
              <w:t>8</w:t>
            </w:r>
          </w:p>
        </w:tc>
        <w:tc>
          <w:tcPr>
            <w:tcW w:w="2094" w:type="dxa"/>
            <w:noWrap/>
            <w:vAlign w:val="center"/>
          </w:tcPr>
          <w:p>
            <w:pPr>
              <w:pStyle w:val="146"/>
              <w:spacing w:line="240" w:lineRule="exact"/>
              <w:jc w:val="center"/>
              <w:rPr>
                <w:szCs w:val="21"/>
              </w:rPr>
            </w:pPr>
            <w:r>
              <w:rPr>
                <w:szCs w:val="21"/>
              </w:rPr>
              <w:t>4171573.540</w:t>
            </w:r>
          </w:p>
        </w:tc>
        <w:tc>
          <w:tcPr>
            <w:tcW w:w="2094" w:type="dxa"/>
            <w:noWrap/>
            <w:vAlign w:val="center"/>
          </w:tcPr>
          <w:p>
            <w:pPr>
              <w:pStyle w:val="146"/>
              <w:spacing w:line="240" w:lineRule="exact"/>
              <w:jc w:val="center"/>
              <w:rPr>
                <w:szCs w:val="21"/>
              </w:rPr>
            </w:pPr>
            <w:r>
              <w:rPr>
                <w:rFonts w:hint="eastAsia"/>
                <w:szCs w:val="21"/>
              </w:rPr>
              <w:t>37</w:t>
            </w:r>
            <w:r>
              <w:rPr>
                <w:szCs w:val="21"/>
              </w:rPr>
              <w:t>492628.520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9</w:t>
            </w:r>
          </w:p>
        </w:tc>
        <w:tc>
          <w:tcPr>
            <w:tcW w:w="1826" w:type="dxa"/>
            <w:noWrap/>
            <w:vAlign w:val="center"/>
          </w:tcPr>
          <w:p>
            <w:pPr>
              <w:pStyle w:val="146"/>
              <w:spacing w:line="240" w:lineRule="exact"/>
              <w:jc w:val="center"/>
              <w:rPr>
                <w:szCs w:val="21"/>
              </w:rPr>
            </w:pPr>
            <w:r>
              <w:rPr>
                <w:szCs w:val="21"/>
              </w:rPr>
              <w:t>4171490.830</w:t>
            </w:r>
          </w:p>
        </w:tc>
        <w:tc>
          <w:tcPr>
            <w:tcW w:w="1826" w:type="dxa"/>
            <w:vAlign w:val="center"/>
          </w:tcPr>
          <w:p>
            <w:pPr>
              <w:pStyle w:val="146"/>
              <w:spacing w:line="240" w:lineRule="exact"/>
              <w:jc w:val="center"/>
              <w:rPr>
                <w:szCs w:val="21"/>
              </w:rPr>
            </w:pPr>
            <w:r>
              <w:rPr>
                <w:szCs w:val="21"/>
              </w:rPr>
              <w:t>19492575.270</w:t>
            </w:r>
          </w:p>
        </w:tc>
        <w:tc>
          <w:tcPr>
            <w:tcW w:w="733" w:type="dxa"/>
            <w:noWrap/>
            <w:vAlign w:val="center"/>
          </w:tcPr>
          <w:p>
            <w:pPr>
              <w:spacing w:line="288" w:lineRule="auto"/>
              <w:jc w:val="center"/>
              <w:rPr>
                <w:rFonts w:eastAsiaTheme="minorEastAsia"/>
                <w:szCs w:val="21"/>
              </w:rPr>
            </w:pPr>
            <w:r>
              <w:rPr>
                <w:rFonts w:eastAsiaTheme="minorEastAsia"/>
                <w:szCs w:val="21"/>
              </w:rPr>
              <w:t>9</w:t>
            </w:r>
          </w:p>
        </w:tc>
        <w:tc>
          <w:tcPr>
            <w:tcW w:w="2094" w:type="dxa"/>
            <w:noWrap/>
            <w:vAlign w:val="center"/>
          </w:tcPr>
          <w:p>
            <w:pPr>
              <w:pStyle w:val="146"/>
              <w:spacing w:line="240" w:lineRule="exact"/>
              <w:jc w:val="center"/>
              <w:rPr>
                <w:szCs w:val="21"/>
              </w:rPr>
            </w:pPr>
            <w:r>
              <w:rPr>
                <w:szCs w:val="21"/>
              </w:rPr>
              <w:t>4171490.830</w:t>
            </w:r>
          </w:p>
        </w:tc>
        <w:tc>
          <w:tcPr>
            <w:tcW w:w="2094" w:type="dxa"/>
            <w:noWrap/>
            <w:vAlign w:val="center"/>
          </w:tcPr>
          <w:p>
            <w:pPr>
              <w:pStyle w:val="146"/>
              <w:spacing w:line="240" w:lineRule="exact"/>
              <w:jc w:val="center"/>
              <w:rPr>
                <w:szCs w:val="21"/>
              </w:rPr>
            </w:pPr>
            <w:r>
              <w:rPr>
                <w:rFonts w:hint="eastAsia"/>
                <w:szCs w:val="21"/>
              </w:rPr>
              <w:t>37</w:t>
            </w:r>
            <w:r>
              <w:rPr>
                <w:szCs w:val="21"/>
              </w:rPr>
              <w:t>492575.270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eastAsiaTheme="minorEastAsia"/>
                <w:szCs w:val="21"/>
              </w:rPr>
              <w:t>10</w:t>
            </w:r>
          </w:p>
        </w:tc>
        <w:tc>
          <w:tcPr>
            <w:tcW w:w="1826" w:type="dxa"/>
            <w:noWrap/>
            <w:vAlign w:val="center"/>
          </w:tcPr>
          <w:p>
            <w:pPr>
              <w:pStyle w:val="146"/>
              <w:spacing w:line="240" w:lineRule="exact"/>
              <w:jc w:val="center"/>
              <w:rPr>
                <w:szCs w:val="21"/>
              </w:rPr>
            </w:pPr>
            <w:r>
              <w:rPr>
                <w:szCs w:val="21"/>
              </w:rPr>
              <w:t>4171451.540</w:t>
            </w:r>
          </w:p>
        </w:tc>
        <w:tc>
          <w:tcPr>
            <w:tcW w:w="1826" w:type="dxa"/>
            <w:vAlign w:val="center"/>
          </w:tcPr>
          <w:p>
            <w:pPr>
              <w:pStyle w:val="146"/>
              <w:spacing w:line="240" w:lineRule="exact"/>
              <w:jc w:val="center"/>
              <w:rPr>
                <w:szCs w:val="21"/>
              </w:rPr>
            </w:pPr>
            <w:r>
              <w:rPr>
                <w:szCs w:val="21"/>
              </w:rPr>
              <w:t>19492629.520</w:t>
            </w:r>
          </w:p>
        </w:tc>
        <w:tc>
          <w:tcPr>
            <w:tcW w:w="733" w:type="dxa"/>
            <w:noWrap/>
            <w:vAlign w:val="center"/>
          </w:tcPr>
          <w:p>
            <w:pPr>
              <w:spacing w:line="288" w:lineRule="auto"/>
              <w:jc w:val="center"/>
              <w:rPr>
                <w:rFonts w:eastAsiaTheme="minorEastAsia"/>
                <w:szCs w:val="21"/>
              </w:rPr>
            </w:pPr>
            <w:r>
              <w:rPr>
                <w:rFonts w:eastAsiaTheme="minorEastAsia"/>
                <w:szCs w:val="21"/>
              </w:rPr>
              <w:t>10</w:t>
            </w:r>
          </w:p>
        </w:tc>
        <w:tc>
          <w:tcPr>
            <w:tcW w:w="2094" w:type="dxa"/>
            <w:noWrap/>
            <w:vAlign w:val="center"/>
          </w:tcPr>
          <w:p>
            <w:pPr>
              <w:pStyle w:val="146"/>
              <w:spacing w:line="240" w:lineRule="exact"/>
              <w:jc w:val="center"/>
              <w:rPr>
                <w:szCs w:val="21"/>
              </w:rPr>
            </w:pPr>
            <w:r>
              <w:rPr>
                <w:szCs w:val="21"/>
              </w:rPr>
              <w:t>4171451.540</w:t>
            </w:r>
          </w:p>
        </w:tc>
        <w:tc>
          <w:tcPr>
            <w:tcW w:w="2094" w:type="dxa"/>
            <w:noWrap/>
            <w:vAlign w:val="center"/>
          </w:tcPr>
          <w:p>
            <w:pPr>
              <w:pStyle w:val="146"/>
              <w:spacing w:line="240" w:lineRule="exact"/>
              <w:jc w:val="center"/>
              <w:rPr>
                <w:szCs w:val="21"/>
              </w:rPr>
            </w:pPr>
            <w:r>
              <w:rPr>
                <w:rFonts w:hint="eastAsia"/>
                <w:szCs w:val="21"/>
              </w:rPr>
              <w:t>37</w:t>
            </w:r>
            <w:r>
              <w:rPr>
                <w:szCs w:val="21"/>
              </w:rPr>
              <w:t>492629.520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hint="eastAsia" w:eastAsiaTheme="minorEastAsia"/>
                <w:szCs w:val="21"/>
              </w:rPr>
              <w:t>11</w:t>
            </w:r>
          </w:p>
        </w:tc>
        <w:tc>
          <w:tcPr>
            <w:tcW w:w="1826" w:type="dxa"/>
            <w:noWrap/>
            <w:vAlign w:val="center"/>
          </w:tcPr>
          <w:p>
            <w:pPr>
              <w:pStyle w:val="146"/>
              <w:spacing w:line="240" w:lineRule="exact"/>
              <w:jc w:val="center"/>
              <w:rPr>
                <w:szCs w:val="21"/>
              </w:rPr>
            </w:pPr>
            <w:r>
              <w:rPr>
                <w:szCs w:val="21"/>
              </w:rPr>
              <w:t>4170601.530</w:t>
            </w:r>
          </w:p>
        </w:tc>
        <w:tc>
          <w:tcPr>
            <w:tcW w:w="1826" w:type="dxa"/>
            <w:vAlign w:val="center"/>
          </w:tcPr>
          <w:p>
            <w:pPr>
              <w:pStyle w:val="146"/>
              <w:spacing w:line="240" w:lineRule="exact"/>
              <w:jc w:val="center"/>
              <w:rPr>
                <w:szCs w:val="21"/>
              </w:rPr>
            </w:pPr>
            <w:r>
              <w:rPr>
                <w:szCs w:val="21"/>
              </w:rPr>
              <w:t>19492029.520</w:t>
            </w:r>
          </w:p>
        </w:tc>
        <w:tc>
          <w:tcPr>
            <w:tcW w:w="733" w:type="dxa"/>
            <w:noWrap/>
            <w:vAlign w:val="center"/>
          </w:tcPr>
          <w:p>
            <w:pPr>
              <w:spacing w:line="288" w:lineRule="auto"/>
              <w:jc w:val="center"/>
              <w:rPr>
                <w:rFonts w:eastAsiaTheme="minorEastAsia"/>
                <w:szCs w:val="21"/>
              </w:rPr>
            </w:pPr>
            <w:r>
              <w:rPr>
                <w:rFonts w:hint="eastAsia" w:eastAsiaTheme="minorEastAsia"/>
                <w:szCs w:val="21"/>
              </w:rPr>
              <w:t>11</w:t>
            </w:r>
          </w:p>
        </w:tc>
        <w:tc>
          <w:tcPr>
            <w:tcW w:w="2094" w:type="dxa"/>
            <w:noWrap/>
            <w:vAlign w:val="center"/>
          </w:tcPr>
          <w:p>
            <w:pPr>
              <w:pStyle w:val="146"/>
              <w:spacing w:line="240" w:lineRule="exact"/>
              <w:jc w:val="center"/>
              <w:rPr>
                <w:szCs w:val="21"/>
              </w:rPr>
            </w:pPr>
            <w:r>
              <w:rPr>
                <w:szCs w:val="21"/>
              </w:rPr>
              <w:t>4170601.530</w:t>
            </w:r>
          </w:p>
        </w:tc>
        <w:tc>
          <w:tcPr>
            <w:tcW w:w="2094" w:type="dxa"/>
            <w:noWrap/>
            <w:vAlign w:val="center"/>
          </w:tcPr>
          <w:p>
            <w:pPr>
              <w:pStyle w:val="146"/>
              <w:spacing w:line="240" w:lineRule="exact"/>
              <w:jc w:val="center"/>
              <w:rPr>
                <w:szCs w:val="21"/>
              </w:rPr>
            </w:pPr>
            <w:r>
              <w:rPr>
                <w:rFonts w:hint="eastAsia"/>
                <w:szCs w:val="21"/>
              </w:rPr>
              <w:t>37</w:t>
            </w:r>
            <w:r>
              <w:rPr>
                <w:szCs w:val="21"/>
              </w:rPr>
              <w:t>492029.520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hint="eastAsia" w:eastAsiaTheme="minorEastAsia"/>
                <w:szCs w:val="21"/>
              </w:rPr>
              <w:t>12</w:t>
            </w:r>
          </w:p>
        </w:tc>
        <w:tc>
          <w:tcPr>
            <w:tcW w:w="1826" w:type="dxa"/>
            <w:noWrap/>
            <w:vAlign w:val="center"/>
          </w:tcPr>
          <w:p>
            <w:pPr>
              <w:pStyle w:val="146"/>
              <w:spacing w:line="240" w:lineRule="exact"/>
              <w:jc w:val="center"/>
              <w:rPr>
                <w:szCs w:val="21"/>
              </w:rPr>
            </w:pPr>
            <w:r>
              <w:rPr>
                <w:szCs w:val="21"/>
              </w:rPr>
              <w:t>4170596.500</w:t>
            </w:r>
          </w:p>
        </w:tc>
        <w:tc>
          <w:tcPr>
            <w:tcW w:w="1826" w:type="dxa"/>
            <w:vAlign w:val="center"/>
          </w:tcPr>
          <w:p>
            <w:pPr>
              <w:pStyle w:val="146"/>
              <w:spacing w:line="240" w:lineRule="exact"/>
              <w:jc w:val="center"/>
              <w:rPr>
                <w:szCs w:val="21"/>
              </w:rPr>
            </w:pPr>
            <w:r>
              <w:rPr>
                <w:szCs w:val="21"/>
              </w:rPr>
              <w:t>19491998.690</w:t>
            </w:r>
          </w:p>
        </w:tc>
        <w:tc>
          <w:tcPr>
            <w:tcW w:w="733" w:type="dxa"/>
            <w:noWrap/>
            <w:vAlign w:val="center"/>
          </w:tcPr>
          <w:p>
            <w:pPr>
              <w:spacing w:line="288" w:lineRule="auto"/>
              <w:jc w:val="center"/>
              <w:rPr>
                <w:rFonts w:eastAsiaTheme="minorEastAsia"/>
                <w:szCs w:val="21"/>
              </w:rPr>
            </w:pPr>
            <w:r>
              <w:rPr>
                <w:rFonts w:hint="eastAsia" w:eastAsiaTheme="minorEastAsia"/>
                <w:szCs w:val="21"/>
              </w:rPr>
              <w:t>12</w:t>
            </w:r>
          </w:p>
        </w:tc>
        <w:tc>
          <w:tcPr>
            <w:tcW w:w="2094" w:type="dxa"/>
            <w:noWrap/>
            <w:vAlign w:val="center"/>
          </w:tcPr>
          <w:p>
            <w:pPr>
              <w:pStyle w:val="146"/>
              <w:spacing w:line="240" w:lineRule="exact"/>
              <w:jc w:val="center"/>
              <w:rPr>
                <w:szCs w:val="21"/>
              </w:rPr>
            </w:pPr>
            <w:r>
              <w:rPr>
                <w:szCs w:val="21"/>
              </w:rPr>
              <w:t>4170596.500</w:t>
            </w:r>
          </w:p>
        </w:tc>
        <w:tc>
          <w:tcPr>
            <w:tcW w:w="2094" w:type="dxa"/>
            <w:noWrap/>
            <w:vAlign w:val="center"/>
          </w:tcPr>
          <w:p>
            <w:pPr>
              <w:pStyle w:val="146"/>
              <w:spacing w:line="240" w:lineRule="exact"/>
              <w:jc w:val="center"/>
              <w:rPr>
                <w:szCs w:val="21"/>
              </w:rPr>
            </w:pPr>
            <w:r>
              <w:rPr>
                <w:rFonts w:hint="eastAsia"/>
                <w:szCs w:val="21"/>
              </w:rPr>
              <w:t>37</w:t>
            </w:r>
            <w:r>
              <w:rPr>
                <w:szCs w:val="21"/>
              </w:rPr>
              <w:t>491998.690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713" w:type="dxa"/>
            <w:noWrap/>
            <w:vAlign w:val="center"/>
          </w:tcPr>
          <w:p>
            <w:pPr>
              <w:spacing w:line="288" w:lineRule="auto"/>
              <w:jc w:val="center"/>
              <w:rPr>
                <w:rFonts w:eastAsiaTheme="minorEastAsia"/>
                <w:szCs w:val="21"/>
              </w:rPr>
            </w:pPr>
            <w:r>
              <w:rPr>
                <w:rFonts w:hint="eastAsia" w:eastAsiaTheme="minorEastAsia"/>
                <w:szCs w:val="21"/>
              </w:rPr>
              <w:t>13</w:t>
            </w:r>
          </w:p>
        </w:tc>
        <w:tc>
          <w:tcPr>
            <w:tcW w:w="1826" w:type="dxa"/>
            <w:noWrap/>
            <w:vAlign w:val="center"/>
          </w:tcPr>
          <w:p>
            <w:pPr>
              <w:pStyle w:val="146"/>
              <w:spacing w:line="240" w:lineRule="exact"/>
              <w:jc w:val="center"/>
              <w:rPr>
                <w:szCs w:val="21"/>
              </w:rPr>
            </w:pPr>
            <w:r>
              <w:rPr>
                <w:szCs w:val="21"/>
              </w:rPr>
              <w:t>4170520.530</w:t>
            </w:r>
          </w:p>
        </w:tc>
        <w:tc>
          <w:tcPr>
            <w:tcW w:w="1826" w:type="dxa"/>
            <w:vAlign w:val="center"/>
          </w:tcPr>
          <w:p>
            <w:pPr>
              <w:pStyle w:val="146"/>
              <w:spacing w:line="240" w:lineRule="exact"/>
              <w:jc w:val="center"/>
              <w:rPr>
                <w:szCs w:val="21"/>
              </w:rPr>
            </w:pPr>
            <w:r>
              <w:rPr>
                <w:szCs w:val="21"/>
              </w:rPr>
              <w:t>19491949.510</w:t>
            </w:r>
          </w:p>
        </w:tc>
        <w:tc>
          <w:tcPr>
            <w:tcW w:w="733" w:type="dxa"/>
            <w:noWrap/>
            <w:vAlign w:val="center"/>
          </w:tcPr>
          <w:p>
            <w:pPr>
              <w:spacing w:line="288" w:lineRule="auto"/>
              <w:jc w:val="center"/>
              <w:rPr>
                <w:rFonts w:eastAsiaTheme="minorEastAsia"/>
                <w:szCs w:val="21"/>
              </w:rPr>
            </w:pPr>
            <w:r>
              <w:rPr>
                <w:rFonts w:hint="eastAsia" w:eastAsiaTheme="minorEastAsia"/>
                <w:szCs w:val="21"/>
              </w:rPr>
              <w:t>13</w:t>
            </w:r>
          </w:p>
        </w:tc>
        <w:tc>
          <w:tcPr>
            <w:tcW w:w="2094" w:type="dxa"/>
            <w:noWrap/>
            <w:vAlign w:val="center"/>
          </w:tcPr>
          <w:p>
            <w:pPr>
              <w:pStyle w:val="146"/>
              <w:spacing w:line="240" w:lineRule="exact"/>
              <w:jc w:val="center"/>
              <w:rPr>
                <w:szCs w:val="21"/>
              </w:rPr>
            </w:pPr>
            <w:r>
              <w:rPr>
                <w:szCs w:val="21"/>
              </w:rPr>
              <w:t>4170520.530</w:t>
            </w:r>
          </w:p>
        </w:tc>
        <w:tc>
          <w:tcPr>
            <w:tcW w:w="2094" w:type="dxa"/>
            <w:noWrap/>
            <w:vAlign w:val="center"/>
          </w:tcPr>
          <w:p>
            <w:pPr>
              <w:pStyle w:val="146"/>
              <w:spacing w:line="240" w:lineRule="exact"/>
              <w:jc w:val="center"/>
              <w:rPr>
                <w:szCs w:val="21"/>
              </w:rPr>
            </w:pPr>
            <w:r>
              <w:rPr>
                <w:rFonts w:hint="eastAsia"/>
                <w:szCs w:val="21"/>
              </w:rPr>
              <w:t>37</w:t>
            </w:r>
            <w:r>
              <w:rPr>
                <w:szCs w:val="21"/>
              </w:rPr>
              <w:t>491949.510</w:t>
            </w:r>
          </w:p>
        </w:tc>
      </w:tr>
    </w:tbl>
    <w:p>
      <w:pPr>
        <w:spacing w:line="360" w:lineRule="auto"/>
        <w:outlineLvl w:val="3"/>
        <w:rPr>
          <w:rFonts w:eastAsiaTheme="minorEastAsia"/>
          <w:b/>
          <w:sz w:val="24"/>
        </w:rPr>
      </w:pPr>
      <w:r>
        <w:rPr>
          <w:rFonts w:eastAsiaTheme="minorEastAsia"/>
          <w:b/>
          <w:sz w:val="24"/>
        </w:rPr>
        <w:t>3.2.</w:t>
      </w:r>
      <w:r>
        <w:rPr>
          <w:rFonts w:hint="eastAsia" w:eastAsiaTheme="minorEastAsia"/>
          <w:b/>
          <w:sz w:val="24"/>
        </w:rPr>
        <w:t>6</w:t>
      </w:r>
      <w:r>
        <w:rPr>
          <w:rFonts w:eastAsiaTheme="minorEastAsia"/>
          <w:b/>
          <w:sz w:val="24"/>
        </w:rPr>
        <w:t>.2</w:t>
      </w:r>
      <w:r>
        <w:rPr>
          <w:rFonts w:hAnsiTheme="minorEastAsia" w:eastAsiaTheme="minorEastAsia"/>
          <w:b/>
          <w:sz w:val="24"/>
        </w:rPr>
        <w:t>资源储量</w:t>
      </w:r>
      <w:bookmarkStart w:id="159" w:name="_Toc168481536"/>
    </w:p>
    <w:bookmarkEnd w:id="159"/>
    <w:p>
      <w:pPr>
        <w:spacing w:line="360" w:lineRule="auto"/>
        <w:ind w:firstLine="480" w:firstLineChars="200"/>
        <w:rPr>
          <w:rFonts w:eastAsiaTheme="minorEastAsia"/>
          <w:bCs/>
          <w:sz w:val="24"/>
        </w:rPr>
      </w:pPr>
      <w:r>
        <w:rPr>
          <w:rFonts w:eastAsiaTheme="minorEastAsia"/>
          <w:bCs/>
          <w:sz w:val="24"/>
        </w:rPr>
        <w:t>1</w:t>
      </w:r>
      <w:r>
        <w:rPr>
          <w:rFonts w:hAnsiTheme="minorEastAsia" w:eastAsiaTheme="minorEastAsia"/>
          <w:bCs/>
          <w:sz w:val="24"/>
        </w:rPr>
        <w:t>、</w:t>
      </w:r>
      <w:r>
        <w:rPr>
          <w:rFonts w:hint="eastAsia" w:eastAsiaTheme="minorEastAsia"/>
          <w:bCs/>
          <w:sz w:val="24"/>
        </w:rPr>
        <w:t>地质</w:t>
      </w:r>
      <w:r>
        <w:rPr>
          <w:rFonts w:hAnsiTheme="minorEastAsia" w:eastAsiaTheme="minorEastAsia"/>
          <w:sz w:val="24"/>
          <w:lang w:val="zh-CN"/>
        </w:rPr>
        <w:t>资源储量</w:t>
      </w:r>
    </w:p>
    <w:p>
      <w:pPr>
        <w:pStyle w:val="85"/>
        <w:ind w:firstLine="480"/>
        <w:rPr>
          <w:rFonts w:ascii="Times New Roman" w:hAnsi="Times New Roman" w:cs="Times New Roman"/>
          <w:color w:val="auto"/>
          <w:sz w:val="24"/>
          <w:szCs w:val="24"/>
        </w:rPr>
      </w:pPr>
      <w:r>
        <w:rPr>
          <w:rFonts w:hint="eastAsia" w:ascii="Times New Roman" w:hAnsi="Times New Roman" w:cs="Times New Roman"/>
          <w:bCs/>
          <w:color w:val="auto"/>
          <w:sz w:val="24"/>
          <w:szCs w:val="24"/>
        </w:rPr>
        <w:t>本矿井地质资源量即包括111b、122b和333计三部分，共有58750.0kt</w:t>
      </w:r>
      <w:r>
        <w:rPr>
          <w:rFonts w:ascii="Times New Roman" w:cs="Times New Roman" w:hAnsiTheme="minorEastAsia"/>
          <w:bCs/>
          <w:color w:val="auto"/>
          <w:sz w:val="24"/>
          <w:szCs w:val="24"/>
        </w:rPr>
        <w:t>，</w:t>
      </w:r>
      <w:r>
        <w:rPr>
          <w:rFonts w:ascii="Times New Roman" w:cs="Times New Roman" w:hAnsiTheme="minorEastAsia"/>
          <w:color w:val="auto"/>
          <w:sz w:val="24"/>
          <w:szCs w:val="24"/>
        </w:rPr>
        <w:t>详见表</w:t>
      </w:r>
      <w:r>
        <w:rPr>
          <w:rFonts w:ascii="Times New Roman" w:hAnsi="Times New Roman" w:cs="Times New Roman"/>
          <w:color w:val="auto"/>
          <w:sz w:val="24"/>
          <w:szCs w:val="24"/>
        </w:rPr>
        <w:t>3.2-</w:t>
      </w:r>
      <w:r>
        <w:rPr>
          <w:rFonts w:hint="eastAsia" w:ascii="Times New Roman" w:hAnsi="Times New Roman" w:cs="Times New Roman"/>
          <w:color w:val="auto"/>
          <w:sz w:val="24"/>
          <w:szCs w:val="24"/>
        </w:rPr>
        <w:t>4。</w:t>
      </w:r>
    </w:p>
    <w:p>
      <w:pPr>
        <w:spacing w:line="360" w:lineRule="auto"/>
        <w:ind w:firstLine="480" w:firstLineChars="200"/>
        <w:rPr>
          <w:rFonts w:hAnsiTheme="minorEastAsia" w:eastAsiaTheme="minorEastAsia"/>
          <w:b/>
          <w:sz w:val="24"/>
        </w:rPr>
      </w:pPr>
      <w:r>
        <w:rPr>
          <w:rFonts w:hAnsiTheme="minorEastAsia" w:eastAsiaTheme="minorEastAsia"/>
          <w:sz w:val="24"/>
        </w:rPr>
        <w:t>本次</w:t>
      </w:r>
      <w:r>
        <w:rPr>
          <w:rFonts w:hint="eastAsia" w:hAnsiTheme="minorEastAsia" w:eastAsiaTheme="minorEastAsia"/>
          <w:sz w:val="24"/>
        </w:rPr>
        <w:t>变更</w:t>
      </w:r>
      <w:r>
        <w:rPr>
          <w:rFonts w:hint="eastAsia" w:hAnsiTheme="minorEastAsia" w:eastAsiaTheme="minorEastAsia"/>
          <w:sz w:val="24"/>
          <w:lang w:val="zh-CN"/>
        </w:rPr>
        <w:t>地质资源储量</w:t>
      </w:r>
      <w:r>
        <w:rPr>
          <w:rFonts w:hAnsiTheme="minorEastAsia" w:eastAsiaTheme="minorEastAsia"/>
          <w:sz w:val="24"/>
          <w:lang w:val="zh-CN"/>
        </w:rPr>
        <w:t>未发生变化。</w:t>
      </w:r>
    </w:p>
    <w:p>
      <w:pPr>
        <w:pStyle w:val="98"/>
        <w:snapToGrid/>
        <w:spacing w:line="360" w:lineRule="auto"/>
        <w:rPr>
          <w:rFonts w:ascii="Times New Roman" w:cs="Times New Roman" w:hAnsiTheme="minorEastAsia" w:eastAsiaTheme="minorEastAsia"/>
          <w:szCs w:val="21"/>
        </w:rPr>
      </w:pPr>
      <w:r>
        <w:rPr>
          <w:rFonts w:ascii="Times New Roman" w:cs="Times New Roman" w:hAnsiTheme="minorEastAsia" w:eastAsiaTheme="minorEastAsia"/>
          <w:szCs w:val="21"/>
        </w:rPr>
        <w:t>表</w:t>
      </w:r>
      <w:r>
        <w:rPr>
          <w:rFonts w:hint="eastAsia" w:ascii="Times New Roman" w:hAnsi="Times New Roman" w:cs="Times New Roman" w:eastAsiaTheme="minorEastAsia"/>
          <w:szCs w:val="21"/>
        </w:rPr>
        <w:t xml:space="preserve">3.2-4 </w:t>
      </w:r>
      <w:r>
        <w:rPr>
          <w:rFonts w:hint="eastAsia" w:ascii="Times New Roman" w:cs="Times New Roman" w:hAnsiTheme="minorEastAsia" w:eastAsiaTheme="minorEastAsia"/>
          <w:szCs w:val="21"/>
        </w:rPr>
        <w:t>矿井煤炭保有</w:t>
      </w:r>
      <w:r>
        <w:rPr>
          <w:rFonts w:ascii="Times New Roman" w:cs="Times New Roman" w:hAnsiTheme="minorEastAsia" w:eastAsiaTheme="minorEastAsia"/>
          <w:szCs w:val="21"/>
        </w:rPr>
        <w:t>资源</w:t>
      </w:r>
      <w:r>
        <w:rPr>
          <w:rFonts w:ascii="Times New Roman" w:hAnsi="Times New Roman" w:cs="Times New Roman" w:eastAsiaTheme="minorEastAsia"/>
          <w:szCs w:val="21"/>
        </w:rPr>
        <w:t>/</w:t>
      </w:r>
      <w:r>
        <w:rPr>
          <w:rFonts w:ascii="Times New Roman" w:cs="Times New Roman" w:hAnsiTheme="minorEastAsia" w:eastAsiaTheme="minorEastAsia"/>
          <w:szCs w:val="21"/>
        </w:rPr>
        <w:t>储量表（单位：</w:t>
      </w:r>
      <w:r>
        <w:rPr>
          <w:rFonts w:hint="eastAsia" w:ascii="Times New Roman" w:cs="Times New Roman" w:hAnsiTheme="minorEastAsia" w:eastAsiaTheme="minorEastAsia"/>
          <w:szCs w:val="21"/>
        </w:rPr>
        <w:t>k</w:t>
      </w:r>
      <w:r>
        <w:rPr>
          <w:rFonts w:ascii="Times New Roman" w:hAnsi="Times New Roman" w:cs="Times New Roman" w:eastAsiaTheme="minorEastAsia"/>
          <w:szCs w:val="21"/>
        </w:rPr>
        <w:t>t</w:t>
      </w:r>
      <w:r>
        <w:rPr>
          <w:rFonts w:ascii="Times New Roman" w:cs="Times New Roman" w:hAnsiTheme="minorEastAsia" w:eastAsiaTheme="minorEastAsia"/>
          <w:szCs w:val="21"/>
        </w:rPr>
        <w:t>）</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3"/>
        <w:gridCol w:w="603"/>
        <w:gridCol w:w="944"/>
        <w:gridCol w:w="944"/>
        <w:gridCol w:w="907"/>
        <w:gridCol w:w="1217"/>
        <w:gridCol w:w="1479"/>
        <w:gridCol w:w="1681"/>
        <w:gridCol w:w="6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9" w:hRule="exact"/>
          <w:jc w:val="center"/>
        </w:trPr>
        <w:tc>
          <w:tcPr>
            <w:tcW w:w="476" w:type="pct"/>
            <w:vAlign w:val="center"/>
          </w:tcPr>
          <w:p>
            <w:pPr>
              <w:jc w:val="center"/>
              <w:rPr>
                <w:rFonts w:eastAsiaTheme="minorEastAsia"/>
                <w:sz w:val="18"/>
                <w:szCs w:val="18"/>
              </w:rPr>
            </w:pPr>
            <w:r>
              <w:rPr>
                <w:rFonts w:hAnsiTheme="minorEastAsia" w:eastAsiaTheme="minorEastAsia"/>
                <w:sz w:val="18"/>
                <w:szCs w:val="18"/>
              </w:rPr>
              <w:t>水平（</w:t>
            </w:r>
            <w:r>
              <w:rPr>
                <w:rFonts w:eastAsiaTheme="minorEastAsia"/>
                <w:sz w:val="18"/>
                <w:szCs w:val="18"/>
              </w:rPr>
              <w:t>m</w:t>
            </w:r>
            <w:r>
              <w:rPr>
                <w:rFonts w:hAnsiTheme="minorEastAsia" w:eastAsiaTheme="minorEastAsia"/>
                <w:sz w:val="18"/>
                <w:szCs w:val="18"/>
              </w:rPr>
              <w:t>）</w:t>
            </w:r>
          </w:p>
        </w:tc>
        <w:tc>
          <w:tcPr>
            <w:tcW w:w="325" w:type="pct"/>
            <w:vAlign w:val="center"/>
          </w:tcPr>
          <w:p>
            <w:pPr>
              <w:jc w:val="center"/>
              <w:rPr>
                <w:rFonts w:eastAsiaTheme="minorEastAsia"/>
                <w:sz w:val="18"/>
                <w:szCs w:val="18"/>
              </w:rPr>
            </w:pPr>
            <w:r>
              <w:rPr>
                <w:rFonts w:hAnsiTheme="minorEastAsia" w:eastAsiaTheme="minorEastAsia"/>
                <w:sz w:val="18"/>
                <w:szCs w:val="18"/>
              </w:rPr>
              <w:t>煤层</w:t>
            </w:r>
          </w:p>
        </w:tc>
        <w:tc>
          <w:tcPr>
            <w:tcW w:w="508" w:type="pct"/>
            <w:vAlign w:val="center"/>
          </w:tcPr>
          <w:p>
            <w:pPr>
              <w:jc w:val="center"/>
              <w:rPr>
                <w:rFonts w:eastAsiaTheme="minorEastAsia"/>
                <w:sz w:val="18"/>
                <w:szCs w:val="18"/>
              </w:rPr>
            </w:pPr>
            <w:r>
              <w:rPr>
                <w:rFonts w:eastAsiaTheme="minorEastAsia"/>
                <w:sz w:val="18"/>
                <w:szCs w:val="18"/>
              </w:rPr>
              <w:t>111b</w:t>
            </w:r>
          </w:p>
        </w:tc>
        <w:tc>
          <w:tcPr>
            <w:tcW w:w="508" w:type="pct"/>
            <w:vAlign w:val="center"/>
          </w:tcPr>
          <w:p>
            <w:pPr>
              <w:jc w:val="center"/>
              <w:rPr>
                <w:rFonts w:eastAsiaTheme="minorEastAsia"/>
                <w:sz w:val="18"/>
                <w:szCs w:val="18"/>
              </w:rPr>
            </w:pPr>
            <w:r>
              <w:rPr>
                <w:rFonts w:eastAsiaTheme="minorEastAsia"/>
                <w:sz w:val="18"/>
                <w:szCs w:val="18"/>
              </w:rPr>
              <w:t>122b</w:t>
            </w:r>
          </w:p>
        </w:tc>
        <w:tc>
          <w:tcPr>
            <w:tcW w:w="488" w:type="pct"/>
            <w:vAlign w:val="center"/>
          </w:tcPr>
          <w:p>
            <w:pPr>
              <w:jc w:val="center"/>
              <w:rPr>
                <w:rFonts w:eastAsiaTheme="minorEastAsia"/>
                <w:sz w:val="18"/>
                <w:szCs w:val="18"/>
              </w:rPr>
            </w:pPr>
            <w:r>
              <w:rPr>
                <w:rFonts w:eastAsiaTheme="minorEastAsia"/>
                <w:sz w:val="18"/>
                <w:szCs w:val="18"/>
              </w:rPr>
              <w:t>333</w:t>
            </w:r>
          </w:p>
        </w:tc>
        <w:tc>
          <w:tcPr>
            <w:tcW w:w="655" w:type="pct"/>
            <w:vAlign w:val="center"/>
          </w:tcPr>
          <w:p>
            <w:pPr>
              <w:jc w:val="center"/>
              <w:rPr>
                <w:rFonts w:eastAsiaTheme="minorEastAsia"/>
                <w:sz w:val="18"/>
                <w:szCs w:val="18"/>
              </w:rPr>
            </w:pPr>
            <w:r>
              <w:rPr>
                <w:rFonts w:eastAsiaTheme="minorEastAsia"/>
                <w:sz w:val="18"/>
                <w:szCs w:val="18"/>
              </w:rPr>
              <w:t>111b+122b</w:t>
            </w:r>
          </w:p>
        </w:tc>
        <w:tc>
          <w:tcPr>
            <w:tcW w:w="796" w:type="pct"/>
            <w:vAlign w:val="center"/>
          </w:tcPr>
          <w:p>
            <w:pPr>
              <w:jc w:val="center"/>
              <w:rPr>
                <w:rFonts w:eastAsiaTheme="minorEastAsia"/>
                <w:sz w:val="18"/>
                <w:szCs w:val="18"/>
              </w:rPr>
            </w:pPr>
            <w:r>
              <w:rPr>
                <w:rFonts w:eastAsiaTheme="minorEastAsia"/>
                <w:sz w:val="18"/>
                <w:szCs w:val="18"/>
              </w:rPr>
              <w:t>111b+122b +333</w:t>
            </w:r>
          </w:p>
        </w:tc>
        <w:tc>
          <w:tcPr>
            <w:tcW w:w="905" w:type="pct"/>
            <w:vAlign w:val="center"/>
          </w:tcPr>
          <w:p>
            <w:pPr>
              <w:spacing w:line="288" w:lineRule="auto"/>
              <w:jc w:val="center"/>
              <w:rPr>
                <w:rFonts w:eastAsiaTheme="minorEastAsia"/>
                <w:sz w:val="18"/>
                <w:szCs w:val="18"/>
                <w:u w:val="single"/>
              </w:rPr>
            </w:pPr>
            <w:r>
              <w:rPr>
                <w:rFonts w:eastAsiaTheme="minorEastAsia"/>
                <w:sz w:val="18"/>
                <w:szCs w:val="18"/>
                <w:u w:val="single"/>
              </w:rPr>
              <w:t>111b+122b</w:t>
            </w:r>
          </w:p>
          <w:p>
            <w:pPr>
              <w:jc w:val="center"/>
              <w:rPr>
                <w:rFonts w:eastAsiaTheme="minorEastAsia"/>
                <w:sz w:val="18"/>
                <w:szCs w:val="18"/>
              </w:rPr>
            </w:pPr>
            <w:r>
              <w:rPr>
                <w:rFonts w:eastAsiaTheme="minorEastAsia"/>
                <w:sz w:val="18"/>
                <w:szCs w:val="18"/>
              </w:rPr>
              <w:t>111b+122b +333</w:t>
            </w:r>
          </w:p>
        </w:tc>
        <w:tc>
          <w:tcPr>
            <w:tcW w:w="338" w:type="pct"/>
            <w:vAlign w:val="center"/>
          </w:tcPr>
          <w:p>
            <w:pPr>
              <w:spacing w:line="288" w:lineRule="auto"/>
              <w:jc w:val="center"/>
              <w:rPr>
                <w:rFonts w:eastAsiaTheme="minorEastAsia"/>
                <w:sz w:val="18"/>
                <w:szCs w:val="18"/>
              </w:rPr>
            </w:pPr>
            <w:r>
              <w:rPr>
                <w:rFonts w:hAnsiTheme="minorEastAsia" w:eastAsiaTheme="minorEastAsia"/>
                <w:sz w:val="18"/>
                <w:szCs w:val="18"/>
              </w:rPr>
              <w:t>煤类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restart"/>
            <w:vAlign w:val="center"/>
          </w:tcPr>
          <w:p>
            <w:pPr>
              <w:spacing w:line="288" w:lineRule="auto"/>
              <w:jc w:val="center"/>
              <w:rPr>
                <w:rFonts w:eastAsiaTheme="minorEastAsia"/>
                <w:sz w:val="18"/>
                <w:szCs w:val="18"/>
              </w:rPr>
            </w:pPr>
            <w:r>
              <w:rPr>
                <w:rFonts w:eastAsiaTheme="minorEastAsia"/>
                <w:sz w:val="18"/>
                <w:szCs w:val="18"/>
              </w:rPr>
              <w:t>+700</w:t>
            </w:r>
            <w:r>
              <w:rPr>
                <w:rFonts w:hAnsiTheme="minorEastAsia" w:eastAsiaTheme="minorEastAsia"/>
                <w:sz w:val="18"/>
                <w:szCs w:val="18"/>
              </w:rPr>
              <w:t>以浅</w:t>
            </w:r>
          </w:p>
        </w:tc>
        <w:tc>
          <w:tcPr>
            <w:tcW w:w="325" w:type="pct"/>
            <w:vAlign w:val="center"/>
          </w:tcPr>
          <w:p>
            <w:pPr>
              <w:spacing w:line="288" w:lineRule="auto"/>
              <w:jc w:val="center"/>
              <w:rPr>
                <w:rFonts w:eastAsiaTheme="minorEastAsia"/>
                <w:sz w:val="18"/>
                <w:szCs w:val="18"/>
              </w:rPr>
            </w:pPr>
            <w:r>
              <w:rPr>
                <w:rFonts w:eastAsiaTheme="minorEastAsia"/>
                <w:sz w:val="18"/>
                <w:szCs w:val="18"/>
              </w:rPr>
              <w:t>4</w:t>
            </w:r>
          </w:p>
        </w:tc>
        <w:tc>
          <w:tcPr>
            <w:tcW w:w="508" w:type="pct"/>
            <w:vAlign w:val="center"/>
          </w:tcPr>
          <w:p>
            <w:pPr>
              <w:spacing w:line="288" w:lineRule="auto"/>
              <w:jc w:val="center"/>
              <w:rPr>
                <w:rFonts w:eastAsiaTheme="minorEastAsia"/>
                <w:sz w:val="18"/>
                <w:szCs w:val="18"/>
              </w:rPr>
            </w:pPr>
            <w:r>
              <w:rPr>
                <w:rFonts w:eastAsiaTheme="minorEastAsia"/>
                <w:sz w:val="18"/>
                <w:szCs w:val="18"/>
              </w:rPr>
              <w:t>3030.0</w:t>
            </w:r>
          </w:p>
        </w:tc>
        <w:tc>
          <w:tcPr>
            <w:tcW w:w="508" w:type="pct"/>
            <w:vAlign w:val="center"/>
          </w:tcPr>
          <w:p>
            <w:pPr>
              <w:spacing w:line="288" w:lineRule="auto"/>
              <w:jc w:val="center"/>
              <w:rPr>
                <w:rFonts w:eastAsiaTheme="minorEastAsia"/>
                <w:sz w:val="18"/>
                <w:szCs w:val="18"/>
              </w:rPr>
            </w:pPr>
          </w:p>
        </w:tc>
        <w:tc>
          <w:tcPr>
            <w:tcW w:w="488" w:type="pct"/>
            <w:vAlign w:val="center"/>
          </w:tcPr>
          <w:p>
            <w:pPr>
              <w:spacing w:line="288" w:lineRule="auto"/>
              <w:jc w:val="center"/>
              <w:rPr>
                <w:rFonts w:eastAsiaTheme="minorEastAsia"/>
                <w:sz w:val="18"/>
                <w:szCs w:val="18"/>
              </w:rPr>
            </w:pPr>
            <w:r>
              <w:rPr>
                <w:rFonts w:eastAsiaTheme="minorEastAsia"/>
                <w:sz w:val="18"/>
                <w:szCs w:val="18"/>
              </w:rPr>
              <w:t>180.0</w:t>
            </w:r>
          </w:p>
        </w:tc>
        <w:tc>
          <w:tcPr>
            <w:tcW w:w="655" w:type="pct"/>
            <w:vAlign w:val="center"/>
          </w:tcPr>
          <w:p>
            <w:pPr>
              <w:spacing w:line="288" w:lineRule="auto"/>
              <w:jc w:val="center"/>
              <w:rPr>
                <w:rFonts w:eastAsiaTheme="minorEastAsia"/>
                <w:sz w:val="18"/>
                <w:szCs w:val="18"/>
              </w:rPr>
            </w:pPr>
            <w:r>
              <w:rPr>
                <w:rFonts w:eastAsiaTheme="minorEastAsia"/>
                <w:sz w:val="18"/>
                <w:szCs w:val="18"/>
              </w:rPr>
              <w:t>3030.0</w:t>
            </w:r>
          </w:p>
        </w:tc>
        <w:tc>
          <w:tcPr>
            <w:tcW w:w="796" w:type="pct"/>
            <w:vAlign w:val="center"/>
          </w:tcPr>
          <w:p>
            <w:pPr>
              <w:spacing w:line="288" w:lineRule="auto"/>
              <w:jc w:val="center"/>
              <w:rPr>
                <w:rFonts w:eastAsiaTheme="minorEastAsia"/>
                <w:sz w:val="18"/>
                <w:szCs w:val="18"/>
              </w:rPr>
            </w:pPr>
            <w:r>
              <w:rPr>
                <w:rFonts w:eastAsiaTheme="minorEastAsia"/>
                <w:sz w:val="18"/>
                <w:szCs w:val="18"/>
              </w:rPr>
              <w:t>3210.0</w:t>
            </w:r>
          </w:p>
        </w:tc>
        <w:tc>
          <w:tcPr>
            <w:tcW w:w="905" w:type="pct"/>
            <w:vAlign w:val="center"/>
          </w:tcPr>
          <w:p>
            <w:pPr>
              <w:spacing w:line="288" w:lineRule="auto"/>
              <w:jc w:val="center"/>
              <w:rPr>
                <w:rFonts w:eastAsiaTheme="minorEastAsia"/>
                <w:sz w:val="18"/>
                <w:szCs w:val="18"/>
              </w:rPr>
            </w:pPr>
            <w:r>
              <w:rPr>
                <w:rFonts w:eastAsiaTheme="minorEastAsia"/>
                <w:sz w:val="18"/>
                <w:szCs w:val="18"/>
              </w:rPr>
              <w:t>94%</w:t>
            </w:r>
          </w:p>
        </w:tc>
        <w:tc>
          <w:tcPr>
            <w:tcW w:w="338" w:type="pct"/>
            <w:vAlign w:val="center"/>
          </w:tcPr>
          <w:p>
            <w:pPr>
              <w:spacing w:line="288" w:lineRule="auto"/>
              <w:jc w:val="center"/>
              <w:rPr>
                <w:rFonts w:eastAsiaTheme="minorEastAsia"/>
                <w:sz w:val="18"/>
                <w:szCs w:val="18"/>
              </w:rPr>
            </w:pPr>
            <w:r>
              <w:rPr>
                <w:rFonts w:eastAsiaTheme="minorEastAsia"/>
                <w:sz w:val="18"/>
                <w:szCs w:val="18"/>
              </w:rPr>
              <w:t>FM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eastAsiaTheme="minorEastAsia"/>
                <w:sz w:val="18"/>
                <w:szCs w:val="18"/>
              </w:rPr>
              <w:t>5</w:t>
            </w:r>
          </w:p>
        </w:tc>
        <w:tc>
          <w:tcPr>
            <w:tcW w:w="508" w:type="pct"/>
            <w:vAlign w:val="center"/>
          </w:tcPr>
          <w:p>
            <w:pPr>
              <w:spacing w:line="288" w:lineRule="auto"/>
              <w:jc w:val="center"/>
              <w:rPr>
                <w:rFonts w:eastAsiaTheme="minorEastAsia"/>
                <w:sz w:val="18"/>
                <w:szCs w:val="18"/>
              </w:rPr>
            </w:pPr>
            <w:r>
              <w:rPr>
                <w:rFonts w:eastAsiaTheme="minorEastAsia"/>
                <w:sz w:val="18"/>
                <w:szCs w:val="18"/>
              </w:rPr>
              <w:t>9850.0</w:t>
            </w:r>
          </w:p>
        </w:tc>
        <w:tc>
          <w:tcPr>
            <w:tcW w:w="508" w:type="pct"/>
            <w:vAlign w:val="center"/>
          </w:tcPr>
          <w:p>
            <w:pPr>
              <w:spacing w:line="288" w:lineRule="auto"/>
              <w:jc w:val="center"/>
              <w:rPr>
                <w:rFonts w:eastAsiaTheme="minorEastAsia"/>
                <w:sz w:val="18"/>
                <w:szCs w:val="18"/>
              </w:rPr>
            </w:pPr>
            <w:r>
              <w:rPr>
                <w:rFonts w:eastAsiaTheme="minorEastAsia"/>
                <w:sz w:val="18"/>
                <w:szCs w:val="18"/>
              </w:rPr>
              <w:t>1960.0</w:t>
            </w:r>
          </w:p>
        </w:tc>
        <w:tc>
          <w:tcPr>
            <w:tcW w:w="488" w:type="pct"/>
            <w:vAlign w:val="center"/>
          </w:tcPr>
          <w:p>
            <w:pPr>
              <w:spacing w:line="288" w:lineRule="auto"/>
              <w:jc w:val="center"/>
              <w:rPr>
                <w:rFonts w:eastAsiaTheme="minorEastAsia"/>
                <w:sz w:val="18"/>
                <w:szCs w:val="18"/>
              </w:rPr>
            </w:pPr>
            <w:r>
              <w:rPr>
                <w:rFonts w:eastAsiaTheme="minorEastAsia"/>
                <w:sz w:val="18"/>
                <w:szCs w:val="18"/>
              </w:rPr>
              <w:t>280.0</w:t>
            </w:r>
          </w:p>
        </w:tc>
        <w:tc>
          <w:tcPr>
            <w:tcW w:w="655" w:type="pct"/>
            <w:vAlign w:val="center"/>
          </w:tcPr>
          <w:p>
            <w:pPr>
              <w:spacing w:line="288" w:lineRule="auto"/>
              <w:jc w:val="center"/>
              <w:rPr>
                <w:rFonts w:eastAsiaTheme="minorEastAsia"/>
                <w:sz w:val="18"/>
                <w:szCs w:val="18"/>
              </w:rPr>
            </w:pPr>
            <w:r>
              <w:rPr>
                <w:rFonts w:eastAsiaTheme="minorEastAsia"/>
                <w:sz w:val="18"/>
                <w:szCs w:val="18"/>
              </w:rPr>
              <w:t>11810.0</w:t>
            </w:r>
          </w:p>
        </w:tc>
        <w:tc>
          <w:tcPr>
            <w:tcW w:w="796" w:type="pct"/>
            <w:vAlign w:val="center"/>
          </w:tcPr>
          <w:p>
            <w:pPr>
              <w:spacing w:line="288" w:lineRule="auto"/>
              <w:jc w:val="center"/>
              <w:rPr>
                <w:rFonts w:eastAsiaTheme="minorEastAsia"/>
                <w:sz w:val="18"/>
                <w:szCs w:val="18"/>
              </w:rPr>
            </w:pPr>
            <w:r>
              <w:rPr>
                <w:rFonts w:eastAsiaTheme="minorEastAsia"/>
                <w:sz w:val="18"/>
                <w:szCs w:val="18"/>
              </w:rPr>
              <w:t>12090.0</w:t>
            </w:r>
          </w:p>
        </w:tc>
        <w:tc>
          <w:tcPr>
            <w:tcW w:w="905" w:type="pct"/>
            <w:vAlign w:val="center"/>
          </w:tcPr>
          <w:p>
            <w:pPr>
              <w:spacing w:line="288" w:lineRule="auto"/>
              <w:jc w:val="center"/>
              <w:rPr>
                <w:rFonts w:eastAsiaTheme="minorEastAsia"/>
                <w:sz w:val="18"/>
                <w:szCs w:val="18"/>
              </w:rPr>
            </w:pPr>
            <w:r>
              <w:rPr>
                <w:rFonts w:eastAsiaTheme="minorEastAsia"/>
                <w:sz w:val="18"/>
                <w:szCs w:val="18"/>
              </w:rPr>
              <w:t>98%</w:t>
            </w:r>
          </w:p>
        </w:tc>
        <w:tc>
          <w:tcPr>
            <w:tcW w:w="338" w:type="pct"/>
            <w:vAlign w:val="center"/>
          </w:tcPr>
          <w:p>
            <w:pPr>
              <w:spacing w:line="288" w:lineRule="auto"/>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eastAsiaTheme="minorEastAsia"/>
                <w:sz w:val="18"/>
                <w:szCs w:val="18"/>
              </w:rPr>
              <w:t>8</w:t>
            </w:r>
          </w:p>
        </w:tc>
        <w:tc>
          <w:tcPr>
            <w:tcW w:w="508" w:type="pct"/>
            <w:vAlign w:val="center"/>
          </w:tcPr>
          <w:p>
            <w:pPr>
              <w:spacing w:line="288" w:lineRule="auto"/>
              <w:jc w:val="center"/>
              <w:rPr>
                <w:rFonts w:eastAsiaTheme="minorEastAsia"/>
                <w:sz w:val="18"/>
                <w:szCs w:val="18"/>
              </w:rPr>
            </w:pPr>
            <w:r>
              <w:rPr>
                <w:rFonts w:eastAsiaTheme="minorEastAsia"/>
                <w:sz w:val="18"/>
                <w:szCs w:val="18"/>
              </w:rPr>
              <w:t>6020.0</w:t>
            </w:r>
          </w:p>
        </w:tc>
        <w:tc>
          <w:tcPr>
            <w:tcW w:w="508" w:type="pct"/>
            <w:vAlign w:val="center"/>
          </w:tcPr>
          <w:p>
            <w:pPr>
              <w:spacing w:line="288" w:lineRule="auto"/>
              <w:jc w:val="center"/>
              <w:rPr>
                <w:rFonts w:eastAsiaTheme="minorEastAsia"/>
                <w:sz w:val="18"/>
                <w:szCs w:val="18"/>
              </w:rPr>
            </w:pPr>
            <w:r>
              <w:rPr>
                <w:rFonts w:eastAsiaTheme="minorEastAsia"/>
                <w:sz w:val="18"/>
                <w:szCs w:val="18"/>
              </w:rPr>
              <w:t>1030.0</w:t>
            </w:r>
          </w:p>
        </w:tc>
        <w:tc>
          <w:tcPr>
            <w:tcW w:w="488" w:type="pct"/>
            <w:vAlign w:val="center"/>
          </w:tcPr>
          <w:p>
            <w:pPr>
              <w:spacing w:line="288" w:lineRule="auto"/>
              <w:jc w:val="center"/>
              <w:rPr>
                <w:rFonts w:eastAsiaTheme="minorEastAsia"/>
                <w:sz w:val="18"/>
                <w:szCs w:val="18"/>
              </w:rPr>
            </w:pPr>
            <w:r>
              <w:rPr>
                <w:rFonts w:eastAsiaTheme="minorEastAsia"/>
                <w:sz w:val="18"/>
                <w:szCs w:val="18"/>
              </w:rPr>
              <w:t>340.0</w:t>
            </w:r>
          </w:p>
        </w:tc>
        <w:tc>
          <w:tcPr>
            <w:tcW w:w="655" w:type="pct"/>
            <w:vAlign w:val="center"/>
          </w:tcPr>
          <w:p>
            <w:pPr>
              <w:spacing w:line="288" w:lineRule="auto"/>
              <w:jc w:val="center"/>
              <w:rPr>
                <w:rFonts w:eastAsiaTheme="minorEastAsia"/>
                <w:sz w:val="18"/>
                <w:szCs w:val="18"/>
              </w:rPr>
            </w:pPr>
            <w:r>
              <w:rPr>
                <w:rFonts w:eastAsiaTheme="minorEastAsia"/>
                <w:sz w:val="18"/>
                <w:szCs w:val="18"/>
              </w:rPr>
              <w:t>7050.0</w:t>
            </w:r>
          </w:p>
        </w:tc>
        <w:tc>
          <w:tcPr>
            <w:tcW w:w="796" w:type="pct"/>
            <w:vAlign w:val="center"/>
          </w:tcPr>
          <w:p>
            <w:pPr>
              <w:spacing w:line="288" w:lineRule="auto"/>
              <w:jc w:val="center"/>
              <w:rPr>
                <w:rFonts w:eastAsiaTheme="minorEastAsia"/>
                <w:sz w:val="18"/>
                <w:szCs w:val="18"/>
              </w:rPr>
            </w:pPr>
            <w:r>
              <w:rPr>
                <w:rFonts w:eastAsiaTheme="minorEastAsia"/>
                <w:sz w:val="18"/>
                <w:szCs w:val="18"/>
              </w:rPr>
              <w:t>7390.0</w:t>
            </w:r>
          </w:p>
        </w:tc>
        <w:tc>
          <w:tcPr>
            <w:tcW w:w="905" w:type="pct"/>
            <w:vAlign w:val="center"/>
          </w:tcPr>
          <w:p>
            <w:pPr>
              <w:spacing w:line="288" w:lineRule="auto"/>
              <w:jc w:val="center"/>
              <w:rPr>
                <w:rFonts w:eastAsiaTheme="minorEastAsia"/>
                <w:sz w:val="18"/>
                <w:szCs w:val="18"/>
              </w:rPr>
            </w:pPr>
            <w:r>
              <w:rPr>
                <w:rFonts w:eastAsiaTheme="minorEastAsia"/>
                <w:sz w:val="18"/>
                <w:szCs w:val="18"/>
              </w:rPr>
              <w:t>95%</w:t>
            </w:r>
          </w:p>
        </w:tc>
        <w:tc>
          <w:tcPr>
            <w:tcW w:w="338" w:type="pct"/>
            <w:vAlign w:val="center"/>
          </w:tcPr>
          <w:p>
            <w:pPr>
              <w:spacing w:line="288" w:lineRule="auto"/>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eastAsiaTheme="minorEastAsia"/>
                <w:sz w:val="18"/>
                <w:szCs w:val="18"/>
              </w:rPr>
              <w:t>9</w:t>
            </w:r>
          </w:p>
        </w:tc>
        <w:tc>
          <w:tcPr>
            <w:tcW w:w="508" w:type="pct"/>
            <w:vAlign w:val="center"/>
          </w:tcPr>
          <w:p>
            <w:pPr>
              <w:spacing w:line="288" w:lineRule="auto"/>
              <w:jc w:val="center"/>
              <w:rPr>
                <w:rFonts w:eastAsiaTheme="minorEastAsia"/>
                <w:sz w:val="18"/>
                <w:szCs w:val="18"/>
              </w:rPr>
            </w:pPr>
            <w:r>
              <w:rPr>
                <w:rFonts w:eastAsiaTheme="minorEastAsia"/>
                <w:sz w:val="18"/>
                <w:szCs w:val="18"/>
              </w:rPr>
              <w:t>6750.0</w:t>
            </w:r>
          </w:p>
        </w:tc>
        <w:tc>
          <w:tcPr>
            <w:tcW w:w="508" w:type="pct"/>
            <w:vAlign w:val="center"/>
          </w:tcPr>
          <w:p>
            <w:pPr>
              <w:spacing w:line="288" w:lineRule="auto"/>
              <w:jc w:val="center"/>
              <w:rPr>
                <w:rFonts w:eastAsiaTheme="minorEastAsia"/>
                <w:sz w:val="18"/>
                <w:szCs w:val="18"/>
              </w:rPr>
            </w:pPr>
            <w:r>
              <w:rPr>
                <w:rFonts w:eastAsiaTheme="minorEastAsia"/>
                <w:sz w:val="18"/>
                <w:szCs w:val="18"/>
              </w:rPr>
              <w:t>1110.0</w:t>
            </w:r>
          </w:p>
        </w:tc>
        <w:tc>
          <w:tcPr>
            <w:tcW w:w="488" w:type="pct"/>
            <w:vAlign w:val="center"/>
          </w:tcPr>
          <w:p>
            <w:pPr>
              <w:spacing w:line="288" w:lineRule="auto"/>
              <w:jc w:val="center"/>
              <w:rPr>
                <w:rFonts w:eastAsiaTheme="minorEastAsia"/>
                <w:sz w:val="18"/>
                <w:szCs w:val="18"/>
              </w:rPr>
            </w:pPr>
            <w:r>
              <w:rPr>
                <w:rFonts w:eastAsiaTheme="minorEastAsia"/>
                <w:sz w:val="18"/>
                <w:szCs w:val="18"/>
              </w:rPr>
              <w:t>270.0</w:t>
            </w:r>
          </w:p>
        </w:tc>
        <w:tc>
          <w:tcPr>
            <w:tcW w:w="655" w:type="pct"/>
            <w:vAlign w:val="center"/>
          </w:tcPr>
          <w:p>
            <w:pPr>
              <w:spacing w:line="288" w:lineRule="auto"/>
              <w:jc w:val="center"/>
              <w:rPr>
                <w:rFonts w:eastAsiaTheme="minorEastAsia"/>
                <w:sz w:val="18"/>
                <w:szCs w:val="18"/>
              </w:rPr>
            </w:pPr>
            <w:r>
              <w:rPr>
                <w:rFonts w:eastAsiaTheme="minorEastAsia"/>
                <w:sz w:val="18"/>
                <w:szCs w:val="18"/>
              </w:rPr>
              <w:t>7860.0</w:t>
            </w:r>
          </w:p>
        </w:tc>
        <w:tc>
          <w:tcPr>
            <w:tcW w:w="796" w:type="pct"/>
            <w:vAlign w:val="center"/>
          </w:tcPr>
          <w:p>
            <w:pPr>
              <w:spacing w:line="288" w:lineRule="auto"/>
              <w:jc w:val="center"/>
              <w:rPr>
                <w:rFonts w:eastAsiaTheme="minorEastAsia"/>
                <w:sz w:val="18"/>
                <w:szCs w:val="18"/>
              </w:rPr>
            </w:pPr>
            <w:r>
              <w:rPr>
                <w:rFonts w:eastAsiaTheme="minorEastAsia"/>
                <w:sz w:val="18"/>
                <w:szCs w:val="18"/>
              </w:rPr>
              <w:t>8130.0</w:t>
            </w:r>
          </w:p>
        </w:tc>
        <w:tc>
          <w:tcPr>
            <w:tcW w:w="905" w:type="pct"/>
            <w:vAlign w:val="center"/>
          </w:tcPr>
          <w:p>
            <w:pPr>
              <w:spacing w:line="288" w:lineRule="auto"/>
              <w:jc w:val="center"/>
              <w:rPr>
                <w:rFonts w:eastAsiaTheme="minorEastAsia"/>
                <w:sz w:val="18"/>
                <w:szCs w:val="18"/>
              </w:rPr>
            </w:pPr>
            <w:r>
              <w:rPr>
                <w:rFonts w:eastAsiaTheme="minorEastAsia"/>
                <w:sz w:val="18"/>
                <w:szCs w:val="18"/>
              </w:rPr>
              <w:t>97%</w:t>
            </w:r>
          </w:p>
        </w:tc>
        <w:tc>
          <w:tcPr>
            <w:tcW w:w="338" w:type="pct"/>
            <w:vAlign w:val="center"/>
          </w:tcPr>
          <w:p>
            <w:pPr>
              <w:spacing w:line="288" w:lineRule="auto"/>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hint="eastAsia" w:hAnsiTheme="minorEastAsia" w:eastAsiaTheme="minorEastAsia"/>
                <w:sz w:val="18"/>
                <w:szCs w:val="18"/>
              </w:rPr>
              <w:t>小</w:t>
            </w:r>
            <w:r>
              <w:rPr>
                <w:rFonts w:hAnsiTheme="minorEastAsia" w:eastAsiaTheme="minorEastAsia"/>
                <w:sz w:val="18"/>
                <w:szCs w:val="18"/>
              </w:rPr>
              <w:t>计</w:t>
            </w:r>
          </w:p>
        </w:tc>
        <w:tc>
          <w:tcPr>
            <w:tcW w:w="508" w:type="pct"/>
            <w:vAlign w:val="center"/>
          </w:tcPr>
          <w:p>
            <w:pPr>
              <w:spacing w:line="288" w:lineRule="auto"/>
              <w:jc w:val="center"/>
              <w:rPr>
                <w:rFonts w:eastAsiaTheme="minorEastAsia"/>
                <w:sz w:val="18"/>
                <w:szCs w:val="18"/>
              </w:rPr>
            </w:pPr>
            <w:r>
              <w:rPr>
                <w:rFonts w:eastAsiaTheme="minorEastAsia"/>
                <w:sz w:val="18"/>
                <w:szCs w:val="18"/>
              </w:rPr>
              <w:t>25650.0</w:t>
            </w:r>
          </w:p>
        </w:tc>
        <w:tc>
          <w:tcPr>
            <w:tcW w:w="508" w:type="pct"/>
            <w:vAlign w:val="center"/>
          </w:tcPr>
          <w:p>
            <w:pPr>
              <w:spacing w:line="288" w:lineRule="auto"/>
              <w:jc w:val="center"/>
              <w:rPr>
                <w:rFonts w:eastAsiaTheme="minorEastAsia"/>
                <w:sz w:val="18"/>
                <w:szCs w:val="18"/>
              </w:rPr>
            </w:pPr>
            <w:r>
              <w:rPr>
                <w:rFonts w:eastAsiaTheme="minorEastAsia"/>
                <w:sz w:val="18"/>
                <w:szCs w:val="18"/>
              </w:rPr>
              <w:t>4100.0</w:t>
            </w:r>
          </w:p>
        </w:tc>
        <w:tc>
          <w:tcPr>
            <w:tcW w:w="488" w:type="pct"/>
            <w:vAlign w:val="center"/>
          </w:tcPr>
          <w:p>
            <w:pPr>
              <w:spacing w:line="288" w:lineRule="auto"/>
              <w:jc w:val="center"/>
              <w:rPr>
                <w:rFonts w:eastAsiaTheme="minorEastAsia"/>
                <w:sz w:val="18"/>
                <w:szCs w:val="18"/>
              </w:rPr>
            </w:pPr>
            <w:r>
              <w:rPr>
                <w:rFonts w:eastAsiaTheme="minorEastAsia"/>
                <w:sz w:val="18"/>
                <w:szCs w:val="18"/>
              </w:rPr>
              <w:t>1070.0</w:t>
            </w:r>
          </w:p>
        </w:tc>
        <w:tc>
          <w:tcPr>
            <w:tcW w:w="655" w:type="pct"/>
            <w:vAlign w:val="center"/>
          </w:tcPr>
          <w:p>
            <w:pPr>
              <w:spacing w:line="288" w:lineRule="auto"/>
              <w:jc w:val="center"/>
              <w:rPr>
                <w:rFonts w:eastAsiaTheme="minorEastAsia"/>
                <w:sz w:val="18"/>
                <w:szCs w:val="18"/>
              </w:rPr>
            </w:pPr>
            <w:r>
              <w:rPr>
                <w:rFonts w:eastAsiaTheme="minorEastAsia"/>
                <w:sz w:val="18"/>
                <w:szCs w:val="18"/>
              </w:rPr>
              <w:t>29750.0</w:t>
            </w:r>
          </w:p>
        </w:tc>
        <w:tc>
          <w:tcPr>
            <w:tcW w:w="796" w:type="pct"/>
            <w:vAlign w:val="center"/>
          </w:tcPr>
          <w:p>
            <w:pPr>
              <w:spacing w:line="288" w:lineRule="auto"/>
              <w:jc w:val="center"/>
              <w:rPr>
                <w:rFonts w:eastAsiaTheme="minorEastAsia"/>
                <w:sz w:val="18"/>
                <w:szCs w:val="18"/>
              </w:rPr>
            </w:pPr>
            <w:r>
              <w:rPr>
                <w:rFonts w:eastAsiaTheme="minorEastAsia"/>
                <w:sz w:val="18"/>
                <w:szCs w:val="18"/>
              </w:rPr>
              <w:t>30820.0</w:t>
            </w:r>
          </w:p>
        </w:tc>
        <w:tc>
          <w:tcPr>
            <w:tcW w:w="905" w:type="pct"/>
            <w:vAlign w:val="center"/>
          </w:tcPr>
          <w:p>
            <w:pPr>
              <w:spacing w:line="288" w:lineRule="auto"/>
              <w:jc w:val="center"/>
              <w:rPr>
                <w:rFonts w:eastAsiaTheme="minorEastAsia"/>
                <w:sz w:val="18"/>
                <w:szCs w:val="18"/>
              </w:rPr>
            </w:pPr>
            <w:r>
              <w:rPr>
                <w:rFonts w:eastAsiaTheme="minorEastAsia"/>
                <w:sz w:val="18"/>
                <w:szCs w:val="18"/>
              </w:rPr>
              <w:t>97%</w:t>
            </w:r>
          </w:p>
        </w:tc>
        <w:tc>
          <w:tcPr>
            <w:tcW w:w="338" w:type="pct"/>
            <w:vAlign w:val="center"/>
          </w:tcPr>
          <w:p>
            <w:pPr>
              <w:spacing w:line="288" w:lineRule="auto"/>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restart"/>
            <w:vAlign w:val="center"/>
          </w:tcPr>
          <w:p>
            <w:pPr>
              <w:spacing w:line="288" w:lineRule="auto"/>
              <w:jc w:val="center"/>
              <w:rPr>
                <w:rFonts w:eastAsiaTheme="minorEastAsia"/>
                <w:sz w:val="18"/>
                <w:szCs w:val="18"/>
              </w:rPr>
            </w:pPr>
            <w:r>
              <w:rPr>
                <w:rFonts w:eastAsiaTheme="minorEastAsia"/>
                <w:sz w:val="18"/>
                <w:szCs w:val="18"/>
              </w:rPr>
              <w:t>+700</w:t>
            </w:r>
            <w:r>
              <w:rPr>
                <w:rFonts w:hAnsiTheme="minorEastAsia" w:eastAsiaTheme="minorEastAsia"/>
                <w:sz w:val="18"/>
                <w:szCs w:val="18"/>
              </w:rPr>
              <w:t>以深</w:t>
            </w:r>
          </w:p>
        </w:tc>
        <w:tc>
          <w:tcPr>
            <w:tcW w:w="325" w:type="pct"/>
            <w:vAlign w:val="center"/>
          </w:tcPr>
          <w:p>
            <w:pPr>
              <w:spacing w:line="288" w:lineRule="auto"/>
              <w:jc w:val="center"/>
              <w:rPr>
                <w:rFonts w:eastAsiaTheme="minorEastAsia"/>
                <w:sz w:val="18"/>
                <w:szCs w:val="18"/>
              </w:rPr>
            </w:pPr>
            <w:r>
              <w:rPr>
                <w:rFonts w:eastAsiaTheme="minorEastAsia"/>
                <w:sz w:val="18"/>
                <w:szCs w:val="18"/>
              </w:rPr>
              <w:t>4</w:t>
            </w:r>
          </w:p>
        </w:tc>
        <w:tc>
          <w:tcPr>
            <w:tcW w:w="508" w:type="pct"/>
            <w:vAlign w:val="center"/>
          </w:tcPr>
          <w:p>
            <w:pPr>
              <w:spacing w:line="288" w:lineRule="auto"/>
              <w:jc w:val="center"/>
              <w:rPr>
                <w:rFonts w:eastAsiaTheme="minorEastAsia"/>
                <w:sz w:val="18"/>
                <w:szCs w:val="18"/>
              </w:rPr>
            </w:pPr>
            <w:r>
              <w:rPr>
                <w:rFonts w:eastAsiaTheme="minorEastAsia"/>
                <w:sz w:val="18"/>
                <w:szCs w:val="18"/>
              </w:rPr>
              <w:t>1100.0</w:t>
            </w:r>
          </w:p>
        </w:tc>
        <w:tc>
          <w:tcPr>
            <w:tcW w:w="508" w:type="pct"/>
            <w:vAlign w:val="center"/>
          </w:tcPr>
          <w:p>
            <w:pPr>
              <w:spacing w:line="288" w:lineRule="auto"/>
              <w:jc w:val="center"/>
              <w:rPr>
                <w:rFonts w:eastAsiaTheme="minorEastAsia"/>
                <w:sz w:val="18"/>
                <w:szCs w:val="18"/>
              </w:rPr>
            </w:pPr>
          </w:p>
        </w:tc>
        <w:tc>
          <w:tcPr>
            <w:tcW w:w="488" w:type="pct"/>
            <w:vAlign w:val="center"/>
          </w:tcPr>
          <w:p>
            <w:pPr>
              <w:spacing w:line="288" w:lineRule="auto"/>
              <w:jc w:val="center"/>
              <w:rPr>
                <w:rFonts w:eastAsiaTheme="minorEastAsia"/>
                <w:sz w:val="18"/>
                <w:szCs w:val="18"/>
              </w:rPr>
            </w:pPr>
          </w:p>
        </w:tc>
        <w:tc>
          <w:tcPr>
            <w:tcW w:w="655" w:type="pct"/>
            <w:vAlign w:val="center"/>
          </w:tcPr>
          <w:p>
            <w:pPr>
              <w:spacing w:line="288" w:lineRule="auto"/>
              <w:jc w:val="center"/>
              <w:rPr>
                <w:rFonts w:eastAsiaTheme="minorEastAsia"/>
                <w:sz w:val="18"/>
                <w:szCs w:val="18"/>
              </w:rPr>
            </w:pPr>
            <w:r>
              <w:rPr>
                <w:rFonts w:eastAsiaTheme="minorEastAsia"/>
                <w:sz w:val="18"/>
                <w:szCs w:val="18"/>
              </w:rPr>
              <w:t>1100.0</w:t>
            </w:r>
          </w:p>
        </w:tc>
        <w:tc>
          <w:tcPr>
            <w:tcW w:w="796" w:type="pct"/>
            <w:vAlign w:val="center"/>
          </w:tcPr>
          <w:p>
            <w:pPr>
              <w:spacing w:line="288" w:lineRule="auto"/>
              <w:jc w:val="center"/>
              <w:rPr>
                <w:rFonts w:eastAsiaTheme="minorEastAsia"/>
                <w:sz w:val="18"/>
                <w:szCs w:val="18"/>
              </w:rPr>
            </w:pPr>
            <w:r>
              <w:rPr>
                <w:rFonts w:eastAsiaTheme="minorEastAsia"/>
                <w:sz w:val="18"/>
                <w:szCs w:val="18"/>
              </w:rPr>
              <w:t>1100.0</w:t>
            </w:r>
          </w:p>
        </w:tc>
        <w:tc>
          <w:tcPr>
            <w:tcW w:w="905" w:type="pct"/>
            <w:vAlign w:val="center"/>
          </w:tcPr>
          <w:p>
            <w:pPr>
              <w:spacing w:line="288" w:lineRule="auto"/>
              <w:jc w:val="center"/>
              <w:rPr>
                <w:rFonts w:eastAsiaTheme="minorEastAsia"/>
                <w:sz w:val="18"/>
                <w:szCs w:val="18"/>
              </w:rPr>
            </w:pPr>
            <w:r>
              <w:rPr>
                <w:rFonts w:eastAsiaTheme="minorEastAsia"/>
                <w:sz w:val="18"/>
                <w:szCs w:val="18"/>
              </w:rPr>
              <w:t>100%</w:t>
            </w:r>
          </w:p>
        </w:tc>
        <w:tc>
          <w:tcPr>
            <w:tcW w:w="338" w:type="pct"/>
            <w:vAlign w:val="center"/>
          </w:tcPr>
          <w:p>
            <w:pPr>
              <w:spacing w:line="288" w:lineRule="auto"/>
              <w:jc w:val="center"/>
              <w:rPr>
                <w:rFonts w:eastAsiaTheme="minorEastAsia"/>
                <w:sz w:val="18"/>
                <w:szCs w:val="18"/>
              </w:rPr>
            </w:pPr>
            <w:r>
              <w:rPr>
                <w:rFonts w:eastAsiaTheme="minorEastAsia"/>
                <w:sz w:val="18"/>
                <w:szCs w:val="18"/>
              </w:rPr>
              <w:t>FM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eastAsiaTheme="minorEastAsia"/>
                <w:sz w:val="18"/>
                <w:szCs w:val="18"/>
              </w:rPr>
              <w:t>5</w:t>
            </w:r>
          </w:p>
        </w:tc>
        <w:tc>
          <w:tcPr>
            <w:tcW w:w="508" w:type="pct"/>
            <w:vAlign w:val="center"/>
          </w:tcPr>
          <w:p>
            <w:pPr>
              <w:spacing w:line="288" w:lineRule="auto"/>
              <w:jc w:val="center"/>
              <w:rPr>
                <w:rFonts w:eastAsiaTheme="minorEastAsia"/>
                <w:sz w:val="18"/>
                <w:szCs w:val="18"/>
              </w:rPr>
            </w:pPr>
            <w:r>
              <w:rPr>
                <w:rFonts w:eastAsiaTheme="minorEastAsia"/>
                <w:sz w:val="18"/>
                <w:szCs w:val="18"/>
              </w:rPr>
              <w:t>7800.0</w:t>
            </w:r>
          </w:p>
        </w:tc>
        <w:tc>
          <w:tcPr>
            <w:tcW w:w="508" w:type="pct"/>
            <w:vAlign w:val="center"/>
          </w:tcPr>
          <w:p>
            <w:pPr>
              <w:spacing w:line="288" w:lineRule="auto"/>
              <w:jc w:val="center"/>
              <w:rPr>
                <w:rFonts w:eastAsiaTheme="minorEastAsia"/>
                <w:sz w:val="18"/>
                <w:szCs w:val="18"/>
              </w:rPr>
            </w:pPr>
            <w:r>
              <w:rPr>
                <w:rFonts w:eastAsiaTheme="minorEastAsia"/>
                <w:sz w:val="18"/>
                <w:szCs w:val="18"/>
              </w:rPr>
              <w:t>2650.0</w:t>
            </w:r>
          </w:p>
        </w:tc>
        <w:tc>
          <w:tcPr>
            <w:tcW w:w="488" w:type="pct"/>
            <w:vAlign w:val="center"/>
          </w:tcPr>
          <w:p>
            <w:pPr>
              <w:spacing w:line="288" w:lineRule="auto"/>
              <w:jc w:val="center"/>
              <w:rPr>
                <w:rFonts w:eastAsiaTheme="minorEastAsia"/>
                <w:sz w:val="18"/>
                <w:szCs w:val="18"/>
              </w:rPr>
            </w:pPr>
          </w:p>
        </w:tc>
        <w:tc>
          <w:tcPr>
            <w:tcW w:w="655" w:type="pct"/>
            <w:vAlign w:val="center"/>
          </w:tcPr>
          <w:p>
            <w:pPr>
              <w:spacing w:line="288" w:lineRule="auto"/>
              <w:jc w:val="center"/>
              <w:rPr>
                <w:rFonts w:eastAsiaTheme="minorEastAsia"/>
                <w:sz w:val="18"/>
                <w:szCs w:val="18"/>
              </w:rPr>
            </w:pPr>
            <w:r>
              <w:rPr>
                <w:rFonts w:eastAsiaTheme="minorEastAsia"/>
                <w:sz w:val="18"/>
                <w:szCs w:val="18"/>
              </w:rPr>
              <w:t>10450.0</w:t>
            </w:r>
          </w:p>
        </w:tc>
        <w:tc>
          <w:tcPr>
            <w:tcW w:w="796" w:type="pct"/>
            <w:vAlign w:val="center"/>
          </w:tcPr>
          <w:p>
            <w:pPr>
              <w:spacing w:line="288" w:lineRule="auto"/>
              <w:jc w:val="center"/>
              <w:rPr>
                <w:rFonts w:eastAsiaTheme="minorEastAsia"/>
                <w:sz w:val="18"/>
                <w:szCs w:val="18"/>
              </w:rPr>
            </w:pPr>
            <w:r>
              <w:rPr>
                <w:rFonts w:eastAsiaTheme="minorEastAsia"/>
                <w:sz w:val="18"/>
                <w:szCs w:val="18"/>
              </w:rPr>
              <w:t>10450.0</w:t>
            </w:r>
          </w:p>
        </w:tc>
        <w:tc>
          <w:tcPr>
            <w:tcW w:w="905" w:type="pct"/>
            <w:vAlign w:val="center"/>
          </w:tcPr>
          <w:p>
            <w:pPr>
              <w:spacing w:line="288" w:lineRule="auto"/>
              <w:jc w:val="center"/>
              <w:rPr>
                <w:rFonts w:eastAsiaTheme="minorEastAsia"/>
                <w:sz w:val="18"/>
                <w:szCs w:val="18"/>
              </w:rPr>
            </w:pPr>
            <w:r>
              <w:rPr>
                <w:rFonts w:eastAsiaTheme="minorEastAsia"/>
                <w:sz w:val="18"/>
                <w:szCs w:val="18"/>
              </w:rPr>
              <w:t>100%</w:t>
            </w:r>
          </w:p>
        </w:tc>
        <w:tc>
          <w:tcPr>
            <w:tcW w:w="338" w:type="pct"/>
            <w:vAlign w:val="center"/>
          </w:tcPr>
          <w:p>
            <w:pPr>
              <w:spacing w:line="288" w:lineRule="auto"/>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eastAsiaTheme="minorEastAsia"/>
                <w:sz w:val="18"/>
                <w:szCs w:val="18"/>
              </w:rPr>
              <w:t>8</w:t>
            </w:r>
          </w:p>
        </w:tc>
        <w:tc>
          <w:tcPr>
            <w:tcW w:w="508" w:type="pct"/>
            <w:vAlign w:val="center"/>
          </w:tcPr>
          <w:p>
            <w:pPr>
              <w:spacing w:line="288" w:lineRule="auto"/>
              <w:jc w:val="center"/>
              <w:rPr>
                <w:rFonts w:eastAsiaTheme="minorEastAsia"/>
                <w:sz w:val="18"/>
                <w:szCs w:val="18"/>
              </w:rPr>
            </w:pPr>
            <w:r>
              <w:rPr>
                <w:rFonts w:eastAsiaTheme="minorEastAsia"/>
                <w:sz w:val="18"/>
                <w:szCs w:val="18"/>
              </w:rPr>
              <w:t>4840.0</w:t>
            </w:r>
          </w:p>
        </w:tc>
        <w:tc>
          <w:tcPr>
            <w:tcW w:w="508" w:type="pct"/>
            <w:vAlign w:val="center"/>
          </w:tcPr>
          <w:p>
            <w:pPr>
              <w:spacing w:line="288" w:lineRule="auto"/>
              <w:jc w:val="center"/>
              <w:rPr>
                <w:rFonts w:eastAsiaTheme="minorEastAsia"/>
                <w:sz w:val="18"/>
                <w:szCs w:val="18"/>
              </w:rPr>
            </w:pPr>
            <w:r>
              <w:rPr>
                <w:rFonts w:eastAsiaTheme="minorEastAsia"/>
                <w:sz w:val="18"/>
                <w:szCs w:val="18"/>
              </w:rPr>
              <w:t>2910.0</w:t>
            </w:r>
          </w:p>
        </w:tc>
        <w:tc>
          <w:tcPr>
            <w:tcW w:w="488" w:type="pct"/>
            <w:vAlign w:val="center"/>
          </w:tcPr>
          <w:p>
            <w:pPr>
              <w:spacing w:line="288" w:lineRule="auto"/>
              <w:jc w:val="center"/>
              <w:rPr>
                <w:rFonts w:eastAsiaTheme="minorEastAsia"/>
                <w:sz w:val="18"/>
                <w:szCs w:val="18"/>
              </w:rPr>
            </w:pPr>
          </w:p>
        </w:tc>
        <w:tc>
          <w:tcPr>
            <w:tcW w:w="655" w:type="pct"/>
            <w:vAlign w:val="center"/>
          </w:tcPr>
          <w:p>
            <w:pPr>
              <w:spacing w:line="288" w:lineRule="auto"/>
              <w:jc w:val="center"/>
              <w:rPr>
                <w:rFonts w:eastAsiaTheme="minorEastAsia"/>
                <w:sz w:val="18"/>
                <w:szCs w:val="18"/>
              </w:rPr>
            </w:pPr>
            <w:r>
              <w:rPr>
                <w:rFonts w:eastAsiaTheme="minorEastAsia"/>
                <w:sz w:val="18"/>
                <w:szCs w:val="18"/>
              </w:rPr>
              <w:t>7750.0</w:t>
            </w:r>
          </w:p>
        </w:tc>
        <w:tc>
          <w:tcPr>
            <w:tcW w:w="796" w:type="pct"/>
            <w:vAlign w:val="center"/>
          </w:tcPr>
          <w:p>
            <w:pPr>
              <w:spacing w:line="288" w:lineRule="auto"/>
              <w:jc w:val="center"/>
              <w:rPr>
                <w:rFonts w:eastAsiaTheme="minorEastAsia"/>
                <w:sz w:val="18"/>
                <w:szCs w:val="18"/>
              </w:rPr>
            </w:pPr>
            <w:r>
              <w:rPr>
                <w:rFonts w:eastAsiaTheme="minorEastAsia"/>
                <w:sz w:val="18"/>
                <w:szCs w:val="18"/>
              </w:rPr>
              <w:t>7750.0</w:t>
            </w:r>
          </w:p>
        </w:tc>
        <w:tc>
          <w:tcPr>
            <w:tcW w:w="905" w:type="pct"/>
            <w:vAlign w:val="center"/>
          </w:tcPr>
          <w:p>
            <w:pPr>
              <w:spacing w:line="288" w:lineRule="auto"/>
              <w:jc w:val="center"/>
              <w:rPr>
                <w:rFonts w:eastAsiaTheme="minorEastAsia"/>
                <w:sz w:val="18"/>
                <w:szCs w:val="18"/>
              </w:rPr>
            </w:pPr>
            <w:r>
              <w:rPr>
                <w:rFonts w:eastAsiaTheme="minorEastAsia"/>
                <w:sz w:val="18"/>
                <w:szCs w:val="18"/>
              </w:rPr>
              <w:t>100%</w:t>
            </w:r>
          </w:p>
        </w:tc>
        <w:tc>
          <w:tcPr>
            <w:tcW w:w="338" w:type="pct"/>
            <w:vAlign w:val="center"/>
          </w:tcPr>
          <w:p>
            <w:pPr>
              <w:spacing w:line="288" w:lineRule="auto"/>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eastAsiaTheme="minorEastAsia"/>
                <w:sz w:val="18"/>
                <w:szCs w:val="18"/>
              </w:rPr>
              <w:t>9</w:t>
            </w:r>
          </w:p>
        </w:tc>
        <w:tc>
          <w:tcPr>
            <w:tcW w:w="508" w:type="pct"/>
            <w:vAlign w:val="center"/>
          </w:tcPr>
          <w:p>
            <w:pPr>
              <w:spacing w:line="288" w:lineRule="auto"/>
              <w:jc w:val="center"/>
              <w:rPr>
                <w:rFonts w:eastAsiaTheme="minorEastAsia"/>
                <w:sz w:val="18"/>
                <w:szCs w:val="18"/>
              </w:rPr>
            </w:pPr>
            <w:r>
              <w:rPr>
                <w:rFonts w:eastAsiaTheme="minorEastAsia"/>
                <w:sz w:val="18"/>
                <w:szCs w:val="18"/>
              </w:rPr>
              <w:t>5810.0</w:t>
            </w:r>
          </w:p>
        </w:tc>
        <w:tc>
          <w:tcPr>
            <w:tcW w:w="508" w:type="pct"/>
            <w:vAlign w:val="center"/>
          </w:tcPr>
          <w:p>
            <w:pPr>
              <w:spacing w:line="288" w:lineRule="auto"/>
              <w:jc w:val="center"/>
              <w:rPr>
                <w:rFonts w:eastAsiaTheme="minorEastAsia"/>
                <w:sz w:val="18"/>
                <w:szCs w:val="18"/>
              </w:rPr>
            </w:pPr>
            <w:r>
              <w:rPr>
                <w:rFonts w:eastAsiaTheme="minorEastAsia"/>
                <w:sz w:val="18"/>
                <w:szCs w:val="18"/>
              </w:rPr>
              <w:t>2820.0</w:t>
            </w:r>
          </w:p>
        </w:tc>
        <w:tc>
          <w:tcPr>
            <w:tcW w:w="488" w:type="pct"/>
            <w:vAlign w:val="center"/>
          </w:tcPr>
          <w:p>
            <w:pPr>
              <w:spacing w:line="288" w:lineRule="auto"/>
              <w:jc w:val="center"/>
              <w:rPr>
                <w:rFonts w:eastAsiaTheme="minorEastAsia"/>
                <w:sz w:val="18"/>
                <w:szCs w:val="18"/>
              </w:rPr>
            </w:pPr>
          </w:p>
        </w:tc>
        <w:tc>
          <w:tcPr>
            <w:tcW w:w="655" w:type="pct"/>
            <w:vAlign w:val="center"/>
          </w:tcPr>
          <w:p>
            <w:pPr>
              <w:spacing w:line="288" w:lineRule="auto"/>
              <w:jc w:val="center"/>
              <w:rPr>
                <w:rFonts w:eastAsiaTheme="minorEastAsia"/>
                <w:sz w:val="18"/>
                <w:szCs w:val="18"/>
              </w:rPr>
            </w:pPr>
            <w:r>
              <w:rPr>
                <w:rFonts w:eastAsiaTheme="minorEastAsia"/>
                <w:sz w:val="18"/>
                <w:szCs w:val="18"/>
              </w:rPr>
              <w:t>8630.0</w:t>
            </w:r>
          </w:p>
        </w:tc>
        <w:tc>
          <w:tcPr>
            <w:tcW w:w="796" w:type="pct"/>
            <w:vAlign w:val="center"/>
          </w:tcPr>
          <w:p>
            <w:pPr>
              <w:spacing w:line="288" w:lineRule="auto"/>
              <w:jc w:val="center"/>
              <w:rPr>
                <w:rFonts w:eastAsiaTheme="minorEastAsia"/>
                <w:sz w:val="18"/>
                <w:szCs w:val="18"/>
              </w:rPr>
            </w:pPr>
            <w:r>
              <w:rPr>
                <w:rFonts w:eastAsiaTheme="minorEastAsia"/>
                <w:sz w:val="18"/>
                <w:szCs w:val="18"/>
              </w:rPr>
              <w:t>8630.0</w:t>
            </w:r>
          </w:p>
        </w:tc>
        <w:tc>
          <w:tcPr>
            <w:tcW w:w="905" w:type="pct"/>
            <w:vAlign w:val="center"/>
          </w:tcPr>
          <w:p>
            <w:pPr>
              <w:spacing w:line="288" w:lineRule="auto"/>
              <w:jc w:val="center"/>
              <w:rPr>
                <w:rFonts w:eastAsiaTheme="minorEastAsia"/>
                <w:sz w:val="18"/>
                <w:szCs w:val="18"/>
              </w:rPr>
            </w:pPr>
            <w:r>
              <w:rPr>
                <w:rFonts w:eastAsiaTheme="minorEastAsia"/>
                <w:sz w:val="18"/>
                <w:szCs w:val="18"/>
              </w:rPr>
              <w:t>100%</w:t>
            </w:r>
          </w:p>
        </w:tc>
        <w:tc>
          <w:tcPr>
            <w:tcW w:w="338" w:type="pct"/>
            <w:vAlign w:val="center"/>
          </w:tcPr>
          <w:p>
            <w:pPr>
              <w:spacing w:line="288" w:lineRule="auto"/>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hint="eastAsia" w:hAnsiTheme="minorEastAsia" w:eastAsiaTheme="minorEastAsia"/>
                <w:sz w:val="18"/>
                <w:szCs w:val="18"/>
              </w:rPr>
              <w:t>小</w:t>
            </w:r>
            <w:r>
              <w:rPr>
                <w:rFonts w:hAnsiTheme="minorEastAsia" w:eastAsiaTheme="minorEastAsia"/>
                <w:sz w:val="18"/>
                <w:szCs w:val="18"/>
              </w:rPr>
              <w:t>计</w:t>
            </w:r>
          </w:p>
        </w:tc>
        <w:tc>
          <w:tcPr>
            <w:tcW w:w="508" w:type="pct"/>
            <w:vAlign w:val="center"/>
          </w:tcPr>
          <w:p>
            <w:pPr>
              <w:spacing w:line="288" w:lineRule="auto"/>
              <w:jc w:val="center"/>
              <w:rPr>
                <w:rFonts w:eastAsiaTheme="minorEastAsia"/>
                <w:sz w:val="18"/>
                <w:szCs w:val="18"/>
              </w:rPr>
            </w:pPr>
            <w:r>
              <w:rPr>
                <w:rFonts w:eastAsiaTheme="minorEastAsia"/>
                <w:sz w:val="18"/>
                <w:szCs w:val="18"/>
              </w:rPr>
              <w:t>19550.0</w:t>
            </w:r>
          </w:p>
        </w:tc>
        <w:tc>
          <w:tcPr>
            <w:tcW w:w="508" w:type="pct"/>
            <w:vAlign w:val="center"/>
          </w:tcPr>
          <w:p>
            <w:pPr>
              <w:spacing w:line="288" w:lineRule="auto"/>
              <w:jc w:val="center"/>
              <w:rPr>
                <w:rFonts w:eastAsiaTheme="minorEastAsia"/>
                <w:sz w:val="18"/>
                <w:szCs w:val="18"/>
              </w:rPr>
            </w:pPr>
            <w:r>
              <w:rPr>
                <w:rFonts w:eastAsiaTheme="minorEastAsia"/>
                <w:sz w:val="18"/>
                <w:szCs w:val="18"/>
              </w:rPr>
              <w:t>8380.0</w:t>
            </w:r>
          </w:p>
        </w:tc>
        <w:tc>
          <w:tcPr>
            <w:tcW w:w="488" w:type="pct"/>
            <w:vAlign w:val="center"/>
          </w:tcPr>
          <w:p>
            <w:pPr>
              <w:spacing w:line="288" w:lineRule="auto"/>
              <w:jc w:val="center"/>
              <w:rPr>
                <w:rFonts w:eastAsiaTheme="minorEastAsia"/>
                <w:sz w:val="18"/>
                <w:szCs w:val="18"/>
              </w:rPr>
            </w:pPr>
          </w:p>
        </w:tc>
        <w:tc>
          <w:tcPr>
            <w:tcW w:w="655" w:type="pct"/>
            <w:vAlign w:val="center"/>
          </w:tcPr>
          <w:p>
            <w:pPr>
              <w:spacing w:line="288" w:lineRule="auto"/>
              <w:jc w:val="center"/>
              <w:rPr>
                <w:rFonts w:eastAsiaTheme="minorEastAsia"/>
                <w:sz w:val="18"/>
                <w:szCs w:val="18"/>
              </w:rPr>
            </w:pPr>
            <w:r>
              <w:rPr>
                <w:rFonts w:eastAsiaTheme="minorEastAsia"/>
                <w:sz w:val="18"/>
                <w:szCs w:val="18"/>
              </w:rPr>
              <w:t>27930.0</w:t>
            </w:r>
          </w:p>
        </w:tc>
        <w:tc>
          <w:tcPr>
            <w:tcW w:w="796" w:type="pct"/>
            <w:vAlign w:val="center"/>
          </w:tcPr>
          <w:p>
            <w:pPr>
              <w:spacing w:line="288" w:lineRule="auto"/>
              <w:jc w:val="center"/>
              <w:rPr>
                <w:rFonts w:eastAsiaTheme="minorEastAsia"/>
                <w:sz w:val="18"/>
                <w:szCs w:val="18"/>
              </w:rPr>
            </w:pPr>
            <w:r>
              <w:rPr>
                <w:rFonts w:eastAsiaTheme="minorEastAsia"/>
                <w:sz w:val="18"/>
                <w:szCs w:val="18"/>
              </w:rPr>
              <w:t>27930.0</w:t>
            </w:r>
          </w:p>
        </w:tc>
        <w:tc>
          <w:tcPr>
            <w:tcW w:w="905" w:type="pct"/>
            <w:vAlign w:val="center"/>
          </w:tcPr>
          <w:p>
            <w:pPr>
              <w:spacing w:line="288" w:lineRule="auto"/>
              <w:jc w:val="center"/>
              <w:rPr>
                <w:rFonts w:eastAsiaTheme="minorEastAsia"/>
                <w:sz w:val="18"/>
                <w:szCs w:val="18"/>
              </w:rPr>
            </w:pPr>
            <w:r>
              <w:rPr>
                <w:rFonts w:eastAsiaTheme="minorEastAsia"/>
                <w:sz w:val="18"/>
                <w:szCs w:val="18"/>
              </w:rPr>
              <w:t>100%</w:t>
            </w:r>
          </w:p>
        </w:tc>
        <w:tc>
          <w:tcPr>
            <w:tcW w:w="338" w:type="pct"/>
            <w:vAlign w:val="center"/>
          </w:tcPr>
          <w:p>
            <w:pPr>
              <w:spacing w:line="288" w:lineRule="auto"/>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restart"/>
            <w:vAlign w:val="center"/>
          </w:tcPr>
          <w:p>
            <w:pPr>
              <w:spacing w:line="288" w:lineRule="auto"/>
              <w:jc w:val="center"/>
              <w:rPr>
                <w:rFonts w:eastAsiaTheme="minorEastAsia"/>
                <w:sz w:val="18"/>
                <w:szCs w:val="18"/>
              </w:rPr>
            </w:pPr>
            <w:r>
              <w:rPr>
                <w:rFonts w:hAnsiTheme="minorEastAsia" w:eastAsiaTheme="minorEastAsia"/>
                <w:sz w:val="18"/>
                <w:szCs w:val="18"/>
              </w:rPr>
              <w:t>合计</w:t>
            </w:r>
          </w:p>
        </w:tc>
        <w:tc>
          <w:tcPr>
            <w:tcW w:w="325" w:type="pct"/>
            <w:vAlign w:val="center"/>
          </w:tcPr>
          <w:p>
            <w:pPr>
              <w:spacing w:line="288" w:lineRule="auto"/>
              <w:jc w:val="center"/>
              <w:rPr>
                <w:rFonts w:eastAsiaTheme="minorEastAsia"/>
                <w:sz w:val="18"/>
                <w:szCs w:val="18"/>
              </w:rPr>
            </w:pPr>
            <w:r>
              <w:rPr>
                <w:rFonts w:eastAsiaTheme="minorEastAsia"/>
                <w:sz w:val="18"/>
                <w:szCs w:val="18"/>
              </w:rPr>
              <w:t>4</w:t>
            </w:r>
          </w:p>
        </w:tc>
        <w:tc>
          <w:tcPr>
            <w:tcW w:w="508" w:type="pct"/>
            <w:vAlign w:val="center"/>
          </w:tcPr>
          <w:p>
            <w:pPr>
              <w:spacing w:line="288" w:lineRule="auto"/>
              <w:jc w:val="center"/>
              <w:rPr>
                <w:rFonts w:eastAsiaTheme="minorEastAsia"/>
                <w:sz w:val="18"/>
                <w:szCs w:val="18"/>
              </w:rPr>
            </w:pPr>
            <w:r>
              <w:rPr>
                <w:rFonts w:eastAsiaTheme="minorEastAsia"/>
                <w:sz w:val="18"/>
                <w:szCs w:val="18"/>
              </w:rPr>
              <w:t>4130.0</w:t>
            </w:r>
          </w:p>
        </w:tc>
        <w:tc>
          <w:tcPr>
            <w:tcW w:w="508" w:type="pct"/>
            <w:vAlign w:val="center"/>
          </w:tcPr>
          <w:p>
            <w:pPr>
              <w:spacing w:line="288" w:lineRule="auto"/>
              <w:jc w:val="center"/>
              <w:rPr>
                <w:rFonts w:eastAsiaTheme="minorEastAsia"/>
                <w:sz w:val="18"/>
                <w:szCs w:val="18"/>
              </w:rPr>
            </w:pPr>
          </w:p>
        </w:tc>
        <w:tc>
          <w:tcPr>
            <w:tcW w:w="488" w:type="pct"/>
            <w:vAlign w:val="center"/>
          </w:tcPr>
          <w:p>
            <w:pPr>
              <w:spacing w:line="288" w:lineRule="auto"/>
              <w:jc w:val="center"/>
              <w:rPr>
                <w:rFonts w:eastAsiaTheme="minorEastAsia"/>
                <w:sz w:val="18"/>
                <w:szCs w:val="18"/>
              </w:rPr>
            </w:pPr>
            <w:r>
              <w:rPr>
                <w:rFonts w:eastAsiaTheme="minorEastAsia"/>
                <w:sz w:val="18"/>
                <w:szCs w:val="18"/>
              </w:rPr>
              <w:t>180.0</w:t>
            </w:r>
          </w:p>
        </w:tc>
        <w:tc>
          <w:tcPr>
            <w:tcW w:w="655" w:type="pct"/>
            <w:vAlign w:val="center"/>
          </w:tcPr>
          <w:p>
            <w:pPr>
              <w:spacing w:line="288" w:lineRule="auto"/>
              <w:jc w:val="center"/>
              <w:rPr>
                <w:rFonts w:eastAsiaTheme="minorEastAsia"/>
                <w:sz w:val="18"/>
                <w:szCs w:val="18"/>
              </w:rPr>
            </w:pPr>
            <w:r>
              <w:rPr>
                <w:rFonts w:eastAsiaTheme="minorEastAsia"/>
                <w:sz w:val="18"/>
                <w:szCs w:val="18"/>
              </w:rPr>
              <w:t>4130.0</w:t>
            </w:r>
          </w:p>
        </w:tc>
        <w:tc>
          <w:tcPr>
            <w:tcW w:w="796" w:type="pct"/>
            <w:vAlign w:val="center"/>
          </w:tcPr>
          <w:p>
            <w:pPr>
              <w:spacing w:line="288" w:lineRule="auto"/>
              <w:jc w:val="center"/>
              <w:rPr>
                <w:rFonts w:eastAsiaTheme="minorEastAsia"/>
                <w:sz w:val="18"/>
                <w:szCs w:val="18"/>
              </w:rPr>
            </w:pPr>
            <w:r>
              <w:rPr>
                <w:rFonts w:eastAsiaTheme="minorEastAsia"/>
                <w:sz w:val="18"/>
                <w:szCs w:val="18"/>
              </w:rPr>
              <w:t>4310.0</w:t>
            </w:r>
          </w:p>
        </w:tc>
        <w:tc>
          <w:tcPr>
            <w:tcW w:w="905" w:type="pct"/>
            <w:vAlign w:val="center"/>
          </w:tcPr>
          <w:p>
            <w:pPr>
              <w:spacing w:line="288" w:lineRule="auto"/>
              <w:jc w:val="center"/>
              <w:rPr>
                <w:rFonts w:eastAsiaTheme="minorEastAsia"/>
                <w:sz w:val="18"/>
                <w:szCs w:val="18"/>
              </w:rPr>
            </w:pPr>
            <w:r>
              <w:rPr>
                <w:rFonts w:eastAsiaTheme="minorEastAsia"/>
                <w:sz w:val="18"/>
                <w:szCs w:val="18"/>
              </w:rPr>
              <w:t>96%</w:t>
            </w:r>
          </w:p>
        </w:tc>
        <w:tc>
          <w:tcPr>
            <w:tcW w:w="338" w:type="pct"/>
            <w:vAlign w:val="center"/>
          </w:tcPr>
          <w:p>
            <w:pPr>
              <w:spacing w:line="288" w:lineRule="auto"/>
              <w:jc w:val="center"/>
              <w:rPr>
                <w:rFonts w:eastAsiaTheme="minorEastAsia"/>
                <w:sz w:val="18"/>
                <w:szCs w:val="18"/>
              </w:rPr>
            </w:pPr>
            <w:r>
              <w:rPr>
                <w:rFonts w:eastAsiaTheme="minorEastAsia"/>
                <w:sz w:val="18"/>
                <w:szCs w:val="18"/>
              </w:rPr>
              <w:t>FM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eastAsiaTheme="minorEastAsia"/>
                <w:sz w:val="18"/>
                <w:szCs w:val="18"/>
              </w:rPr>
              <w:t>5</w:t>
            </w:r>
          </w:p>
        </w:tc>
        <w:tc>
          <w:tcPr>
            <w:tcW w:w="508" w:type="pct"/>
            <w:vAlign w:val="center"/>
          </w:tcPr>
          <w:p>
            <w:pPr>
              <w:spacing w:line="288" w:lineRule="auto"/>
              <w:jc w:val="center"/>
              <w:rPr>
                <w:rFonts w:eastAsiaTheme="minorEastAsia"/>
                <w:sz w:val="18"/>
                <w:szCs w:val="18"/>
              </w:rPr>
            </w:pPr>
            <w:r>
              <w:rPr>
                <w:rFonts w:eastAsiaTheme="minorEastAsia"/>
                <w:sz w:val="18"/>
                <w:szCs w:val="18"/>
              </w:rPr>
              <w:t>17650.0</w:t>
            </w:r>
          </w:p>
        </w:tc>
        <w:tc>
          <w:tcPr>
            <w:tcW w:w="508" w:type="pct"/>
            <w:vAlign w:val="center"/>
          </w:tcPr>
          <w:p>
            <w:pPr>
              <w:spacing w:line="288" w:lineRule="auto"/>
              <w:jc w:val="center"/>
              <w:rPr>
                <w:rFonts w:eastAsiaTheme="minorEastAsia"/>
                <w:sz w:val="18"/>
                <w:szCs w:val="18"/>
              </w:rPr>
            </w:pPr>
            <w:r>
              <w:rPr>
                <w:rFonts w:eastAsiaTheme="minorEastAsia"/>
                <w:sz w:val="18"/>
                <w:szCs w:val="18"/>
              </w:rPr>
              <w:t>4610.0</w:t>
            </w:r>
          </w:p>
        </w:tc>
        <w:tc>
          <w:tcPr>
            <w:tcW w:w="488" w:type="pct"/>
            <w:vAlign w:val="center"/>
          </w:tcPr>
          <w:p>
            <w:pPr>
              <w:spacing w:line="288" w:lineRule="auto"/>
              <w:jc w:val="center"/>
              <w:rPr>
                <w:rFonts w:eastAsiaTheme="minorEastAsia"/>
                <w:sz w:val="18"/>
                <w:szCs w:val="18"/>
              </w:rPr>
            </w:pPr>
            <w:r>
              <w:rPr>
                <w:rFonts w:eastAsiaTheme="minorEastAsia"/>
                <w:sz w:val="18"/>
                <w:szCs w:val="18"/>
              </w:rPr>
              <w:t>280.0</w:t>
            </w:r>
          </w:p>
        </w:tc>
        <w:tc>
          <w:tcPr>
            <w:tcW w:w="655" w:type="pct"/>
            <w:vAlign w:val="center"/>
          </w:tcPr>
          <w:p>
            <w:pPr>
              <w:spacing w:line="288" w:lineRule="auto"/>
              <w:jc w:val="center"/>
              <w:rPr>
                <w:rFonts w:eastAsiaTheme="minorEastAsia"/>
                <w:sz w:val="18"/>
                <w:szCs w:val="18"/>
              </w:rPr>
            </w:pPr>
            <w:r>
              <w:rPr>
                <w:rFonts w:eastAsiaTheme="minorEastAsia"/>
                <w:sz w:val="18"/>
                <w:szCs w:val="18"/>
              </w:rPr>
              <w:t>22260.0</w:t>
            </w:r>
          </w:p>
        </w:tc>
        <w:tc>
          <w:tcPr>
            <w:tcW w:w="796" w:type="pct"/>
            <w:vAlign w:val="center"/>
          </w:tcPr>
          <w:p>
            <w:pPr>
              <w:spacing w:line="288" w:lineRule="auto"/>
              <w:jc w:val="center"/>
              <w:rPr>
                <w:rFonts w:eastAsiaTheme="minorEastAsia"/>
                <w:sz w:val="18"/>
                <w:szCs w:val="18"/>
              </w:rPr>
            </w:pPr>
            <w:r>
              <w:rPr>
                <w:rFonts w:eastAsiaTheme="minorEastAsia"/>
                <w:sz w:val="18"/>
                <w:szCs w:val="18"/>
              </w:rPr>
              <w:t>22540.0</w:t>
            </w:r>
          </w:p>
        </w:tc>
        <w:tc>
          <w:tcPr>
            <w:tcW w:w="905" w:type="pct"/>
            <w:vAlign w:val="center"/>
          </w:tcPr>
          <w:p>
            <w:pPr>
              <w:spacing w:line="288" w:lineRule="auto"/>
              <w:jc w:val="center"/>
              <w:rPr>
                <w:rFonts w:eastAsiaTheme="minorEastAsia"/>
                <w:sz w:val="18"/>
                <w:szCs w:val="18"/>
              </w:rPr>
            </w:pPr>
            <w:r>
              <w:rPr>
                <w:rFonts w:eastAsiaTheme="minorEastAsia"/>
                <w:sz w:val="18"/>
                <w:szCs w:val="18"/>
              </w:rPr>
              <w:t>99%</w:t>
            </w:r>
          </w:p>
        </w:tc>
        <w:tc>
          <w:tcPr>
            <w:tcW w:w="338" w:type="pct"/>
            <w:vAlign w:val="center"/>
          </w:tcPr>
          <w:p>
            <w:pPr>
              <w:spacing w:line="288" w:lineRule="auto"/>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eastAsiaTheme="minorEastAsia"/>
                <w:sz w:val="18"/>
                <w:szCs w:val="18"/>
              </w:rPr>
              <w:t>8</w:t>
            </w:r>
          </w:p>
        </w:tc>
        <w:tc>
          <w:tcPr>
            <w:tcW w:w="508" w:type="pct"/>
            <w:vAlign w:val="center"/>
          </w:tcPr>
          <w:p>
            <w:pPr>
              <w:spacing w:line="288" w:lineRule="auto"/>
              <w:jc w:val="center"/>
              <w:rPr>
                <w:rFonts w:eastAsiaTheme="minorEastAsia"/>
                <w:sz w:val="18"/>
                <w:szCs w:val="18"/>
              </w:rPr>
            </w:pPr>
            <w:r>
              <w:rPr>
                <w:rFonts w:eastAsiaTheme="minorEastAsia"/>
                <w:sz w:val="18"/>
                <w:szCs w:val="18"/>
              </w:rPr>
              <w:t>10860.0</w:t>
            </w:r>
          </w:p>
        </w:tc>
        <w:tc>
          <w:tcPr>
            <w:tcW w:w="508" w:type="pct"/>
            <w:vAlign w:val="center"/>
          </w:tcPr>
          <w:p>
            <w:pPr>
              <w:spacing w:line="288" w:lineRule="auto"/>
              <w:jc w:val="center"/>
              <w:rPr>
                <w:rFonts w:eastAsiaTheme="minorEastAsia"/>
                <w:sz w:val="18"/>
                <w:szCs w:val="18"/>
              </w:rPr>
            </w:pPr>
            <w:r>
              <w:rPr>
                <w:rFonts w:eastAsiaTheme="minorEastAsia"/>
                <w:sz w:val="18"/>
                <w:szCs w:val="18"/>
              </w:rPr>
              <w:t>3940.0</w:t>
            </w:r>
          </w:p>
        </w:tc>
        <w:tc>
          <w:tcPr>
            <w:tcW w:w="488" w:type="pct"/>
            <w:vAlign w:val="center"/>
          </w:tcPr>
          <w:p>
            <w:pPr>
              <w:spacing w:line="288" w:lineRule="auto"/>
              <w:jc w:val="center"/>
              <w:rPr>
                <w:rFonts w:eastAsiaTheme="minorEastAsia"/>
                <w:sz w:val="18"/>
                <w:szCs w:val="18"/>
              </w:rPr>
            </w:pPr>
            <w:r>
              <w:rPr>
                <w:rFonts w:eastAsiaTheme="minorEastAsia"/>
                <w:sz w:val="18"/>
                <w:szCs w:val="18"/>
              </w:rPr>
              <w:t>340.0</w:t>
            </w:r>
          </w:p>
        </w:tc>
        <w:tc>
          <w:tcPr>
            <w:tcW w:w="655" w:type="pct"/>
            <w:vAlign w:val="center"/>
          </w:tcPr>
          <w:p>
            <w:pPr>
              <w:spacing w:line="288" w:lineRule="auto"/>
              <w:jc w:val="center"/>
              <w:rPr>
                <w:rFonts w:eastAsiaTheme="minorEastAsia"/>
                <w:sz w:val="18"/>
                <w:szCs w:val="18"/>
              </w:rPr>
            </w:pPr>
            <w:r>
              <w:rPr>
                <w:rFonts w:eastAsiaTheme="minorEastAsia"/>
                <w:sz w:val="18"/>
                <w:szCs w:val="18"/>
              </w:rPr>
              <w:t>14800.0</w:t>
            </w:r>
          </w:p>
        </w:tc>
        <w:tc>
          <w:tcPr>
            <w:tcW w:w="796" w:type="pct"/>
            <w:vAlign w:val="center"/>
          </w:tcPr>
          <w:p>
            <w:pPr>
              <w:spacing w:line="288" w:lineRule="auto"/>
              <w:jc w:val="center"/>
              <w:rPr>
                <w:rFonts w:eastAsiaTheme="minorEastAsia"/>
                <w:sz w:val="18"/>
                <w:szCs w:val="18"/>
              </w:rPr>
            </w:pPr>
            <w:r>
              <w:rPr>
                <w:rFonts w:eastAsiaTheme="minorEastAsia"/>
                <w:sz w:val="18"/>
                <w:szCs w:val="18"/>
              </w:rPr>
              <w:t>15140.0</w:t>
            </w:r>
          </w:p>
        </w:tc>
        <w:tc>
          <w:tcPr>
            <w:tcW w:w="905" w:type="pct"/>
            <w:vAlign w:val="center"/>
          </w:tcPr>
          <w:p>
            <w:pPr>
              <w:spacing w:line="288" w:lineRule="auto"/>
              <w:jc w:val="center"/>
              <w:rPr>
                <w:rFonts w:eastAsiaTheme="minorEastAsia"/>
                <w:sz w:val="18"/>
                <w:szCs w:val="18"/>
              </w:rPr>
            </w:pPr>
            <w:r>
              <w:rPr>
                <w:rFonts w:eastAsiaTheme="minorEastAsia"/>
                <w:sz w:val="18"/>
                <w:szCs w:val="18"/>
              </w:rPr>
              <w:t>98%</w:t>
            </w:r>
          </w:p>
        </w:tc>
        <w:tc>
          <w:tcPr>
            <w:tcW w:w="338" w:type="pct"/>
            <w:vAlign w:val="center"/>
          </w:tcPr>
          <w:p>
            <w:pPr>
              <w:spacing w:line="288" w:lineRule="auto"/>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eastAsiaTheme="minorEastAsia"/>
                <w:sz w:val="18"/>
                <w:szCs w:val="18"/>
              </w:rPr>
              <w:t>9</w:t>
            </w:r>
          </w:p>
        </w:tc>
        <w:tc>
          <w:tcPr>
            <w:tcW w:w="508" w:type="pct"/>
            <w:vAlign w:val="center"/>
          </w:tcPr>
          <w:p>
            <w:pPr>
              <w:spacing w:line="288" w:lineRule="auto"/>
              <w:jc w:val="center"/>
              <w:rPr>
                <w:rFonts w:eastAsiaTheme="minorEastAsia"/>
                <w:sz w:val="18"/>
                <w:szCs w:val="18"/>
              </w:rPr>
            </w:pPr>
            <w:r>
              <w:rPr>
                <w:rFonts w:eastAsiaTheme="minorEastAsia"/>
                <w:sz w:val="18"/>
                <w:szCs w:val="18"/>
              </w:rPr>
              <w:t>12560.0</w:t>
            </w:r>
          </w:p>
        </w:tc>
        <w:tc>
          <w:tcPr>
            <w:tcW w:w="508" w:type="pct"/>
            <w:vAlign w:val="center"/>
          </w:tcPr>
          <w:p>
            <w:pPr>
              <w:spacing w:line="288" w:lineRule="auto"/>
              <w:jc w:val="center"/>
              <w:rPr>
                <w:rFonts w:eastAsiaTheme="minorEastAsia"/>
                <w:sz w:val="18"/>
                <w:szCs w:val="18"/>
              </w:rPr>
            </w:pPr>
            <w:r>
              <w:rPr>
                <w:rFonts w:eastAsiaTheme="minorEastAsia"/>
                <w:sz w:val="18"/>
                <w:szCs w:val="18"/>
              </w:rPr>
              <w:t>3930.0</w:t>
            </w:r>
          </w:p>
        </w:tc>
        <w:tc>
          <w:tcPr>
            <w:tcW w:w="488" w:type="pct"/>
            <w:vAlign w:val="center"/>
          </w:tcPr>
          <w:p>
            <w:pPr>
              <w:spacing w:line="288" w:lineRule="auto"/>
              <w:jc w:val="center"/>
              <w:rPr>
                <w:rFonts w:eastAsiaTheme="minorEastAsia"/>
                <w:sz w:val="18"/>
                <w:szCs w:val="18"/>
              </w:rPr>
            </w:pPr>
            <w:r>
              <w:rPr>
                <w:rFonts w:eastAsiaTheme="minorEastAsia"/>
                <w:sz w:val="18"/>
                <w:szCs w:val="18"/>
              </w:rPr>
              <w:t>270.0</w:t>
            </w:r>
          </w:p>
        </w:tc>
        <w:tc>
          <w:tcPr>
            <w:tcW w:w="655" w:type="pct"/>
            <w:vAlign w:val="center"/>
          </w:tcPr>
          <w:p>
            <w:pPr>
              <w:spacing w:line="288" w:lineRule="auto"/>
              <w:jc w:val="center"/>
              <w:rPr>
                <w:rFonts w:eastAsiaTheme="minorEastAsia"/>
                <w:sz w:val="18"/>
                <w:szCs w:val="18"/>
              </w:rPr>
            </w:pPr>
            <w:r>
              <w:rPr>
                <w:rFonts w:eastAsiaTheme="minorEastAsia"/>
                <w:sz w:val="18"/>
                <w:szCs w:val="18"/>
              </w:rPr>
              <w:t>16490.0</w:t>
            </w:r>
          </w:p>
        </w:tc>
        <w:tc>
          <w:tcPr>
            <w:tcW w:w="796" w:type="pct"/>
            <w:vAlign w:val="center"/>
          </w:tcPr>
          <w:p>
            <w:pPr>
              <w:spacing w:line="288" w:lineRule="auto"/>
              <w:jc w:val="center"/>
              <w:rPr>
                <w:rFonts w:eastAsiaTheme="minorEastAsia"/>
                <w:sz w:val="18"/>
                <w:szCs w:val="18"/>
              </w:rPr>
            </w:pPr>
            <w:r>
              <w:rPr>
                <w:rFonts w:eastAsiaTheme="minorEastAsia"/>
                <w:sz w:val="18"/>
                <w:szCs w:val="18"/>
              </w:rPr>
              <w:t>16760.0</w:t>
            </w:r>
          </w:p>
        </w:tc>
        <w:tc>
          <w:tcPr>
            <w:tcW w:w="905" w:type="pct"/>
            <w:vAlign w:val="center"/>
          </w:tcPr>
          <w:p>
            <w:pPr>
              <w:spacing w:line="288" w:lineRule="auto"/>
              <w:jc w:val="center"/>
              <w:rPr>
                <w:rFonts w:eastAsiaTheme="minorEastAsia"/>
                <w:sz w:val="18"/>
                <w:szCs w:val="18"/>
              </w:rPr>
            </w:pPr>
            <w:r>
              <w:rPr>
                <w:rFonts w:eastAsiaTheme="minorEastAsia"/>
                <w:sz w:val="18"/>
                <w:szCs w:val="18"/>
              </w:rPr>
              <w:t>98%</w:t>
            </w:r>
          </w:p>
        </w:tc>
        <w:tc>
          <w:tcPr>
            <w:tcW w:w="338" w:type="pct"/>
            <w:vAlign w:val="center"/>
          </w:tcPr>
          <w:p>
            <w:pPr>
              <w:spacing w:line="288" w:lineRule="auto"/>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476" w:type="pct"/>
            <w:vMerge w:val="continue"/>
            <w:vAlign w:val="center"/>
          </w:tcPr>
          <w:p>
            <w:pPr>
              <w:spacing w:line="288" w:lineRule="auto"/>
              <w:jc w:val="center"/>
              <w:rPr>
                <w:rFonts w:eastAsiaTheme="minorEastAsia"/>
                <w:sz w:val="18"/>
                <w:szCs w:val="18"/>
              </w:rPr>
            </w:pPr>
          </w:p>
        </w:tc>
        <w:tc>
          <w:tcPr>
            <w:tcW w:w="325" w:type="pct"/>
            <w:vAlign w:val="center"/>
          </w:tcPr>
          <w:p>
            <w:pPr>
              <w:spacing w:line="288" w:lineRule="auto"/>
              <w:jc w:val="center"/>
              <w:rPr>
                <w:rFonts w:eastAsiaTheme="minorEastAsia"/>
                <w:sz w:val="18"/>
                <w:szCs w:val="18"/>
              </w:rPr>
            </w:pPr>
            <w:r>
              <w:rPr>
                <w:rFonts w:hint="eastAsia" w:hAnsiTheme="minorEastAsia" w:eastAsiaTheme="minorEastAsia"/>
                <w:sz w:val="18"/>
                <w:szCs w:val="18"/>
              </w:rPr>
              <w:t>小</w:t>
            </w:r>
            <w:r>
              <w:rPr>
                <w:rFonts w:hAnsiTheme="minorEastAsia" w:eastAsiaTheme="minorEastAsia"/>
                <w:sz w:val="18"/>
                <w:szCs w:val="18"/>
              </w:rPr>
              <w:t>计</w:t>
            </w:r>
          </w:p>
        </w:tc>
        <w:tc>
          <w:tcPr>
            <w:tcW w:w="508" w:type="pct"/>
            <w:vAlign w:val="center"/>
          </w:tcPr>
          <w:p>
            <w:pPr>
              <w:spacing w:line="288" w:lineRule="auto"/>
              <w:jc w:val="center"/>
              <w:rPr>
                <w:rFonts w:eastAsiaTheme="minorEastAsia"/>
                <w:sz w:val="18"/>
                <w:szCs w:val="18"/>
              </w:rPr>
            </w:pPr>
            <w:r>
              <w:rPr>
                <w:rFonts w:eastAsiaTheme="minorEastAsia"/>
                <w:sz w:val="18"/>
                <w:szCs w:val="18"/>
              </w:rPr>
              <w:t>45200.0</w:t>
            </w:r>
          </w:p>
        </w:tc>
        <w:tc>
          <w:tcPr>
            <w:tcW w:w="508" w:type="pct"/>
            <w:vAlign w:val="center"/>
          </w:tcPr>
          <w:p>
            <w:pPr>
              <w:spacing w:line="288" w:lineRule="auto"/>
              <w:jc w:val="center"/>
              <w:rPr>
                <w:rFonts w:eastAsiaTheme="minorEastAsia"/>
                <w:sz w:val="18"/>
                <w:szCs w:val="18"/>
              </w:rPr>
            </w:pPr>
            <w:r>
              <w:rPr>
                <w:rFonts w:eastAsiaTheme="minorEastAsia"/>
                <w:sz w:val="18"/>
                <w:szCs w:val="18"/>
              </w:rPr>
              <w:t>12480.0</w:t>
            </w:r>
          </w:p>
        </w:tc>
        <w:tc>
          <w:tcPr>
            <w:tcW w:w="488" w:type="pct"/>
            <w:vAlign w:val="center"/>
          </w:tcPr>
          <w:p>
            <w:pPr>
              <w:spacing w:line="288" w:lineRule="auto"/>
              <w:jc w:val="center"/>
              <w:rPr>
                <w:rFonts w:eastAsiaTheme="minorEastAsia"/>
                <w:sz w:val="18"/>
                <w:szCs w:val="18"/>
              </w:rPr>
            </w:pPr>
            <w:r>
              <w:rPr>
                <w:rFonts w:eastAsiaTheme="minorEastAsia"/>
                <w:sz w:val="18"/>
                <w:szCs w:val="18"/>
              </w:rPr>
              <w:t>1070.0</w:t>
            </w:r>
          </w:p>
        </w:tc>
        <w:tc>
          <w:tcPr>
            <w:tcW w:w="655" w:type="pct"/>
            <w:vAlign w:val="center"/>
          </w:tcPr>
          <w:p>
            <w:pPr>
              <w:spacing w:line="288" w:lineRule="auto"/>
              <w:jc w:val="center"/>
              <w:rPr>
                <w:rFonts w:eastAsiaTheme="minorEastAsia"/>
                <w:sz w:val="18"/>
                <w:szCs w:val="18"/>
              </w:rPr>
            </w:pPr>
            <w:r>
              <w:rPr>
                <w:rFonts w:eastAsiaTheme="minorEastAsia"/>
                <w:sz w:val="18"/>
                <w:szCs w:val="18"/>
              </w:rPr>
              <w:t>57680.0</w:t>
            </w:r>
          </w:p>
        </w:tc>
        <w:tc>
          <w:tcPr>
            <w:tcW w:w="796" w:type="pct"/>
            <w:vAlign w:val="center"/>
          </w:tcPr>
          <w:p>
            <w:pPr>
              <w:spacing w:line="288" w:lineRule="auto"/>
              <w:jc w:val="center"/>
              <w:rPr>
                <w:rFonts w:eastAsiaTheme="minorEastAsia"/>
                <w:sz w:val="18"/>
                <w:szCs w:val="18"/>
              </w:rPr>
            </w:pPr>
            <w:r>
              <w:rPr>
                <w:rFonts w:eastAsiaTheme="minorEastAsia"/>
                <w:sz w:val="18"/>
                <w:szCs w:val="18"/>
              </w:rPr>
              <w:t>58750.0</w:t>
            </w:r>
          </w:p>
        </w:tc>
        <w:tc>
          <w:tcPr>
            <w:tcW w:w="905" w:type="pct"/>
            <w:vAlign w:val="center"/>
          </w:tcPr>
          <w:p>
            <w:pPr>
              <w:spacing w:line="288" w:lineRule="auto"/>
              <w:jc w:val="center"/>
              <w:rPr>
                <w:rFonts w:eastAsiaTheme="minorEastAsia"/>
                <w:sz w:val="18"/>
                <w:szCs w:val="18"/>
              </w:rPr>
            </w:pPr>
            <w:r>
              <w:rPr>
                <w:rFonts w:eastAsiaTheme="minorEastAsia"/>
                <w:sz w:val="18"/>
                <w:szCs w:val="18"/>
              </w:rPr>
              <w:t>98%</w:t>
            </w:r>
          </w:p>
        </w:tc>
        <w:tc>
          <w:tcPr>
            <w:tcW w:w="338" w:type="pct"/>
            <w:vAlign w:val="center"/>
          </w:tcPr>
          <w:p>
            <w:pPr>
              <w:spacing w:line="288" w:lineRule="auto"/>
              <w:jc w:val="center"/>
              <w:rPr>
                <w:rFonts w:eastAsiaTheme="minorEastAsia"/>
                <w:sz w:val="18"/>
                <w:szCs w:val="18"/>
              </w:rPr>
            </w:pPr>
            <w:r>
              <w:rPr>
                <w:rFonts w:eastAsiaTheme="minorEastAsia"/>
                <w:sz w:val="18"/>
                <w:szCs w:val="18"/>
              </w:rPr>
              <w:t>FM</w:t>
            </w:r>
          </w:p>
        </w:tc>
      </w:tr>
    </w:tbl>
    <w:p>
      <w:pPr>
        <w:spacing w:line="360" w:lineRule="auto"/>
        <w:ind w:firstLine="480" w:firstLineChars="200"/>
        <w:rPr>
          <w:rFonts w:eastAsiaTheme="minorEastAsia"/>
          <w:bCs/>
          <w:sz w:val="24"/>
        </w:rPr>
      </w:pPr>
      <w:r>
        <w:rPr>
          <w:rFonts w:hint="eastAsia" w:eastAsiaTheme="minorEastAsia"/>
          <w:bCs/>
          <w:sz w:val="24"/>
        </w:rPr>
        <w:t>2．工业资源/储量</w:t>
      </w:r>
    </w:p>
    <w:p>
      <w:pPr>
        <w:spacing w:line="360" w:lineRule="auto"/>
        <w:ind w:firstLine="480" w:firstLineChars="200"/>
        <w:rPr>
          <w:rFonts w:eastAsiaTheme="minorEastAsia"/>
          <w:bCs/>
          <w:sz w:val="24"/>
        </w:rPr>
      </w:pPr>
      <w:r>
        <w:rPr>
          <w:rFonts w:hint="eastAsia" w:eastAsiaTheme="minorEastAsia"/>
          <w:bCs/>
          <w:sz w:val="24"/>
        </w:rPr>
        <w:t>本矿井工业资源/储量58643.0kt。</w:t>
      </w:r>
    </w:p>
    <w:p>
      <w:pPr>
        <w:spacing w:line="360" w:lineRule="auto"/>
        <w:ind w:firstLine="480" w:firstLineChars="200"/>
        <w:rPr>
          <w:rFonts w:hAnsiTheme="minorEastAsia" w:eastAsiaTheme="minorEastAsia"/>
          <w:b/>
          <w:sz w:val="24"/>
        </w:rPr>
      </w:pPr>
      <w:r>
        <w:rPr>
          <w:rFonts w:hAnsiTheme="minorEastAsia" w:eastAsiaTheme="minorEastAsia"/>
          <w:sz w:val="24"/>
        </w:rPr>
        <w:t>本次</w:t>
      </w:r>
      <w:r>
        <w:rPr>
          <w:rFonts w:hint="eastAsia" w:hAnsiTheme="minorEastAsia" w:eastAsiaTheme="minorEastAsia"/>
          <w:sz w:val="24"/>
        </w:rPr>
        <w:t>变更</w:t>
      </w:r>
      <w:r>
        <w:rPr>
          <w:rFonts w:hint="eastAsia" w:hAnsiTheme="minorEastAsia" w:eastAsiaTheme="minorEastAsia"/>
          <w:sz w:val="24"/>
          <w:lang w:val="zh-CN"/>
        </w:rPr>
        <w:t>工业资源储量</w:t>
      </w:r>
      <w:r>
        <w:rPr>
          <w:rFonts w:hAnsiTheme="minorEastAsia" w:eastAsiaTheme="minorEastAsia"/>
          <w:sz w:val="24"/>
          <w:lang w:val="zh-CN"/>
        </w:rPr>
        <w:t>未发生变化。</w:t>
      </w:r>
    </w:p>
    <w:p>
      <w:pPr>
        <w:spacing w:line="360" w:lineRule="auto"/>
        <w:ind w:firstLine="480" w:firstLineChars="200"/>
        <w:rPr>
          <w:rFonts w:eastAsiaTheme="minorEastAsia"/>
          <w:bCs/>
          <w:sz w:val="24"/>
        </w:rPr>
      </w:pPr>
      <w:r>
        <w:rPr>
          <w:rFonts w:hint="eastAsia" w:eastAsiaTheme="minorEastAsia"/>
          <w:bCs/>
          <w:sz w:val="24"/>
        </w:rPr>
        <w:t>3</w:t>
      </w:r>
      <w:r>
        <w:rPr>
          <w:rFonts w:hAnsiTheme="minorEastAsia" w:eastAsiaTheme="minorEastAsia"/>
          <w:bCs/>
          <w:sz w:val="24"/>
        </w:rPr>
        <w:t>、</w:t>
      </w:r>
      <w:r>
        <w:rPr>
          <w:rFonts w:hint="eastAsia" w:eastAsiaTheme="minorEastAsia"/>
          <w:bCs/>
          <w:sz w:val="24"/>
        </w:rPr>
        <w:t>设计资源/储量</w:t>
      </w:r>
    </w:p>
    <w:p>
      <w:pPr>
        <w:spacing w:line="360" w:lineRule="auto"/>
        <w:ind w:firstLine="482" w:firstLineChars="200"/>
        <w:rPr>
          <w:rFonts w:hAnsiTheme="minorEastAsia" w:eastAsiaTheme="minorEastAsia"/>
          <w:bCs/>
          <w:sz w:val="24"/>
        </w:rPr>
      </w:pPr>
      <w:r>
        <w:rPr>
          <w:rFonts w:hint="eastAsia" w:hAnsiTheme="minorEastAsia"/>
          <w:b/>
          <w:bCs/>
          <w:sz w:val="24"/>
        </w:rPr>
        <w:t>原环评：</w:t>
      </w:r>
      <w:r>
        <w:rPr>
          <w:rFonts w:hint="eastAsia" w:eastAsiaTheme="minorEastAsia"/>
          <w:bCs/>
          <w:sz w:val="24"/>
        </w:rPr>
        <w:t>本矿井工业资源/储量扣除8483.5kt永久煤柱量后，</w:t>
      </w:r>
      <w:r>
        <w:rPr>
          <w:rFonts w:hAnsiTheme="minorEastAsia" w:eastAsiaTheme="minorEastAsia"/>
          <w:bCs/>
          <w:sz w:val="24"/>
        </w:rPr>
        <w:t>设计资源</w:t>
      </w:r>
      <w:r>
        <w:rPr>
          <w:rFonts w:eastAsiaTheme="minorEastAsia"/>
          <w:bCs/>
          <w:sz w:val="24"/>
        </w:rPr>
        <w:t>/</w:t>
      </w:r>
      <w:r>
        <w:rPr>
          <w:rFonts w:hAnsiTheme="minorEastAsia" w:eastAsiaTheme="minorEastAsia"/>
          <w:bCs/>
          <w:sz w:val="24"/>
        </w:rPr>
        <w:t>储量为</w:t>
      </w:r>
      <w:r>
        <w:rPr>
          <w:rFonts w:hint="eastAsia" w:eastAsiaTheme="minorEastAsia"/>
          <w:bCs/>
          <w:sz w:val="24"/>
        </w:rPr>
        <w:t>50159.5</w:t>
      </w:r>
      <w:r>
        <w:rPr>
          <w:rFonts w:hint="eastAsia" w:hAnsiTheme="minorEastAsia" w:eastAsiaTheme="minorEastAsia"/>
          <w:bCs/>
          <w:sz w:val="24"/>
        </w:rPr>
        <w:t>k</w:t>
      </w:r>
      <w:r>
        <w:rPr>
          <w:rFonts w:eastAsiaTheme="minorEastAsia"/>
          <w:bCs/>
          <w:sz w:val="24"/>
        </w:rPr>
        <w:t>t</w:t>
      </w:r>
      <w:r>
        <w:rPr>
          <w:rFonts w:hAnsiTheme="minorEastAsia" w:eastAsiaTheme="minorEastAsia"/>
          <w:bCs/>
          <w:sz w:val="24"/>
        </w:rPr>
        <w:t>。</w:t>
      </w:r>
    </w:p>
    <w:p>
      <w:pPr>
        <w:spacing w:line="360" w:lineRule="auto"/>
        <w:ind w:firstLine="482" w:firstLineChars="200"/>
        <w:rPr>
          <w:rFonts w:eastAsiaTheme="minorEastAsia"/>
          <w:bCs/>
          <w:sz w:val="24"/>
        </w:rPr>
      </w:pPr>
      <w:r>
        <w:rPr>
          <w:rFonts w:hint="eastAsia" w:hAnsiTheme="minorEastAsia" w:eastAsiaTheme="minorEastAsia"/>
          <w:b/>
          <w:bCs/>
          <w:sz w:val="24"/>
        </w:rPr>
        <w:t>变更后：</w:t>
      </w:r>
      <w:r>
        <w:rPr>
          <w:rFonts w:hint="eastAsia" w:hAnsiTheme="minorEastAsia"/>
          <w:bCs/>
          <w:sz w:val="24"/>
        </w:rPr>
        <w:t>本矿井</w:t>
      </w:r>
      <w:r>
        <w:rPr>
          <w:rFonts w:hint="eastAsia" w:eastAsiaTheme="minorEastAsia"/>
          <w:bCs/>
          <w:sz w:val="24"/>
        </w:rPr>
        <w:t>工业资源/储量扣除8895.3kt永久煤柱量后，共有设计资源/储量49747.7kt。</w:t>
      </w:r>
    </w:p>
    <w:p>
      <w:pPr>
        <w:spacing w:line="360" w:lineRule="auto"/>
        <w:ind w:firstLine="480" w:firstLineChars="200"/>
        <w:rPr>
          <w:rFonts w:eastAsiaTheme="minorEastAsia"/>
          <w:bCs/>
          <w:sz w:val="24"/>
        </w:rPr>
      </w:pPr>
      <w:r>
        <w:rPr>
          <w:rFonts w:hint="eastAsia" w:eastAsiaTheme="minorEastAsia"/>
          <w:bCs/>
          <w:sz w:val="24"/>
        </w:rPr>
        <w:t>4</w:t>
      </w:r>
      <w:r>
        <w:rPr>
          <w:rFonts w:hAnsiTheme="minorEastAsia" w:eastAsiaTheme="minorEastAsia"/>
          <w:bCs/>
          <w:sz w:val="24"/>
        </w:rPr>
        <w:t>、设计可采储量</w:t>
      </w:r>
    </w:p>
    <w:p>
      <w:pPr>
        <w:spacing w:line="360" w:lineRule="auto"/>
        <w:ind w:firstLine="482" w:firstLineChars="200"/>
        <w:rPr>
          <w:rFonts w:hAnsiTheme="minorEastAsia"/>
          <w:b/>
          <w:bCs/>
          <w:sz w:val="24"/>
        </w:rPr>
      </w:pPr>
      <w:r>
        <w:rPr>
          <w:rFonts w:hint="eastAsia" w:hAnsiTheme="minorEastAsia"/>
          <w:b/>
          <w:bCs/>
          <w:sz w:val="24"/>
        </w:rPr>
        <w:t>原环评：</w:t>
      </w:r>
      <w:r>
        <w:rPr>
          <w:rFonts w:hint="eastAsia" w:eastAsiaTheme="minorEastAsia"/>
          <w:bCs/>
          <w:sz w:val="24"/>
        </w:rPr>
        <w:t>本矿井</w:t>
      </w:r>
      <w:r>
        <w:rPr>
          <w:rFonts w:hAnsiTheme="minorEastAsia" w:eastAsiaTheme="minorEastAsia"/>
          <w:bCs/>
          <w:sz w:val="24"/>
        </w:rPr>
        <w:t>设计</w:t>
      </w:r>
      <w:r>
        <w:rPr>
          <w:rFonts w:hint="eastAsia" w:hAnsiTheme="minorEastAsia" w:eastAsiaTheme="minorEastAsia"/>
          <w:bCs/>
          <w:sz w:val="24"/>
        </w:rPr>
        <w:t>可采</w:t>
      </w:r>
      <w:r>
        <w:rPr>
          <w:rFonts w:hAnsiTheme="minorEastAsia" w:eastAsiaTheme="minorEastAsia"/>
          <w:bCs/>
          <w:sz w:val="24"/>
        </w:rPr>
        <w:t>资源</w:t>
      </w:r>
      <w:r>
        <w:rPr>
          <w:rFonts w:eastAsiaTheme="minorEastAsia"/>
          <w:bCs/>
          <w:sz w:val="24"/>
        </w:rPr>
        <w:t>/</w:t>
      </w:r>
      <w:r>
        <w:rPr>
          <w:rFonts w:hAnsiTheme="minorEastAsia" w:eastAsiaTheme="minorEastAsia"/>
          <w:bCs/>
          <w:sz w:val="24"/>
        </w:rPr>
        <w:t>储量为</w:t>
      </w:r>
      <w:r>
        <w:rPr>
          <w:rFonts w:hint="eastAsia" w:eastAsiaTheme="minorEastAsia"/>
          <w:bCs/>
          <w:sz w:val="24"/>
        </w:rPr>
        <w:t>30670.5k</w:t>
      </w:r>
      <w:r>
        <w:rPr>
          <w:rFonts w:eastAsiaTheme="minorEastAsia"/>
          <w:bCs/>
          <w:sz w:val="24"/>
        </w:rPr>
        <w:t>t。</w:t>
      </w:r>
    </w:p>
    <w:p>
      <w:pPr>
        <w:autoSpaceDE w:val="0"/>
        <w:autoSpaceDN w:val="0"/>
        <w:spacing w:line="360" w:lineRule="auto"/>
        <w:ind w:firstLine="482" w:firstLineChars="200"/>
        <w:rPr>
          <w:rFonts w:hAnsiTheme="minorEastAsia"/>
          <w:bCs/>
          <w:sz w:val="24"/>
        </w:rPr>
      </w:pPr>
      <w:r>
        <w:rPr>
          <w:rFonts w:hint="eastAsia" w:hAnsiTheme="minorEastAsia"/>
          <w:b/>
          <w:bCs/>
          <w:sz w:val="24"/>
        </w:rPr>
        <w:t>变更后；</w:t>
      </w:r>
      <w:r>
        <w:rPr>
          <w:rFonts w:hint="eastAsia" w:hAnsiTheme="minorEastAsia"/>
          <w:bCs/>
          <w:sz w:val="24"/>
        </w:rPr>
        <w:t>设计资源/储量扣除11923.3kt保护煤柱量和8279.6kt开采损失后，本矿井共有设计可采储量29544.8kt。</w:t>
      </w:r>
    </w:p>
    <w:p>
      <w:pPr>
        <w:autoSpaceDE w:val="0"/>
        <w:autoSpaceDN w:val="0"/>
        <w:spacing w:line="360" w:lineRule="auto"/>
        <w:ind w:firstLine="420" w:firstLineChars="200"/>
        <w:rPr>
          <w:rFonts w:ascii="华文中宋" w:hAnsi="华文中宋" w:eastAsia="华文中宋"/>
          <w:color w:val="FF0000"/>
        </w:rPr>
      </w:pPr>
    </w:p>
    <w:p>
      <w:pPr>
        <w:spacing w:line="360" w:lineRule="auto"/>
        <w:ind w:firstLine="480" w:firstLineChars="200"/>
        <w:rPr>
          <w:rFonts w:hAnsiTheme="minorEastAsia" w:eastAsiaTheme="minorEastAsia"/>
          <w:sz w:val="24"/>
        </w:rPr>
        <w:sectPr>
          <w:pgSz w:w="11906" w:h="16838"/>
          <w:pgMar w:top="1701" w:right="1418" w:bottom="1701" w:left="1418" w:header="992" w:footer="992" w:gutter="0"/>
          <w:cols w:space="425" w:num="1"/>
          <w:docGrid w:type="lines" w:linePitch="312" w:charSpace="0"/>
        </w:sectPr>
      </w:pPr>
    </w:p>
    <w:p>
      <w:pPr>
        <w:pStyle w:val="98"/>
        <w:snapToGrid/>
        <w:spacing w:line="360" w:lineRule="auto"/>
        <w:rPr>
          <w:rFonts w:ascii="Times New Roman" w:cs="Times New Roman" w:hAnsiTheme="minorEastAsia" w:eastAsiaTheme="minorEastAsia"/>
          <w:szCs w:val="21"/>
        </w:rPr>
      </w:pPr>
      <w:r>
        <w:rPr>
          <w:rFonts w:ascii="Times New Roman" w:cs="Times New Roman" w:hAnsiTheme="minorEastAsia" w:eastAsiaTheme="minorEastAsia"/>
          <w:szCs w:val="21"/>
        </w:rPr>
        <w:t>表</w:t>
      </w:r>
      <w:r>
        <w:rPr>
          <w:rFonts w:ascii="Times New Roman" w:hAnsi="Times New Roman" w:cs="Times New Roman" w:eastAsiaTheme="minorEastAsia"/>
          <w:szCs w:val="21"/>
        </w:rPr>
        <w:t>3.2-</w:t>
      </w:r>
      <w:r>
        <w:rPr>
          <w:rFonts w:hint="eastAsia" w:ascii="Times New Roman" w:hAnsi="Times New Roman" w:cs="Times New Roman" w:eastAsiaTheme="minorEastAsia"/>
          <w:szCs w:val="21"/>
        </w:rPr>
        <w:t>5</w:t>
      </w:r>
      <w:r>
        <w:rPr>
          <w:rFonts w:ascii="Times New Roman" w:hAnsi="Times New Roman" w:cs="Times New Roman" w:eastAsiaTheme="minorEastAsia"/>
          <w:szCs w:val="21"/>
        </w:rPr>
        <w:t xml:space="preserve"> </w:t>
      </w:r>
      <w:r>
        <w:rPr>
          <w:rFonts w:hint="eastAsia" w:ascii="Times New Roman" w:hAnsi="Times New Roman" w:cs="Times New Roman" w:eastAsiaTheme="minorEastAsia"/>
          <w:szCs w:val="21"/>
        </w:rPr>
        <w:t>变更后</w:t>
      </w:r>
      <w:r>
        <w:rPr>
          <w:rFonts w:hint="eastAsia" w:ascii="Times New Roman" w:cs="Times New Roman" w:hAnsiTheme="minorEastAsia" w:eastAsiaTheme="minorEastAsia"/>
          <w:szCs w:val="21"/>
        </w:rPr>
        <w:t>矿井</w:t>
      </w:r>
      <w:r>
        <w:rPr>
          <w:rFonts w:ascii="Times New Roman" w:cs="Times New Roman" w:hAnsiTheme="minorEastAsia" w:eastAsiaTheme="minorEastAsia"/>
          <w:szCs w:val="21"/>
        </w:rPr>
        <w:t>设计可采储量表（单位：</w:t>
      </w:r>
      <w:r>
        <w:rPr>
          <w:rFonts w:hint="eastAsia" w:ascii="Times New Roman" w:cs="Times New Roman" w:hAnsiTheme="minorEastAsia" w:eastAsiaTheme="minorEastAsia"/>
          <w:szCs w:val="21"/>
        </w:rPr>
        <w:t>k</w:t>
      </w:r>
      <w:r>
        <w:rPr>
          <w:rFonts w:ascii="Times New Roman" w:hAnsi="Times New Roman" w:cs="Times New Roman" w:eastAsiaTheme="minorEastAsia"/>
          <w:szCs w:val="21"/>
        </w:rPr>
        <w:t>t</w:t>
      </w:r>
      <w:r>
        <w:rPr>
          <w:rFonts w:ascii="Times New Roman" w:cs="Times New Roman" w:hAnsiTheme="minorEastAsia" w:eastAsiaTheme="minorEastAsia"/>
          <w:szCs w:val="21"/>
        </w:rPr>
        <w:t>）</w:t>
      </w:r>
    </w:p>
    <w:tbl>
      <w:tblPr>
        <w:tblStyle w:val="24"/>
        <w:tblW w:w="153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67"/>
        <w:gridCol w:w="583"/>
        <w:gridCol w:w="953"/>
        <w:gridCol w:w="952"/>
        <w:gridCol w:w="874"/>
        <w:gridCol w:w="1164"/>
        <w:gridCol w:w="874"/>
        <w:gridCol w:w="874"/>
        <w:gridCol w:w="1047"/>
        <w:gridCol w:w="1009"/>
        <w:gridCol w:w="931"/>
        <w:gridCol w:w="931"/>
        <w:gridCol w:w="931"/>
        <w:gridCol w:w="931"/>
        <w:gridCol w:w="896"/>
        <w:gridCol w:w="1048"/>
        <w:gridCol w:w="6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15" w:hRule="exact"/>
          <w:jc w:val="center"/>
        </w:trPr>
        <w:tc>
          <w:tcPr>
            <w:tcW w:w="667" w:type="dxa"/>
            <w:vMerge w:val="restart"/>
            <w:noWrap/>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水平</w:t>
            </w:r>
          </w:p>
        </w:tc>
        <w:tc>
          <w:tcPr>
            <w:tcW w:w="583" w:type="dxa"/>
            <w:vMerge w:val="restart"/>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煤层</w:t>
            </w:r>
          </w:p>
        </w:tc>
        <w:tc>
          <w:tcPr>
            <w:tcW w:w="953" w:type="dxa"/>
            <w:vMerge w:val="restart"/>
            <w:noWrap/>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矿井地质</w:t>
            </w:r>
          </w:p>
          <w:p>
            <w:pPr>
              <w:spacing w:line="240" w:lineRule="exact"/>
              <w:jc w:val="center"/>
              <w:rPr>
                <w:rFonts w:eastAsiaTheme="minorEastAsia"/>
                <w:sz w:val="18"/>
                <w:szCs w:val="18"/>
              </w:rPr>
            </w:pPr>
            <w:r>
              <w:rPr>
                <w:rFonts w:hAnsiTheme="minorEastAsia" w:eastAsiaTheme="minorEastAsia"/>
                <w:sz w:val="18"/>
                <w:szCs w:val="18"/>
              </w:rPr>
              <w:t>资源量</w:t>
            </w:r>
          </w:p>
        </w:tc>
        <w:tc>
          <w:tcPr>
            <w:tcW w:w="952" w:type="dxa"/>
            <w:vMerge w:val="restart"/>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矿井</w:t>
            </w:r>
          </w:p>
          <w:p>
            <w:pPr>
              <w:spacing w:line="240" w:lineRule="exact"/>
              <w:jc w:val="center"/>
              <w:rPr>
                <w:rFonts w:eastAsiaTheme="minorEastAsia"/>
                <w:sz w:val="18"/>
                <w:szCs w:val="18"/>
              </w:rPr>
            </w:pPr>
            <w:r>
              <w:rPr>
                <w:rFonts w:hAnsiTheme="minorEastAsia" w:eastAsiaTheme="minorEastAsia"/>
                <w:sz w:val="18"/>
                <w:szCs w:val="18"/>
              </w:rPr>
              <w:t>工业资源</w:t>
            </w:r>
          </w:p>
          <w:p>
            <w:pPr>
              <w:spacing w:line="240" w:lineRule="exact"/>
              <w:jc w:val="center"/>
              <w:rPr>
                <w:rFonts w:eastAsiaTheme="minorEastAsia"/>
                <w:sz w:val="18"/>
                <w:szCs w:val="18"/>
              </w:rPr>
            </w:pPr>
            <w:r>
              <w:rPr>
                <w:rFonts w:eastAsiaTheme="minorEastAsia"/>
                <w:sz w:val="18"/>
                <w:szCs w:val="18"/>
              </w:rPr>
              <w:t>/</w:t>
            </w:r>
            <w:r>
              <w:rPr>
                <w:rFonts w:hAnsiTheme="minorEastAsia" w:eastAsiaTheme="minorEastAsia"/>
                <w:sz w:val="18"/>
                <w:szCs w:val="18"/>
              </w:rPr>
              <w:t>储量</w:t>
            </w:r>
          </w:p>
        </w:tc>
        <w:tc>
          <w:tcPr>
            <w:tcW w:w="4833" w:type="dxa"/>
            <w:gridSpan w:val="5"/>
            <w:noWrap/>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永久煤柱量</w:t>
            </w:r>
          </w:p>
        </w:tc>
        <w:tc>
          <w:tcPr>
            <w:tcW w:w="1009" w:type="dxa"/>
            <w:vMerge w:val="restart"/>
            <w:noWrap/>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矿井设计资源</w:t>
            </w:r>
            <w:r>
              <w:rPr>
                <w:rFonts w:eastAsiaTheme="minorEastAsia"/>
                <w:sz w:val="18"/>
                <w:szCs w:val="18"/>
              </w:rPr>
              <w:t>/</w:t>
            </w:r>
            <w:r>
              <w:rPr>
                <w:rFonts w:hAnsiTheme="minorEastAsia" w:eastAsiaTheme="minorEastAsia"/>
                <w:sz w:val="18"/>
                <w:szCs w:val="18"/>
              </w:rPr>
              <w:t>储量</w:t>
            </w:r>
          </w:p>
        </w:tc>
        <w:tc>
          <w:tcPr>
            <w:tcW w:w="3724" w:type="dxa"/>
            <w:gridSpan w:val="4"/>
            <w:vAlign w:val="center"/>
          </w:tcPr>
          <w:p>
            <w:pPr>
              <w:spacing w:line="240" w:lineRule="exact"/>
              <w:jc w:val="center"/>
              <w:rPr>
                <w:rFonts w:eastAsiaTheme="minorEastAsia"/>
                <w:sz w:val="18"/>
                <w:szCs w:val="18"/>
              </w:rPr>
            </w:pPr>
            <w:r>
              <w:rPr>
                <w:rFonts w:hAnsiTheme="minorEastAsia" w:eastAsiaTheme="minorEastAsia"/>
                <w:sz w:val="18"/>
                <w:szCs w:val="18"/>
              </w:rPr>
              <w:t>保护煤柱量</w:t>
            </w:r>
          </w:p>
        </w:tc>
        <w:tc>
          <w:tcPr>
            <w:tcW w:w="896" w:type="dxa"/>
            <w:vMerge w:val="restart"/>
            <w:vAlign w:val="center"/>
          </w:tcPr>
          <w:p>
            <w:pPr>
              <w:spacing w:line="240" w:lineRule="exact"/>
              <w:jc w:val="center"/>
              <w:rPr>
                <w:rFonts w:eastAsiaTheme="minorEastAsia"/>
                <w:sz w:val="18"/>
                <w:szCs w:val="18"/>
              </w:rPr>
            </w:pPr>
            <w:r>
              <w:rPr>
                <w:rFonts w:hAnsiTheme="minorEastAsia" w:eastAsiaTheme="minorEastAsia"/>
                <w:sz w:val="18"/>
                <w:szCs w:val="18"/>
              </w:rPr>
              <w:t>开采</w:t>
            </w:r>
          </w:p>
          <w:p>
            <w:pPr>
              <w:spacing w:line="240" w:lineRule="exact"/>
              <w:jc w:val="center"/>
              <w:rPr>
                <w:rFonts w:eastAsiaTheme="minorEastAsia"/>
                <w:sz w:val="18"/>
                <w:szCs w:val="18"/>
              </w:rPr>
            </w:pPr>
            <w:r>
              <w:rPr>
                <w:rFonts w:hAnsiTheme="minorEastAsia" w:eastAsiaTheme="minorEastAsia"/>
                <w:sz w:val="18"/>
                <w:szCs w:val="18"/>
              </w:rPr>
              <w:t>损失</w:t>
            </w:r>
          </w:p>
        </w:tc>
        <w:tc>
          <w:tcPr>
            <w:tcW w:w="1048" w:type="dxa"/>
            <w:vMerge w:val="restart"/>
            <w:vAlign w:val="center"/>
          </w:tcPr>
          <w:p>
            <w:pPr>
              <w:spacing w:line="240" w:lineRule="exact"/>
              <w:ind w:firstLine="142" w:firstLineChars="79"/>
              <w:jc w:val="center"/>
              <w:rPr>
                <w:rFonts w:eastAsiaTheme="minorEastAsia"/>
                <w:sz w:val="18"/>
                <w:szCs w:val="18"/>
              </w:rPr>
            </w:pPr>
            <w:r>
              <w:rPr>
                <w:rFonts w:hAnsiTheme="minorEastAsia" w:eastAsiaTheme="minorEastAsia"/>
                <w:sz w:val="18"/>
                <w:szCs w:val="18"/>
              </w:rPr>
              <w:t>矿井设计可采储量</w:t>
            </w:r>
          </w:p>
        </w:tc>
        <w:tc>
          <w:tcPr>
            <w:tcW w:w="644" w:type="dxa"/>
            <w:vMerge w:val="restart"/>
            <w:vAlign w:val="center"/>
          </w:tcPr>
          <w:p>
            <w:pPr>
              <w:spacing w:line="240" w:lineRule="exact"/>
              <w:ind w:firstLine="142" w:firstLineChars="79"/>
              <w:jc w:val="center"/>
              <w:rPr>
                <w:rFonts w:eastAsiaTheme="minorEastAsia"/>
                <w:sz w:val="18"/>
                <w:szCs w:val="18"/>
              </w:rPr>
            </w:pPr>
            <w:r>
              <w:rPr>
                <w:rFonts w:hAnsiTheme="minorEastAsia" w:eastAsiaTheme="minorEastAsia"/>
                <w:sz w:val="18"/>
                <w:szCs w:val="18"/>
              </w:rPr>
              <w:t>煤类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10"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Merge w:val="continue"/>
            <w:vAlign w:val="center"/>
          </w:tcPr>
          <w:p>
            <w:pPr>
              <w:spacing w:line="240" w:lineRule="exact"/>
              <w:jc w:val="center"/>
              <w:rPr>
                <w:rFonts w:eastAsiaTheme="minorEastAsia"/>
                <w:sz w:val="18"/>
                <w:szCs w:val="18"/>
              </w:rPr>
            </w:pPr>
          </w:p>
        </w:tc>
        <w:tc>
          <w:tcPr>
            <w:tcW w:w="953" w:type="dxa"/>
            <w:vMerge w:val="continue"/>
            <w:vAlign w:val="center"/>
          </w:tcPr>
          <w:p>
            <w:pPr>
              <w:spacing w:line="240" w:lineRule="exact"/>
              <w:jc w:val="center"/>
              <w:rPr>
                <w:rFonts w:eastAsiaTheme="minorEastAsia"/>
                <w:sz w:val="18"/>
                <w:szCs w:val="18"/>
              </w:rPr>
            </w:pPr>
          </w:p>
        </w:tc>
        <w:tc>
          <w:tcPr>
            <w:tcW w:w="952" w:type="dxa"/>
            <w:vMerge w:val="continue"/>
            <w:vAlign w:val="center"/>
          </w:tcPr>
          <w:p>
            <w:pPr>
              <w:spacing w:line="240" w:lineRule="exact"/>
              <w:jc w:val="center"/>
              <w:rPr>
                <w:rFonts w:eastAsiaTheme="minorEastAsia"/>
                <w:sz w:val="18"/>
                <w:szCs w:val="18"/>
              </w:rPr>
            </w:pP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井界</w:t>
            </w:r>
          </w:p>
          <w:p>
            <w:pPr>
              <w:spacing w:line="240" w:lineRule="exact"/>
              <w:jc w:val="center"/>
              <w:rPr>
                <w:rFonts w:eastAsiaTheme="minorEastAsia"/>
                <w:sz w:val="18"/>
                <w:szCs w:val="18"/>
              </w:rPr>
            </w:pPr>
            <w:r>
              <w:rPr>
                <w:rFonts w:hAnsiTheme="minorEastAsia" w:eastAsiaTheme="minorEastAsia"/>
                <w:sz w:val="18"/>
                <w:szCs w:val="18"/>
              </w:rPr>
              <w:t>煤柱</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钻孔及废弃井筒煤柱</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村庄</w:t>
            </w:r>
          </w:p>
          <w:p>
            <w:pPr>
              <w:spacing w:line="240" w:lineRule="exact"/>
              <w:jc w:val="center"/>
              <w:rPr>
                <w:rFonts w:eastAsiaTheme="minorEastAsia"/>
                <w:sz w:val="18"/>
                <w:szCs w:val="18"/>
              </w:rPr>
            </w:pPr>
            <w:r>
              <w:rPr>
                <w:rFonts w:hAnsiTheme="minorEastAsia" w:eastAsiaTheme="minorEastAsia"/>
                <w:sz w:val="18"/>
                <w:szCs w:val="18"/>
              </w:rPr>
              <w:t>煤柱</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hAnsiTheme="minorEastAsia" w:eastAsiaTheme="minorEastAsia"/>
                <w:sz w:val="18"/>
                <w:szCs w:val="18"/>
              </w:rPr>
              <w:t>防水</w:t>
            </w:r>
          </w:p>
          <w:p>
            <w:pPr>
              <w:spacing w:line="240" w:lineRule="exact"/>
              <w:jc w:val="center"/>
              <w:rPr>
                <w:rFonts w:eastAsiaTheme="minorEastAsia"/>
                <w:sz w:val="18"/>
                <w:szCs w:val="18"/>
              </w:rPr>
            </w:pPr>
            <w:r>
              <w:rPr>
                <w:rFonts w:hAnsiTheme="minorEastAsia" w:eastAsiaTheme="minorEastAsia"/>
                <w:sz w:val="18"/>
                <w:szCs w:val="18"/>
              </w:rPr>
              <w:t>煤柱</w:t>
            </w:r>
          </w:p>
        </w:tc>
        <w:tc>
          <w:tcPr>
            <w:tcW w:w="1047" w:type="dxa"/>
            <w:vAlign w:val="center"/>
          </w:tcPr>
          <w:p>
            <w:pPr>
              <w:spacing w:line="240" w:lineRule="exact"/>
              <w:jc w:val="center"/>
              <w:rPr>
                <w:rFonts w:eastAsiaTheme="minorEastAsia"/>
                <w:sz w:val="18"/>
                <w:szCs w:val="18"/>
              </w:rPr>
            </w:pPr>
            <w:r>
              <w:rPr>
                <w:rFonts w:hAnsiTheme="minorEastAsia" w:eastAsiaTheme="minorEastAsia"/>
                <w:sz w:val="18"/>
                <w:szCs w:val="18"/>
              </w:rPr>
              <w:t>计</w:t>
            </w:r>
          </w:p>
        </w:tc>
        <w:tc>
          <w:tcPr>
            <w:tcW w:w="1009" w:type="dxa"/>
            <w:vMerge w:val="continue"/>
            <w:vAlign w:val="center"/>
          </w:tcPr>
          <w:p>
            <w:pPr>
              <w:spacing w:line="240" w:lineRule="exact"/>
              <w:jc w:val="center"/>
              <w:rPr>
                <w:rFonts w:eastAsiaTheme="minorEastAsia"/>
                <w:sz w:val="18"/>
                <w:szCs w:val="18"/>
              </w:rPr>
            </w:pPr>
          </w:p>
        </w:tc>
        <w:tc>
          <w:tcPr>
            <w:tcW w:w="931" w:type="dxa"/>
            <w:vAlign w:val="center"/>
          </w:tcPr>
          <w:p>
            <w:pPr>
              <w:spacing w:line="240" w:lineRule="exact"/>
              <w:jc w:val="center"/>
              <w:rPr>
                <w:rFonts w:eastAsiaTheme="minorEastAsia"/>
                <w:sz w:val="18"/>
                <w:szCs w:val="18"/>
              </w:rPr>
            </w:pPr>
            <w:r>
              <w:rPr>
                <w:rFonts w:hAnsiTheme="minorEastAsia" w:eastAsiaTheme="minorEastAsia"/>
                <w:sz w:val="18"/>
                <w:szCs w:val="18"/>
              </w:rPr>
              <w:t>大巷及井筒煤柱</w:t>
            </w:r>
          </w:p>
          <w:p>
            <w:pPr>
              <w:spacing w:line="240" w:lineRule="exact"/>
              <w:jc w:val="center"/>
              <w:rPr>
                <w:rFonts w:eastAsiaTheme="minorEastAsia"/>
                <w:sz w:val="18"/>
                <w:szCs w:val="18"/>
              </w:rPr>
            </w:pPr>
            <w:r>
              <w:rPr>
                <w:rFonts w:hAnsiTheme="minorEastAsia" w:eastAsiaTheme="minorEastAsia"/>
                <w:sz w:val="18"/>
                <w:szCs w:val="18"/>
              </w:rPr>
              <w:t>煤柱</w:t>
            </w:r>
          </w:p>
        </w:tc>
        <w:tc>
          <w:tcPr>
            <w:tcW w:w="931" w:type="dxa"/>
            <w:vAlign w:val="center"/>
          </w:tcPr>
          <w:p>
            <w:pPr>
              <w:spacing w:line="240" w:lineRule="exact"/>
              <w:jc w:val="center"/>
              <w:rPr>
                <w:rFonts w:eastAsiaTheme="minorEastAsia"/>
                <w:sz w:val="18"/>
                <w:szCs w:val="18"/>
              </w:rPr>
            </w:pPr>
            <w:r>
              <w:rPr>
                <w:rFonts w:hAnsiTheme="minorEastAsia" w:eastAsiaTheme="minorEastAsia"/>
                <w:sz w:val="18"/>
                <w:szCs w:val="18"/>
              </w:rPr>
              <w:t>风井场地</w:t>
            </w:r>
          </w:p>
          <w:p>
            <w:pPr>
              <w:spacing w:line="240" w:lineRule="exact"/>
              <w:jc w:val="center"/>
              <w:rPr>
                <w:rFonts w:eastAsiaTheme="minorEastAsia"/>
                <w:sz w:val="18"/>
                <w:szCs w:val="18"/>
              </w:rPr>
            </w:pPr>
            <w:r>
              <w:rPr>
                <w:rFonts w:hAnsiTheme="minorEastAsia" w:eastAsiaTheme="minorEastAsia"/>
                <w:sz w:val="18"/>
                <w:szCs w:val="18"/>
              </w:rPr>
              <w:t>煤柱</w:t>
            </w:r>
          </w:p>
        </w:tc>
        <w:tc>
          <w:tcPr>
            <w:tcW w:w="931" w:type="dxa"/>
            <w:vAlign w:val="center"/>
          </w:tcPr>
          <w:p>
            <w:pPr>
              <w:spacing w:line="240" w:lineRule="exact"/>
              <w:jc w:val="center"/>
              <w:rPr>
                <w:rFonts w:eastAsiaTheme="minorEastAsia"/>
                <w:sz w:val="18"/>
                <w:szCs w:val="18"/>
              </w:rPr>
            </w:pPr>
            <w:r>
              <w:rPr>
                <w:rFonts w:hAnsiTheme="minorEastAsia" w:eastAsiaTheme="minorEastAsia"/>
                <w:sz w:val="18"/>
                <w:szCs w:val="18"/>
              </w:rPr>
              <w:t>工业场地</w:t>
            </w:r>
          </w:p>
          <w:p>
            <w:pPr>
              <w:spacing w:line="240" w:lineRule="exact"/>
              <w:jc w:val="center"/>
              <w:rPr>
                <w:rFonts w:eastAsiaTheme="minorEastAsia"/>
                <w:sz w:val="18"/>
                <w:szCs w:val="18"/>
              </w:rPr>
            </w:pPr>
            <w:r>
              <w:rPr>
                <w:rFonts w:hAnsiTheme="minorEastAsia" w:eastAsiaTheme="minorEastAsia"/>
                <w:sz w:val="18"/>
                <w:szCs w:val="18"/>
              </w:rPr>
              <w:t>煤柱</w:t>
            </w:r>
          </w:p>
        </w:tc>
        <w:tc>
          <w:tcPr>
            <w:tcW w:w="931" w:type="dxa"/>
            <w:vAlign w:val="center"/>
          </w:tcPr>
          <w:p>
            <w:pPr>
              <w:spacing w:line="240" w:lineRule="exact"/>
              <w:jc w:val="center"/>
              <w:rPr>
                <w:rFonts w:eastAsiaTheme="minorEastAsia"/>
                <w:sz w:val="18"/>
                <w:szCs w:val="18"/>
              </w:rPr>
            </w:pPr>
            <w:r>
              <w:rPr>
                <w:rFonts w:hAnsiTheme="minorEastAsia" w:eastAsiaTheme="minorEastAsia"/>
                <w:sz w:val="18"/>
                <w:szCs w:val="18"/>
              </w:rPr>
              <w:t>计</w:t>
            </w:r>
          </w:p>
        </w:tc>
        <w:tc>
          <w:tcPr>
            <w:tcW w:w="896" w:type="dxa"/>
            <w:vMerge w:val="continue"/>
            <w:vAlign w:val="center"/>
          </w:tcPr>
          <w:p>
            <w:pPr>
              <w:spacing w:line="240" w:lineRule="exact"/>
              <w:jc w:val="center"/>
              <w:rPr>
                <w:rFonts w:eastAsiaTheme="minorEastAsia"/>
                <w:sz w:val="18"/>
                <w:szCs w:val="18"/>
              </w:rPr>
            </w:pPr>
          </w:p>
        </w:tc>
        <w:tc>
          <w:tcPr>
            <w:tcW w:w="1048" w:type="dxa"/>
            <w:vMerge w:val="continue"/>
            <w:vAlign w:val="center"/>
          </w:tcPr>
          <w:p>
            <w:pPr>
              <w:spacing w:line="240" w:lineRule="exact"/>
              <w:jc w:val="center"/>
              <w:rPr>
                <w:rFonts w:eastAsiaTheme="minorEastAsia"/>
                <w:sz w:val="18"/>
                <w:szCs w:val="18"/>
              </w:rPr>
            </w:pPr>
          </w:p>
        </w:tc>
        <w:tc>
          <w:tcPr>
            <w:tcW w:w="644" w:type="dxa"/>
            <w:vMerge w:val="continue"/>
            <w:vAlign w:val="center"/>
          </w:tcPr>
          <w:p>
            <w:pPr>
              <w:spacing w:line="240" w:lineRule="exac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restart"/>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+750</w:t>
            </w:r>
          </w:p>
          <w:p>
            <w:pPr>
              <w:spacing w:line="240" w:lineRule="exact"/>
              <w:jc w:val="center"/>
              <w:rPr>
                <w:rFonts w:eastAsiaTheme="minorEastAsia"/>
                <w:sz w:val="18"/>
                <w:szCs w:val="18"/>
              </w:rPr>
            </w:pPr>
            <w:r>
              <w:rPr>
                <w:rFonts w:hAnsiTheme="minorEastAsia" w:eastAsiaTheme="minorEastAsia"/>
                <w:sz w:val="18"/>
                <w:szCs w:val="18"/>
              </w:rPr>
              <w:t>以浅</w:t>
            </w:r>
          </w:p>
        </w:tc>
        <w:tc>
          <w:tcPr>
            <w:tcW w:w="583"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4</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2874.0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2856.0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140.0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610.0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650.0 </w:t>
            </w: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1400.0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1456.0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490.0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11.2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520.0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1021.2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87.0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347.8 </w:t>
            </w:r>
          </w:p>
        </w:tc>
        <w:tc>
          <w:tcPr>
            <w:tcW w:w="644" w:type="dxa"/>
            <w:vAlign w:val="center"/>
          </w:tcPr>
          <w:p>
            <w:pPr>
              <w:spacing w:line="240" w:lineRule="exact"/>
              <w:jc w:val="center"/>
              <w:rPr>
                <w:rFonts w:eastAsiaTheme="minorEastAsia"/>
                <w:sz w:val="18"/>
                <w:szCs w:val="18"/>
              </w:rPr>
            </w:pPr>
            <w:r>
              <w:rPr>
                <w:rFonts w:eastAsiaTheme="minorEastAsia"/>
                <w:sz w:val="18"/>
                <w:szCs w:val="18"/>
              </w:rPr>
              <w:t>FM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583"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5</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10201.0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10173.0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490.0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1150.0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560.0 </w:t>
            </w: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2200.0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7973.0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2310.0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26.2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1400.0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3736.2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1059.2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3177.6 </w:t>
            </w:r>
          </w:p>
        </w:tc>
        <w:tc>
          <w:tcPr>
            <w:tcW w:w="644" w:type="dxa"/>
            <w:vAlign w:val="center"/>
          </w:tcPr>
          <w:p>
            <w:pPr>
              <w:spacing w:line="240" w:lineRule="exact"/>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eastAsiaTheme="minorEastAsia"/>
                <w:sz w:val="18"/>
                <w:szCs w:val="18"/>
              </w:rPr>
              <w:t>8</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6121.0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6087.0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360.0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490.0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850.0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5237.0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950.0 </w:t>
            </w:r>
          </w:p>
        </w:tc>
        <w:tc>
          <w:tcPr>
            <w:tcW w:w="931" w:type="dxa"/>
            <w:vAlign w:val="center"/>
          </w:tcPr>
          <w:p>
            <w:pPr>
              <w:spacing w:line="240" w:lineRule="exact"/>
              <w:jc w:val="center"/>
              <w:rPr>
                <w:rFonts w:eastAsiaTheme="minorEastAsia"/>
                <w:sz w:val="18"/>
                <w:szCs w:val="18"/>
              </w:rPr>
            </w:pP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1030.0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1980.0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651.4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2605.6 </w:t>
            </w:r>
          </w:p>
        </w:tc>
        <w:tc>
          <w:tcPr>
            <w:tcW w:w="644" w:type="dxa"/>
            <w:vAlign w:val="center"/>
          </w:tcPr>
          <w:p>
            <w:pPr>
              <w:spacing w:line="240" w:lineRule="exact"/>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eastAsiaTheme="minorEastAsia"/>
                <w:sz w:val="18"/>
                <w:szCs w:val="18"/>
              </w:rPr>
              <w:t>9</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6595.0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6568.0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340.0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430.0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770.0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5798.0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1020.0 </w:t>
            </w:r>
          </w:p>
        </w:tc>
        <w:tc>
          <w:tcPr>
            <w:tcW w:w="931" w:type="dxa"/>
            <w:vAlign w:val="center"/>
          </w:tcPr>
          <w:p>
            <w:pPr>
              <w:spacing w:line="240" w:lineRule="exact"/>
              <w:jc w:val="center"/>
              <w:rPr>
                <w:rFonts w:eastAsiaTheme="minorEastAsia"/>
                <w:sz w:val="18"/>
                <w:szCs w:val="18"/>
              </w:rPr>
            </w:pP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1110.0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2130.0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733.6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2934.4 </w:t>
            </w:r>
          </w:p>
        </w:tc>
        <w:tc>
          <w:tcPr>
            <w:tcW w:w="644" w:type="dxa"/>
            <w:vAlign w:val="center"/>
          </w:tcPr>
          <w:p>
            <w:pPr>
              <w:spacing w:line="240" w:lineRule="exact"/>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hAnsiTheme="minorEastAsia" w:eastAsiaTheme="minorEastAsia"/>
                <w:sz w:val="18"/>
                <w:szCs w:val="18"/>
              </w:rPr>
              <w:t>计</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25791.0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25684.0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1330.0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0.0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2680.0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1210.0 </w:t>
            </w: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5220.0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20464.0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4770.0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37.4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4060.0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8867.4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2531.2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9065.4 </w:t>
            </w:r>
          </w:p>
        </w:tc>
        <w:tc>
          <w:tcPr>
            <w:tcW w:w="644" w:type="dxa"/>
            <w:vAlign w:val="center"/>
          </w:tcPr>
          <w:p>
            <w:pPr>
              <w:spacing w:line="240" w:lineRule="exac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restart"/>
            <w:vAlign w:val="center"/>
          </w:tcPr>
          <w:p>
            <w:pPr>
              <w:spacing w:line="240" w:lineRule="exact"/>
              <w:jc w:val="center"/>
              <w:rPr>
                <w:rFonts w:eastAsiaTheme="minorEastAsia"/>
                <w:sz w:val="18"/>
                <w:szCs w:val="18"/>
              </w:rPr>
            </w:pPr>
            <w:r>
              <w:rPr>
                <w:rFonts w:eastAsiaTheme="minorEastAsia"/>
                <w:sz w:val="18"/>
                <w:szCs w:val="18"/>
              </w:rPr>
              <w:t>+750</w:t>
            </w:r>
          </w:p>
          <w:p>
            <w:pPr>
              <w:spacing w:line="240" w:lineRule="exact"/>
              <w:jc w:val="center"/>
              <w:rPr>
                <w:rFonts w:eastAsiaTheme="minorEastAsia"/>
                <w:sz w:val="18"/>
                <w:szCs w:val="18"/>
              </w:rPr>
            </w:pPr>
            <w:r>
              <w:rPr>
                <w:rFonts w:hAnsiTheme="minorEastAsia" w:eastAsiaTheme="minorEastAsia"/>
                <w:sz w:val="18"/>
                <w:szCs w:val="18"/>
              </w:rPr>
              <w:t>以深</w:t>
            </w:r>
          </w:p>
        </w:tc>
        <w:tc>
          <w:tcPr>
            <w:tcW w:w="583" w:type="dxa"/>
            <w:vAlign w:val="center"/>
          </w:tcPr>
          <w:p>
            <w:pPr>
              <w:spacing w:line="240" w:lineRule="exact"/>
              <w:jc w:val="center"/>
              <w:rPr>
                <w:rFonts w:eastAsiaTheme="minorEastAsia"/>
                <w:sz w:val="18"/>
                <w:szCs w:val="18"/>
              </w:rPr>
            </w:pPr>
            <w:r>
              <w:rPr>
                <w:rFonts w:eastAsiaTheme="minorEastAsia"/>
                <w:sz w:val="18"/>
                <w:szCs w:val="18"/>
              </w:rPr>
              <w:t>4</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1436.0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1436.0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51.3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91.3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1344.7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273.0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273.0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214.3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857.4 </w:t>
            </w:r>
          </w:p>
        </w:tc>
        <w:tc>
          <w:tcPr>
            <w:tcW w:w="644" w:type="dxa"/>
            <w:vAlign w:val="center"/>
          </w:tcPr>
          <w:p>
            <w:pPr>
              <w:spacing w:line="240" w:lineRule="exact"/>
              <w:jc w:val="center"/>
              <w:rPr>
                <w:rFonts w:eastAsiaTheme="minorEastAsia"/>
                <w:sz w:val="18"/>
                <w:szCs w:val="18"/>
              </w:rPr>
            </w:pPr>
            <w:r>
              <w:rPr>
                <w:rFonts w:eastAsiaTheme="minorEastAsia"/>
                <w:sz w:val="18"/>
                <w:szCs w:val="18"/>
              </w:rPr>
              <w:t>FM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eastAsiaTheme="minorEastAsia"/>
                <w:sz w:val="18"/>
                <w:szCs w:val="18"/>
              </w:rPr>
              <w:t>5</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12339.0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12339.0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460.0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174.0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825.0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1459.0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10880.0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821.6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821.6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2514.6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7543.8 </w:t>
            </w:r>
          </w:p>
        </w:tc>
        <w:tc>
          <w:tcPr>
            <w:tcW w:w="644" w:type="dxa"/>
            <w:vAlign w:val="center"/>
          </w:tcPr>
          <w:p>
            <w:pPr>
              <w:spacing w:line="240" w:lineRule="exact"/>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eastAsiaTheme="minorEastAsia"/>
                <w:sz w:val="18"/>
                <w:szCs w:val="18"/>
              </w:rPr>
              <w:t>8</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9019.0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9019.0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360.0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25.9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640.8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1026.7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7992.3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580.0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635.2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1215.2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1355.4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5421.7 </w:t>
            </w:r>
          </w:p>
        </w:tc>
        <w:tc>
          <w:tcPr>
            <w:tcW w:w="644" w:type="dxa"/>
            <w:vAlign w:val="center"/>
          </w:tcPr>
          <w:p>
            <w:pPr>
              <w:spacing w:line="240" w:lineRule="exact"/>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eastAsiaTheme="minorEastAsia"/>
                <w:sz w:val="18"/>
                <w:szCs w:val="18"/>
              </w:rPr>
              <w:t>9</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10165.0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10165.0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350.0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32.3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716.0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1098.3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9066.7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746.1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746.1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1664.1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6656.5 </w:t>
            </w:r>
          </w:p>
        </w:tc>
        <w:tc>
          <w:tcPr>
            <w:tcW w:w="644" w:type="dxa"/>
            <w:vAlign w:val="center"/>
          </w:tcPr>
          <w:p>
            <w:pPr>
              <w:spacing w:line="240" w:lineRule="exact"/>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hAnsiTheme="minorEastAsia" w:eastAsiaTheme="minorEastAsia"/>
                <w:sz w:val="18"/>
                <w:szCs w:val="18"/>
              </w:rPr>
              <w:t>计</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32959.0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32959.0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1210.0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283.5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2181.8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0.0 </w:t>
            </w: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3675.3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29283.7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580.0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2475.9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3055.9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5748.5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20479.3 </w:t>
            </w:r>
          </w:p>
        </w:tc>
        <w:tc>
          <w:tcPr>
            <w:tcW w:w="644" w:type="dxa"/>
            <w:vAlign w:val="center"/>
          </w:tcPr>
          <w:p>
            <w:pPr>
              <w:spacing w:line="240" w:lineRule="exac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restart"/>
            <w:vAlign w:val="center"/>
          </w:tcPr>
          <w:p>
            <w:pPr>
              <w:spacing w:line="240" w:lineRule="exact"/>
              <w:jc w:val="center"/>
              <w:rPr>
                <w:rFonts w:eastAsiaTheme="minorEastAsia"/>
                <w:sz w:val="18"/>
                <w:szCs w:val="18"/>
              </w:rPr>
            </w:pPr>
            <w:r>
              <w:rPr>
                <w:rFonts w:hAnsiTheme="minorEastAsia" w:eastAsiaTheme="minorEastAsia"/>
                <w:sz w:val="18"/>
                <w:szCs w:val="18"/>
              </w:rPr>
              <w:t>合计</w:t>
            </w:r>
          </w:p>
        </w:tc>
        <w:tc>
          <w:tcPr>
            <w:tcW w:w="583" w:type="dxa"/>
            <w:vAlign w:val="center"/>
          </w:tcPr>
          <w:p>
            <w:pPr>
              <w:spacing w:line="240" w:lineRule="exact"/>
              <w:jc w:val="center"/>
              <w:rPr>
                <w:rFonts w:eastAsiaTheme="minorEastAsia"/>
                <w:sz w:val="18"/>
                <w:szCs w:val="18"/>
              </w:rPr>
            </w:pPr>
            <w:r>
              <w:rPr>
                <w:rFonts w:eastAsiaTheme="minorEastAsia"/>
                <w:sz w:val="18"/>
                <w:szCs w:val="18"/>
              </w:rPr>
              <w:t>4</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4310.0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4292.0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180.0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51.3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610.0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650.0 </w:t>
            </w: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1491.3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2800.7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490.0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284.2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520.0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1294.2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301.3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1205.2 </w:t>
            </w:r>
          </w:p>
        </w:tc>
        <w:tc>
          <w:tcPr>
            <w:tcW w:w="644" w:type="dxa"/>
            <w:vAlign w:val="center"/>
          </w:tcPr>
          <w:p>
            <w:pPr>
              <w:spacing w:line="240" w:lineRule="exact"/>
              <w:jc w:val="center"/>
              <w:rPr>
                <w:rFonts w:eastAsiaTheme="minorEastAsia"/>
                <w:sz w:val="18"/>
                <w:szCs w:val="18"/>
              </w:rPr>
            </w:pPr>
            <w:r>
              <w:rPr>
                <w:rFonts w:eastAsiaTheme="minorEastAsia"/>
                <w:sz w:val="18"/>
                <w:szCs w:val="18"/>
              </w:rPr>
              <w:t>FM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eastAsiaTheme="minorEastAsia"/>
                <w:sz w:val="18"/>
                <w:szCs w:val="18"/>
              </w:rPr>
              <w:t>5</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22540.0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22512.0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950.0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174.0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1975.0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560.0 </w:t>
            </w: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3659.0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18853.0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2310.0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847.8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1400.0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4557.8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3573.8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10721.4 </w:t>
            </w:r>
          </w:p>
        </w:tc>
        <w:tc>
          <w:tcPr>
            <w:tcW w:w="644" w:type="dxa"/>
            <w:vAlign w:val="center"/>
          </w:tcPr>
          <w:p>
            <w:pPr>
              <w:spacing w:line="240" w:lineRule="exact"/>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eastAsiaTheme="minorEastAsia"/>
                <w:sz w:val="18"/>
                <w:szCs w:val="18"/>
              </w:rPr>
              <w:t>8</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15140.0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15106.0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720.0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25.9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1130.8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0.0 </w:t>
            </w: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1876.7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13229.3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1530.0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635.2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1030.0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3195.2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2006.8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8027.3 </w:t>
            </w:r>
          </w:p>
        </w:tc>
        <w:tc>
          <w:tcPr>
            <w:tcW w:w="644" w:type="dxa"/>
            <w:vAlign w:val="center"/>
          </w:tcPr>
          <w:p>
            <w:pPr>
              <w:spacing w:line="240" w:lineRule="exact"/>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eastAsiaTheme="minorEastAsia"/>
                <w:sz w:val="18"/>
                <w:szCs w:val="18"/>
              </w:rPr>
              <w:t>9</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16760.0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16733.0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690.0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32.3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1146.0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0.0 </w:t>
            </w: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1868.3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14864.7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1020.0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746.1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1110.0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2876.1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2397.7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9590.9 </w:t>
            </w:r>
          </w:p>
        </w:tc>
        <w:tc>
          <w:tcPr>
            <w:tcW w:w="644" w:type="dxa"/>
            <w:vAlign w:val="center"/>
          </w:tcPr>
          <w:p>
            <w:pPr>
              <w:spacing w:line="240" w:lineRule="exact"/>
              <w:jc w:val="center"/>
              <w:rPr>
                <w:rFonts w:eastAsiaTheme="minorEastAsia"/>
                <w:sz w:val="18"/>
                <w:szCs w:val="18"/>
              </w:rPr>
            </w:pPr>
            <w:r>
              <w:rPr>
                <w:rFonts w:eastAsiaTheme="minorEastAsia"/>
                <w:sz w:val="18"/>
                <w:szCs w:val="18"/>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exact"/>
          <w:jc w:val="center"/>
        </w:trPr>
        <w:tc>
          <w:tcPr>
            <w:tcW w:w="667" w:type="dxa"/>
            <w:vMerge w:val="continue"/>
            <w:vAlign w:val="center"/>
          </w:tcPr>
          <w:p>
            <w:pPr>
              <w:spacing w:line="240" w:lineRule="exact"/>
              <w:jc w:val="center"/>
              <w:rPr>
                <w:rFonts w:eastAsiaTheme="minorEastAsia"/>
                <w:sz w:val="18"/>
                <w:szCs w:val="18"/>
              </w:rPr>
            </w:pPr>
          </w:p>
        </w:tc>
        <w:tc>
          <w:tcPr>
            <w:tcW w:w="583" w:type="dxa"/>
            <w:vAlign w:val="center"/>
          </w:tcPr>
          <w:p>
            <w:pPr>
              <w:spacing w:line="240" w:lineRule="exact"/>
              <w:jc w:val="center"/>
              <w:rPr>
                <w:rFonts w:eastAsiaTheme="minorEastAsia"/>
                <w:sz w:val="18"/>
                <w:szCs w:val="18"/>
              </w:rPr>
            </w:pPr>
            <w:r>
              <w:rPr>
                <w:rFonts w:hAnsiTheme="minorEastAsia" w:eastAsiaTheme="minorEastAsia"/>
                <w:sz w:val="18"/>
                <w:szCs w:val="18"/>
              </w:rPr>
              <w:t>计</w:t>
            </w:r>
          </w:p>
        </w:tc>
        <w:tc>
          <w:tcPr>
            <w:tcW w:w="953"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58750.0 </w:t>
            </w:r>
          </w:p>
        </w:tc>
        <w:tc>
          <w:tcPr>
            <w:tcW w:w="952" w:type="dxa"/>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58643.0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2540.0 </w:t>
            </w:r>
          </w:p>
        </w:tc>
        <w:tc>
          <w:tcPr>
            <w:tcW w:w="116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283.5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4861.8 </w:t>
            </w:r>
          </w:p>
        </w:tc>
        <w:tc>
          <w:tcPr>
            <w:tcW w:w="874"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1210.0 </w:t>
            </w:r>
          </w:p>
        </w:tc>
        <w:tc>
          <w:tcPr>
            <w:tcW w:w="1047" w:type="dxa"/>
            <w:vAlign w:val="center"/>
          </w:tcPr>
          <w:p>
            <w:pPr>
              <w:spacing w:line="240" w:lineRule="exact"/>
              <w:jc w:val="center"/>
              <w:rPr>
                <w:rFonts w:eastAsiaTheme="minorEastAsia"/>
                <w:sz w:val="18"/>
                <w:szCs w:val="18"/>
              </w:rPr>
            </w:pPr>
            <w:r>
              <w:rPr>
                <w:rFonts w:eastAsiaTheme="minorEastAsia"/>
                <w:sz w:val="18"/>
                <w:szCs w:val="18"/>
              </w:rPr>
              <w:t xml:space="preserve">8895.3 </w:t>
            </w:r>
          </w:p>
        </w:tc>
        <w:tc>
          <w:tcPr>
            <w:tcW w:w="1009" w:type="dxa"/>
            <w:vAlign w:val="center"/>
          </w:tcPr>
          <w:p>
            <w:pPr>
              <w:spacing w:line="240" w:lineRule="exact"/>
              <w:jc w:val="center"/>
              <w:rPr>
                <w:rFonts w:eastAsiaTheme="minorEastAsia"/>
                <w:sz w:val="18"/>
                <w:szCs w:val="18"/>
              </w:rPr>
            </w:pPr>
            <w:r>
              <w:rPr>
                <w:rFonts w:eastAsiaTheme="minorEastAsia"/>
                <w:sz w:val="18"/>
                <w:szCs w:val="18"/>
              </w:rPr>
              <w:t xml:space="preserve">49747.7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5350.0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2513.3 </w:t>
            </w:r>
          </w:p>
        </w:tc>
        <w:tc>
          <w:tcPr>
            <w:tcW w:w="931"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4060.0 </w:t>
            </w:r>
          </w:p>
        </w:tc>
        <w:tc>
          <w:tcPr>
            <w:tcW w:w="931" w:type="dxa"/>
            <w:vAlign w:val="center"/>
          </w:tcPr>
          <w:p>
            <w:pPr>
              <w:spacing w:line="240" w:lineRule="exact"/>
              <w:jc w:val="center"/>
              <w:rPr>
                <w:rFonts w:eastAsiaTheme="minorEastAsia"/>
                <w:sz w:val="18"/>
                <w:szCs w:val="18"/>
              </w:rPr>
            </w:pPr>
            <w:r>
              <w:rPr>
                <w:rFonts w:eastAsiaTheme="minorEastAsia"/>
                <w:sz w:val="18"/>
                <w:szCs w:val="18"/>
              </w:rPr>
              <w:t xml:space="preserve">11923.3 </w:t>
            </w:r>
          </w:p>
        </w:tc>
        <w:tc>
          <w:tcPr>
            <w:tcW w:w="896" w:type="dxa"/>
            <w:vAlign w:val="center"/>
          </w:tcPr>
          <w:p>
            <w:pPr>
              <w:spacing w:line="240" w:lineRule="exact"/>
              <w:jc w:val="center"/>
              <w:rPr>
                <w:rFonts w:eastAsiaTheme="minorEastAsia"/>
                <w:sz w:val="18"/>
                <w:szCs w:val="18"/>
              </w:rPr>
            </w:pPr>
            <w:r>
              <w:rPr>
                <w:rFonts w:eastAsiaTheme="minorEastAsia"/>
                <w:sz w:val="18"/>
                <w:szCs w:val="18"/>
              </w:rPr>
              <w:t xml:space="preserve">8279.6 </w:t>
            </w:r>
          </w:p>
        </w:tc>
        <w:tc>
          <w:tcPr>
            <w:tcW w:w="1048" w:type="dxa"/>
            <w:noWrap/>
            <w:tcMar>
              <w:top w:w="20" w:type="dxa"/>
              <w:left w:w="20" w:type="dxa"/>
              <w:bottom w:w="0" w:type="dxa"/>
              <w:right w:w="20" w:type="dxa"/>
            </w:tcMar>
            <w:vAlign w:val="center"/>
          </w:tcPr>
          <w:p>
            <w:pPr>
              <w:spacing w:line="240" w:lineRule="exact"/>
              <w:jc w:val="center"/>
              <w:rPr>
                <w:rFonts w:eastAsiaTheme="minorEastAsia"/>
                <w:sz w:val="18"/>
                <w:szCs w:val="18"/>
              </w:rPr>
            </w:pPr>
            <w:r>
              <w:rPr>
                <w:rFonts w:eastAsiaTheme="minorEastAsia"/>
                <w:sz w:val="18"/>
                <w:szCs w:val="18"/>
              </w:rPr>
              <w:t xml:space="preserve">29544.8 </w:t>
            </w:r>
          </w:p>
        </w:tc>
        <w:tc>
          <w:tcPr>
            <w:tcW w:w="644" w:type="dxa"/>
            <w:vAlign w:val="center"/>
          </w:tcPr>
          <w:p>
            <w:pPr>
              <w:spacing w:line="240" w:lineRule="exact"/>
              <w:jc w:val="center"/>
              <w:rPr>
                <w:rFonts w:eastAsiaTheme="minorEastAsia"/>
                <w:sz w:val="18"/>
                <w:szCs w:val="18"/>
              </w:rPr>
            </w:pPr>
          </w:p>
        </w:tc>
      </w:tr>
    </w:tbl>
    <w:p/>
    <w:p>
      <w:pPr>
        <w:spacing w:line="360" w:lineRule="auto"/>
        <w:ind w:firstLine="482" w:firstLineChars="200"/>
        <w:rPr>
          <w:rFonts w:hAnsiTheme="minorEastAsia" w:eastAsiaTheme="minorEastAsia"/>
          <w:b/>
          <w:sz w:val="24"/>
        </w:rPr>
        <w:sectPr>
          <w:pgSz w:w="16838" w:h="11906" w:orient="landscape"/>
          <w:pgMar w:top="1418" w:right="1701" w:bottom="1418" w:left="1701" w:header="992" w:footer="992" w:gutter="0"/>
          <w:cols w:space="425" w:num="1"/>
          <w:docGrid w:type="lines" w:linePitch="312" w:charSpace="0"/>
        </w:sectPr>
      </w:pPr>
    </w:p>
    <w:p>
      <w:pPr>
        <w:spacing w:line="360" w:lineRule="auto"/>
        <w:outlineLvl w:val="3"/>
        <w:rPr>
          <w:rFonts w:eastAsiaTheme="minorEastAsia"/>
          <w:b/>
          <w:sz w:val="24"/>
        </w:rPr>
      </w:pPr>
      <w:r>
        <w:rPr>
          <w:rFonts w:eastAsiaTheme="minorEastAsia"/>
          <w:b/>
          <w:sz w:val="24"/>
        </w:rPr>
        <w:t>3.2.</w:t>
      </w:r>
      <w:r>
        <w:rPr>
          <w:rFonts w:hint="eastAsia" w:eastAsiaTheme="minorEastAsia"/>
          <w:b/>
          <w:sz w:val="24"/>
        </w:rPr>
        <w:t>6</w:t>
      </w:r>
      <w:r>
        <w:rPr>
          <w:rFonts w:eastAsiaTheme="minorEastAsia"/>
          <w:b/>
          <w:sz w:val="24"/>
        </w:rPr>
        <w:t>.3</w:t>
      </w:r>
      <w:r>
        <w:rPr>
          <w:rFonts w:hint="eastAsia" w:hAnsiTheme="minorEastAsia" w:eastAsiaTheme="minorEastAsia"/>
          <w:b/>
          <w:sz w:val="24"/>
        </w:rPr>
        <w:t>矿井</w:t>
      </w:r>
      <w:r>
        <w:rPr>
          <w:rFonts w:hAnsiTheme="minorEastAsia" w:eastAsiaTheme="minorEastAsia"/>
          <w:b/>
          <w:sz w:val="24"/>
        </w:rPr>
        <w:t>服务年限</w:t>
      </w:r>
    </w:p>
    <w:p>
      <w:pPr>
        <w:pStyle w:val="85"/>
        <w:adjustRightInd/>
        <w:snapToGrid/>
        <w:ind w:firstLine="480"/>
        <w:rPr>
          <w:rFonts w:ascii="Times New Roman" w:hAnsi="Times New Roman" w:cs="Times New Roman"/>
          <w:color w:val="auto"/>
          <w:sz w:val="24"/>
          <w:szCs w:val="24"/>
        </w:rPr>
      </w:pPr>
      <w:r>
        <w:rPr>
          <w:rFonts w:ascii="Times New Roman" w:hAnsi="Times New Roman" w:cs="Times New Roman"/>
          <w:color w:val="auto"/>
          <w:sz w:val="24"/>
          <w:szCs w:val="24"/>
        </w:rPr>
        <w:t>1</w:t>
      </w:r>
      <w:r>
        <w:rPr>
          <w:rFonts w:ascii="Times New Roman" w:cs="Times New Roman" w:hAnsiTheme="minorEastAsia"/>
          <w:color w:val="auto"/>
          <w:sz w:val="24"/>
          <w:szCs w:val="24"/>
        </w:rPr>
        <w:t>、</w:t>
      </w:r>
      <w:r>
        <w:rPr>
          <w:rFonts w:hint="eastAsia" w:ascii="Times New Roman" w:cs="Times New Roman" w:hAnsiTheme="minorEastAsia"/>
          <w:color w:val="auto"/>
          <w:sz w:val="24"/>
          <w:szCs w:val="24"/>
        </w:rPr>
        <w:t>矿井</w:t>
      </w:r>
      <w:r>
        <w:rPr>
          <w:rFonts w:ascii="Times New Roman" w:cs="Times New Roman" w:hAnsiTheme="minorEastAsia"/>
          <w:color w:val="auto"/>
          <w:sz w:val="24"/>
          <w:szCs w:val="24"/>
        </w:rPr>
        <w:t>工作制度</w:t>
      </w:r>
    </w:p>
    <w:p>
      <w:pPr>
        <w:spacing w:line="360" w:lineRule="auto"/>
        <w:ind w:firstLine="480" w:firstLineChars="200"/>
        <w:rPr>
          <w:rFonts w:hAnsi="宋体"/>
          <w:sz w:val="24"/>
        </w:rPr>
      </w:pPr>
      <w:r>
        <w:rPr>
          <w:rFonts w:hint="eastAsia" w:hAnsi="宋体"/>
          <w:sz w:val="24"/>
        </w:rPr>
        <w:t>矿井设计年工作日为330d，日提煤时间18h。</w:t>
      </w:r>
    </w:p>
    <w:p>
      <w:pPr>
        <w:spacing w:line="360" w:lineRule="auto"/>
        <w:ind w:firstLine="480" w:firstLineChars="200"/>
        <w:rPr>
          <w:rFonts w:hAnsi="宋体"/>
          <w:sz w:val="24"/>
        </w:rPr>
      </w:pPr>
      <w:r>
        <w:rPr>
          <w:rFonts w:hint="eastAsia" w:hAnsi="宋体"/>
          <w:sz w:val="24"/>
        </w:rPr>
        <w:t>地面采用“三八”制，每天3班作业，其中2班生产、1班检修。</w:t>
      </w:r>
    </w:p>
    <w:p>
      <w:pPr>
        <w:spacing w:line="360" w:lineRule="auto"/>
        <w:ind w:firstLine="480" w:firstLineChars="200"/>
        <w:rPr>
          <w:rFonts w:hAnsiTheme="minorEastAsia" w:eastAsiaTheme="minorEastAsia"/>
          <w:sz w:val="24"/>
        </w:rPr>
      </w:pPr>
      <w:r>
        <w:rPr>
          <w:rFonts w:hint="eastAsia" w:hAnsi="宋体"/>
          <w:sz w:val="24"/>
        </w:rPr>
        <w:t>井下采用“四六”制，每天4班作业，其中3班生产、1班检修。</w:t>
      </w:r>
    </w:p>
    <w:p>
      <w:pPr>
        <w:spacing w:line="360" w:lineRule="auto"/>
        <w:ind w:firstLine="480" w:firstLineChars="200"/>
        <w:rPr>
          <w:rFonts w:eastAsiaTheme="minorEastAsia"/>
          <w:sz w:val="24"/>
        </w:rPr>
      </w:pPr>
      <w:r>
        <w:rPr>
          <w:rFonts w:eastAsiaTheme="minorEastAsia"/>
          <w:sz w:val="24"/>
        </w:rPr>
        <w:t>2</w:t>
      </w:r>
      <w:r>
        <w:rPr>
          <w:rFonts w:hAnsiTheme="minorEastAsia" w:eastAsiaTheme="minorEastAsia"/>
          <w:sz w:val="24"/>
        </w:rPr>
        <w:t>、</w:t>
      </w:r>
      <w:r>
        <w:rPr>
          <w:rFonts w:hint="eastAsia" w:hAnsiTheme="minorEastAsia" w:eastAsiaTheme="minorEastAsia"/>
          <w:sz w:val="24"/>
        </w:rPr>
        <w:t>矿井生产能力</w:t>
      </w:r>
    </w:p>
    <w:p>
      <w:pPr>
        <w:spacing w:line="360" w:lineRule="auto"/>
        <w:ind w:firstLine="480" w:firstLineChars="200"/>
        <w:rPr>
          <w:rFonts w:hAnsi="宋体"/>
          <w:sz w:val="24"/>
        </w:rPr>
      </w:pPr>
      <w:r>
        <w:rPr>
          <w:rFonts w:hint="eastAsia" w:hAnsi="宋体"/>
          <w:sz w:val="24"/>
        </w:rPr>
        <w:t>矿井设计生产能力为1.20Mt/a。</w:t>
      </w:r>
    </w:p>
    <w:p>
      <w:pPr>
        <w:spacing w:line="360" w:lineRule="auto"/>
        <w:ind w:firstLine="480" w:firstLineChars="200"/>
        <w:rPr>
          <w:rFonts w:eastAsiaTheme="minorEastAsia"/>
          <w:sz w:val="24"/>
        </w:rPr>
      </w:pPr>
      <w:r>
        <w:rPr>
          <w:rFonts w:eastAsiaTheme="minorEastAsia"/>
          <w:sz w:val="24"/>
        </w:rPr>
        <w:t>3</w:t>
      </w:r>
      <w:r>
        <w:rPr>
          <w:rFonts w:hAnsiTheme="minorEastAsia" w:eastAsiaTheme="minorEastAsia"/>
          <w:sz w:val="24"/>
        </w:rPr>
        <w:t>、服务年限</w:t>
      </w:r>
    </w:p>
    <w:p>
      <w:pPr>
        <w:pStyle w:val="85"/>
        <w:adjustRightInd/>
        <w:snapToGrid/>
        <w:ind w:firstLine="482"/>
        <w:rPr>
          <w:rFonts w:ascii="Times New Roman" w:cs="Times New Roman" w:hAnsiTheme="minorEastAsia"/>
          <w:color w:val="auto"/>
          <w:sz w:val="24"/>
          <w:szCs w:val="24"/>
        </w:rPr>
      </w:pPr>
      <w:r>
        <w:rPr>
          <w:rFonts w:hint="eastAsia" w:ascii="Times New Roman" w:cs="Times New Roman" w:hAnsiTheme="minorEastAsia"/>
          <w:b/>
          <w:color w:val="auto"/>
          <w:sz w:val="24"/>
          <w:szCs w:val="24"/>
        </w:rPr>
        <w:t>原环评：</w:t>
      </w:r>
      <w:r>
        <w:rPr>
          <w:rFonts w:hint="eastAsia" w:ascii="Times New Roman" w:cs="Times New Roman" w:hAnsiTheme="minorEastAsia"/>
          <w:color w:val="auto"/>
          <w:sz w:val="24"/>
          <w:szCs w:val="24"/>
        </w:rPr>
        <w:t>矿井</w:t>
      </w:r>
      <w:r>
        <w:rPr>
          <w:rFonts w:ascii="Times New Roman" w:cs="Times New Roman" w:hAnsiTheme="minorEastAsia"/>
          <w:color w:val="auto"/>
          <w:sz w:val="24"/>
          <w:szCs w:val="24"/>
        </w:rPr>
        <w:t>服务年限</w:t>
      </w:r>
      <w:r>
        <w:rPr>
          <w:rFonts w:hint="eastAsia" w:ascii="Times New Roman" w:hAnsi="Times New Roman" w:cs="Times New Roman"/>
          <w:color w:val="auto"/>
          <w:sz w:val="24"/>
          <w:szCs w:val="24"/>
        </w:rPr>
        <w:t>18.9</w:t>
      </w:r>
      <w:r>
        <w:rPr>
          <w:rFonts w:ascii="Times New Roman" w:hAnsi="Times New Roman" w:cs="Times New Roman"/>
          <w:color w:val="auto"/>
          <w:sz w:val="24"/>
          <w:szCs w:val="24"/>
        </w:rPr>
        <w:t xml:space="preserve"> a</w:t>
      </w:r>
      <w:r>
        <w:rPr>
          <w:rFonts w:ascii="Times New Roman" w:cs="Times New Roman" w:hAnsiTheme="minorEastAsia"/>
          <w:color w:val="auto"/>
          <w:sz w:val="24"/>
          <w:szCs w:val="24"/>
        </w:rPr>
        <w:t>。</w:t>
      </w:r>
    </w:p>
    <w:p>
      <w:pPr>
        <w:pStyle w:val="85"/>
        <w:adjustRightInd/>
        <w:snapToGrid/>
        <w:ind w:firstLine="482"/>
        <w:rPr>
          <w:rFonts w:ascii="Times New Roman" w:cs="Times New Roman" w:hAnsiTheme="minorEastAsia"/>
          <w:color w:val="auto"/>
          <w:sz w:val="24"/>
          <w:szCs w:val="24"/>
        </w:rPr>
      </w:pPr>
      <w:r>
        <w:rPr>
          <w:rFonts w:hint="eastAsia" w:ascii="Times New Roman" w:cs="Times New Roman" w:hAnsiTheme="minorEastAsia"/>
          <w:b/>
          <w:color w:val="auto"/>
          <w:sz w:val="24"/>
          <w:szCs w:val="24"/>
        </w:rPr>
        <w:t>变更后</w:t>
      </w:r>
      <w:r>
        <w:rPr>
          <w:rFonts w:hint="eastAsia" w:ascii="Times New Roman" w:cs="Times New Roman" w:hAnsiTheme="minorEastAsia"/>
          <w:color w:val="auto"/>
          <w:sz w:val="24"/>
          <w:szCs w:val="24"/>
        </w:rPr>
        <w:t>：</w:t>
      </w:r>
      <w:r>
        <w:rPr>
          <w:rFonts w:hint="eastAsia" w:ascii="Times New Roman" w:hAnsi="宋体" w:eastAsia="宋体" w:cs="Times New Roman"/>
          <w:color w:val="auto"/>
          <w:sz w:val="24"/>
          <w:szCs w:val="24"/>
        </w:rPr>
        <w:t>由于可采储量调整，矿井服务年限相应变更</w:t>
      </w:r>
      <w:r>
        <w:rPr>
          <w:rFonts w:hint="eastAsia" w:ascii="Times New Roman" w:cs="Times New Roman" w:hAnsiTheme="minorEastAsia"/>
          <w:color w:val="auto"/>
          <w:sz w:val="24"/>
          <w:szCs w:val="24"/>
        </w:rPr>
        <w:t>。</w:t>
      </w:r>
    </w:p>
    <w:p>
      <w:pPr>
        <w:pStyle w:val="85"/>
        <w:adjustRightInd/>
        <w:snapToGrid/>
        <w:ind w:firstLine="480"/>
        <w:rPr>
          <w:rFonts w:ascii="Times New Roman" w:hAnsi="Times New Roman" w:cs="Times New Roman"/>
          <w:color w:val="auto"/>
          <w:sz w:val="24"/>
          <w:szCs w:val="24"/>
        </w:rPr>
      </w:pPr>
      <w:r>
        <w:rPr>
          <w:rFonts w:ascii="Times New Roman" w:cs="Times New Roman" w:hAnsiTheme="minorEastAsia"/>
          <w:color w:val="auto"/>
          <w:sz w:val="24"/>
          <w:szCs w:val="24"/>
        </w:rPr>
        <w:t>矿井服务年限按下式计算：</w:t>
      </w:r>
    </w:p>
    <w:p>
      <w:pPr>
        <w:pStyle w:val="85"/>
        <w:adjustRightInd/>
        <w:snapToGrid/>
        <w:ind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12"/>
          <w:sz w:val="24"/>
          <w:szCs w:val="24"/>
        </w:rPr>
        <w:object>
          <v:shape id="_x0000_i1025" o:spt="75" type="#_x0000_t75" style="height:13.5pt;width:88.5pt;" o:ole="t" filled="f" o:preferrelative="t" stroked="f" coordsize="21600,21600">
            <v:path/>
            <v:fill on="f" focussize="0,0"/>
            <v:stroke on="f" joinstyle="miter"/>
            <v:imagedata r:id="rId51" o:title=""/>
            <o:lock v:ext="edit" aspectratio="t"/>
            <w10:wrap type="none"/>
            <w10:anchorlock/>
          </v:shape>
          <o:OLEObject Type="Embed" ProgID="Equation.DSMT4" ShapeID="_x0000_i1025" DrawAspect="Content" ObjectID="_1468075725" r:id="rId50">
            <o:LockedField>false</o:LockedField>
          </o:OLEObject>
        </w:object>
      </w:r>
    </w:p>
    <w:p>
      <w:pPr>
        <w:pStyle w:val="85"/>
        <w:ind w:firstLine="480"/>
        <w:rPr>
          <w:rFonts w:ascii="Times New Roman" w:hAnsi="Times New Roman" w:cs="Times New Roman"/>
          <w:color w:val="auto"/>
          <w:sz w:val="24"/>
          <w:szCs w:val="24"/>
        </w:rPr>
      </w:pPr>
      <w:r>
        <w:rPr>
          <w:rFonts w:ascii="Times New Roman" w:cs="Times New Roman" w:hAnsiTheme="minorEastAsia"/>
          <w:color w:val="auto"/>
          <w:sz w:val="24"/>
          <w:szCs w:val="24"/>
        </w:rPr>
        <w:t>式中：</w:t>
      </w:r>
      <w:r>
        <w:rPr>
          <w:rFonts w:ascii="Times New Roman" w:hAnsi="Times New Roman" w:cs="Times New Roman"/>
          <w:color w:val="auto"/>
          <w:position w:val="-4"/>
          <w:sz w:val="24"/>
          <w:szCs w:val="24"/>
        </w:rPr>
        <w:object>
          <v:shape id="_x0000_i1026" o:spt="75" type="#_x0000_t75" style="height:10.5pt;width:7.5pt;" o:ole="t" filled="f" o:preferrelative="t" stroked="f" coordsize="21600,21600">
            <v:path/>
            <v:fill on="f" focussize="0,0"/>
            <v:stroke on="f" joinstyle="miter"/>
            <v:imagedata r:id="rId53" o:title=""/>
            <o:lock v:ext="edit" aspectratio="t"/>
            <w10:wrap type="none"/>
            <w10:anchorlock/>
          </v:shape>
          <o:OLEObject Type="Embed" ProgID="Equation.DSMT4" ShapeID="_x0000_i1026" DrawAspect="Content" ObjectID="_1468075726" r:id="rId52">
            <o:LockedField>false</o:LockedField>
          </o:OLEObject>
        </w:object>
      </w:r>
      <w:r>
        <w:rPr>
          <w:rFonts w:ascii="Times New Roman" w:hAnsi="Times New Roman" w:cs="Times New Roman"/>
          <w:color w:val="auto"/>
          <w:sz w:val="24"/>
          <w:szCs w:val="24"/>
        </w:rPr>
        <w:t xml:space="preserve"> — </w:t>
      </w:r>
      <w:r>
        <w:rPr>
          <w:rFonts w:ascii="Times New Roman" w:cs="Times New Roman" w:hAnsiTheme="minorEastAsia"/>
          <w:color w:val="auto"/>
          <w:sz w:val="24"/>
          <w:szCs w:val="24"/>
        </w:rPr>
        <w:t>服务年限，</w:t>
      </w:r>
      <w:r>
        <w:rPr>
          <w:rFonts w:ascii="Times New Roman" w:hAnsi="Times New Roman" w:cs="Times New Roman"/>
          <w:color w:val="auto"/>
          <w:sz w:val="24"/>
          <w:szCs w:val="24"/>
        </w:rPr>
        <w:t>a</w:t>
      </w:r>
      <w:r>
        <w:rPr>
          <w:rFonts w:ascii="Times New Roman" w:cs="Times New Roman" w:hAnsiTheme="minorEastAsia"/>
          <w:color w:val="auto"/>
          <w:sz w:val="24"/>
          <w:szCs w:val="24"/>
        </w:rPr>
        <w:t>；</w:t>
      </w:r>
    </w:p>
    <w:p>
      <w:pPr>
        <w:pStyle w:val="85"/>
        <w:ind w:firstLine="48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position w:val="-4"/>
          <w:sz w:val="24"/>
          <w:szCs w:val="24"/>
        </w:rPr>
        <w:object>
          <v:shape id="_x0000_i1027" o:spt="75" type="#_x0000_t75" style="height:10.5pt;width:10.5pt;" o:ole="t" filled="f" o:preferrelative="t" stroked="f" coordsize="21600,21600">
            <v:path/>
            <v:fill on="f" focussize="0,0"/>
            <v:stroke on="f" joinstyle="miter"/>
            <v:imagedata r:id="rId55" o:title=""/>
            <o:lock v:ext="edit" aspectratio="t"/>
            <w10:wrap type="none"/>
            <w10:anchorlock/>
          </v:shape>
          <o:OLEObject Type="Embed" ProgID="Equation.DSMT4" ShapeID="_x0000_i1027" DrawAspect="Content" ObjectID="_1468075727" r:id="rId54">
            <o:LockedField>false</o:LockedField>
          </o:OLEObject>
        </w:object>
      </w:r>
      <w:r>
        <w:rPr>
          <w:rFonts w:ascii="Times New Roman" w:hAnsi="Times New Roman" w:cs="Times New Roman"/>
          <w:color w:val="auto"/>
          <w:sz w:val="24"/>
          <w:szCs w:val="24"/>
        </w:rPr>
        <w:t xml:space="preserve"> — </w:t>
      </w:r>
      <w:r>
        <w:rPr>
          <w:rFonts w:ascii="Times New Roman" w:cs="Times New Roman" w:hAnsiTheme="minorEastAsia"/>
          <w:color w:val="auto"/>
          <w:sz w:val="24"/>
          <w:szCs w:val="24"/>
        </w:rPr>
        <w:t>设计可采储量，万</w:t>
      </w:r>
      <w:r>
        <w:rPr>
          <w:rFonts w:ascii="Times New Roman" w:hAnsi="Times New Roman" w:cs="Times New Roman"/>
          <w:color w:val="auto"/>
          <w:sz w:val="24"/>
          <w:szCs w:val="24"/>
        </w:rPr>
        <w:t>t</w:t>
      </w:r>
      <w:r>
        <w:rPr>
          <w:rFonts w:ascii="Times New Roman" w:cs="Times New Roman" w:hAnsiTheme="minorEastAsia"/>
          <w:color w:val="auto"/>
          <w:sz w:val="24"/>
          <w:szCs w:val="24"/>
        </w:rPr>
        <w:t>；</w:t>
      </w:r>
    </w:p>
    <w:p>
      <w:pPr>
        <w:pStyle w:val="85"/>
        <w:ind w:firstLine="48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rPr>
        <w:object>
          <v:shape id="_x0000_i1028" o:spt="75" type="#_x0000_t75" style="height:10.5pt;width:10.5pt;" o:ole="t" filled="f" o:preferrelative="t" stroked="f" coordsize="21600,21600">
            <v:path/>
            <v:fill on="f" focussize="0,0"/>
            <v:stroke on="f" joinstyle="miter"/>
            <v:imagedata r:id="rId57" o:title=""/>
            <o:lock v:ext="edit" aspectratio="t"/>
            <w10:wrap type="none"/>
            <w10:anchorlock/>
          </v:shape>
          <o:OLEObject Type="Embed" ProgID="Equation.DSMT4" ShapeID="_x0000_i1028" DrawAspect="Content" ObjectID="_1468075728" r:id="rId56">
            <o:LockedField>false</o:LockedField>
          </o:OLEObject>
        </w:object>
      </w:r>
      <w:r>
        <w:rPr>
          <w:rFonts w:ascii="Times New Roman" w:hAnsi="Times New Roman" w:cs="Times New Roman"/>
          <w:color w:val="auto"/>
          <w:sz w:val="24"/>
          <w:szCs w:val="24"/>
        </w:rPr>
        <w:t xml:space="preserve"> — </w:t>
      </w:r>
      <w:r>
        <w:rPr>
          <w:rFonts w:ascii="Times New Roman" w:cs="Times New Roman" w:hAnsiTheme="minorEastAsia"/>
          <w:color w:val="auto"/>
          <w:sz w:val="24"/>
          <w:szCs w:val="24"/>
        </w:rPr>
        <w:t>设计生产能力，万</w:t>
      </w:r>
      <w:r>
        <w:rPr>
          <w:rFonts w:ascii="Times New Roman" w:hAnsi="Times New Roman" w:cs="Times New Roman"/>
          <w:color w:val="auto"/>
          <w:sz w:val="24"/>
          <w:szCs w:val="24"/>
        </w:rPr>
        <w:t>t/a</w:t>
      </w:r>
      <w:r>
        <w:rPr>
          <w:rFonts w:ascii="Times New Roman" w:cs="Times New Roman" w:hAnsiTheme="minorEastAsia"/>
          <w:color w:val="auto"/>
          <w:sz w:val="24"/>
          <w:szCs w:val="24"/>
        </w:rPr>
        <w:t>；</w:t>
      </w:r>
    </w:p>
    <w:p>
      <w:pPr>
        <w:pStyle w:val="85"/>
        <w:ind w:firstLine="48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rPr>
        <w:object>
          <v:shape id="_x0000_i1029" o:spt="75" type="#_x0000_t75" style="height:10.5pt;width:13.5pt;" o:ole="t" filled="f" o:preferrelative="t" stroked="f" coordsize="21600,21600">
            <v:path/>
            <v:fill on="f" focussize="0,0"/>
            <v:stroke on="f" joinstyle="miter"/>
            <v:imagedata r:id="rId59" o:title=""/>
            <o:lock v:ext="edit" aspectratio="t"/>
            <w10:wrap type="none"/>
            <w10:anchorlock/>
          </v:shape>
          <o:OLEObject Type="Embed" ProgID="Equation.DSMT4" ShapeID="_x0000_i1029" DrawAspect="Content" ObjectID="_1468075729" r:id="rId58">
            <o:LockedField>false</o:LockedField>
          </o:OLEObject>
        </w:object>
      </w:r>
      <w:r>
        <w:rPr>
          <w:rFonts w:ascii="Times New Roman" w:hAnsi="Times New Roman" w:cs="Times New Roman"/>
          <w:color w:val="auto"/>
          <w:sz w:val="24"/>
          <w:szCs w:val="24"/>
        </w:rPr>
        <w:t xml:space="preserve"> — </w:t>
      </w:r>
      <w:r>
        <w:rPr>
          <w:rFonts w:ascii="Times New Roman" w:cs="Times New Roman" w:hAnsiTheme="minorEastAsia"/>
          <w:color w:val="auto"/>
          <w:sz w:val="24"/>
          <w:szCs w:val="24"/>
        </w:rPr>
        <w:t>储量备用系数，取</w:t>
      </w:r>
      <w:r>
        <w:rPr>
          <w:rFonts w:ascii="Times New Roman" w:hAnsi="Times New Roman" w:cs="Times New Roman"/>
          <w:color w:val="auto"/>
          <w:sz w:val="24"/>
          <w:szCs w:val="24"/>
        </w:rPr>
        <w:t>1.</w:t>
      </w:r>
      <w:r>
        <w:rPr>
          <w:rFonts w:hint="eastAsia" w:ascii="Times New Roman" w:hAnsi="Times New Roman" w:cs="Times New Roman"/>
          <w:color w:val="auto"/>
          <w:sz w:val="24"/>
          <w:szCs w:val="24"/>
        </w:rPr>
        <w:t>35</w:t>
      </w:r>
      <w:r>
        <w:rPr>
          <w:rFonts w:ascii="Times New Roman" w:cs="Times New Roman" w:hAnsiTheme="minorEastAsia"/>
          <w:color w:val="auto"/>
          <w:sz w:val="24"/>
          <w:szCs w:val="24"/>
        </w:rPr>
        <w:t>。</w:t>
      </w:r>
    </w:p>
    <w:p>
      <w:pPr>
        <w:pStyle w:val="85"/>
        <w:ind w:firstLine="480"/>
        <w:rPr>
          <w:rFonts w:ascii="Times New Roman" w:hAnsi="Times New Roman" w:cs="Times New Roman"/>
          <w:color w:val="auto"/>
          <w:sz w:val="24"/>
          <w:szCs w:val="24"/>
        </w:rPr>
      </w:pPr>
      <w:r>
        <w:rPr>
          <w:rFonts w:ascii="Times New Roman" w:cs="Times New Roman" w:hAnsiTheme="minorEastAsia"/>
          <w:color w:val="auto"/>
          <w:sz w:val="24"/>
          <w:szCs w:val="24"/>
        </w:rPr>
        <w:t>经计算，矿井服务年限</w:t>
      </w:r>
      <w:r>
        <w:rPr>
          <w:rFonts w:hint="eastAsia" w:ascii="Times New Roman" w:hAnsi="Times New Roman" w:cs="Times New Roman"/>
          <w:color w:val="auto"/>
          <w:sz w:val="24"/>
          <w:szCs w:val="24"/>
        </w:rPr>
        <w:t>18.2</w:t>
      </w:r>
      <w:r>
        <w:rPr>
          <w:rFonts w:ascii="Times New Roman" w:hAnsi="Times New Roman" w:cs="Times New Roman"/>
          <w:color w:val="auto"/>
          <w:sz w:val="24"/>
          <w:szCs w:val="24"/>
        </w:rPr>
        <w:t>a</w:t>
      </w:r>
      <w:r>
        <w:rPr>
          <w:rFonts w:ascii="Times New Roman" w:cs="Times New Roman" w:hAnsiTheme="minorEastAsia"/>
          <w:color w:val="auto"/>
          <w:sz w:val="24"/>
          <w:szCs w:val="24"/>
        </w:rPr>
        <w:t>。</w:t>
      </w:r>
    </w:p>
    <w:p>
      <w:pPr>
        <w:spacing w:line="360" w:lineRule="auto"/>
        <w:outlineLvl w:val="3"/>
        <w:rPr>
          <w:rFonts w:eastAsiaTheme="minorEastAsia"/>
          <w:b/>
          <w:sz w:val="24"/>
        </w:rPr>
      </w:pPr>
      <w:r>
        <w:rPr>
          <w:rFonts w:eastAsiaTheme="minorEastAsia"/>
          <w:b/>
          <w:sz w:val="24"/>
        </w:rPr>
        <w:t>3.2.</w:t>
      </w:r>
      <w:r>
        <w:rPr>
          <w:rFonts w:hint="eastAsia" w:eastAsiaTheme="minorEastAsia"/>
          <w:b/>
          <w:sz w:val="24"/>
        </w:rPr>
        <w:t>6</w:t>
      </w:r>
      <w:r>
        <w:rPr>
          <w:rFonts w:eastAsiaTheme="minorEastAsia"/>
          <w:b/>
          <w:sz w:val="24"/>
        </w:rPr>
        <w:t>.4</w:t>
      </w:r>
      <w:r>
        <w:rPr>
          <w:rFonts w:hAnsiTheme="minorEastAsia" w:eastAsiaTheme="minorEastAsia"/>
          <w:b/>
          <w:sz w:val="24"/>
        </w:rPr>
        <w:t>煤层</w:t>
      </w:r>
    </w:p>
    <w:p>
      <w:pPr>
        <w:pStyle w:val="111"/>
        <w:adjustRightInd/>
        <w:snapToGrid/>
        <w:spacing w:beforeLines="0" w:afterLines="0"/>
        <w:ind w:firstLine="480" w:firstLineChars="200"/>
        <w:outlineLvl w:val="9"/>
        <w:rPr>
          <w:rFonts w:ascii="Times New Roman" w:hAnsi="Times New Roman" w:cs="Times New Roman"/>
          <w:b w:val="0"/>
          <w:color w:val="auto"/>
          <w:sz w:val="24"/>
          <w:szCs w:val="24"/>
        </w:rPr>
      </w:pPr>
      <w:r>
        <w:rPr>
          <w:rFonts w:ascii="Times New Roman" w:cs="Times New Roman" w:hAnsiTheme="minorEastAsia"/>
          <w:b w:val="0"/>
          <w:color w:val="auto"/>
          <w:sz w:val="24"/>
          <w:szCs w:val="24"/>
        </w:rPr>
        <w:t>（一）含煤地层</w:t>
      </w:r>
    </w:p>
    <w:p>
      <w:pPr>
        <w:pStyle w:val="111"/>
        <w:adjustRightInd/>
        <w:snapToGrid/>
        <w:spacing w:beforeLines="0" w:afterLines="0"/>
        <w:ind w:firstLine="480" w:firstLineChars="200"/>
        <w:outlineLvl w:val="9"/>
        <w:rPr>
          <w:rFonts w:ascii="Times New Roman" w:hAnsi="Times New Roman" w:cs="Times New Roman"/>
          <w:b w:val="0"/>
          <w:sz w:val="24"/>
          <w:lang w:val="en-US"/>
        </w:rPr>
      </w:pPr>
      <w:r>
        <w:rPr>
          <w:rFonts w:ascii="Times New Roman" w:cs="Times New Roman" w:hAnsiTheme="minorEastAsia"/>
          <w:b w:val="0"/>
          <w:sz w:val="24"/>
          <w:lang w:val="en-US"/>
        </w:rPr>
        <w:t>本井田主要含煤地层为二叠系下统山西组和石炭系上统太原组。</w:t>
      </w:r>
    </w:p>
    <w:p>
      <w:pPr>
        <w:pStyle w:val="111"/>
        <w:adjustRightInd/>
        <w:snapToGrid/>
        <w:spacing w:beforeLines="0" w:afterLines="0"/>
        <w:ind w:firstLine="480" w:firstLineChars="200"/>
        <w:outlineLvl w:val="9"/>
        <w:rPr>
          <w:rFonts w:ascii="Times New Roman" w:hAnsi="Times New Roman" w:cs="Times New Roman"/>
          <w:b w:val="0"/>
          <w:sz w:val="24"/>
          <w:lang w:val="en-US"/>
        </w:rPr>
      </w:pPr>
      <w:r>
        <w:rPr>
          <w:rFonts w:ascii="Times New Roman" w:cs="Times New Roman" w:hAnsiTheme="minorEastAsia"/>
          <w:b w:val="0"/>
          <w:sz w:val="24"/>
          <w:lang w:val="en-US"/>
        </w:rPr>
        <w:t>山西组含煤</w:t>
      </w:r>
      <w:r>
        <w:rPr>
          <w:rFonts w:ascii="Times New Roman" w:hAnsi="Times New Roman" w:cs="Times New Roman"/>
          <w:b w:val="0"/>
          <w:sz w:val="24"/>
          <w:lang w:val="en-US"/>
        </w:rPr>
        <w:t>7</w:t>
      </w:r>
      <w:r>
        <w:rPr>
          <w:rFonts w:ascii="Times New Roman" w:cs="Times New Roman" w:hAnsiTheme="minorEastAsia"/>
          <w:b w:val="0"/>
          <w:sz w:val="24"/>
          <w:lang w:val="en-US"/>
        </w:rPr>
        <w:t>层，自上而下分别为</w:t>
      </w:r>
      <w:r>
        <w:rPr>
          <w:rFonts w:ascii="Times New Roman" w:hAnsi="Times New Roman" w:cs="Times New Roman"/>
          <w:b w:val="0"/>
          <w:sz w:val="24"/>
          <w:lang w:val="en-US"/>
        </w:rPr>
        <w:t>01</w:t>
      </w:r>
      <w:r>
        <w:rPr>
          <w:rFonts w:ascii="Times New Roman" w:cs="Times New Roman" w:hAnsiTheme="minorEastAsia"/>
          <w:b w:val="0"/>
          <w:sz w:val="24"/>
          <w:lang w:val="en-US"/>
        </w:rPr>
        <w:t>、</w:t>
      </w:r>
      <w:r>
        <w:rPr>
          <w:rFonts w:ascii="Times New Roman" w:hAnsi="Times New Roman" w:cs="Times New Roman"/>
          <w:b w:val="0"/>
          <w:sz w:val="24"/>
          <w:lang w:val="en-US"/>
        </w:rPr>
        <w:t>02</w:t>
      </w:r>
      <w:r>
        <w:rPr>
          <w:rFonts w:ascii="Times New Roman" w:cs="Times New Roman" w:hAnsiTheme="minorEastAsia"/>
          <w:b w:val="0"/>
          <w:sz w:val="24"/>
          <w:lang w:val="en-US"/>
        </w:rPr>
        <w:t>、</w:t>
      </w:r>
      <w:r>
        <w:rPr>
          <w:rFonts w:ascii="Times New Roman" w:hAnsi="Times New Roman" w:cs="Times New Roman"/>
          <w:b w:val="0"/>
          <w:sz w:val="24"/>
          <w:lang w:val="en-US"/>
        </w:rPr>
        <w:t>1</w:t>
      </w:r>
      <w:r>
        <w:rPr>
          <w:rFonts w:ascii="Times New Roman" w:cs="Times New Roman" w:hAnsiTheme="minorEastAsia"/>
          <w:b w:val="0"/>
          <w:sz w:val="24"/>
          <w:lang w:val="en-US"/>
        </w:rPr>
        <w:t>、</w:t>
      </w:r>
      <w:r>
        <w:rPr>
          <w:rFonts w:ascii="Times New Roman" w:hAnsi="Times New Roman" w:cs="Times New Roman"/>
          <w:b w:val="0"/>
          <w:sz w:val="24"/>
          <w:lang w:val="en-US"/>
        </w:rPr>
        <w:t>2</w:t>
      </w:r>
      <w:r>
        <w:rPr>
          <w:rFonts w:ascii="Times New Roman" w:cs="Times New Roman" w:hAnsiTheme="minorEastAsia"/>
          <w:b w:val="0"/>
          <w:sz w:val="24"/>
          <w:lang w:val="en-US"/>
        </w:rPr>
        <w:t>、</w:t>
      </w:r>
      <w:r>
        <w:rPr>
          <w:rFonts w:ascii="Times New Roman" w:hAnsi="Times New Roman" w:cs="Times New Roman"/>
          <w:b w:val="0"/>
          <w:sz w:val="24"/>
          <w:lang w:val="en-US"/>
        </w:rPr>
        <w:t>3</w:t>
      </w:r>
      <w:r>
        <w:rPr>
          <w:rFonts w:ascii="Times New Roman" w:cs="Times New Roman" w:hAnsiTheme="minorEastAsia"/>
          <w:b w:val="0"/>
          <w:sz w:val="24"/>
          <w:lang w:val="en-US"/>
        </w:rPr>
        <w:t>、</w:t>
      </w:r>
      <w:r>
        <w:rPr>
          <w:rFonts w:ascii="Times New Roman" w:hAnsi="Times New Roman" w:cs="Times New Roman"/>
          <w:b w:val="0"/>
          <w:sz w:val="24"/>
          <w:lang w:val="en-US"/>
        </w:rPr>
        <w:t>4</w:t>
      </w:r>
      <w:r>
        <w:rPr>
          <w:rFonts w:ascii="Times New Roman" w:cs="Times New Roman" w:hAnsiTheme="minorEastAsia"/>
          <w:b w:val="0"/>
          <w:sz w:val="24"/>
          <w:lang w:val="en-US"/>
        </w:rPr>
        <w:t>、</w:t>
      </w:r>
      <w:r>
        <w:rPr>
          <w:rFonts w:ascii="Times New Roman" w:hAnsi="Times New Roman" w:cs="Times New Roman"/>
          <w:b w:val="0"/>
          <w:sz w:val="24"/>
          <w:lang w:val="en-US"/>
        </w:rPr>
        <w:t>5</w:t>
      </w:r>
      <w:r>
        <w:rPr>
          <w:rFonts w:ascii="Times New Roman" w:cs="Times New Roman" w:hAnsiTheme="minorEastAsia"/>
          <w:b w:val="0"/>
          <w:sz w:val="24"/>
          <w:lang w:val="en-US"/>
        </w:rPr>
        <w:t>号煤层，其中</w:t>
      </w:r>
      <w:r>
        <w:rPr>
          <w:rFonts w:ascii="Times New Roman" w:hAnsi="Times New Roman" w:cs="Times New Roman"/>
          <w:b w:val="0"/>
          <w:sz w:val="24"/>
          <w:lang w:val="en-US"/>
        </w:rPr>
        <w:t>4</w:t>
      </w:r>
      <w:r>
        <w:rPr>
          <w:rFonts w:ascii="Times New Roman" w:cs="Times New Roman" w:hAnsiTheme="minorEastAsia"/>
          <w:b w:val="0"/>
          <w:sz w:val="24"/>
          <w:lang w:val="en-US"/>
        </w:rPr>
        <w:t>、５号煤层为全区可采的稳定煤层，其余均为不可采煤层。本组地层厚度平均</w:t>
      </w:r>
      <w:r>
        <w:rPr>
          <w:rFonts w:ascii="Times New Roman" w:hAnsi="Times New Roman" w:cs="Times New Roman"/>
          <w:b w:val="0"/>
          <w:sz w:val="24"/>
          <w:lang w:val="en-US"/>
        </w:rPr>
        <w:t>64.58m</w:t>
      </w:r>
      <w:r>
        <w:rPr>
          <w:rFonts w:ascii="Times New Roman" w:cs="Times New Roman" w:hAnsiTheme="minorEastAsia"/>
          <w:b w:val="0"/>
          <w:sz w:val="24"/>
          <w:lang w:val="en-US"/>
        </w:rPr>
        <w:t>，煤层总厚</w:t>
      </w:r>
      <w:r>
        <w:rPr>
          <w:rFonts w:ascii="Times New Roman" w:hAnsi="Times New Roman" w:cs="Times New Roman"/>
          <w:b w:val="0"/>
          <w:sz w:val="24"/>
          <w:lang w:val="en-US"/>
        </w:rPr>
        <w:t>7.19m</w:t>
      </w:r>
      <w:r>
        <w:rPr>
          <w:rFonts w:ascii="Times New Roman" w:cs="Times New Roman" w:hAnsiTheme="minorEastAsia"/>
          <w:b w:val="0"/>
          <w:sz w:val="24"/>
          <w:lang w:val="en-US"/>
        </w:rPr>
        <w:t>，含煤系数</w:t>
      </w:r>
      <w:r>
        <w:rPr>
          <w:rFonts w:ascii="Times New Roman" w:hAnsi="Times New Roman" w:cs="Times New Roman"/>
          <w:b w:val="0"/>
          <w:sz w:val="24"/>
          <w:lang w:val="en-US"/>
        </w:rPr>
        <w:t>11.1%</w:t>
      </w:r>
      <w:r>
        <w:rPr>
          <w:rFonts w:ascii="Times New Roman" w:cs="Times New Roman" w:hAnsiTheme="minorEastAsia"/>
          <w:b w:val="0"/>
          <w:sz w:val="24"/>
          <w:lang w:val="en-US"/>
        </w:rPr>
        <w:t>。可采煤层厚度</w:t>
      </w:r>
      <w:r>
        <w:rPr>
          <w:rFonts w:ascii="Times New Roman" w:hAnsi="Times New Roman" w:cs="Times New Roman"/>
          <w:b w:val="0"/>
          <w:sz w:val="24"/>
          <w:lang w:val="en-US"/>
        </w:rPr>
        <w:t>5.26m</w:t>
      </w:r>
      <w:r>
        <w:rPr>
          <w:rFonts w:ascii="Times New Roman" w:cs="Times New Roman" w:hAnsiTheme="minorEastAsia"/>
          <w:b w:val="0"/>
          <w:sz w:val="24"/>
          <w:lang w:val="en-US"/>
        </w:rPr>
        <w:t>，可采煤层含煤系数</w:t>
      </w:r>
      <w:r>
        <w:rPr>
          <w:rFonts w:ascii="Times New Roman" w:hAnsi="Times New Roman" w:cs="Times New Roman"/>
          <w:b w:val="0"/>
          <w:sz w:val="24"/>
          <w:lang w:val="en-US"/>
        </w:rPr>
        <w:t>8.1%</w:t>
      </w:r>
      <w:r>
        <w:rPr>
          <w:rFonts w:ascii="Times New Roman" w:cs="Times New Roman" w:hAnsiTheme="minorEastAsia"/>
          <w:b w:val="0"/>
          <w:sz w:val="24"/>
          <w:lang w:val="en-US"/>
        </w:rPr>
        <w:t>。</w:t>
      </w:r>
    </w:p>
    <w:p>
      <w:pPr>
        <w:pStyle w:val="111"/>
        <w:adjustRightInd/>
        <w:snapToGrid/>
        <w:spacing w:beforeLines="0" w:afterLines="0"/>
        <w:ind w:firstLine="480" w:firstLineChars="200"/>
        <w:outlineLvl w:val="9"/>
        <w:rPr>
          <w:rFonts w:ascii="Times New Roman" w:hAnsi="Times New Roman" w:cs="Times New Roman"/>
          <w:b w:val="0"/>
          <w:sz w:val="24"/>
          <w:lang w:val="en-US"/>
        </w:rPr>
      </w:pPr>
      <w:r>
        <w:rPr>
          <w:rFonts w:ascii="Times New Roman" w:cs="Times New Roman" w:hAnsiTheme="minorEastAsia"/>
          <w:b w:val="0"/>
          <w:sz w:val="24"/>
          <w:lang w:val="en-US"/>
        </w:rPr>
        <w:t>太原组含煤</w:t>
      </w:r>
      <w:r>
        <w:rPr>
          <w:rFonts w:ascii="Times New Roman" w:hAnsi="Times New Roman" w:cs="Times New Roman"/>
          <w:b w:val="0"/>
          <w:sz w:val="24"/>
          <w:lang w:val="en-US"/>
        </w:rPr>
        <w:t>5</w:t>
      </w:r>
      <w:r>
        <w:rPr>
          <w:rFonts w:ascii="Times New Roman" w:cs="Times New Roman" w:hAnsiTheme="minorEastAsia"/>
          <w:b w:val="0"/>
          <w:sz w:val="24"/>
          <w:lang w:val="en-US"/>
        </w:rPr>
        <w:t>层，自上而下分别为</w:t>
      </w:r>
      <w:r>
        <w:rPr>
          <w:rFonts w:ascii="Times New Roman" w:hAnsi="Times New Roman" w:cs="Times New Roman"/>
          <w:b w:val="0"/>
          <w:sz w:val="24"/>
          <w:lang w:val="en-US"/>
        </w:rPr>
        <w:t>6</w:t>
      </w:r>
      <w:r>
        <w:rPr>
          <w:rFonts w:ascii="Times New Roman" w:cs="Times New Roman" w:hAnsiTheme="minorEastAsia"/>
          <w:b w:val="0"/>
          <w:sz w:val="24"/>
          <w:lang w:val="en-US"/>
        </w:rPr>
        <w:t>、</w:t>
      </w:r>
      <w:r>
        <w:rPr>
          <w:rFonts w:ascii="Times New Roman" w:hAnsi="Times New Roman" w:cs="Times New Roman"/>
          <w:b w:val="0"/>
          <w:sz w:val="24"/>
          <w:lang w:val="en-US"/>
        </w:rPr>
        <w:t>7</w:t>
      </w:r>
      <w:r>
        <w:rPr>
          <w:rFonts w:ascii="Times New Roman" w:cs="Times New Roman" w:hAnsiTheme="minorEastAsia"/>
          <w:b w:val="0"/>
          <w:sz w:val="24"/>
          <w:lang w:val="en-US"/>
        </w:rPr>
        <w:t>、</w:t>
      </w:r>
      <w:r>
        <w:rPr>
          <w:rFonts w:ascii="Times New Roman" w:hAnsi="Times New Roman" w:cs="Times New Roman"/>
          <w:b w:val="0"/>
          <w:sz w:val="24"/>
          <w:lang w:val="en-US"/>
        </w:rPr>
        <w:t>8</w:t>
      </w:r>
      <w:r>
        <w:rPr>
          <w:rFonts w:ascii="Times New Roman" w:cs="Times New Roman" w:hAnsiTheme="minorEastAsia"/>
          <w:b w:val="0"/>
          <w:sz w:val="24"/>
          <w:lang w:val="en-US"/>
        </w:rPr>
        <w:t>、</w:t>
      </w:r>
      <w:r>
        <w:rPr>
          <w:rFonts w:ascii="Times New Roman" w:hAnsi="Times New Roman" w:cs="Times New Roman"/>
          <w:b w:val="0"/>
          <w:sz w:val="24"/>
          <w:lang w:val="en-US"/>
        </w:rPr>
        <w:t>9</w:t>
      </w:r>
      <w:r>
        <w:rPr>
          <w:rFonts w:ascii="Times New Roman" w:cs="Times New Roman" w:hAnsiTheme="minorEastAsia"/>
          <w:b w:val="0"/>
          <w:sz w:val="24"/>
          <w:lang w:val="en-US"/>
        </w:rPr>
        <w:t>、</w:t>
      </w:r>
      <w:r>
        <w:rPr>
          <w:rFonts w:ascii="Times New Roman" w:hAnsi="Times New Roman" w:cs="Times New Roman"/>
          <w:b w:val="0"/>
          <w:sz w:val="24"/>
          <w:lang w:val="en-US"/>
        </w:rPr>
        <w:t>10</w:t>
      </w:r>
      <w:r>
        <w:rPr>
          <w:rFonts w:ascii="Times New Roman" w:cs="Times New Roman" w:hAnsiTheme="minorEastAsia"/>
          <w:b w:val="0"/>
          <w:sz w:val="24"/>
          <w:lang w:val="en-US"/>
        </w:rPr>
        <w:t>号煤层，其中</w:t>
      </w:r>
      <w:r>
        <w:rPr>
          <w:rFonts w:ascii="Times New Roman" w:hAnsi="Times New Roman" w:cs="Times New Roman"/>
          <w:b w:val="0"/>
          <w:sz w:val="24"/>
          <w:lang w:val="en-US"/>
        </w:rPr>
        <w:t>8</w:t>
      </w:r>
      <w:r>
        <w:rPr>
          <w:rFonts w:ascii="Times New Roman" w:cs="Times New Roman" w:hAnsiTheme="minorEastAsia"/>
          <w:b w:val="0"/>
          <w:sz w:val="24"/>
          <w:lang w:val="en-US"/>
        </w:rPr>
        <w:t>、</w:t>
      </w:r>
      <w:r>
        <w:rPr>
          <w:rFonts w:ascii="Times New Roman" w:hAnsi="Times New Roman" w:cs="Times New Roman"/>
          <w:b w:val="0"/>
          <w:sz w:val="24"/>
          <w:lang w:val="en-US"/>
        </w:rPr>
        <w:t>9</w:t>
      </w:r>
      <w:r>
        <w:rPr>
          <w:rFonts w:ascii="Times New Roman" w:cs="Times New Roman" w:hAnsiTheme="minorEastAsia"/>
          <w:b w:val="0"/>
          <w:sz w:val="24"/>
          <w:lang w:val="en-US"/>
        </w:rPr>
        <w:t>号煤层为全区可采的稳定煤层，其余均为不可采煤层。本组地层平均厚度</w:t>
      </w:r>
      <w:r>
        <w:rPr>
          <w:rFonts w:ascii="Times New Roman" w:hAnsi="Times New Roman" w:cs="Times New Roman"/>
          <w:b w:val="0"/>
          <w:sz w:val="24"/>
          <w:lang w:val="en-US"/>
        </w:rPr>
        <w:t>82.97m</w:t>
      </w:r>
      <w:r>
        <w:rPr>
          <w:rFonts w:ascii="Times New Roman" w:cs="Times New Roman" w:hAnsiTheme="minorEastAsia"/>
          <w:b w:val="0"/>
          <w:sz w:val="24"/>
          <w:lang w:val="en-US"/>
        </w:rPr>
        <w:t>，煤层总厚</w:t>
      </w:r>
      <w:r>
        <w:rPr>
          <w:rFonts w:ascii="Times New Roman" w:hAnsi="Times New Roman" w:cs="Times New Roman"/>
          <w:b w:val="0"/>
          <w:sz w:val="24"/>
          <w:lang w:val="en-US"/>
        </w:rPr>
        <w:t>6.72m</w:t>
      </w:r>
      <w:r>
        <w:rPr>
          <w:rFonts w:ascii="Times New Roman" w:cs="Times New Roman" w:hAnsiTheme="minorEastAsia"/>
          <w:b w:val="0"/>
          <w:sz w:val="24"/>
          <w:lang w:val="en-US"/>
        </w:rPr>
        <w:t>，含煤系数</w:t>
      </w:r>
      <w:r>
        <w:rPr>
          <w:rFonts w:ascii="Times New Roman" w:hAnsi="Times New Roman" w:cs="Times New Roman"/>
          <w:b w:val="0"/>
          <w:sz w:val="24"/>
          <w:lang w:val="en-US"/>
        </w:rPr>
        <w:t>8.1%</w:t>
      </w:r>
      <w:r>
        <w:rPr>
          <w:rFonts w:ascii="Times New Roman" w:cs="Times New Roman" w:hAnsiTheme="minorEastAsia"/>
          <w:b w:val="0"/>
          <w:sz w:val="24"/>
          <w:lang w:val="en-US"/>
        </w:rPr>
        <w:t>。可采煤层总厚</w:t>
      </w:r>
      <w:r>
        <w:rPr>
          <w:rFonts w:ascii="Times New Roman" w:hAnsi="Times New Roman" w:cs="Times New Roman"/>
          <w:b w:val="0"/>
          <w:sz w:val="24"/>
          <w:lang w:val="en-US"/>
        </w:rPr>
        <w:t>5.62m</w:t>
      </w:r>
      <w:r>
        <w:rPr>
          <w:rFonts w:ascii="Times New Roman" w:cs="Times New Roman" w:hAnsiTheme="minorEastAsia"/>
          <w:b w:val="0"/>
          <w:sz w:val="24"/>
          <w:lang w:val="en-US"/>
        </w:rPr>
        <w:t>，可采煤层含煤系数</w:t>
      </w:r>
      <w:r>
        <w:rPr>
          <w:rFonts w:ascii="Times New Roman" w:hAnsi="Times New Roman" w:cs="Times New Roman"/>
          <w:b w:val="0"/>
          <w:sz w:val="24"/>
          <w:lang w:val="en-US"/>
        </w:rPr>
        <w:t>6.8%</w:t>
      </w:r>
      <w:r>
        <w:rPr>
          <w:rFonts w:ascii="Times New Roman" w:cs="Times New Roman" w:hAnsiTheme="minorEastAsia"/>
          <w:b w:val="0"/>
          <w:sz w:val="24"/>
          <w:lang w:val="en-US"/>
        </w:rPr>
        <w:t>。</w:t>
      </w:r>
    </w:p>
    <w:p>
      <w:pPr>
        <w:pStyle w:val="111"/>
        <w:adjustRightInd/>
        <w:snapToGrid/>
        <w:spacing w:beforeLines="0" w:afterLines="0"/>
        <w:ind w:firstLine="480" w:firstLineChars="200"/>
        <w:outlineLvl w:val="9"/>
        <w:rPr>
          <w:rFonts w:ascii="Times New Roman" w:eastAsia="宋体" w:cs="Times New Roman" w:hAnsiTheme="minorEastAsia"/>
          <w:b w:val="0"/>
          <w:color w:val="auto"/>
          <w:sz w:val="24"/>
          <w:szCs w:val="24"/>
        </w:rPr>
      </w:pPr>
      <w:r>
        <w:rPr>
          <w:rFonts w:ascii="Times New Roman" w:eastAsia="宋体" w:cs="Times New Roman" w:hAnsiTheme="minorEastAsia"/>
          <w:b w:val="0"/>
          <w:color w:val="auto"/>
          <w:sz w:val="24"/>
          <w:szCs w:val="24"/>
        </w:rPr>
        <w:t>（二）</w:t>
      </w:r>
      <w:r>
        <w:rPr>
          <w:rFonts w:hint="eastAsia" w:ascii="Times New Roman" w:eastAsia="宋体" w:cs="Times New Roman" w:hAnsiTheme="minorEastAsia"/>
          <w:b w:val="0"/>
          <w:color w:val="auto"/>
          <w:sz w:val="24"/>
          <w:szCs w:val="24"/>
        </w:rPr>
        <w:t>可采</w:t>
      </w:r>
      <w:r>
        <w:rPr>
          <w:rFonts w:ascii="Times New Roman" w:eastAsia="宋体" w:cs="Times New Roman" w:hAnsiTheme="minorEastAsia"/>
          <w:b w:val="0"/>
          <w:color w:val="auto"/>
          <w:sz w:val="24"/>
          <w:szCs w:val="24"/>
        </w:rPr>
        <w:t>煤层</w:t>
      </w:r>
    </w:p>
    <w:p>
      <w:pPr>
        <w:autoSpaceDE w:val="0"/>
        <w:autoSpaceDN w:val="0"/>
        <w:spacing w:line="360" w:lineRule="auto"/>
        <w:ind w:firstLine="480" w:firstLineChars="200"/>
        <w:rPr>
          <w:rFonts w:hAnsiTheme="minorEastAsia"/>
          <w:sz w:val="24"/>
          <w:lang w:val="zh-CN"/>
        </w:rPr>
      </w:pPr>
      <w:r>
        <w:rPr>
          <w:rFonts w:hAnsiTheme="minorEastAsia"/>
          <w:sz w:val="24"/>
          <w:lang w:val="zh-CN"/>
        </w:rPr>
        <w:t>（1）</w:t>
      </w:r>
      <w:r>
        <w:rPr>
          <w:rFonts w:hint="eastAsia" w:hAnsiTheme="minorEastAsia"/>
          <w:sz w:val="24"/>
          <w:lang w:val="zh-CN"/>
        </w:rPr>
        <w:t>4号煤层</w:t>
      </w:r>
    </w:p>
    <w:p>
      <w:pPr>
        <w:spacing w:line="360" w:lineRule="auto"/>
        <w:ind w:firstLine="480" w:firstLineChars="200"/>
        <w:rPr>
          <w:rFonts w:hAnsiTheme="minorEastAsia" w:eastAsiaTheme="minorEastAsia"/>
          <w:sz w:val="24"/>
        </w:rPr>
      </w:pPr>
      <w:r>
        <w:rPr>
          <w:rFonts w:hint="eastAsia" w:hAnsiTheme="minorEastAsia" w:eastAsiaTheme="minorEastAsia"/>
          <w:sz w:val="24"/>
        </w:rPr>
        <w:t>该煤层位于山西组下部，层位稳定，下距5号煤层0～2.68m，平均1.66m。煤层厚度1.50～1.88m，平均1.64m；含1～2层夹矸，煤层结构较简单。顶板为砂质泥岩及泥岩；底板为泥岩及细粒砂岩。井田北部4、5号煤层局部合并，东南部边缘被剥蚀，井田内大面积被采空，属全区可采的稳定煤层。</w:t>
      </w:r>
    </w:p>
    <w:p>
      <w:pPr>
        <w:autoSpaceDE w:val="0"/>
        <w:autoSpaceDN w:val="0"/>
        <w:adjustRightInd w:val="0"/>
        <w:spacing w:line="360" w:lineRule="auto"/>
        <w:ind w:firstLine="480" w:firstLineChars="200"/>
        <w:rPr>
          <w:rFonts w:hAnsiTheme="minorEastAsia"/>
          <w:sz w:val="24"/>
          <w:lang w:val="zh-CN"/>
        </w:rPr>
      </w:pPr>
      <w:r>
        <w:rPr>
          <w:rFonts w:hAnsiTheme="minorEastAsia"/>
          <w:sz w:val="24"/>
          <w:lang w:val="zh-CN"/>
        </w:rPr>
        <w:t>（2）</w:t>
      </w:r>
      <w:r>
        <w:rPr>
          <w:rFonts w:hint="eastAsia" w:hAnsiTheme="minorEastAsia"/>
          <w:sz w:val="24"/>
          <w:lang w:val="zh-CN"/>
        </w:rPr>
        <w:t>5</w:t>
      </w:r>
      <w:r>
        <w:rPr>
          <w:rFonts w:hAnsiTheme="minorEastAsia"/>
          <w:sz w:val="24"/>
          <w:lang w:val="zh-CN"/>
        </w:rPr>
        <w:t>号煤层</w:t>
      </w:r>
    </w:p>
    <w:p>
      <w:pPr>
        <w:spacing w:line="360" w:lineRule="auto"/>
        <w:ind w:firstLine="480" w:firstLineChars="200"/>
        <w:rPr>
          <w:rFonts w:hAnsiTheme="minorEastAsia" w:eastAsiaTheme="minorEastAsia"/>
          <w:sz w:val="24"/>
        </w:rPr>
      </w:pPr>
      <w:r>
        <w:rPr>
          <w:rFonts w:hint="eastAsia" w:hAnsiTheme="minorEastAsia" w:eastAsiaTheme="minorEastAsia"/>
          <w:sz w:val="24"/>
        </w:rPr>
        <w:t>该煤层位于山西组下部，层位稳定，下距8号煤层41.82～46.17m，平均43.72m。煤层厚度2.66～6.40m，平均3.62m；一般含0～2层夹矸，局部5层，煤层结构较简单。顶板为泥岩及细粒砂岩；底板为砂岩、砂质泥岩及泥岩。井田东南部边缘被剥蚀，中部有两处采空区，属全区可采的稳定煤层。</w:t>
      </w:r>
    </w:p>
    <w:p>
      <w:pPr>
        <w:autoSpaceDE w:val="0"/>
        <w:autoSpaceDN w:val="0"/>
        <w:adjustRightInd w:val="0"/>
        <w:spacing w:line="360" w:lineRule="auto"/>
        <w:ind w:firstLine="480" w:firstLineChars="200"/>
        <w:rPr>
          <w:rFonts w:hAnsiTheme="minorEastAsia"/>
          <w:sz w:val="24"/>
          <w:lang w:val="zh-CN"/>
        </w:rPr>
      </w:pPr>
      <w:r>
        <w:rPr>
          <w:rFonts w:hint="eastAsia" w:hAnsiTheme="minorEastAsia"/>
          <w:sz w:val="24"/>
          <w:lang w:val="zh-CN"/>
        </w:rPr>
        <w:t>（3）8号煤层</w:t>
      </w:r>
    </w:p>
    <w:p>
      <w:pPr>
        <w:spacing w:line="360" w:lineRule="auto"/>
        <w:ind w:firstLine="480" w:firstLineChars="200"/>
        <w:rPr>
          <w:rFonts w:hAnsiTheme="minorEastAsia" w:eastAsiaTheme="minorEastAsia"/>
          <w:sz w:val="24"/>
        </w:rPr>
      </w:pPr>
      <w:r>
        <w:rPr>
          <w:rFonts w:hint="eastAsia" w:hAnsiTheme="minorEastAsia" w:eastAsiaTheme="minorEastAsia"/>
          <w:sz w:val="24"/>
        </w:rPr>
        <w:t>该煤层位于太原组中部，层位稳定，下距9号煤层11.21～14.91m，平均12.35m。煤层厚度2.48～3.10m，平均2.72m；含0～2层夹矸，煤层结构较简单。顶板为石灰岩；底板为砂质泥岩及泥岩。井田东南部边缘被剥蚀，南部已形成大片采空区，属全区可采的稳定煤层。</w:t>
      </w:r>
    </w:p>
    <w:p>
      <w:pPr>
        <w:autoSpaceDE w:val="0"/>
        <w:autoSpaceDN w:val="0"/>
        <w:adjustRightInd w:val="0"/>
        <w:spacing w:line="360" w:lineRule="auto"/>
        <w:ind w:firstLine="480" w:firstLineChars="200"/>
        <w:rPr>
          <w:rFonts w:hAnsiTheme="minorEastAsia"/>
          <w:sz w:val="24"/>
          <w:lang w:val="zh-CN"/>
        </w:rPr>
      </w:pPr>
      <w:r>
        <w:rPr>
          <w:rFonts w:hint="eastAsia" w:hAnsiTheme="minorEastAsia"/>
          <w:sz w:val="24"/>
          <w:lang w:val="zh-CN"/>
        </w:rPr>
        <w:t>（4）9号煤层</w:t>
      </w:r>
    </w:p>
    <w:p>
      <w:pPr>
        <w:spacing w:line="360" w:lineRule="auto"/>
        <w:ind w:firstLine="480" w:firstLineChars="200"/>
        <w:rPr>
          <w:rFonts w:hAnsiTheme="minorEastAsia" w:eastAsiaTheme="minorEastAsia"/>
          <w:sz w:val="24"/>
        </w:rPr>
      </w:pPr>
      <w:r>
        <w:rPr>
          <w:rFonts w:hint="eastAsia" w:hAnsiTheme="minorEastAsia" w:eastAsiaTheme="minorEastAsia"/>
          <w:sz w:val="24"/>
        </w:rPr>
        <w:t>该煤层位于太原组中下部，层位稳定。煤层厚度1.70～3.90m，平均2.90m；含0～3层夹矸，煤层结构较简单。顶底板均为泥岩及砂质泥岩。东南部边缘被剥蚀，南部已形成大片采空区，属全区可采的稳定煤层。</w:t>
      </w:r>
    </w:p>
    <w:p>
      <w:pPr>
        <w:spacing w:line="360" w:lineRule="auto"/>
        <w:ind w:firstLine="480" w:firstLineChars="200"/>
        <w:rPr>
          <w:rFonts w:hAnsiTheme="minorEastAsia" w:eastAsiaTheme="minorEastAsia"/>
          <w:sz w:val="24"/>
        </w:rPr>
      </w:pPr>
      <w:r>
        <w:rPr>
          <w:rFonts w:hint="eastAsia" w:hAnsiTheme="minorEastAsia" w:eastAsiaTheme="minorEastAsia"/>
          <w:sz w:val="24"/>
        </w:rPr>
        <w:t>本井田可采煤层属全区可采的中厚～厚煤层，煤层结构较简单，煤层稳定性属稳定型，煤层对比可靠。可采煤层主要特征，</w:t>
      </w:r>
      <w:r>
        <w:rPr>
          <w:rFonts w:hAnsiTheme="minorEastAsia"/>
          <w:sz w:val="24"/>
          <w:lang w:val="zh-CN"/>
        </w:rPr>
        <w:t>详见表</w:t>
      </w:r>
      <w:r>
        <w:rPr>
          <w:sz w:val="24"/>
          <w:lang w:val="zh-CN"/>
        </w:rPr>
        <w:t>3.2-</w:t>
      </w:r>
      <w:r>
        <w:rPr>
          <w:rFonts w:hint="eastAsia"/>
          <w:sz w:val="24"/>
          <w:lang w:val="zh-CN"/>
        </w:rPr>
        <w:t>6</w:t>
      </w:r>
      <w:r>
        <w:rPr>
          <w:rFonts w:hint="eastAsia" w:hAnsiTheme="minorEastAsia" w:eastAsiaTheme="minorEastAsia"/>
          <w:sz w:val="24"/>
        </w:rPr>
        <w:t>。</w:t>
      </w:r>
    </w:p>
    <w:p>
      <w:pPr>
        <w:pStyle w:val="98"/>
        <w:snapToGrid/>
        <w:spacing w:line="360" w:lineRule="auto"/>
        <w:ind w:firstLine="398" w:firstLineChars="200"/>
        <w:rPr>
          <w:rFonts w:ascii="Times New Roman" w:hAnsi="Times New Roman" w:cs="Times New Roman" w:eastAsiaTheme="minorEastAsia"/>
          <w:szCs w:val="21"/>
          <w:lang w:val="zh-CN"/>
        </w:rPr>
      </w:pPr>
      <w:r>
        <w:rPr>
          <w:rFonts w:ascii="Times New Roman" w:cs="Times New Roman" w:hAnsiTheme="minorEastAsia" w:eastAsiaTheme="minorEastAsia"/>
          <w:szCs w:val="21"/>
          <w:lang w:val="zh-CN"/>
        </w:rPr>
        <w:t>表</w:t>
      </w:r>
      <w:r>
        <w:rPr>
          <w:rFonts w:ascii="Times New Roman" w:hAnsi="Times New Roman" w:cs="Times New Roman" w:eastAsiaTheme="minorEastAsia"/>
          <w:szCs w:val="21"/>
          <w:lang w:val="zh-CN"/>
        </w:rPr>
        <w:t>3.2-</w:t>
      </w:r>
      <w:r>
        <w:rPr>
          <w:rFonts w:hint="eastAsia" w:ascii="Times New Roman" w:hAnsi="Times New Roman" w:cs="Times New Roman" w:eastAsiaTheme="minorEastAsia"/>
          <w:szCs w:val="21"/>
          <w:lang w:val="zh-CN"/>
        </w:rPr>
        <w:t>6</w:t>
      </w:r>
      <w:r>
        <w:rPr>
          <w:rFonts w:ascii="Times New Roman" w:hAnsi="Times New Roman" w:cs="Times New Roman" w:eastAsiaTheme="minorEastAsia"/>
          <w:szCs w:val="21"/>
          <w:lang w:val="zh-CN"/>
        </w:rPr>
        <w:t xml:space="preserve">  </w:t>
      </w:r>
      <w:r>
        <w:rPr>
          <w:rFonts w:ascii="Times New Roman" w:cs="Times New Roman" w:hAnsiTheme="minorEastAsia" w:eastAsiaTheme="minorEastAsia"/>
          <w:szCs w:val="21"/>
          <w:lang w:val="zh-CN"/>
        </w:rPr>
        <w:t>可采煤层特征表</w:t>
      </w:r>
    </w:p>
    <w:tbl>
      <w:tblPr>
        <w:tblStyle w:val="24"/>
        <w:tblW w:w="517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8"/>
        <w:gridCol w:w="1241"/>
        <w:gridCol w:w="832"/>
        <w:gridCol w:w="1020"/>
        <w:gridCol w:w="981"/>
        <w:gridCol w:w="960"/>
        <w:gridCol w:w="1054"/>
        <w:gridCol w:w="772"/>
        <w:gridCol w:w="986"/>
        <w:gridCol w:w="12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8" w:hRule="exact"/>
          <w:jc w:val="center"/>
        </w:trPr>
        <w:tc>
          <w:tcPr>
            <w:tcW w:w="285" w:type="pct"/>
            <w:vAlign w:val="center"/>
          </w:tcPr>
          <w:p>
            <w:pPr>
              <w:jc w:val="center"/>
              <w:rPr>
                <w:rFonts w:eastAsiaTheme="minorEastAsia"/>
                <w:color w:val="000000"/>
                <w:szCs w:val="21"/>
              </w:rPr>
            </w:pPr>
            <w:r>
              <w:rPr>
                <w:rFonts w:hAnsiTheme="minorEastAsia" w:eastAsiaTheme="minorEastAsia"/>
                <w:color w:val="000000"/>
                <w:szCs w:val="21"/>
              </w:rPr>
              <w:t>煤层</w:t>
            </w:r>
          </w:p>
        </w:tc>
        <w:tc>
          <w:tcPr>
            <w:tcW w:w="651" w:type="pct"/>
            <w:vAlign w:val="center"/>
          </w:tcPr>
          <w:p>
            <w:pPr>
              <w:jc w:val="center"/>
              <w:rPr>
                <w:rFonts w:eastAsiaTheme="minorEastAsia"/>
                <w:color w:val="000000"/>
                <w:szCs w:val="21"/>
              </w:rPr>
            </w:pPr>
            <w:r>
              <w:rPr>
                <w:rFonts w:hAnsiTheme="minorEastAsia" w:eastAsiaTheme="minorEastAsia"/>
                <w:color w:val="000000"/>
                <w:szCs w:val="21"/>
              </w:rPr>
              <w:t>厚度（</w:t>
            </w:r>
            <w:r>
              <w:rPr>
                <w:rFonts w:eastAsiaTheme="minorEastAsia"/>
                <w:color w:val="000000"/>
                <w:szCs w:val="21"/>
              </w:rPr>
              <w:t>m</w:t>
            </w:r>
            <w:r>
              <w:rPr>
                <w:rFonts w:hAnsiTheme="minorEastAsia" w:eastAsiaTheme="minorEastAsia"/>
                <w:color w:val="000000"/>
                <w:szCs w:val="21"/>
              </w:rPr>
              <w:t>）</w:t>
            </w:r>
          </w:p>
          <w:p>
            <w:pPr>
              <w:jc w:val="center"/>
              <w:rPr>
                <w:rFonts w:eastAsiaTheme="minorEastAsia"/>
                <w:color w:val="000000"/>
                <w:szCs w:val="21"/>
                <w:u w:val="single"/>
              </w:rPr>
            </w:pPr>
            <w:r>
              <w:rPr>
                <w:rFonts w:hAnsiTheme="minorEastAsia" w:eastAsiaTheme="minorEastAsia"/>
                <w:color w:val="000000"/>
                <w:szCs w:val="21"/>
                <w:u w:val="single"/>
              </w:rPr>
              <w:t>最小～最大</w:t>
            </w:r>
          </w:p>
          <w:p>
            <w:pPr>
              <w:jc w:val="center"/>
              <w:rPr>
                <w:rFonts w:eastAsiaTheme="minorEastAsia"/>
                <w:color w:val="000000"/>
                <w:szCs w:val="21"/>
              </w:rPr>
            </w:pPr>
            <w:r>
              <w:rPr>
                <w:rFonts w:hAnsiTheme="minorEastAsia" w:eastAsiaTheme="minorEastAsia"/>
                <w:color w:val="000000"/>
                <w:szCs w:val="21"/>
              </w:rPr>
              <w:t>平均</w:t>
            </w:r>
          </w:p>
        </w:tc>
        <w:tc>
          <w:tcPr>
            <w:tcW w:w="438" w:type="pct"/>
            <w:vAlign w:val="center"/>
          </w:tcPr>
          <w:p>
            <w:pPr>
              <w:jc w:val="center"/>
              <w:rPr>
                <w:rFonts w:eastAsiaTheme="minorEastAsia"/>
                <w:color w:val="000000"/>
                <w:szCs w:val="21"/>
              </w:rPr>
            </w:pPr>
            <w:r>
              <w:rPr>
                <w:rFonts w:hAnsiTheme="minorEastAsia" w:eastAsiaTheme="minorEastAsia"/>
                <w:color w:val="000000"/>
                <w:szCs w:val="21"/>
              </w:rPr>
              <w:t>下距煤层平均（</w:t>
            </w:r>
            <w:r>
              <w:rPr>
                <w:rFonts w:eastAsiaTheme="minorEastAsia"/>
                <w:color w:val="000000"/>
                <w:szCs w:val="21"/>
              </w:rPr>
              <w:t>m</w:t>
            </w:r>
            <w:r>
              <w:rPr>
                <w:rFonts w:hAnsiTheme="minorEastAsia" w:eastAsiaTheme="minorEastAsia"/>
                <w:color w:val="000000"/>
                <w:szCs w:val="21"/>
              </w:rPr>
              <w:t>）</w:t>
            </w:r>
          </w:p>
        </w:tc>
        <w:tc>
          <w:tcPr>
            <w:tcW w:w="536" w:type="pct"/>
            <w:vAlign w:val="center"/>
          </w:tcPr>
          <w:p>
            <w:pPr>
              <w:jc w:val="center"/>
              <w:rPr>
                <w:rFonts w:eastAsiaTheme="minorEastAsia"/>
                <w:color w:val="000000"/>
                <w:szCs w:val="21"/>
              </w:rPr>
            </w:pPr>
            <w:r>
              <w:rPr>
                <w:rFonts w:hAnsiTheme="minorEastAsia" w:eastAsiaTheme="minorEastAsia"/>
                <w:color w:val="000000"/>
                <w:szCs w:val="21"/>
              </w:rPr>
              <w:t>顶板岩性</w:t>
            </w:r>
          </w:p>
        </w:tc>
        <w:tc>
          <w:tcPr>
            <w:tcW w:w="516" w:type="pct"/>
            <w:vAlign w:val="center"/>
          </w:tcPr>
          <w:p>
            <w:pPr>
              <w:jc w:val="center"/>
              <w:rPr>
                <w:rFonts w:eastAsiaTheme="minorEastAsia"/>
                <w:color w:val="000000"/>
                <w:szCs w:val="21"/>
              </w:rPr>
            </w:pPr>
            <w:r>
              <w:rPr>
                <w:rFonts w:hAnsiTheme="minorEastAsia" w:eastAsiaTheme="minorEastAsia"/>
                <w:color w:val="000000"/>
                <w:szCs w:val="21"/>
              </w:rPr>
              <w:t>底板岩性</w:t>
            </w:r>
          </w:p>
        </w:tc>
        <w:tc>
          <w:tcPr>
            <w:tcW w:w="454" w:type="pct"/>
            <w:vAlign w:val="center"/>
          </w:tcPr>
          <w:p>
            <w:pPr>
              <w:jc w:val="center"/>
              <w:rPr>
                <w:rFonts w:eastAsiaTheme="minorEastAsia"/>
                <w:color w:val="000000"/>
                <w:szCs w:val="21"/>
              </w:rPr>
            </w:pPr>
            <w:r>
              <w:rPr>
                <w:rFonts w:hAnsiTheme="minorEastAsia" w:eastAsiaTheme="minorEastAsia"/>
                <w:color w:val="000000"/>
                <w:szCs w:val="21"/>
              </w:rPr>
              <w:t>结构</w:t>
            </w:r>
          </w:p>
          <w:p>
            <w:pPr>
              <w:jc w:val="center"/>
              <w:rPr>
                <w:rFonts w:eastAsiaTheme="minorEastAsia"/>
                <w:color w:val="000000"/>
                <w:szCs w:val="21"/>
              </w:rPr>
            </w:pPr>
            <w:r>
              <w:rPr>
                <w:rFonts w:hAnsiTheme="minorEastAsia" w:eastAsiaTheme="minorEastAsia"/>
                <w:color w:val="000000"/>
                <w:szCs w:val="21"/>
              </w:rPr>
              <w:t>（夹矸层数）</w:t>
            </w:r>
          </w:p>
        </w:tc>
        <w:tc>
          <w:tcPr>
            <w:tcW w:w="554" w:type="pct"/>
            <w:vAlign w:val="center"/>
          </w:tcPr>
          <w:p>
            <w:pPr>
              <w:jc w:val="center"/>
              <w:rPr>
                <w:rFonts w:eastAsiaTheme="minorEastAsia"/>
                <w:color w:val="000000"/>
                <w:szCs w:val="21"/>
              </w:rPr>
            </w:pPr>
            <w:r>
              <w:rPr>
                <w:rFonts w:hAnsiTheme="minorEastAsia" w:eastAsiaTheme="minorEastAsia"/>
                <w:color w:val="000000"/>
                <w:szCs w:val="21"/>
              </w:rPr>
              <w:t>可采性</w:t>
            </w:r>
          </w:p>
        </w:tc>
        <w:tc>
          <w:tcPr>
            <w:tcW w:w="407" w:type="pct"/>
            <w:vAlign w:val="center"/>
          </w:tcPr>
          <w:p>
            <w:pPr>
              <w:jc w:val="center"/>
              <w:rPr>
                <w:rFonts w:eastAsiaTheme="minorEastAsia"/>
                <w:color w:val="000000"/>
                <w:szCs w:val="21"/>
              </w:rPr>
            </w:pPr>
            <w:r>
              <w:rPr>
                <w:rFonts w:hAnsiTheme="minorEastAsia" w:eastAsiaTheme="minorEastAsia"/>
                <w:color w:val="000000"/>
                <w:szCs w:val="21"/>
              </w:rPr>
              <w:t>稳定性</w:t>
            </w:r>
          </w:p>
        </w:tc>
        <w:tc>
          <w:tcPr>
            <w:tcW w:w="514" w:type="pct"/>
            <w:vAlign w:val="center"/>
          </w:tcPr>
          <w:p>
            <w:pPr>
              <w:jc w:val="center"/>
              <w:rPr>
                <w:rFonts w:eastAsiaTheme="minorEastAsia"/>
                <w:color w:val="000000"/>
                <w:szCs w:val="21"/>
              </w:rPr>
            </w:pPr>
            <w:r>
              <w:rPr>
                <w:rFonts w:hAnsiTheme="minorEastAsia" w:eastAsiaTheme="minorEastAsia"/>
                <w:color w:val="000000"/>
                <w:szCs w:val="21"/>
              </w:rPr>
              <w:t>视密度（</w:t>
            </w:r>
            <w:r>
              <w:rPr>
                <w:rFonts w:eastAsiaTheme="minorEastAsia"/>
                <w:color w:val="000000"/>
                <w:szCs w:val="21"/>
              </w:rPr>
              <w:t>t/m</w:t>
            </w:r>
            <w:r>
              <w:rPr>
                <w:rFonts w:eastAsiaTheme="minorEastAsia"/>
                <w:color w:val="000000"/>
                <w:szCs w:val="21"/>
                <w:vertAlign w:val="superscript"/>
              </w:rPr>
              <w:t>3</w:t>
            </w:r>
            <w:r>
              <w:rPr>
                <w:rFonts w:hAnsiTheme="minorEastAsia" w:eastAsiaTheme="minorEastAsia"/>
                <w:color w:val="000000"/>
                <w:szCs w:val="21"/>
              </w:rPr>
              <w:t>）</w:t>
            </w:r>
          </w:p>
        </w:tc>
        <w:tc>
          <w:tcPr>
            <w:tcW w:w="644" w:type="pct"/>
            <w:vAlign w:val="center"/>
          </w:tcPr>
          <w:p>
            <w:pPr>
              <w:jc w:val="center"/>
              <w:rPr>
                <w:rFonts w:eastAsiaTheme="minorEastAsia"/>
                <w:color w:val="000000"/>
                <w:szCs w:val="21"/>
              </w:rPr>
            </w:pPr>
            <w:r>
              <w:rPr>
                <w:rFonts w:hAnsiTheme="minorEastAsia" w:eastAsiaTheme="minorEastAsia"/>
                <w:color w:val="000000"/>
                <w:szCs w:val="21"/>
              </w:rPr>
              <w:t>含煤地层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exact"/>
          <w:jc w:val="center"/>
        </w:trPr>
        <w:tc>
          <w:tcPr>
            <w:tcW w:w="285" w:type="pct"/>
            <w:vAlign w:val="center"/>
          </w:tcPr>
          <w:p>
            <w:pPr>
              <w:jc w:val="center"/>
              <w:rPr>
                <w:rFonts w:eastAsiaTheme="minorEastAsia"/>
                <w:color w:val="000000"/>
                <w:szCs w:val="21"/>
                <w:vertAlign w:val="subscript"/>
              </w:rPr>
            </w:pPr>
            <w:r>
              <w:rPr>
                <w:rFonts w:eastAsiaTheme="minorEastAsia"/>
                <w:color w:val="000000"/>
                <w:szCs w:val="21"/>
              </w:rPr>
              <w:t>4</w:t>
            </w:r>
          </w:p>
        </w:tc>
        <w:tc>
          <w:tcPr>
            <w:tcW w:w="651" w:type="pct"/>
            <w:vAlign w:val="center"/>
          </w:tcPr>
          <w:p>
            <w:pPr>
              <w:jc w:val="center"/>
              <w:rPr>
                <w:rFonts w:eastAsiaTheme="minorEastAsia"/>
                <w:color w:val="000000"/>
                <w:szCs w:val="21"/>
                <w:u w:val="single"/>
              </w:rPr>
            </w:pPr>
            <w:r>
              <w:rPr>
                <w:rFonts w:eastAsiaTheme="minorEastAsia"/>
                <w:color w:val="000000"/>
                <w:szCs w:val="21"/>
                <w:u w:val="single"/>
              </w:rPr>
              <w:t>1.50</w:t>
            </w:r>
            <w:r>
              <w:rPr>
                <w:rFonts w:hAnsiTheme="minorEastAsia" w:eastAsiaTheme="minorEastAsia"/>
                <w:color w:val="000000"/>
                <w:szCs w:val="21"/>
                <w:u w:val="single"/>
              </w:rPr>
              <w:t>～</w:t>
            </w:r>
            <w:r>
              <w:rPr>
                <w:rFonts w:eastAsiaTheme="minorEastAsia"/>
                <w:color w:val="000000"/>
                <w:szCs w:val="21"/>
                <w:u w:val="single"/>
              </w:rPr>
              <w:t>1.88</w:t>
            </w:r>
          </w:p>
          <w:p>
            <w:pPr>
              <w:jc w:val="center"/>
              <w:rPr>
                <w:rFonts w:eastAsiaTheme="minorEastAsia"/>
                <w:color w:val="000000"/>
                <w:szCs w:val="21"/>
              </w:rPr>
            </w:pPr>
            <w:r>
              <w:rPr>
                <w:rFonts w:eastAsiaTheme="minorEastAsia"/>
                <w:color w:val="000000"/>
                <w:szCs w:val="21"/>
              </w:rPr>
              <w:t>1.64</w:t>
            </w:r>
          </w:p>
        </w:tc>
        <w:tc>
          <w:tcPr>
            <w:tcW w:w="438" w:type="pct"/>
            <w:vAlign w:val="center"/>
          </w:tcPr>
          <w:p>
            <w:pPr>
              <w:jc w:val="center"/>
              <w:rPr>
                <w:rFonts w:eastAsiaTheme="minorEastAsia"/>
                <w:color w:val="000000"/>
                <w:szCs w:val="21"/>
              </w:rPr>
            </w:pPr>
            <w:r>
              <w:rPr>
                <w:rFonts w:eastAsiaTheme="minorEastAsia"/>
                <w:color w:val="000000"/>
                <w:szCs w:val="21"/>
              </w:rPr>
              <w:t>1.66</w:t>
            </w:r>
          </w:p>
        </w:tc>
        <w:tc>
          <w:tcPr>
            <w:tcW w:w="536" w:type="pct"/>
            <w:vAlign w:val="center"/>
          </w:tcPr>
          <w:p>
            <w:pPr>
              <w:jc w:val="left"/>
              <w:rPr>
                <w:rFonts w:eastAsiaTheme="minorEastAsia"/>
                <w:color w:val="000000"/>
                <w:szCs w:val="21"/>
              </w:rPr>
            </w:pPr>
            <w:r>
              <w:rPr>
                <w:rFonts w:hAnsiTheme="minorEastAsia" w:eastAsiaTheme="minorEastAsia"/>
                <w:color w:val="000000"/>
                <w:szCs w:val="21"/>
              </w:rPr>
              <w:t>泥岩、砂质泥岩</w:t>
            </w:r>
          </w:p>
        </w:tc>
        <w:tc>
          <w:tcPr>
            <w:tcW w:w="516" w:type="pct"/>
            <w:vAlign w:val="center"/>
          </w:tcPr>
          <w:p>
            <w:pPr>
              <w:jc w:val="left"/>
              <w:rPr>
                <w:rFonts w:eastAsiaTheme="minorEastAsia"/>
                <w:color w:val="000000"/>
                <w:szCs w:val="21"/>
              </w:rPr>
            </w:pPr>
            <w:r>
              <w:rPr>
                <w:rFonts w:hAnsiTheme="minorEastAsia" w:eastAsiaTheme="minorEastAsia"/>
                <w:color w:val="000000"/>
                <w:szCs w:val="21"/>
              </w:rPr>
              <w:t>泥岩、细粒砂岩</w:t>
            </w:r>
          </w:p>
        </w:tc>
        <w:tc>
          <w:tcPr>
            <w:tcW w:w="454" w:type="pct"/>
            <w:vAlign w:val="center"/>
          </w:tcPr>
          <w:p>
            <w:pPr>
              <w:jc w:val="center"/>
              <w:rPr>
                <w:rFonts w:eastAsiaTheme="minorEastAsia"/>
                <w:color w:val="000000"/>
                <w:szCs w:val="21"/>
              </w:rPr>
            </w:pPr>
            <w:r>
              <w:rPr>
                <w:rFonts w:hAnsiTheme="minorEastAsia" w:eastAsiaTheme="minorEastAsia"/>
                <w:color w:val="000000"/>
                <w:szCs w:val="21"/>
              </w:rPr>
              <w:t>较简单</w:t>
            </w:r>
          </w:p>
          <w:p>
            <w:pPr>
              <w:jc w:val="center"/>
              <w:rPr>
                <w:rFonts w:eastAsiaTheme="minorEastAsia"/>
                <w:color w:val="000000"/>
                <w:szCs w:val="21"/>
              </w:rPr>
            </w:pPr>
            <w:r>
              <w:rPr>
                <w:rFonts w:hAnsiTheme="minorEastAsia" w:eastAsiaTheme="minorEastAsia"/>
                <w:color w:val="000000"/>
                <w:szCs w:val="21"/>
              </w:rPr>
              <w:t>（</w:t>
            </w:r>
            <w:r>
              <w:rPr>
                <w:rFonts w:eastAsiaTheme="minorEastAsia"/>
                <w:color w:val="000000"/>
                <w:szCs w:val="21"/>
              </w:rPr>
              <w:t>1~2</w:t>
            </w:r>
            <w:r>
              <w:rPr>
                <w:rFonts w:hAnsiTheme="minorEastAsia" w:eastAsiaTheme="minorEastAsia"/>
                <w:color w:val="000000"/>
                <w:szCs w:val="21"/>
              </w:rPr>
              <w:t>）</w:t>
            </w:r>
          </w:p>
        </w:tc>
        <w:tc>
          <w:tcPr>
            <w:tcW w:w="554" w:type="pct"/>
            <w:vAlign w:val="center"/>
          </w:tcPr>
          <w:p>
            <w:pPr>
              <w:jc w:val="center"/>
              <w:rPr>
                <w:rFonts w:eastAsiaTheme="minorEastAsia"/>
                <w:color w:val="000000"/>
                <w:szCs w:val="21"/>
              </w:rPr>
            </w:pPr>
            <w:r>
              <w:rPr>
                <w:rFonts w:hAnsiTheme="minorEastAsia" w:eastAsiaTheme="minorEastAsia"/>
                <w:color w:val="000000"/>
                <w:szCs w:val="21"/>
              </w:rPr>
              <w:t>全区可采</w:t>
            </w:r>
          </w:p>
        </w:tc>
        <w:tc>
          <w:tcPr>
            <w:tcW w:w="407" w:type="pct"/>
            <w:vAlign w:val="center"/>
          </w:tcPr>
          <w:p>
            <w:pPr>
              <w:jc w:val="center"/>
              <w:rPr>
                <w:rFonts w:eastAsiaTheme="minorEastAsia"/>
                <w:color w:val="000000"/>
                <w:szCs w:val="21"/>
              </w:rPr>
            </w:pPr>
            <w:r>
              <w:rPr>
                <w:rFonts w:hAnsiTheme="minorEastAsia" w:eastAsiaTheme="minorEastAsia"/>
                <w:color w:val="000000"/>
                <w:szCs w:val="21"/>
              </w:rPr>
              <w:t>稳定</w:t>
            </w:r>
          </w:p>
        </w:tc>
        <w:tc>
          <w:tcPr>
            <w:tcW w:w="514" w:type="pct"/>
            <w:vAlign w:val="center"/>
          </w:tcPr>
          <w:p>
            <w:pPr>
              <w:jc w:val="center"/>
              <w:rPr>
                <w:rFonts w:eastAsiaTheme="minorEastAsia"/>
                <w:color w:val="000000"/>
                <w:szCs w:val="21"/>
              </w:rPr>
            </w:pPr>
            <w:r>
              <w:rPr>
                <w:rFonts w:eastAsiaTheme="minorEastAsia"/>
                <w:color w:val="000000"/>
                <w:szCs w:val="21"/>
              </w:rPr>
              <w:t>1.44</w:t>
            </w:r>
          </w:p>
        </w:tc>
        <w:tc>
          <w:tcPr>
            <w:tcW w:w="644" w:type="pct"/>
            <w:vAlign w:val="center"/>
          </w:tcPr>
          <w:p>
            <w:pPr>
              <w:jc w:val="center"/>
              <w:rPr>
                <w:rFonts w:eastAsiaTheme="minorEastAsia"/>
                <w:color w:val="000000"/>
                <w:szCs w:val="21"/>
              </w:rPr>
            </w:pPr>
            <w:r>
              <w:rPr>
                <w:rFonts w:hAnsiTheme="minorEastAsia" w:eastAsiaTheme="minorEastAsia"/>
                <w:color w:val="000000"/>
                <w:szCs w:val="21"/>
              </w:rPr>
              <w:t>二叠系下统山西组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7" w:hRule="exact"/>
          <w:jc w:val="center"/>
        </w:trPr>
        <w:tc>
          <w:tcPr>
            <w:tcW w:w="285" w:type="pct"/>
            <w:vAlign w:val="center"/>
          </w:tcPr>
          <w:p>
            <w:pPr>
              <w:jc w:val="center"/>
              <w:rPr>
                <w:rFonts w:eastAsiaTheme="minorEastAsia"/>
                <w:color w:val="000000"/>
                <w:szCs w:val="21"/>
                <w:vertAlign w:val="subscript"/>
              </w:rPr>
            </w:pPr>
            <w:r>
              <w:rPr>
                <w:rFonts w:eastAsiaTheme="minorEastAsia"/>
                <w:color w:val="000000"/>
                <w:szCs w:val="21"/>
              </w:rPr>
              <w:t>5</w:t>
            </w:r>
          </w:p>
        </w:tc>
        <w:tc>
          <w:tcPr>
            <w:tcW w:w="651" w:type="pct"/>
            <w:vAlign w:val="center"/>
          </w:tcPr>
          <w:p>
            <w:pPr>
              <w:jc w:val="center"/>
              <w:rPr>
                <w:rFonts w:eastAsiaTheme="minorEastAsia"/>
                <w:color w:val="000000"/>
                <w:szCs w:val="21"/>
                <w:u w:val="single"/>
              </w:rPr>
            </w:pPr>
            <w:r>
              <w:rPr>
                <w:rFonts w:eastAsiaTheme="minorEastAsia"/>
                <w:color w:val="000000"/>
                <w:szCs w:val="21"/>
                <w:u w:val="single"/>
              </w:rPr>
              <w:t>2.66</w:t>
            </w:r>
            <w:r>
              <w:rPr>
                <w:rFonts w:hAnsiTheme="minorEastAsia" w:eastAsiaTheme="minorEastAsia"/>
                <w:color w:val="000000"/>
                <w:szCs w:val="21"/>
                <w:u w:val="single"/>
              </w:rPr>
              <w:t>～</w:t>
            </w:r>
            <w:r>
              <w:rPr>
                <w:rFonts w:eastAsiaTheme="minorEastAsia"/>
                <w:color w:val="000000"/>
                <w:szCs w:val="21"/>
                <w:u w:val="single"/>
              </w:rPr>
              <w:t>6.40</w:t>
            </w:r>
          </w:p>
          <w:p>
            <w:pPr>
              <w:jc w:val="center"/>
              <w:rPr>
                <w:rFonts w:eastAsiaTheme="minorEastAsia"/>
                <w:color w:val="000000"/>
                <w:szCs w:val="21"/>
              </w:rPr>
            </w:pPr>
            <w:r>
              <w:rPr>
                <w:rFonts w:eastAsiaTheme="minorEastAsia"/>
                <w:color w:val="000000"/>
                <w:szCs w:val="21"/>
              </w:rPr>
              <w:t>3.62</w:t>
            </w:r>
          </w:p>
        </w:tc>
        <w:tc>
          <w:tcPr>
            <w:tcW w:w="438" w:type="pct"/>
            <w:vAlign w:val="center"/>
          </w:tcPr>
          <w:p>
            <w:pPr>
              <w:jc w:val="center"/>
              <w:rPr>
                <w:rFonts w:eastAsiaTheme="minorEastAsia"/>
                <w:color w:val="000000"/>
                <w:szCs w:val="21"/>
              </w:rPr>
            </w:pPr>
            <w:r>
              <w:rPr>
                <w:rFonts w:eastAsiaTheme="minorEastAsia"/>
                <w:color w:val="000000"/>
                <w:szCs w:val="21"/>
              </w:rPr>
              <w:t>43.72</w:t>
            </w:r>
          </w:p>
        </w:tc>
        <w:tc>
          <w:tcPr>
            <w:tcW w:w="536" w:type="pct"/>
            <w:vAlign w:val="center"/>
          </w:tcPr>
          <w:p>
            <w:pPr>
              <w:jc w:val="left"/>
              <w:rPr>
                <w:rFonts w:eastAsiaTheme="minorEastAsia"/>
                <w:color w:val="000000"/>
                <w:szCs w:val="21"/>
              </w:rPr>
            </w:pPr>
            <w:r>
              <w:rPr>
                <w:rFonts w:hAnsiTheme="minorEastAsia" w:eastAsiaTheme="minorEastAsia"/>
                <w:color w:val="000000"/>
                <w:szCs w:val="21"/>
              </w:rPr>
              <w:t>泥岩、细粒砂岩</w:t>
            </w:r>
          </w:p>
        </w:tc>
        <w:tc>
          <w:tcPr>
            <w:tcW w:w="516" w:type="pct"/>
            <w:vAlign w:val="center"/>
          </w:tcPr>
          <w:p>
            <w:pPr>
              <w:jc w:val="left"/>
              <w:rPr>
                <w:rFonts w:eastAsiaTheme="minorEastAsia"/>
                <w:color w:val="000000"/>
                <w:szCs w:val="21"/>
              </w:rPr>
            </w:pPr>
            <w:r>
              <w:rPr>
                <w:rFonts w:hAnsiTheme="minorEastAsia" w:eastAsiaTheme="minorEastAsia"/>
                <w:color w:val="000000"/>
                <w:szCs w:val="21"/>
              </w:rPr>
              <w:t>砂岩、砂质泥岩、泥岩</w:t>
            </w:r>
          </w:p>
        </w:tc>
        <w:tc>
          <w:tcPr>
            <w:tcW w:w="454" w:type="pct"/>
            <w:vAlign w:val="center"/>
          </w:tcPr>
          <w:p>
            <w:pPr>
              <w:jc w:val="center"/>
              <w:rPr>
                <w:rFonts w:eastAsiaTheme="minorEastAsia"/>
                <w:color w:val="000000"/>
                <w:szCs w:val="21"/>
              </w:rPr>
            </w:pPr>
            <w:r>
              <w:rPr>
                <w:rFonts w:hAnsiTheme="minorEastAsia" w:eastAsiaTheme="minorEastAsia"/>
                <w:color w:val="000000"/>
                <w:szCs w:val="21"/>
              </w:rPr>
              <w:t>较简单</w:t>
            </w:r>
          </w:p>
          <w:p>
            <w:pPr>
              <w:jc w:val="center"/>
              <w:rPr>
                <w:rFonts w:eastAsiaTheme="minorEastAsia"/>
                <w:color w:val="000000"/>
                <w:szCs w:val="21"/>
              </w:rPr>
            </w:pPr>
            <w:r>
              <w:rPr>
                <w:rFonts w:hAnsiTheme="minorEastAsia" w:eastAsiaTheme="minorEastAsia"/>
                <w:color w:val="000000"/>
                <w:szCs w:val="21"/>
              </w:rPr>
              <w:t>（</w:t>
            </w:r>
            <w:r>
              <w:rPr>
                <w:rFonts w:eastAsiaTheme="minorEastAsia"/>
                <w:color w:val="000000"/>
                <w:szCs w:val="21"/>
              </w:rPr>
              <w:t>0~5</w:t>
            </w:r>
            <w:r>
              <w:rPr>
                <w:rFonts w:hAnsiTheme="minorEastAsia" w:eastAsiaTheme="minorEastAsia"/>
                <w:color w:val="000000"/>
                <w:szCs w:val="21"/>
              </w:rPr>
              <w:t>）</w:t>
            </w:r>
          </w:p>
        </w:tc>
        <w:tc>
          <w:tcPr>
            <w:tcW w:w="554" w:type="pct"/>
            <w:vAlign w:val="center"/>
          </w:tcPr>
          <w:p>
            <w:pPr>
              <w:jc w:val="center"/>
              <w:rPr>
                <w:rFonts w:eastAsiaTheme="minorEastAsia"/>
                <w:color w:val="000000"/>
                <w:szCs w:val="21"/>
              </w:rPr>
            </w:pPr>
            <w:r>
              <w:rPr>
                <w:rFonts w:hAnsiTheme="minorEastAsia" w:eastAsiaTheme="minorEastAsia"/>
                <w:color w:val="000000"/>
                <w:szCs w:val="21"/>
              </w:rPr>
              <w:t>全区可采</w:t>
            </w:r>
          </w:p>
        </w:tc>
        <w:tc>
          <w:tcPr>
            <w:tcW w:w="407" w:type="pct"/>
            <w:vAlign w:val="center"/>
          </w:tcPr>
          <w:p>
            <w:pPr>
              <w:jc w:val="center"/>
              <w:rPr>
                <w:rFonts w:eastAsiaTheme="minorEastAsia"/>
                <w:color w:val="000000"/>
                <w:szCs w:val="21"/>
              </w:rPr>
            </w:pPr>
            <w:r>
              <w:rPr>
                <w:rFonts w:hAnsiTheme="minorEastAsia" w:eastAsiaTheme="minorEastAsia"/>
                <w:color w:val="000000"/>
                <w:szCs w:val="21"/>
              </w:rPr>
              <w:t>稳定</w:t>
            </w:r>
          </w:p>
        </w:tc>
        <w:tc>
          <w:tcPr>
            <w:tcW w:w="514" w:type="pct"/>
            <w:vAlign w:val="center"/>
          </w:tcPr>
          <w:p>
            <w:pPr>
              <w:jc w:val="center"/>
              <w:rPr>
                <w:rFonts w:eastAsiaTheme="minorEastAsia"/>
                <w:color w:val="000000"/>
                <w:szCs w:val="21"/>
              </w:rPr>
            </w:pPr>
            <w:r>
              <w:rPr>
                <w:rFonts w:eastAsiaTheme="minorEastAsia"/>
                <w:color w:val="000000"/>
                <w:szCs w:val="21"/>
              </w:rPr>
              <w:t>1.41</w:t>
            </w:r>
          </w:p>
        </w:tc>
        <w:tc>
          <w:tcPr>
            <w:tcW w:w="644" w:type="pct"/>
            <w:vAlign w:val="center"/>
          </w:tcPr>
          <w:p>
            <w:pPr>
              <w:jc w:val="center"/>
              <w:rPr>
                <w:rFonts w:eastAsiaTheme="minorEastAsia"/>
                <w:color w:val="000000"/>
                <w:szCs w:val="21"/>
              </w:rPr>
            </w:pPr>
            <w:r>
              <w:rPr>
                <w:rFonts w:hAnsiTheme="minorEastAsia" w:eastAsiaTheme="minorEastAsia"/>
                <w:color w:val="000000"/>
                <w:szCs w:val="21"/>
              </w:rPr>
              <w:t>二叠系下统山西组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7" w:hRule="exact"/>
          <w:jc w:val="center"/>
        </w:trPr>
        <w:tc>
          <w:tcPr>
            <w:tcW w:w="285" w:type="pct"/>
            <w:vAlign w:val="center"/>
          </w:tcPr>
          <w:p>
            <w:pPr>
              <w:jc w:val="center"/>
              <w:rPr>
                <w:rFonts w:eastAsiaTheme="minorEastAsia"/>
                <w:color w:val="000000"/>
                <w:szCs w:val="21"/>
                <w:vertAlign w:val="subscript"/>
              </w:rPr>
            </w:pPr>
            <w:r>
              <w:rPr>
                <w:rFonts w:eastAsiaTheme="minorEastAsia"/>
                <w:color w:val="000000"/>
                <w:szCs w:val="21"/>
              </w:rPr>
              <w:t>8</w:t>
            </w:r>
          </w:p>
        </w:tc>
        <w:tc>
          <w:tcPr>
            <w:tcW w:w="651" w:type="pct"/>
            <w:vAlign w:val="center"/>
          </w:tcPr>
          <w:p>
            <w:pPr>
              <w:jc w:val="center"/>
              <w:rPr>
                <w:rFonts w:eastAsiaTheme="minorEastAsia"/>
                <w:color w:val="000000"/>
                <w:szCs w:val="21"/>
                <w:u w:val="single"/>
              </w:rPr>
            </w:pPr>
            <w:r>
              <w:rPr>
                <w:rFonts w:eastAsiaTheme="minorEastAsia"/>
                <w:color w:val="000000"/>
                <w:szCs w:val="21"/>
                <w:u w:val="single"/>
              </w:rPr>
              <w:t>2.48</w:t>
            </w:r>
            <w:r>
              <w:rPr>
                <w:rFonts w:hAnsiTheme="minorEastAsia" w:eastAsiaTheme="minorEastAsia"/>
                <w:color w:val="000000"/>
                <w:szCs w:val="21"/>
                <w:u w:val="single"/>
              </w:rPr>
              <w:t>～</w:t>
            </w:r>
            <w:r>
              <w:rPr>
                <w:rFonts w:eastAsiaTheme="minorEastAsia"/>
                <w:color w:val="000000"/>
                <w:szCs w:val="21"/>
                <w:u w:val="single"/>
              </w:rPr>
              <w:t>3.10</w:t>
            </w:r>
          </w:p>
          <w:p>
            <w:pPr>
              <w:jc w:val="center"/>
              <w:rPr>
                <w:rFonts w:eastAsiaTheme="minorEastAsia"/>
                <w:color w:val="000000"/>
                <w:szCs w:val="21"/>
              </w:rPr>
            </w:pPr>
            <w:r>
              <w:rPr>
                <w:rFonts w:eastAsiaTheme="minorEastAsia"/>
                <w:color w:val="000000"/>
                <w:szCs w:val="21"/>
              </w:rPr>
              <w:t>2.72</w:t>
            </w:r>
          </w:p>
        </w:tc>
        <w:tc>
          <w:tcPr>
            <w:tcW w:w="438" w:type="pct"/>
            <w:vAlign w:val="center"/>
          </w:tcPr>
          <w:p>
            <w:pPr>
              <w:jc w:val="center"/>
              <w:rPr>
                <w:rFonts w:eastAsiaTheme="minorEastAsia"/>
                <w:color w:val="000000"/>
                <w:szCs w:val="21"/>
              </w:rPr>
            </w:pPr>
            <w:r>
              <w:rPr>
                <w:rFonts w:eastAsiaTheme="minorEastAsia"/>
                <w:color w:val="000000"/>
                <w:szCs w:val="21"/>
              </w:rPr>
              <w:t>12.35</w:t>
            </w:r>
          </w:p>
        </w:tc>
        <w:tc>
          <w:tcPr>
            <w:tcW w:w="536" w:type="pct"/>
            <w:vAlign w:val="center"/>
          </w:tcPr>
          <w:p>
            <w:pPr>
              <w:jc w:val="left"/>
              <w:rPr>
                <w:rFonts w:eastAsiaTheme="minorEastAsia"/>
                <w:color w:val="000000"/>
                <w:szCs w:val="21"/>
              </w:rPr>
            </w:pPr>
            <w:r>
              <w:rPr>
                <w:rFonts w:hAnsiTheme="minorEastAsia" w:eastAsiaTheme="minorEastAsia"/>
                <w:color w:val="000000"/>
                <w:szCs w:val="21"/>
              </w:rPr>
              <w:t>石灰岩</w:t>
            </w:r>
          </w:p>
        </w:tc>
        <w:tc>
          <w:tcPr>
            <w:tcW w:w="516" w:type="pct"/>
            <w:vAlign w:val="center"/>
          </w:tcPr>
          <w:p>
            <w:pPr>
              <w:jc w:val="left"/>
              <w:rPr>
                <w:rFonts w:eastAsiaTheme="minorEastAsia"/>
                <w:color w:val="000000"/>
                <w:szCs w:val="21"/>
              </w:rPr>
            </w:pPr>
            <w:r>
              <w:rPr>
                <w:rFonts w:hAnsiTheme="minorEastAsia" w:eastAsiaTheme="minorEastAsia"/>
                <w:color w:val="000000"/>
                <w:szCs w:val="21"/>
              </w:rPr>
              <w:t>砂质泥岩、泥岩</w:t>
            </w:r>
          </w:p>
        </w:tc>
        <w:tc>
          <w:tcPr>
            <w:tcW w:w="454" w:type="pct"/>
            <w:vAlign w:val="center"/>
          </w:tcPr>
          <w:p>
            <w:pPr>
              <w:jc w:val="center"/>
              <w:rPr>
                <w:rFonts w:eastAsiaTheme="minorEastAsia"/>
                <w:color w:val="000000"/>
                <w:szCs w:val="21"/>
              </w:rPr>
            </w:pPr>
            <w:r>
              <w:rPr>
                <w:rFonts w:hAnsiTheme="minorEastAsia" w:eastAsiaTheme="minorEastAsia"/>
                <w:color w:val="000000"/>
                <w:szCs w:val="21"/>
              </w:rPr>
              <w:t>较简单</w:t>
            </w:r>
          </w:p>
          <w:p>
            <w:pPr>
              <w:jc w:val="center"/>
              <w:rPr>
                <w:rFonts w:eastAsiaTheme="minorEastAsia"/>
                <w:color w:val="000000"/>
                <w:szCs w:val="21"/>
              </w:rPr>
            </w:pPr>
            <w:r>
              <w:rPr>
                <w:rFonts w:hAnsiTheme="minorEastAsia" w:eastAsiaTheme="minorEastAsia"/>
                <w:color w:val="000000"/>
                <w:szCs w:val="21"/>
              </w:rPr>
              <w:t>（</w:t>
            </w:r>
            <w:r>
              <w:rPr>
                <w:rFonts w:eastAsiaTheme="minorEastAsia"/>
                <w:color w:val="000000"/>
                <w:szCs w:val="21"/>
              </w:rPr>
              <w:t>0~2</w:t>
            </w:r>
            <w:r>
              <w:rPr>
                <w:rFonts w:hAnsiTheme="minorEastAsia" w:eastAsiaTheme="minorEastAsia"/>
                <w:color w:val="000000"/>
                <w:szCs w:val="21"/>
              </w:rPr>
              <w:t>）</w:t>
            </w:r>
          </w:p>
        </w:tc>
        <w:tc>
          <w:tcPr>
            <w:tcW w:w="554" w:type="pct"/>
            <w:vAlign w:val="center"/>
          </w:tcPr>
          <w:p>
            <w:pPr>
              <w:jc w:val="center"/>
              <w:rPr>
                <w:rFonts w:eastAsiaTheme="minorEastAsia"/>
                <w:color w:val="000000"/>
                <w:szCs w:val="21"/>
              </w:rPr>
            </w:pPr>
            <w:r>
              <w:rPr>
                <w:rFonts w:hAnsiTheme="minorEastAsia" w:eastAsiaTheme="minorEastAsia"/>
                <w:color w:val="000000"/>
                <w:szCs w:val="21"/>
              </w:rPr>
              <w:t>全区可采</w:t>
            </w:r>
          </w:p>
        </w:tc>
        <w:tc>
          <w:tcPr>
            <w:tcW w:w="407" w:type="pct"/>
            <w:vAlign w:val="center"/>
          </w:tcPr>
          <w:p>
            <w:pPr>
              <w:jc w:val="center"/>
              <w:rPr>
                <w:rFonts w:eastAsiaTheme="minorEastAsia"/>
                <w:color w:val="000000"/>
                <w:szCs w:val="21"/>
              </w:rPr>
            </w:pPr>
            <w:r>
              <w:rPr>
                <w:rFonts w:hAnsiTheme="minorEastAsia" w:eastAsiaTheme="minorEastAsia"/>
                <w:color w:val="000000"/>
                <w:szCs w:val="21"/>
              </w:rPr>
              <w:t>稳定</w:t>
            </w:r>
          </w:p>
        </w:tc>
        <w:tc>
          <w:tcPr>
            <w:tcW w:w="514" w:type="pct"/>
            <w:vAlign w:val="center"/>
          </w:tcPr>
          <w:p>
            <w:pPr>
              <w:jc w:val="center"/>
              <w:rPr>
                <w:rFonts w:eastAsiaTheme="minorEastAsia"/>
                <w:color w:val="000000"/>
                <w:szCs w:val="21"/>
              </w:rPr>
            </w:pPr>
            <w:r>
              <w:rPr>
                <w:rFonts w:eastAsiaTheme="minorEastAsia"/>
                <w:color w:val="000000"/>
                <w:szCs w:val="21"/>
              </w:rPr>
              <w:t>1.40</w:t>
            </w:r>
          </w:p>
        </w:tc>
        <w:tc>
          <w:tcPr>
            <w:tcW w:w="644" w:type="pct"/>
            <w:vAlign w:val="center"/>
          </w:tcPr>
          <w:p>
            <w:pPr>
              <w:jc w:val="center"/>
              <w:rPr>
                <w:rFonts w:eastAsiaTheme="minorEastAsia"/>
                <w:color w:val="000000"/>
                <w:szCs w:val="21"/>
              </w:rPr>
            </w:pPr>
            <w:r>
              <w:rPr>
                <w:rFonts w:hAnsiTheme="minorEastAsia" w:eastAsiaTheme="minorEastAsia"/>
                <w:color w:val="000000"/>
                <w:szCs w:val="21"/>
              </w:rPr>
              <w:t>石炭系上统太原组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exact"/>
          <w:jc w:val="center"/>
        </w:trPr>
        <w:tc>
          <w:tcPr>
            <w:tcW w:w="285" w:type="pct"/>
            <w:vAlign w:val="center"/>
          </w:tcPr>
          <w:p>
            <w:pPr>
              <w:jc w:val="center"/>
              <w:rPr>
                <w:rFonts w:eastAsiaTheme="minorEastAsia"/>
                <w:color w:val="000000"/>
                <w:szCs w:val="21"/>
                <w:vertAlign w:val="subscript"/>
              </w:rPr>
            </w:pPr>
            <w:r>
              <w:rPr>
                <w:rFonts w:eastAsiaTheme="minorEastAsia"/>
                <w:color w:val="000000"/>
                <w:szCs w:val="21"/>
              </w:rPr>
              <w:t>9</w:t>
            </w:r>
          </w:p>
        </w:tc>
        <w:tc>
          <w:tcPr>
            <w:tcW w:w="651" w:type="pct"/>
            <w:vAlign w:val="center"/>
          </w:tcPr>
          <w:p>
            <w:pPr>
              <w:jc w:val="center"/>
              <w:rPr>
                <w:rFonts w:eastAsiaTheme="minorEastAsia"/>
                <w:color w:val="000000"/>
                <w:szCs w:val="21"/>
                <w:u w:val="single"/>
              </w:rPr>
            </w:pPr>
            <w:r>
              <w:rPr>
                <w:rFonts w:eastAsiaTheme="minorEastAsia"/>
                <w:color w:val="000000"/>
                <w:szCs w:val="21"/>
                <w:u w:val="single"/>
              </w:rPr>
              <w:t>1.70</w:t>
            </w:r>
            <w:r>
              <w:rPr>
                <w:rFonts w:hAnsiTheme="minorEastAsia" w:eastAsiaTheme="minorEastAsia"/>
                <w:color w:val="000000"/>
                <w:szCs w:val="21"/>
                <w:u w:val="single"/>
              </w:rPr>
              <w:t>～</w:t>
            </w:r>
            <w:r>
              <w:rPr>
                <w:rFonts w:eastAsiaTheme="minorEastAsia"/>
                <w:color w:val="000000"/>
                <w:szCs w:val="21"/>
                <w:u w:val="single"/>
              </w:rPr>
              <w:t>3.90</w:t>
            </w:r>
          </w:p>
          <w:p>
            <w:pPr>
              <w:jc w:val="center"/>
              <w:rPr>
                <w:rFonts w:eastAsiaTheme="minorEastAsia"/>
                <w:color w:val="000000"/>
                <w:szCs w:val="21"/>
              </w:rPr>
            </w:pPr>
            <w:r>
              <w:rPr>
                <w:rFonts w:eastAsiaTheme="minorEastAsia"/>
                <w:color w:val="000000"/>
                <w:szCs w:val="21"/>
              </w:rPr>
              <w:t>2.90</w:t>
            </w:r>
          </w:p>
        </w:tc>
        <w:tc>
          <w:tcPr>
            <w:tcW w:w="438" w:type="pct"/>
            <w:vAlign w:val="center"/>
          </w:tcPr>
          <w:p>
            <w:pPr>
              <w:jc w:val="center"/>
              <w:rPr>
                <w:rFonts w:eastAsiaTheme="minorEastAsia"/>
                <w:color w:val="000000"/>
                <w:szCs w:val="21"/>
              </w:rPr>
            </w:pPr>
          </w:p>
        </w:tc>
        <w:tc>
          <w:tcPr>
            <w:tcW w:w="536" w:type="pct"/>
            <w:vAlign w:val="center"/>
          </w:tcPr>
          <w:p>
            <w:pPr>
              <w:jc w:val="left"/>
              <w:rPr>
                <w:rFonts w:eastAsiaTheme="minorEastAsia"/>
                <w:color w:val="000000"/>
                <w:szCs w:val="21"/>
              </w:rPr>
            </w:pPr>
            <w:r>
              <w:rPr>
                <w:rFonts w:hAnsiTheme="minorEastAsia" w:eastAsiaTheme="minorEastAsia"/>
                <w:color w:val="000000"/>
                <w:szCs w:val="21"/>
              </w:rPr>
              <w:t>泥岩、砂质泥岩</w:t>
            </w:r>
          </w:p>
        </w:tc>
        <w:tc>
          <w:tcPr>
            <w:tcW w:w="516" w:type="pct"/>
            <w:vAlign w:val="center"/>
          </w:tcPr>
          <w:p>
            <w:pPr>
              <w:jc w:val="left"/>
              <w:rPr>
                <w:rFonts w:eastAsiaTheme="minorEastAsia"/>
                <w:color w:val="000000"/>
                <w:szCs w:val="21"/>
              </w:rPr>
            </w:pPr>
            <w:r>
              <w:rPr>
                <w:rFonts w:hAnsiTheme="minorEastAsia" w:eastAsiaTheme="minorEastAsia"/>
                <w:color w:val="000000"/>
                <w:szCs w:val="21"/>
              </w:rPr>
              <w:t>泥岩、砂质泥岩</w:t>
            </w:r>
          </w:p>
        </w:tc>
        <w:tc>
          <w:tcPr>
            <w:tcW w:w="454" w:type="pct"/>
            <w:vAlign w:val="center"/>
          </w:tcPr>
          <w:p>
            <w:pPr>
              <w:jc w:val="center"/>
              <w:rPr>
                <w:rFonts w:eastAsiaTheme="minorEastAsia"/>
                <w:color w:val="000000"/>
                <w:szCs w:val="21"/>
              </w:rPr>
            </w:pPr>
            <w:r>
              <w:rPr>
                <w:rFonts w:hAnsiTheme="minorEastAsia" w:eastAsiaTheme="minorEastAsia"/>
                <w:color w:val="000000"/>
                <w:szCs w:val="21"/>
              </w:rPr>
              <w:t>较简单</w:t>
            </w:r>
          </w:p>
          <w:p>
            <w:pPr>
              <w:jc w:val="center"/>
              <w:rPr>
                <w:rFonts w:eastAsiaTheme="minorEastAsia"/>
                <w:color w:val="000000"/>
                <w:szCs w:val="21"/>
              </w:rPr>
            </w:pPr>
            <w:r>
              <w:rPr>
                <w:rFonts w:hAnsiTheme="minorEastAsia" w:eastAsiaTheme="minorEastAsia"/>
                <w:color w:val="000000"/>
                <w:szCs w:val="21"/>
              </w:rPr>
              <w:t>（</w:t>
            </w:r>
            <w:r>
              <w:rPr>
                <w:rFonts w:eastAsiaTheme="minorEastAsia"/>
                <w:color w:val="000000"/>
                <w:szCs w:val="21"/>
              </w:rPr>
              <w:t>0~3</w:t>
            </w:r>
            <w:r>
              <w:rPr>
                <w:rFonts w:hAnsiTheme="minorEastAsia" w:eastAsiaTheme="minorEastAsia"/>
                <w:color w:val="000000"/>
                <w:szCs w:val="21"/>
              </w:rPr>
              <w:t>）</w:t>
            </w:r>
          </w:p>
        </w:tc>
        <w:tc>
          <w:tcPr>
            <w:tcW w:w="554" w:type="pct"/>
            <w:vAlign w:val="center"/>
          </w:tcPr>
          <w:p>
            <w:pPr>
              <w:jc w:val="center"/>
              <w:rPr>
                <w:rFonts w:eastAsiaTheme="minorEastAsia"/>
                <w:color w:val="000000"/>
                <w:szCs w:val="21"/>
              </w:rPr>
            </w:pPr>
            <w:r>
              <w:rPr>
                <w:rFonts w:hAnsiTheme="minorEastAsia" w:eastAsiaTheme="minorEastAsia"/>
                <w:color w:val="000000"/>
                <w:szCs w:val="21"/>
              </w:rPr>
              <w:t>全区可采</w:t>
            </w:r>
          </w:p>
        </w:tc>
        <w:tc>
          <w:tcPr>
            <w:tcW w:w="407" w:type="pct"/>
            <w:vAlign w:val="center"/>
          </w:tcPr>
          <w:p>
            <w:pPr>
              <w:jc w:val="center"/>
              <w:rPr>
                <w:rFonts w:eastAsiaTheme="minorEastAsia"/>
                <w:color w:val="000000"/>
                <w:szCs w:val="21"/>
              </w:rPr>
            </w:pPr>
            <w:r>
              <w:rPr>
                <w:rFonts w:hAnsiTheme="minorEastAsia" w:eastAsiaTheme="minorEastAsia"/>
                <w:color w:val="000000"/>
                <w:szCs w:val="21"/>
              </w:rPr>
              <w:t>稳定</w:t>
            </w:r>
          </w:p>
        </w:tc>
        <w:tc>
          <w:tcPr>
            <w:tcW w:w="514" w:type="pct"/>
            <w:vAlign w:val="center"/>
          </w:tcPr>
          <w:p>
            <w:pPr>
              <w:jc w:val="center"/>
              <w:rPr>
                <w:rFonts w:eastAsiaTheme="minorEastAsia"/>
                <w:color w:val="000000"/>
                <w:szCs w:val="21"/>
              </w:rPr>
            </w:pPr>
            <w:r>
              <w:rPr>
                <w:rFonts w:eastAsiaTheme="minorEastAsia"/>
                <w:color w:val="000000"/>
                <w:szCs w:val="21"/>
              </w:rPr>
              <w:t>1.42</w:t>
            </w:r>
          </w:p>
        </w:tc>
        <w:tc>
          <w:tcPr>
            <w:tcW w:w="644" w:type="pct"/>
            <w:vAlign w:val="center"/>
          </w:tcPr>
          <w:p>
            <w:pPr>
              <w:jc w:val="center"/>
              <w:rPr>
                <w:rFonts w:eastAsiaTheme="minorEastAsia"/>
                <w:color w:val="000000"/>
                <w:szCs w:val="21"/>
              </w:rPr>
            </w:pPr>
            <w:r>
              <w:rPr>
                <w:rFonts w:hAnsiTheme="minorEastAsia" w:eastAsiaTheme="minorEastAsia"/>
                <w:color w:val="000000"/>
                <w:szCs w:val="21"/>
              </w:rPr>
              <w:t>石炭系上统太原组</w:t>
            </w:r>
          </w:p>
        </w:tc>
      </w:tr>
    </w:tbl>
    <w:p>
      <w:pPr>
        <w:spacing w:line="360" w:lineRule="auto"/>
        <w:outlineLvl w:val="3"/>
        <w:rPr>
          <w:rFonts w:eastAsiaTheme="minorEastAsia"/>
          <w:b/>
          <w:sz w:val="24"/>
        </w:rPr>
      </w:pPr>
      <w:r>
        <w:rPr>
          <w:rFonts w:eastAsiaTheme="minorEastAsia"/>
          <w:b/>
          <w:sz w:val="24"/>
        </w:rPr>
        <w:t>3.2.</w:t>
      </w:r>
      <w:r>
        <w:rPr>
          <w:rFonts w:hint="eastAsia" w:eastAsiaTheme="minorEastAsia"/>
          <w:b/>
          <w:sz w:val="24"/>
        </w:rPr>
        <w:t>6</w:t>
      </w:r>
      <w:r>
        <w:rPr>
          <w:rFonts w:eastAsiaTheme="minorEastAsia"/>
          <w:b/>
          <w:sz w:val="24"/>
        </w:rPr>
        <w:t>.5</w:t>
      </w:r>
      <w:r>
        <w:rPr>
          <w:rFonts w:hAnsiTheme="minorEastAsia" w:eastAsiaTheme="minorEastAsia"/>
          <w:b/>
          <w:sz w:val="24"/>
        </w:rPr>
        <w:t>煤质</w:t>
      </w:r>
    </w:p>
    <w:p>
      <w:pPr>
        <w:autoSpaceDE w:val="0"/>
        <w:autoSpaceDN w:val="0"/>
        <w:spacing w:line="360" w:lineRule="auto"/>
        <w:ind w:firstLine="480" w:firstLineChars="200"/>
        <w:rPr>
          <w:rFonts w:eastAsiaTheme="minorEastAsia"/>
          <w:color w:val="000000"/>
          <w:sz w:val="24"/>
        </w:rPr>
      </w:pPr>
      <w:r>
        <w:rPr>
          <w:rFonts w:hAnsiTheme="minorEastAsia" w:eastAsiaTheme="minorEastAsia"/>
          <w:color w:val="000000"/>
          <w:sz w:val="24"/>
        </w:rPr>
        <w:t>本井田可采煤层煤炭颜色为黑色，条痕多为黑色和黑褐色，具强玻璃光泽或丝绢光泽。断口多呈阶梯状和贝壳状，少数为眼球状，仅太原组煤中有棱角状。煤中裂隙表面有黄铁矿薄膜。结构主要为条带状，并见有线状结构，暗煤中还有均一和粒状结构。构造多为层状，亦有少数块状构造。镜煤、亮煤的质地较软，性脆、易碎。</w:t>
      </w:r>
    </w:p>
    <w:p>
      <w:pPr>
        <w:pStyle w:val="85"/>
        <w:adjustRightInd/>
        <w:snapToGrid/>
        <w:ind w:firstLine="480"/>
        <w:rPr>
          <w:rFonts w:ascii="Times New Roman" w:cs="Times New Roman" w:hAnsiTheme="minorEastAsia"/>
          <w:sz w:val="24"/>
          <w:szCs w:val="24"/>
        </w:rPr>
      </w:pPr>
      <w:r>
        <w:rPr>
          <w:rFonts w:ascii="Times New Roman" w:cs="Times New Roman" w:hAnsiTheme="minorEastAsia"/>
          <w:sz w:val="24"/>
          <w:szCs w:val="24"/>
        </w:rPr>
        <w:t>本井田可采煤层属低灰～高灰、低硫～高硫、中等可选～极难选、中～特高热值的焦煤和肥煤，主要可作炼焦用煤。</w:t>
      </w:r>
    </w:p>
    <w:p>
      <w:pPr>
        <w:pStyle w:val="85"/>
        <w:adjustRightInd/>
        <w:snapToGrid/>
        <w:ind w:firstLine="480"/>
        <w:rPr>
          <w:rFonts w:ascii="Times New Roman" w:cs="Times New Roman" w:hAnsiTheme="minorEastAsia"/>
          <w:color w:val="auto"/>
          <w:sz w:val="24"/>
          <w:szCs w:val="24"/>
        </w:rPr>
      </w:pPr>
      <w:r>
        <w:rPr>
          <w:rFonts w:hint="eastAsia" w:ascii="Times New Roman" w:cs="Times New Roman" w:hAnsiTheme="minorEastAsia"/>
          <w:color w:val="auto"/>
          <w:sz w:val="24"/>
          <w:szCs w:val="24"/>
        </w:rPr>
        <w:t>可采煤层主要煤质特征见</w:t>
      </w:r>
      <w:r>
        <w:rPr>
          <w:rFonts w:ascii="Times New Roman" w:cs="Times New Roman" w:hAnsiTheme="minorEastAsia"/>
          <w:color w:val="auto"/>
          <w:sz w:val="24"/>
          <w:szCs w:val="24"/>
        </w:rPr>
        <w:t>表</w:t>
      </w:r>
      <w:r>
        <w:rPr>
          <w:rFonts w:ascii="Times New Roman" w:hAnsi="Times New Roman" w:cs="Times New Roman"/>
          <w:color w:val="auto"/>
          <w:sz w:val="24"/>
          <w:szCs w:val="24"/>
        </w:rPr>
        <w:t>3.2-</w:t>
      </w:r>
      <w:r>
        <w:rPr>
          <w:rFonts w:hint="eastAsia" w:ascii="Times New Roman" w:hAnsi="Times New Roman" w:cs="Times New Roman"/>
          <w:color w:val="auto"/>
          <w:sz w:val="24"/>
          <w:szCs w:val="24"/>
        </w:rPr>
        <w:t>7</w:t>
      </w:r>
      <w:r>
        <w:rPr>
          <w:rFonts w:ascii="Times New Roman" w:cs="Times New Roman" w:hAnsiTheme="minorEastAsia"/>
          <w:color w:val="auto"/>
          <w:sz w:val="24"/>
          <w:szCs w:val="24"/>
        </w:rPr>
        <w:t>。</w:t>
      </w:r>
    </w:p>
    <w:p>
      <w:pPr>
        <w:pStyle w:val="98"/>
        <w:snapToGrid/>
        <w:spacing w:line="360" w:lineRule="auto"/>
        <w:rPr>
          <w:rFonts w:ascii="Times New Roman" w:cs="Times New Roman" w:hAnsiTheme="minorEastAsia" w:eastAsiaTheme="minorEastAsia"/>
          <w:szCs w:val="21"/>
          <w:lang w:val="zh-CN"/>
        </w:rPr>
      </w:pPr>
      <w:r>
        <w:rPr>
          <w:rFonts w:ascii="Times New Roman" w:cs="Times New Roman" w:hAnsiTheme="minorEastAsia" w:eastAsiaTheme="minorEastAsia"/>
          <w:szCs w:val="21"/>
          <w:lang w:val="zh-CN"/>
        </w:rPr>
        <w:t>表</w:t>
      </w:r>
      <w:r>
        <w:rPr>
          <w:rFonts w:ascii="Times New Roman" w:hAnsi="Times New Roman" w:cs="Times New Roman" w:eastAsiaTheme="minorEastAsia"/>
          <w:szCs w:val="21"/>
          <w:lang w:val="zh-CN"/>
        </w:rPr>
        <w:t>3.2-</w:t>
      </w:r>
      <w:r>
        <w:rPr>
          <w:rFonts w:hint="eastAsia" w:ascii="Times New Roman" w:hAnsi="Times New Roman" w:cs="Times New Roman" w:eastAsiaTheme="minorEastAsia"/>
          <w:szCs w:val="21"/>
          <w:lang w:val="zh-CN"/>
        </w:rPr>
        <w:t>7</w:t>
      </w:r>
      <w:r>
        <w:rPr>
          <w:rFonts w:ascii="Times New Roman" w:hAnsi="Times New Roman" w:cs="Times New Roman" w:eastAsiaTheme="minorEastAsia"/>
          <w:szCs w:val="21"/>
          <w:lang w:val="zh-CN"/>
        </w:rPr>
        <w:t xml:space="preserve">  </w:t>
      </w:r>
      <w:r>
        <w:rPr>
          <w:rFonts w:hint="eastAsia" w:ascii="Times New Roman" w:hAnsi="Times New Roman" w:cs="Times New Roman" w:eastAsiaTheme="minorEastAsia"/>
          <w:szCs w:val="21"/>
        </w:rPr>
        <w:t>可采煤层</w:t>
      </w:r>
      <w:r>
        <w:rPr>
          <w:rFonts w:ascii="Times New Roman" w:cs="Times New Roman" w:hAnsiTheme="minorEastAsia" w:eastAsiaTheme="minorEastAsia"/>
          <w:szCs w:val="21"/>
          <w:lang w:val="zh-CN"/>
        </w:rPr>
        <w:t>煤质特征表</w:t>
      </w:r>
    </w:p>
    <w:tbl>
      <w:tblPr>
        <w:tblStyle w:val="24"/>
        <w:tblW w:w="501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1"/>
        <w:gridCol w:w="1223"/>
        <w:gridCol w:w="1400"/>
        <w:gridCol w:w="1577"/>
        <w:gridCol w:w="1198"/>
        <w:gridCol w:w="1474"/>
        <w:gridCol w:w="1437"/>
        <w:gridCol w:w="5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0" w:hRule="atLeast"/>
          <w:jc w:val="center"/>
        </w:trPr>
        <w:tc>
          <w:tcPr>
            <w:tcW w:w="248" w:type="pct"/>
            <w:vAlign w:val="center"/>
          </w:tcPr>
          <w:p>
            <w:pPr>
              <w:spacing w:line="240" w:lineRule="exact"/>
              <w:jc w:val="center"/>
              <w:rPr>
                <w:rFonts w:eastAsiaTheme="minorEastAsia"/>
                <w:color w:val="000000"/>
                <w:szCs w:val="21"/>
              </w:rPr>
            </w:pPr>
            <w:r>
              <w:rPr>
                <w:rFonts w:hAnsiTheme="minorEastAsia" w:eastAsiaTheme="minorEastAsia"/>
                <w:color w:val="000000"/>
                <w:szCs w:val="21"/>
              </w:rPr>
              <w:t>煤</w:t>
            </w:r>
            <w:r>
              <w:rPr>
                <w:rFonts w:eastAsiaTheme="minorEastAsia"/>
                <w:color w:val="000000"/>
                <w:szCs w:val="21"/>
              </w:rPr>
              <w:t xml:space="preserve"> </w:t>
            </w:r>
            <w:r>
              <w:rPr>
                <w:rFonts w:hAnsiTheme="minorEastAsia" w:eastAsiaTheme="minorEastAsia"/>
                <w:color w:val="000000"/>
                <w:szCs w:val="21"/>
              </w:rPr>
              <w:t>层</w:t>
            </w:r>
          </w:p>
        </w:tc>
        <w:tc>
          <w:tcPr>
            <w:tcW w:w="656" w:type="pct"/>
            <w:vAlign w:val="center"/>
          </w:tcPr>
          <w:p>
            <w:pPr>
              <w:spacing w:line="240" w:lineRule="exact"/>
              <w:jc w:val="center"/>
              <w:rPr>
                <w:rFonts w:eastAsiaTheme="minorEastAsia"/>
                <w:color w:val="000000"/>
                <w:szCs w:val="21"/>
              </w:rPr>
            </w:pPr>
            <w:r>
              <w:rPr>
                <w:rFonts w:eastAsiaTheme="minorEastAsia"/>
                <w:color w:val="000000"/>
                <w:szCs w:val="21"/>
              </w:rPr>
              <w:t>M</w:t>
            </w:r>
            <w:r>
              <w:rPr>
                <w:rFonts w:eastAsiaTheme="minorEastAsia"/>
                <w:color w:val="000000"/>
                <w:szCs w:val="21"/>
                <w:vertAlign w:val="subscript"/>
              </w:rPr>
              <w:t>ad</w:t>
            </w:r>
            <w:r>
              <w:rPr>
                <w:rFonts w:hAnsiTheme="minorEastAsia" w:eastAsiaTheme="minorEastAsia"/>
                <w:color w:val="000000"/>
                <w:szCs w:val="21"/>
              </w:rPr>
              <w:t>（</w:t>
            </w:r>
            <w:r>
              <w:rPr>
                <w:rFonts w:eastAsiaTheme="minorEastAsia"/>
                <w:color w:val="000000"/>
                <w:szCs w:val="21"/>
              </w:rPr>
              <w:t>%</w:t>
            </w:r>
            <w:r>
              <w:rPr>
                <w:rFonts w:hAnsiTheme="minorEastAsia" w:eastAsiaTheme="minorEastAsia"/>
                <w:color w:val="000000"/>
                <w:szCs w:val="21"/>
              </w:rPr>
              <w:t>）</w:t>
            </w:r>
          </w:p>
          <w:p>
            <w:pPr>
              <w:spacing w:line="240" w:lineRule="exact"/>
              <w:jc w:val="center"/>
              <w:rPr>
                <w:rFonts w:eastAsiaTheme="minorEastAsia"/>
                <w:color w:val="000000"/>
                <w:szCs w:val="21"/>
                <w:u w:val="single"/>
              </w:rPr>
            </w:pPr>
            <w:r>
              <w:rPr>
                <w:rFonts w:hAnsiTheme="minorEastAsia" w:eastAsiaTheme="minorEastAsia"/>
                <w:color w:val="000000"/>
                <w:szCs w:val="21"/>
                <w:u w:val="single"/>
              </w:rPr>
              <w:t>最小～最大</w:t>
            </w:r>
          </w:p>
          <w:p>
            <w:pPr>
              <w:spacing w:line="240" w:lineRule="exact"/>
              <w:jc w:val="center"/>
              <w:rPr>
                <w:rFonts w:eastAsiaTheme="minorEastAsia"/>
                <w:color w:val="000000"/>
                <w:szCs w:val="21"/>
              </w:rPr>
            </w:pPr>
            <w:r>
              <w:rPr>
                <w:rFonts w:hAnsiTheme="minorEastAsia" w:eastAsiaTheme="minorEastAsia"/>
                <w:color w:val="000000"/>
                <w:szCs w:val="21"/>
              </w:rPr>
              <w:t>平均</w:t>
            </w:r>
          </w:p>
        </w:tc>
        <w:tc>
          <w:tcPr>
            <w:tcW w:w="751" w:type="pct"/>
            <w:vAlign w:val="center"/>
          </w:tcPr>
          <w:p>
            <w:pPr>
              <w:spacing w:line="240" w:lineRule="exact"/>
              <w:jc w:val="center"/>
              <w:rPr>
                <w:rFonts w:eastAsiaTheme="minorEastAsia"/>
                <w:color w:val="000000"/>
                <w:szCs w:val="21"/>
              </w:rPr>
            </w:pPr>
            <w:r>
              <w:rPr>
                <w:rFonts w:eastAsiaTheme="minorEastAsia"/>
                <w:color w:val="000000"/>
                <w:szCs w:val="21"/>
              </w:rPr>
              <w:t>A</w:t>
            </w:r>
            <w:r>
              <w:rPr>
                <w:rFonts w:eastAsiaTheme="minorEastAsia"/>
                <w:color w:val="000000"/>
                <w:szCs w:val="21"/>
                <w:vertAlign w:val="subscript"/>
              </w:rPr>
              <w:t>d</w:t>
            </w:r>
            <w:r>
              <w:rPr>
                <w:rFonts w:hAnsiTheme="minorEastAsia" w:eastAsiaTheme="minorEastAsia"/>
                <w:color w:val="000000"/>
                <w:szCs w:val="21"/>
              </w:rPr>
              <w:t>（</w:t>
            </w:r>
            <w:r>
              <w:rPr>
                <w:rFonts w:eastAsiaTheme="minorEastAsia"/>
                <w:color w:val="000000"/>
                <w:szCs w:val="21"/>
              </w:rPr>
              <w:t>%</w:t>
            </w:r>
            <w:r>
              <w:rPr>
                <w:rFonts w:hAnsiTheme="minorEastAsia" w:eastAsiaTheme="minorEastAsia"/>
                <w:color w:val="000000"/>
                <w:szCs w:val="21"/>
              </w:rPr>
              <w:t>）</w:t>
            </w:r>
          </w:p>
          <w:p>
            <w:pPr>
              <w:spacing w:line="240" w:lineRule="exact"/>
              <w:jc w:val="center"/>
              <w:rPr>
                <w:rFonts w:eastAsiaTheme="minorEastAsia"/>
                <w:color w:val="000000"/>
                <w:szCs w:val="21"/>
                <w:u w:val="single"/>
              </w:rPr>
            </w:pPr>
            <w:r>
              <w:rPr>
                <w:rFonts w:hAnsiTheme="minorEastAsia" w:eastAsiaTheme="minorEastAsia"/>
                <w:color w:val="000000"/>
                <w:szCs w:val="21"/>
                <w:u w:val="single"/>
              </w:rPr>
              <w:t>最小～最大</w:t>
            </w:r>
          </w:p>
          <w:p>
            <w:pPr>
              <w:spacing w:line="240" w:lineRule="exact"/>
              <w:jc w:val="center"/>
              <w:rPr>
                <w:rFonts w:eastAsiaTheme="minorEastAsia"/>
                <w:color w:val="000000"/>
                <w:szCs w:val="21"/>
              </w:rPr>
            </w:pPr>
            <w:r>
              <w:rPr>
                <w:rFonts w:hAnsiTheme="minorEastAsia" w:eastAsiaTheme="minorEastAsia"/>
                <w:color w:val="000000"/>
                <w:szCs w:val="21"/>
              </w:rPr>
              <w:t>平均</w:t>
            </w:r>
          </w:p>
        </w:tc>
        <w:tc>
          <w:tcPr>
            <w:tcW w:w="846" w:type="pct"/>
            <w:vAlign w:val="center"/>
          </w:tcPr>
          <w:p>
            <w:pPr>
              <w:spacing w:line="240" w:lineRule="exact"/>
              <w:jc w:val="center"/>
              <w:rPr>
                <w:rFonts w:eastAsiaTheme="minorEastAsia"/>
                <w:color w:val="000000"/>
                <w:szCs w:val="21"/>
              </w:rPr>
            </w:pPr>
            <w:r>
              <w:rPr>
                <w:rFonts w:eastAsiaTheme="minorEastAsia"/>
                <w:color w:val="000000"/>
                <w:szCs w:val="21"/>
              </w:rPr>
              <w:t>V</w:t>
            </w:r>
            <w:r>
              <w:rPr>
                <w:rFonts w:eastAsiaTheme="minorEastAsia"/>
                <w:color w:val="000000"/>
                <w:szCs w:val="21"/>
                <w:vertAlign w:val="subscript"/>
              </w:rPr>
              <w:t>daf</w:t>
            </w:r>
            <w:r>
              <w:rPr>
                <w:rFonts w:hAnsiTheme="minorEastAsia" w:eastAsiaTheme="minorEastAsia"/>
                <w:color w:val="000000"/>
                <w:szCs w:val="21"/>
              </w:rPr>
              <w:t>（</w:t>
            </w:r>
            <w:r>
              <w:rPr>
                <w:rFonts w:eastAsiaTheme="minorEastAsia"/>
                <w:color w:val="000000"/>
                <w:szCs w:val="21"/>
              </w:rPr>
              <w:t>%</w:t>
            </w:r>
            <w:r>
              <w:rPr>
                <w:rFonts w:hAnsiTheme="minorEastAsia" w:eastAsiaTheme="minorEastAsia"/>
                <w:color w:val="000000"/>
                <w:szCs w:val="21"/>
              </w:rPr>
              <w:t>）</w:t>
            </w:r>
          </w:p>
          <w:p>
            <w:pPr>
              <w:spacing w:line="240" w:lineRule="exact"/>
              <w:jc w:val="center"/>
              <w:rPr>
                <w:rFonts w:eastAsiaTheme="minorEastAsia"/>
                <w:color w:val="000000"/>
                <w:szCs w:val="21"/>
                <w:u w:val="single"/>
              </w:rPr>
            </w:pPr>
            <w:r>
              <w:rPr>
                <w:rFonts w:hAnsiTheme="minorEastAsia" w:eastAsiaTheme="minorEastAsia"/>
                <w:color w:val="000000"/>
                <w:szCs w:val="21"/>
                <w:u w:val="single"/>
              </w:rPr>
              <w:t>最小～最大</w:t>
            </w:r>
          </w:p>
          <w:p>
            <w:pPr>
              <w:spacing w:line="240" w:lineRule="exact"/>
              <w:jc w:val="center"/>
              <w:rPr>
                <w:rFonts w:eastAsiaTheme="minorEastAsia"/>
                <w:color w:val="000000"/>
                <w:szCs w:val="21"/>
              </w:rPr>
            </w:pPr>
            <w:r>
              <w:rPr>
                <w:rFonts w:hAnsiTheme="minorEastAsia" w:eastAsiaTheme="minorEastAsia"/>
                <w:color w:val="000000"/>
                <w:szCs w:val="21"/>
              </w:rPr>
              <w:t>平均</w:t>
            </w:r>
          </w:p>
        </w:tc>
        <w:tc>
          <w:tcPr>
            <w:tcW w:w="643" w:type="pct"/>
            <w:vAlign w:val="center"/>
          </w:tcPr>
          <w:p>
            <w:pPr>
              <w:spacing w:line="240" w:lineRule="exact"/>
              <w:jc w:val="center"/>
              <w:rPr>
                <w:rFonts w:eastAsiaTheme="minorEastAsia"/>
                <w:color w:val="000000"/>
                <w:szCs w:val="21"/>
              </w:rPr>
            </w:pPr>
            <w:r>
              <w:rPr>
                <w:rFonts w:eastAsiaTheme="minorEastAsia"/>
                <w:color w:val="000000"/>
                <w:szCs w:val="21"/>
              </w:rPr>
              <w:t>S</w:t>
            </w:r>
            <w:r>
              <w:rPr>
                <w:rFonts w:eastAsiaTheme="minorEastAsia"/>
                <w:color w:val="000000"/>
                <w:szCs w:val="21"/>
                <w:vertAlign w:val="subscript"/>
              </w:rPr>
              <w:t>t.d</w:t>
            </w:r>
            <w:r>
              <w:rPr>
                <w:rFonts w:hAnsiTheme="minorEastAsia" w:eastAsiaTheme="minorEastAsia"/>
                <w:color w:val="000000"/>
                <w:szCs w:val="21"/>
              </w:rPr>
              <w:t>（</w:t>
            </w:r>
            <w:r>
              <w:rPr>
                <w:rFonts w:eastAsiaTheme="minorEastAsia"/>
                <w:color w:val="000000"/>
                <w:szCs w:val="21"/>
              </w:rPr>
              <w:t>%</w:t>
            </w:r>
            <w:r>
              <w:rPr>
                <w:rFonts w:hAnsiTheme="minorEastAsia" w:eastAsiaTheme="minorEastAsia"/>
                <w:color w:val="000000"/>
                <w:szCs w:val="21"/>
              </w:rPr>
              <w:t>）</w:t>
            </w:r>
          </w:p>
          <w:p>
            <w:pPr>
              <w:spacing w:line="240" w:lineRule="exact"/>
              <w:jc w:val="center"/>
              <w:rPr>
                <w:rFonts w:eastAsiaTheme="minorEastAsia"/>
                <w:color w:val="000000"/>
                <w:szCs w:val="21"/>
                <w:u w:val="single"/>
              </w:rPr>
            </w:pPr>
            <w:r>
              <w:rPr>
                <w:rFonts w:hAnsiTheme="minorEastAsia" w:eastAsiaTheme="minorEastAsia"/>
                <w:color w:val="000000"/>
                <w:szCs w:val="21"/>
                <w:u w:val="single"/>
              </w:rPr>
              <w:t>最小～最大</w:t>
            </w:r>
          </w:p>
          <w:p>
            <w:pPr>
              <w:spacing w:line="240" w:lineRule="exact"/>
              <w:jc w:val="center"/>
              <w:rPr>
                <w:rFonts w:eastAsiaTheme="minorEastAsia"/>
                <w:color w:val="000000"/>
                <w:szCs w:val="21"/>
              </w:rPr>
            </w:pPr>
            <w:r>
              <w:rPr>
                <w:rFonts w:hAnsiTheme="minorEastAsia" w:eastAsiaTheme="minorEastAsia"/>
                <w:color w:val="000000"/>
                <w:szCs w:val="21"/>
              </w:rPr>
              <w:t>平均</w:t>
            </w:r>
          </w:p>
        </w:tc>
        <w:tc>
          <w:tcPr>
            <w:tcW w:w="791" w:type="pct"/>
            <w:vAlign w:val="center"/>
          </w:tcPr>
          <w:p>
            <w:pPr>
              <w:spacing w:line="240" w:lineRule="exact"/>
              <w:jc w:val="center"/>
              <w:rPr>
                <w:rFonts w:eastAsiaTheme="minorEastAsia"/>
                <w:color w:val="000000"/>
                <w:szCs w:val="21"/>
              </w:rPr>
            </w:pPr>
            <w:r>
              <w:rPr>
                <w:rFonts w:eastAsiaTheme="minorEastAsia"/>
                <w:color w:val="000000"/>
                <w:szCs w:val="21"/>
              </w:rPr>
              <w:t>Q</w:t>
            </w:r>
            <w:r>
              <w:rPr>
                <w:rFonts w:eastAsiaTheme="minorEastAsia"/>
                <w:color w:val="000000"/>
                <w:szCs w:val="21"/>
                <w:vertAlign w:val="subscript"/>
              </w:rPr>
              <w:t>gr.d</w:t>
            </w:r>
            <w:r>
              <w:rPr>
                <w:rFonts w:hAnsiTheme="minorEastAsia" w:eastAsiaTheme="minorEastAsia"/>
                <w:color w:val="000000"/>
                <w:szCs w:val="21"/>
              </w:rPr>
              <w:t>（</w:t>
            </w:r>
            <w:r>
              <w:rPr>
                <w:rFonts w:eastAsiaTheme="minorEastAsia"/>
                <w:color w:val="000000"/>
                <w:szCs w:val="21"/>
              </w:rPr>
              <w:t>MJ/kg</w:t>
            </w:r>
            <w:r>
              <w:rPr>
                <w:rFonts w:hAnsiTheme="minorEastAsia" w:eastAsiaTheme="minorEastAsia"/>
                <w:color w:val="000000"/>
                <w:szCs w:val="21"/>
              </w:rPr>
              <w:t>）</w:t>
            </w:r>
          </w:p>
          <w:p>
            <w:pPr>
              <w:spacing w:line="240" w:lineRule="exact"/>
              <w:jc w:val="center"/>
              <w:rPr>
                <w:rFonts w:eastAsiaTheme="minorEastAsia"/>
                <w:color w:val="000000"/>
                <w:szCs w:val="21"/>
                <w:u w:val="single"/>
              </w:rPr>
            </w:pPr>
            <w:r>
              <w:rPr>
                <w:rFonts w:hAnsiTheme="minorEastAsia" w:eastAsiaTheme="minorEastAsia"/>
                <w:color w:val="000000"/>
                <w:szCs w:val="21"/>
                <w:u w:val="single"/>
              </w:rPr>
              <w:t>最小～最大</w:t>
            </w:r>
          </w:p>
          <w:p>
            <w:pPr>
              <w:spacing w:line="240" w:lineRule="exact"/>
              <w:jc w:val="center"/>
              <w:rPr>
                <w:rFonts w:eastAsiaTheme="minorEastAsia"/>
                <w:color w:val="000000"/>
                <w:szCs w:val="21"/>
              </w:rPr>
            </w:pPr>
            <w:r>
              <w:rPr>
                <w:rFonts w:hAnsiTheme="minorEastAsia" w:eastAsiaTheme="minorEastAsia"/>
                <w:color w:val="000000"/>
                <w:szCs w:val="21"/>
              </w:rPr>
              <w:t>平均</w:t>
            </w:r>
          </w:p>
        </w:tc>
        <w:tc>
          <w:tcPr>
            <w:tcW w:w="771" w:type="pct"/>
            <w:vAlign w:val="center"/>
          </w:tcPr>
          <w:p>
            <w:pPr>
              <w:spacing w:line="240" w:lineRule="exact"/>
              <w:jc w:val="center"/>
              <w:rPr>
                <w:rFonts w:eastAsiaTheme="minorEastAsia"/>
                <w:color w:val="000000"/>
                <w:szCs w:val="21"/>
              </w:rPr>
            </w:pPr>
            <w:r>
              <w:rPr>
                <w:rFonts w:eastAsiaTheme="minorEastAsia"/>
                <w:color w:val="000000"/>
                <w:szCs w:val="21"/>
              </w:rPr>
              <w:t>Y</w:t>
            </w:r>
            <w:r>
              <w:rPr>
                <w:rFonts w:hAnsiTheme="minorEastAsia" w:eastAsiaTheme="minorEastAsia"/>
                <w:color w:val="000000"/>
                <w:szCs w:val="21"/>
              </w:rPr>
              <w:t>（</w:t>
            </w:r>
            <w:r>
              <w:rPr>
                <w:rFonts w:eastAsiaTheme="minorEastAsia"/>
                <w:color w:val="000000"/>
                <w:szCs w:val="21"/>
              </w:rPr>
              <w:t>mm</w:t>
            </w:r>
            <w:r>
              <w:rPr>
                <w:rFonts w:hAnsiTheme="minorEastAsia" w:eastAsiaTheme="minorEastAsia"/>
                <w:color w:val="000000"/>
                <w:szCs w:val="21"/>
              </w:rPr>
              <w:t>）</w:t>
            </w:r>
          </w:p>
          <w:p>
            <w:pPr>
              <w:spacing w:line="240" w:lineRule="exact"/>
              <w:jc w:val="center"/>
              <w:rPr>
                <w:rFonts w:eastAsiaTheme="minorEastAsia"/>
                <w:color w:val="000000"/>
                <w:szCs w:val="21"/>
                <w:u w:val="single"/>
              </w:rPr>
            </w:pPr>
            <w:r>
              <w:rPr>
                <w:rFonts w:hAnsiTheme="minorEastAsia" w:eastAsiaTheme="minorEastAsia"/>
                <w:color w:val="000000"/>
                <w:szCs w:val="21"/>
                <w:u w:val="single"/>
              </w:rPr>
              <w:t>最小～最大</w:t>
            </w:r>
          </w:p>
          <w:p>
            <w:pPr>
              <w:spacing w:line="240" w:lineRule="exact"/>
              <w:jc w:val="center"/>
              <w:rPr>
                <w:rFonts w:eastAsiaTheme="minorEastAsia"/>
                <w:color w:val="000000"/>
                <w:szCs w:val="21"/>
              </w:rPr>
            </w:pPr>
            <w:r>
              <w:rPr>
                <w:rFonts w:hAnsiTheme="minorEastAsia" w:eastAsiaTheme="minorEastAsia"/>
                <w:color w:val="000000"/>
                <w:szCs w:val="21"/>
              </w:rPr>
              <w:t>平均</w:t>
            </w:r>
          </w:p>
        </w:tc>
        <w:tc>
          <w:tcPr>
            <w:tcW w:w="294" w:type="pct"/>
            <w:vAlign w:val="center"/>
          </w:tcPr>
          <w:p>
            <w:pPr>
              <w:spacing w:line="240" w:lineRule="exact"/>
              <w:jc w:val="center"/>
              <w:rPr>
                <w:rFonts w:eastAsiaTheme="minorEastAsia"/>
                <w:color w:val="000000"/>
                <w:szCs w:val="21"/>
              </w:rPr>
            </w:pPr>
            <w:r>
              <w:rPr>
                <w:rFonts w:hAnsiTheme="minorEastAsia" w:eastAsiaTheme="minorEastAsia"/>
                <w:color w:val="000000"/>
                <w:szCs w:val="21"/>
              </w:rPr>
              <w:t>煤</w:t>
            </w:r>
            <w:r>
              <w:rPr>
                <w:rFonts w:eastAsiaTheme="minorEastAsia"/>
                <w:color w:val="000000"/>
                <w:szCs w:val="21"/>
              </w:rPr>
              <w:t xml:space="preserve">  </w:t>
            </w:r>
            <w:r>
              <w:rPr>
                <w:rFonts w:hAnsiTheme="minorEastAsia" w:eastAsiaTheme="minorEastAsia"/>
                <w:color w:val="000000"/>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exact"/>
          <w:jc w:val="center"/>
        </w:trPr>
        <w:tc>
          <w:tcPr>
            <w:tcW w:w="248" w:type="pct"/>
            <w:vAlign w:val="center"/>
          </w:tcPr>
          <w:p>
            <w:pPr>
              <w:jc w:val="center"/>
              <w:rPr>
                <w:rFonts w:eastAsiaTheme="minorEastAsia"/>
                <w:color w:val="000000"/>
                <w:szCs w:val="21"/>
                <w:vertAlign w:val="subscript"/>
              </w:rPr>
            </w:pPr>
            <w:r>
              <w:rPr>
                <w:rFonts w:eastAsiaTheme="minorEastAsia"/>
                <w:color w:val="000000"/>
                <w:szCs w:val="21"/>
              </w:rPr>
              <w:t>4</w:t>
            </w:r>
          </w:p>
        </w:tc>
        <w:tc>
          <w:tcPr>
            <w:tcW w:w="656"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0.58</w:t>
            </w:r>
            <w:r>
              <w:rPr>
                <w:rFonts w:hAnsiTheme="minorEastAsia" w:eastAsiaTheme="minorEastAsia"/>
                <w:color w:val="000000"/>
                <w:szCs w:val="21"/>
                <w:u w:val="single"/>
              </w:rPr>
              <w:t>～</w:t>
            </w:r>
            <w:r>
              <w:rPr>
                <w:rFonts w:eastAsiaTheme="minorEastAsia"/>
                <w:color w:val="000000"/>
                <w:szCs w:val="21"/>
                <w:u w:val="single"/>
              </w:rPr>
              <w:t>0.79</w:t>
            </w:r>
          </w:p>
          <w:p>
            <w:pPr>
              <w:spacing w:line="240" w:lineRule="exact"/>
              <w:jc w:val="center"/>
              <w:rPr>
                <w:rFonts w:eastAsiaTheme="minorEastAsia"/>
                <w:color w:val="000000"/>
                <w:szCs w:val="21"/>
              </w:rPr>
            </w:pPr>
            <w:r>
              <w:rPr>
                <w:rFonts w:eastAsiaTheme="minorEastAsia"/>
                <w:color w:val="000000"/>
                <w:szCs w:val="21"/>
              </w:rPr>
              <w:t>0.67</w:t>
            </w:r>
          </w:p>
        </w:tc>
        <w:tc>
          <w:tcPr>
            <w:tcW w:w="75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17.19</w:t>
            </w:r>
            <w:r>
              <w:rPr>
                <w:rFonts w:hAnsiTheme="minorEastAsia" w:eastAsiaTheme="minorEastAsia"/>
                <w:color w:val="000000"/>
                <w:szCs w:val="21"/>
                <w:u w:val="single"/>
              </w:rPr>
              <w:t>～</w:t>
            </w:r>
            <w:r>
              <w:rPr>
                <w:rFonts w:eastAsiaTheme="minorEastAsia"/>
                <w:color w:val="000000"/>
                <w:szCs w:val="21"/>
                <w:u w:val="single"/>
              </w:rPr>
              <w:t>30.20</w:t>
            </w:r>
          </w:p>
          <w:p>
            <w:pPr>
              <w:spacing w:line="240" w:lineRule="exact"/>
              <w:jc w:val="center"/>
              <w:rPr>
                <w:rFonts w:eastAsiaTheme="minorEastAsia"/>
                <w:color w:val="000000"/>
                <w:szCs w:val="21"/>
              </w:rPr>
            </w:pPr>
            <w:r>
              <w:rPr>
                <w:rFonts w:eastAsiaTheme="minorEastAsia"/>
                <w:color w:val="000000"/>
                <w:szCs w:val="21"/>
              </w:rPr>
              <w:t>24.68</w:t>
            </w:r>
          </w:p>
        </w:tc>
        <w:tc>
          <w:tcPr>
            <w:tcW w:w="846"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26.66</w:t>
            </w:r>
            <w:r>
              <w:rPr>
                <w:rFonts w:hAnsiTheme="minorEastAsia" w:eastAsiaTheme="minorEastAsia"/>
                <w:color w:val="000000"/>
                <w:szCs w:val="21"/>
                <w:u w:val="single"/>
              </w:rPr>
              <w:t>～</w:t>
            </w:r>
            <w:r>
              <w:rPr>
                <w:rFonts w:eastAsiaTheme="minorEastAsia"/>
                <w:color w:val="000000"/>
                <w:szCs w:val="21"/>
                <w:u w:val="single"/>
              </w:rPr>
              <w:t>31.25</w:t>
            </w:r>
          </w:p>
          <w:p>
            <w:pPr>
              <w:spacing w:line="240" w:lineRule="exact"/>
              <w:jc w:val="center"/>
              <w:rPr>
                <w:rFonts w:eastAsiaTheme="minorEastAsia"/>
                <w:color w:val="000000"/>
                <w:szCs w:val="21"/>
              </w:rPr>
            </w:pPr>
            <w:r>
              <w:rPr>
                <w:rFonts w:eastAsiaTheme="minorEastAsia"/>
                <w:color w:val="000000"/>
                <w:szCs w:val="21"/>
              </w:rPr>
              <w:t>29.42</w:t>
            </w:r>
          </w:p>
        </w:tc>
        <w:tc>
          <w:tcPr>
            <w:tcW w:w="643"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0.55</w:t>
            </w:r>
            <w:r>
              <w:rPr>
                <w:rFonts w:hAnsiTheme="minorEastAsia" w:eastAsiaTheme="minorEastAsia"/>
                <w:color w:val="000000"/>
                <w:szCs w:val="21"/>
                <w:u w:val="single"/>
              </w:rPr>
              <w:t>～</w:t>
            </w:r>
            <w:r>
              <w:rPr>
                <w:rFonts w:eastAsiaTheme="minorEastAsia"/>
                <w:color w:val="000000"/>
                <w:szCs w:val="21"/>
                <w:u w:val="single"/>
              </w:rPr>
              <w:t>1.03</w:t>
            </w:r>
          </w:p>
          <w:p>
            <w:pPr>
              <w:spacing w:line="240" w:lineRule="exact"/>
              <w:jc w:val="center"/>
              <w:rPr>
                <w:rFonts w:eastAsiaTheme="minorEastAsia"/>
                <w:color w:val="000000"/>
                <w:szCs w:val="21"/>
              </w:rPr>
            </w:pPr>
            <w:r>
              <w:rPr>
                <w:rFonts w:eastAsiaTheme="minorEastAsia"/>
                <w:color w:val="000000"/>
                <w:szCs w:val="21"/>
              </w:rPr>
              <w:t>0.68</w:t>
            </w:r>
          </w:p>
        </w:tc>
        <w:tc>
          <w:tcPr>
            <w:tcW w:w="79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23.05</w:t>
            </w:r>
            <w:r>
              <w:rPr>
                <w:rFonts w:hAnsiTheme="minorEastAsia" w:eastAsiaTheme="minorEastAsia"/>
                <w:color w:val="000000"/>
                <w:szCs w:val="21"/>
                <w:u w:val="single"/>
              </w:rPr>
              <w:t>～</w:t>
            </w:r>
            <w:r>
              <w:rPr>
                <w:rFonts w:eastAsiaTheme="minorEastAsia"/>
                <w:color w:val="000000"/>
                <w:szCs w:val="21"/>
                <w:u w:val="single"/>
              </w:rPr>
              <w:t>28.69</w:t>
            </w:r>
          </w:p>
          <w:p>
            <w:pPr>
              <w:spacing w:line="240" w:lineRule="exact"/>
              <w:jc w:val="center"/>
              <w:rPr>
                <w:rFonts w:eastAsiaTheme="minorEastAsia"/>
                <w:color w:val="000000"/>
                <w:szCs w:val="21"/>
              </w:rPr>
            </w:pPr>
            <w:r>
              <w:rPr>
                <w:rFonts w:eastAsiaTheme="minorEastAsia"/>
                <w:color w:val="000000"/>
                <w:szCs w:val="21"/>
              </w:rPr>
              <w:t>26.44</w:t>
            </w:r>
          </w:p>
        </w:tc>
        <w:tc>
          <w:tcPr>
            <w:tcW w:w="77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22.50</w:t>
            </w:r>
            <w:r>
              <w:rPr>
                <w:rFonts w:hAnsiTheme="minorEastAsia" w:eastAsiaTheme="minorEastAsia"/>
                <w:color w:val="000000"/>
                <w:szCs w:val="21"/>
                <w:u w:val="single"/>
              </w:rPr>
              <w:t>～</w:t>
            </w:r>
            <w:r>
              <w:rPr>
                <w:rFonts w:eastAsiaTheme="minorEastAsia"/>
                <w:color w:val="000000"/>
                <w:szCs w:val="21"/>
                <w:u w:val="single"/>
              </w:rPr>
              <w:t>36.00</w:t>
            </w:r>
          </w:p>
          <w:p>
            <w:pPr>
              <w:pStyle w:val="147"/>
              <w:spacing w:line="240" w:lineRule="exact"/>
              <w:ind w:firstLine="0" w:firstLineChars="0"/>
              <w:jc w:val="center"/>
              <w:rPr>
                <w:rFonts w:ascii="Times New Roman" w:hAnsi="Times New Roman" w:cs="Times New Roman" w:eastAsiaTheme="minorEastAsia"/>
                <w:color w:val="000000"/>
                <w:spacing w:val="0"/>
                <w:sz w:val="21"/>
                <w:szCs w:val="21"/>
              </w:rPr>
            </w:pPr>
            <w:r>
              <w:rPr>
                <w:rFonts w:ascii="Times New Roman" w:hAnsi="Times New Roman" w:cs="Times New Roman" w:eastAsiaTheme="minorEastAsia"/>
                <w:color w:val="000000"/>
                <w:spacing w:val="0"/>
                <w:sz w:val="21"/>
                <w:szCs w:val="21"/>
              </w:rPr>
              <w:t>28.80</w:t>
            </w:r>
          </w:p>
        </w:tc>
        <w:tc>
          <w:tcPr>
            <w:tcW w:w="294" w:type="pct"/>
            <w:vAlign w:val="center"/>
          </w:tcPr>
          <w:p>
            <w:pPr>
              <w:spacing w:line="240" w:lineRule="exact"/>
              <w:jc w:val="center"/>
              <w:rPr>
                <w:rFonts w:eastAsiaTheme="minorEastAsia"/>
                <w:color w:val="000000"/>
                <w:szCs w:val="21"/>
              </w:rPr>
            </w:pPr>
            <w:r>
              <w:rPr>
                <w:rFonts w:eastAsiaTheme="minorEastAsia"/>
                <w:color w:val="000000"/>
                <w:szCs w:val="21"/>
              </w:rPr>
              <w:t>FM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exact"/>
          <w:jc w:val="center"/>
        </w:trPr>
        <w:tc>
          <w:tcPr>
            <w:tcW w:w="248" w:type="pct"/>
            <w:vAlign w:val="center"/>
          </w:tcPr>
          <w:p>
            <w:pPr>
              <w:jc w:val="center"/>
              <w:rPr>
                <w:rFonts w:eastAsiaTheme="minorEastAsia"/>
                <w:color w:val="000000"/>
                <w:szCs w:val="21"/>
                <w:vertAlign w:val="subscript"/>
              </w:rPr>
            </w:pPr>
            <w:r>
              <w:rPr>
                <w:rFonts w:eastAsiaTheme="minorEastAsia"/>
                <w:color w:val="000000"/>
                <w:szCs w:val="21"/>
              </w:rPr>
              <w:t>5</w:t>
            </w:r>
          </w:p>
        </w:tc>
        <w:tc>
          <w:tcPr>
            <w:tcW w:w="656"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0.24</w:t>
            </w:r>
            <w:r>
              <w:rPr>
                <w:rFonts w:hAnsiTheme="minorEastAsia" w:eastAsiaTheme="minorEastAsia"/>
                <w:color w:val="000000"/>
                <w:szCs w:val="21"/>
                <w:u w:val="single"/>
              </w:rPr>
              <w:t>～</w:t>
            </w:r>
            <w:r>
              <w:rPr>
                <w:rFonts w:eastAsiaTheme="minorEastAsia"/>
                <w:color w:val="000000"/>
                <w:szCs w:val="21"/>
                <w:u w:val="single"/>
              </w:rPr>
              <w:t>0.84</w:t>
            </w:r>
          </w:p>
          <w:p>
            <w:pPr>
              <w:spacing w:line="240" w:lineRule="exact"/>
              <w:jc w:val="center"/>
              <w:rPr>
                <w:rFonts w:eastAsiaTheme="minorEastAsia"/>
                <w:color w:val="000000"/>
                <w:szCs w:val="21"/>
                <w:u w:val="single"/>
              </w:rPr>
            </w:pPr>
            <w:r>
              <w:rPr>
                <w:rFonts w:eastAsiaTheme="minorEastAsia"/>
                <w:color w:val="000000"/>
                <w:szCs w:val="21"/>
              </w:rPr>
              <w:t>0.63</w:t>
            </w:r>
          </w:p>
        </w:tc>
        <w:tc>
          <w:tcPr>
            <w:tcW w:w="75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16.56</w:t>
            </w:r>
            <w:r>
              <w:rPr>
                <w:rFonts w:hAnsiTheme="minorEastAsia" w:eastAsiaTheme="minorEastAsia"/>
                <w:color w:val="000000"/>
                <w:szCs w:val="21"/>
                <w:u w:val="single"/>
              </w:rPr>
              <w:t>～</w:t>
            </w:r>
            <w:r>
              <w:rPr>
                <w:rFonts w:eastAsiaTheme="minorEastAsia"/>
                <w:color w:val="000000"/>
                <w:szCs w:val="21"/>
                <w:u w:val="single"/>
              </w:rPr>
              <w:t>43.50</w:t>
            </w:r>
          </w:p>
          <w:p>
            <w:pPr>
              <w:spacing w:line="240" w:lineRule="exact"/>
              <w:jc w:val="center"/>
              <w:rPr>
                <w:rFonts w:eastAsiaTheme="minorEastAsia"/>
                <w:color w:val="000000"/>
                <w:szCs w:val="21"/>
              </w:rPr>
            </w:pPr>
            <w:r>
              <w:rPr>
                <w:rFonts w:eastAsiaTheme="minorEastAsia"/>
                <w:color w:val="000000"/>
                <w:szCs w:val="21"/>
              </w:rPr>
              <w:t>24.14</w:t>
            </w:r>
          </w:p>
        </w:tc>
        <w:tc>
          <w:tcPr>
            <w:tcW w:w="846"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21.07</w:t>
            </w:r>
            <w:r>
              <w:rPr>
                <w:rFonts w:hAnsiTheme="minorEastAsia" w:eastAsiaTheme="minorEastAsia"/>
                <w:color w:val="000000"/>
                <w:szCs w:val="21"/>
                <w:u w:val="single"/>
              </w:rPr>
              <w:t>～</w:t>
            </w:r>
            <w:r>
              <w:rPr>
                <w:rFonts w:eastAsiaTheme="minorEastAsia"/>
                <w:color w:val="000000"/>
                <w:szCs w:val="21"/>
                <w:u w:val="single"/>
              </w:rPr>
              <w:t>28.63</w:t>
            </w:r>
          </w:p>
          <w:p>
            <w:pPr>
              <w:spacing w:line="240" w:lineRule="exact"/>
              <w:jc w:val="center"/>
              <w:rPr>
                <w:rFonts w:eastAsiaTheme="minorEastAsia"/>
                <w:color w:val="000000"/>
                <w:szCs w:val="21"/>
              </w:rPr>
            </w:pPr>
            <w:r>
              <w:rPr>
                <w:rFonts w:eastAsiaTheme="minorEastAsia"/>
                <w:color w:val="000000"/>
                <w:szCs w:val="21"/>
              </w:rPr>
              <w:t>25.72</w:t>
            </w:r>
          </w:p>
        </w:tc>
        <w:tc>
          <w:tcPr>
            <w:tcW w:w="643"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0.42</w:t>
            </w:r>
            <w:r>
              <w:rPr>
                <w:rFonts w:hAnsiTheme="minorEastAsia" w:eastAsiaTheme="minorEastAsia"/>
                <w:color w:val="000000"/>
                <w:szCs w:val="21"/>
                <w:u w:val="single"/>
              </w:rPr>
              <w:t>～</w:t>
            </w:r>
            <w:r>
              <w:rPr>
                <w:rFonts w:eastAsiaTheme="minorEastAsia"/>
                <w:color w:val="000000"/>
                <w:szCs w:val="21"/>
                <w:u w:val="single"/>
              </w:rPr>
              <w:t>0.91</w:t>
            </w:r>
          </w:p>
          <w:p>
            <w:pPr>
              <w:spacing w:line="240" w:lineRule="exact"/>
              <w:jc w:val="center"/>
              <w:rPr>
                <w:rFonts w:eastAsiaTheme="minorEastAsia"/>
                <w:color w:val="000000"/>
                <w:szCs w:val="21"/>
              </w:rPr>
            </w:pPr>
            <w:r>
              <w:rPr>
                <w:rFonts w:eastAsiaTheme="minorEastAsia"/>
                <w:color w:val="000000"/>
                <w:szCs w:val="21"/>
              </w:rPr>
              <w:t>0.72</w:t>
            </w:r>
          </w:p>
        </w:tc>
        <w:tc>
          <w:tcPr>
            <w:tcW w:w="79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26.49</w:t>
            </w:r>
            <w:r>
              <w:rPr>
                <w:rFonts w:hAnsiTheme="minorEastAsia" w:eastAsiaTheme="minorEastAsia"/>
                <w:color w:val="000000"/>
                <w:szCs w:val="21"/>
                <w:u w:val="single"/>
              </w:rPr>
              <w:t>～</w:t>
            </w:r>
            <w:r>
              <w:rPr>
                <w:rFonts w:eastAsiaTheme="minorEastAsia"/>
                <w:color w:val="000000"/>
                <w:szCs w:val="21"/>
                <w:u w:val="single"/>
              </w:rPr>
              <w:t>32.26</w:t>
            </w:r>
          </w:p>
          <w:p>
            <w:pPr>
              <w:spacing w:line="240" w:lineRule="exact"/>
              <w:jc w:val="center"/>
              <w:rPr>
                <w:rFonts w:eastAsiaTheme="minorEastAsia"/>
                <w:color w:val="000000"/>
                <w:szCs w:val="21"/>
              </w:rPr>
            </w:pPr>
            <w:r>
              <w:rPr>
                <w:rFonts w:eastAsiaTheme="minorEastAsia"/>
                <w:color w:val="000000"/>
                <w:szCs w:val="21"/>
              </w:rPr>
              <w:t>30.47</w:t>
            </w:r>
          </w:p>
        </w:tc>
        <w:tc>
          <w:tcPr>
            <w:tcW w:w="77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14.00</w:t>
            </w:r>
            <w:r>
              <w:rPr>
                <w:rFonts w:hAnsiTheme="minorEastAsia" w:eastAsiaTheme="minorEastAsia"/>
                <w:color w:val="000000"/>
                <w:szCs w:val="21"/>
                <w:u w:val="single"/>
              </w:rPr>
              <w:t>～</w:t>
            </w:r>
            <w:r>
              <w:rPr>
                <w:rFonts w:eastAsiaTheme="minorEastAsia"/>
                <w:color w:val="000000"/>
                <w:szCs w:val="21"/>
                <w:u w:val="single"/>
              </w:rPr>
              <w:t>24.80</w:t>
            </w:r>
          </w:p>
          <w:p>
            <w:pPr>
              <w:pStyle w:val="147"/>
              <w:spacing w:line="240" w:lineRule="exact"/>
              <w:ind w:firstLine="0" w:firstLineChars="0"/>
              <w:jc w:val="center"/>
              <w:rPr>
                <w:rFonts w:ascii="Times New Roman" w:hAnsi="Times New Roman" w:cs="Times New Roman" w:eastAsiaTheme="minorEastAsia"/>
                <w:color w:val="000000"/>
                <w:spacing w:val="0"/>
                <w:sz w:val="21"/>
                <w:szCs w:val="21"/>
              </w:rPr>
            </w:pPr>
            <w:r>
              <w:rPr>
                <w:rFonts w:ascii="Times New Roman" w:hAnsi="Times New Roman" w:cs="Times New Roman" w:eastAsiaTheme="minorEastAsia"/>
                <w:color w:val="000000"/>
                <w:spacing w:val="0"/>
                <w:sz w:val="21"/>
                <w:szCs w:val="21"/>
              </w:rPr>
              <w:t>22.39</w:t>
            </w:r>
          </w:p>
        </w:tc>
        <w:tc>
          <w:tcPr>
            <w:tcW w:w="294" w:type="pct"/>
            <w:vAlign w:val="center"/>
          </w:tcPr>
          <w:p>
            <w:pPr>
              <w:spacing w:line="240" w:lineRule="exact"/>
              <w:jc w:val="center"/>
              <w:rPr>
                <w:rFonts w:eastAsiaTheme="minorEastAsia"/>
                <w:color w:val="000000"/>
                <w:szCs w:val="21"/>
              </w:rPr>
            </w:pPr>
            <w:r>
              <w:rPr>
                <w:rFonts w:eastAsiaTheme="minorEastAsia"/>
                <w:color w:val="000000"/>
                <w:szCs w:val="21"/>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exact"/>
          <w:jc w:val="center"/>
        </w:trPr>
        <w:tc>
          <w:tcPr>
            <w:tcW w:w="248" w:type="pct"/>
            <w:vAlign w:val="center"/>
          </w:tcPr>
          <w:p>
            <w:pPr>
              <w:jc w:val="center"/>
              <w:rPr>
                <w:rFonts w:eastAsiaTheme="minorEastAsia"/>
                <w:color w:val="000000"/>
                <w:szCs w:val="21"/>
                <w:vertAlign w:val="subscript"/>
              </w:rPr>
            </w:pPr>
            <w:r>
              <w:rPr>
                <w:rFonts w:eastAsiaTheme="minorEastAsia"/>
                <w:color w:val="000000"/>
                <w:szCs w:val="21"/>
              </w:rPr>
              <w:t>8</w:t>
            </w:r>
          </w:p>
        </w:tc>
        <w:tc>
          <w:tcPr>
            <w:tcW w:w="656"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0.11</w:t>
            </w:r>
            <w:r>
              <w:rPr>
                <w:rFonts w:hAnsiTheme="minorEastAsia" w:eastAsiaTheme="minorEastAsia"/>
                <w:color w:val="000000"/>
                <w:szCs w:val="21"/>
                <w:u w:val="single"/>
              </w:rPr>
              <w:t>～</w:t>
            </w:r>
            <w:r>
              <w:rPr>
                <w:rFonts w:eastAsiaTheme="minorEastAsia"/>
                <w:color w:val="000000"/>
                <w:szCs w:val="21"/>
                <w:u w:val="single"/>
              </w:rPr>
              <w:t>0.99</w:t>
            </w:r>
          </w:p>
          <w:p>
            <w:pPr>
              <w:spacing w:line="240" w:lineRule="exact"/>
              <w:jc w:val="center"/>
              <w:rPr>
                <w:rFonts w:eastAsiaTheme="minorEastAsia"/>
                <w:color w:val="000000"/>
                <w:szCs w:val="21"/>
              </w:rPr>
            </w:pPr>
            <w:r>
              <w:rPr>
                <w:rFonts w:eastAsiaTheme="minorEastAsia"/>
                <w:color w:val="000000"/>
                <w:szCs w:val="21"/>
              </w:rPr>
              <w:t>0.64</w:t>
            </w:r>
          </w:p>
        </w:tc>
        <w:tc>
          <w:tcPr>
            <w:tcW w:w="75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9.35</w:t>
            </w:r>
            <w:r>
              <w:rPr>
                <w:rFonts w:hAnsiTheme="minorEastAsia" w:eastAsiaTheme="minorEastAsia"/>
                <w:color w:val="000000"/>
                <w:szCs w:val="21"/>
                <w:u w:val="single"/>
              </w:rPr>
              <w:t>～</w:t>
            </w:r>
            <w:r>
              <w:rPr>
                <w:rFonts w:eastAsiaTheme="minorEastAsia"/>
                <w:color w:val="000000"/>
                <w:szCs w:val="21"/>
                <w:u w:val="single"/>
              </w:rPr>
              <w:t>24.87</w:t>
            </w:r>
          </w:p>
          <w:p>
            <w:pPr>
              <w:spacing w:line="240" w:lineRule="exact"/>
              <w:jc w:val="center"/>
              <w:rPr>
                <w:rFonts w:eastAsiaTheme="minorEastAsia"/>
                <w:color w:val="000000"/>
                <w:szCs w:val="21"/>
              </w:rPr>
            </w:pPr>
            <w:r>
              <w:rPr>
                <w:rFonts w:eastAsiaTheme="minorEastAsia"/>
                <w:color w:val="000000"/>
                <w:szCs w:val="21"/>
              </w:rPr>
              <w:t>17.03</w:t>
            </w:r>
          </w:p>
        </w:tc>
        <w:tc>
          <w:tcPr>
            <w:tcW w:w="846"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21.39</w:t>
            </w:r>
            <w:r>
              <w:rPr>
                <w:rFonts w:hAnsiTheme="minorEastAsia" w:eastAsiaTheme="minorEastAsia"/>
                <w:color w:val="000000"/>
                <w:szCs w:val="21"/>
                <w:u w:val="single"/>
              </w:rPr>
              <w:t>～</w:t>
            </w:r>
            <w:r>
              <w:rPr>
                <w:rFonts w:eastAsiaTheme="minorEastAsia"/>
                <w:color w:val="000000"/>
                <w:szCs w:val="21"/>
                <w:u w:val="single"/>
              </w:rPr>
              <w:t>25.30</w:t>
            </w:r>
          </w:p>
          <w:p>
            <w:pPr>
              <w:spacing w:line="240" w:lineRule="exact"/>
              <w:jc w:val="center"/>
              <w:rPr>
                <w:rFonts w:eastAsiaTheme="minorEastAsia"/>
                <w:color w:val="000000"/>
                <w:szCs w:val="21"/>
              </w:rPr>
            </w:pPr>
            <w:r>
              <w:rPr>
                <w:rFonts w:eastAsiaTheme="minorEastAsia"/>
                <w:color w:val="000000"/>
                <w:szCs w:val="21"/>
              </w:rPr>
              <w:t>23.64</w:t>
            </w:r>
          </w:p>
        </w:tc>
        <w:tc>
          <w:tcPr>
            <w:tcW w:w="643"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1.56</w:t>
            </w:r>
            <w:r>
              <w:rPr>
                <w:rFonts w:hAnsiTheme="minorEastAsia" w:eastAsiaTheme="minorEastAsia"/>
                <w:color w:val="000000"/>
                <w:szCs w:val="21"/>
                <w:u w:val="single"/>
              </w:rPr>
              <w:t>～</w:t>
            </w:r>
            <w:r>
              <w:rPr>
                <w:rFonts w:eastAsiaTheme="minorEastAsia"/>
                <w:color w:val="000000"/>
                <w:szCs w:val="21"/>
                <w:u w:val="single"/>
              </w:rPr>
              <w:t>2.62</w:t>
            </w:r>
          </w:p>
          <w:p>
            <w:pPr>
              <w:spacing w:line="240" w:lineRule="exact"/>
              <w:jc w:val="center"/>
              <w:rPr>
                <w:rFonts w:eastAsiaTheme="minorEastAsia"/>
                <w:color w:val="000000"/>
                <w:szCs w:val="21"/>
              </w:rPr>
            </w:pPr>
            <w:r>
              <w:rPr>
                <w:rFonts w:eastAsiaTheme="minorEastAsia"/>
                <w:color w:val="000000"/>
                <w:szCs w:val="21"/>
              </w:rPr>
              <w:t>1.95</w:t>
            </w:r>
          </w:p>
        </w:tc>
        <w:tc>
          <w:tcPr>
            <w:tcW w:w="79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29.22</w:t>
            </w:r>
            <w:r>
              <w:rPr>
                <w:rFonts w:hAnsiTheme="minorEastAsia" w:eastAsiaTheme="minorEastAsia"/>
                <w:color w:val="000000"/>
                <w:szCs w:val="21"/>
                <w:u w:val="single"/>
              </w:rPr>
              <w:t>～</w:t>
            </w:r>
            <w:r>
              <w:rPr>
                <w:rFonts w:eastAsiaTheme="minorEastAsia"/>
                <w:color w:val="000000"/>
                <w:szCs w:val="21"/>
                <w:u w:val="single"/>
              </w:rPr>
              <w:t>31.42</w:t>
            </w:r>
          </w:p>
          <w:p>
            <w:pPr>
              <w:spacing w:line="240" w:lineRule="exact"/>
              <w:jc w:val="center"/>
              <w:rPr>
                <w:rFonts w:eastAsiaTheme="minorEastAsia"/>
                <w:color w:val="000000"/>
                <w:szCs w:val="21"/>
              </w:rPr>
            </w:pPr>
            <w:r>
              <w:rPr>
                <w:rFonts w:eastAsiaTheme="minorEastAsia"/>
                <w:color w:val="000000"/>
                <w:szCs w:val="21"/>
              </w:rPr>
              <w:t>30.04</w:t>
            </w:r>
          </w:p>
        </w:tc>
        <w:tc>
          <w:tcPr>
            <w:tcW w:w="77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13.00</w:t>
            </w:r>
            <w:r>
              <w:rPr>
                <w:rFonts w:hAnsiTheme="minorEastAsia" w:eastAsiaTheme="minorEastAsia"/>
                <w:color w:val="000000"/>
                <w:szCs w:val="21"/>
                <w:u w:val="single"/>
              </w:rPr>
              <w:t>～</w:t>
            </w:r>
            <w:r>
              <w:rPr>
                <w:rFonts w:eastAsiaTheme="minorEastAsia"/>
                <w:color w:val="000000"/>
                <w:szCs w:val="21"/>
                <w:u w:val="single"/>
              </w:rPr>
              <w:t>24.30</w:t>
            </w:r>
          </w:p>
          <w:p>
            <w:pPr>
              <w:pStyle w:val="147"/>
              <w:spacing w:line="240" w:lineRule="exact"/>
              <w:ind w:firstLine="0" w:firstLineChars="0"/>
              <w:jc w:val="center"/>
              <w:rPr>
                <w:rFonts w:ascii="Times New Roman" w:hAnsi="Times New Roman" w:cs="Times New Roman" w:eastAsiaTheme="minorEastAsia"/>
                <w:color w:val="000000"/>
                <w:spacing w:val="0"/>
                <w:sz w:val="21"/>
                <w:szCs w:val="21"/>
              </w:rPr>
            </w:pPr>
            <w:r>
              <w:rPr>
                <w:rFonts w:ascii="Times New Roman" w:hAnsi="Times New Roman" w:cs="Times New Roman" w:eastAsiaTheme="minorEastAsia"/>
                <w:color w:val="000000"/>
                <w:spacing w:val="0"/>
                <w:sz w:val="21"/>
                <w:szCs w:val="21"/>
              </w:rPr>
              <w:t>20.21</w:t>
            </w:r>
          </w:p>
        </w:tc>
        <w:tc>
          <w:tcPr>
            <w:tcW w:w="294" w:type="pct"/>
            <w:vAlign w:val="center"/>
          </w:tcPr>
          <w:p>
            <w:pPr>
              <w:spacing w:line="240" w:lineRule="exact"/>
              <w:jc w:val="center"/>
              <w:rPr>
                <w:rFonts w:eastAsiaTheme="minorEastAsia"/>
                <w:color w:val="000000"/>
                <w:szCs w:val="21"/>
              </w:rPr>
            </w:pPr>
            <w:r>
              <w:rPr>
                <w:rFonts w:eastAsiaTheme="minorEastAsia"/>
                <w:color w:val="000000"/>
                <w:szCs w:val="21"/>
              </w:rPr>
              <w:t>JM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exact"/>
          <w:jc w:val="center"/>
        </w:trPr>
        <w:tc>
          <w:tcPr>
            <w:tcW w:w="248" w:type="pct"/>
            <w:vAlign w:val="center"/>
          </w:tcPr>
          <w:p>
            <w:pPr>
              <w:jc w:val="center"/>
              <w:rPr>
                <w:rFonts w:eastAsiaTheme="minorEastAsia"/>
                <w:color w:val="000000"/>
                <w:szCs w:val="21"/>
                <w:vertAlign w:val="subscript"/>
              </w:rPr>
            </w:pPr>
            <w:r>
              <w:rPr>
                <w:rFonts w:eastAsiaTheme="minorEastAsia"/>
                <w:color w:val="000000"/>
                <w:szCs w:val="21"/>
              </w:rPr>
              <w:t>9</w:t>
            </w:r>
          </w:p>
        </w:tc>
        <w:tc>
          <w:tcPr>
            <w:tcW w:w="656"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0.16</w:t>
            </w:r>
            <w:r>
              <w:rPr>
                <w:rFonts w:hAnsiTheme="minorEastAsia" w:eastAsiaTheme="minorEastAsia"/>
                <w:color w:val="000000"/>
                <w:szCs w:val="21"/>
                <w:u w:val="single"/>
              </w:rPr>
              <w:t>～</w:t>
            </w:r>
            <w:r>
              <w:rPr>
                <w:rFonts w:eastAsiaTheme="minorEastAsia"/>
                <w:color w:val="000000"/>
                <w:szCs w:val="21"/>
                <w:u w:val="single"/>
              </w:rPr>
              <w:t>0.90</w:t>
            </w:r>
          </w:p>
          <w:p>
            <w:pPr>
              <w:spacing w:line="240" w:lineRule="exact"/>
              <w:jc w:val="center"/>
              <w:rPr>
                <w:rFonts w:eastAsiaTheme="minorEastAsia"/>
                <w:color w:val="000000"/>
                <w:szCs w:val="21"/>
              </w:rPr>
            </w:pPr>
            <w:r>
              <w:rPr>
                <w:rFonts w:eastAsiaTheme="minorEastAsia"/>
                <w:color w:val="000000"/>
                <w:szCs w:val="21"/>
              </w:rPr>
              <w:t>0.52</w:t>
            </w:r>
          </w:p>
        </w:tc>
        <w:tc>
          <w:tcPr>
            <w:tcW w:w="75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14.83</w:t>
            </w:r>
            <w:r>
              <w:rPr>
                <w:rFonts w:hAnsiTheme="minorEastAsia" w:eastAsiaTheme="minorEastAsia"/>
                <w:color w:val="000000"/>
                <w:szCs w:val="21"/>
                <w:u w:val="single"/>
              </w:rPr>
              <w:t>～</w:t>
            </w:r>
            <w:r>
              <w:rPr>
                <w:rFonts w:eastAsiaTheme="minorEastAsia"/>
                <w:color w:val="000000"/>
                <w:szCs w:val="21"/>
                <w:u w:val="single"/>
              </w:rPr>
              <w:t>27.54</w:t>
            </w:r>
          </w:p>
          <w:p>
            <w:pPr>
              <w:spacing w:line="240" w:lineRule="exact"/>
              <w:jc w:val="center"/>
              <w:rPr>
                <w:rFonts w:eastAsiaTheme="minorEastAsia"/>
                <w:color w:val="000000"/>
                <w:szCs w:val="21"/>
              </w:rPr>
            </w:pPr>
            <w:r>
              <w:rPr>
                <w:rFonts w:eastAsiaTheme="minorEastAsia"/>
                <w:color w:val="000000"/>
                <w:szCs w:val="21"/>
              </w:rPr>
              <w:t>20.56</w:t>
            </w:r>
          </w:p>
        </w:tc>
        <w:tc>
          <w:tcPr>
            <w:tcW w:w="846"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20.98</w:t>
            </w:r>
            <w:r>
              <w:rPr>
                <w:rFonts w:hAnsiTheme="minorEastAsia" w:eastAsiaTheme="minorEastAsia"/>
                <w:color w:val="000000"/>
                <w:szCs w:val="21"/>
                <w:u w:val="single"/>
              </w:rPr>
              <w:t>～</w:t>
            </w:r>
            <w:r>
              <w:rPr>
                <w:rFonts w:eastAsiaTheme="minorEastAsia"/>
                <w:color w:val="000000"/>
                <w:szCs w:val="21"/>
                <w:u w:val="single"/>
              </w:rPr>
              <w:t>25.83</w:t>
            </w:r>
          </w:p>
          <w:p>
            <w:pPr>
              <w:spacing w:line="240" w:lineRule="exact"/>
              <w:jc w:val="center"/>
              <w:rPr>
                <w:rFonts w:eastAsiaTheme="minorEastAsia"/>
                <w:color w:val="000000"/>
                <w:szCs w:val="21"/>
              </w:rPr>
            </w:pPr>
            <w:r>
              <w:rPr>
                <w:rFonts w:eastAsiaTheme="minorEastAsia"/>
                <w:color w:val="000000"/>
                <w:szCs w:val="21"/>
              </w:rPr>
              <w:t>23.36</w:t>
            </w:r>
          </w:p>
        </w:tc>
        <w:tc>
          <w:tcPr>
            <w:tcW w:w="643"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0.81</w:t>
            </w:r>
            <w:r>
              <w:rPr>
                <w:rFonts w:hAnsiTheme="minorEastAsia" w:eastAsiaTheme="minorEastAsia"/>
                <w:color w:val="000000"/>
                <w:szCs w:val="21"/>
                <w:u w:val="single"/>
              </w:rPr>
              <w:t>～</w:t>
            </w:r>
            <w:r>
              <w:rPr>
                <w:rFonts w:eastAsiaTheme="minorEastAsia"/>
                <w:color w:val="000000"/>
                <w:szCs w:val="21"/>
                <w:u w:val="single"/>
              </w:rPr>
              <w:t>1.34</w:t>
            </w:r>
          </w:p>
          <w:p>
            <w:pPr>
              <w:spacing w:line="240" w:lineRule="exact"/>
              <w:jc w:val="center"/>
              <w:rPr>
                <w:rFonts w:eastAsiaTheme="minorEastAsia"/>
                <w:color w:val="000000"/>
                <w:szCs w:val="21"/>
              </w:rPr>
            </w:pPr>
            <w:r>
              <w:rPr>
                <w:rFonts w:eastAsiaTheme="minorEastAsia"/>
                <w:color w:val="000000"/>
                <w:szCs w:val="21"/>
              </w:rPr>
              <w:t>1.08</w:t>
            </w:r>
          </w:p>
        </w:tc>
        <w:tc>
          <w:tcPr>
            <w:tcW w:w="79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28.47</w:t>
            </w:r>
            <w:r>
              <w:rPr>
                <w:rFonts w:hAnsiTheme="minorEastAsia" w:eastAsiaTheme="minorEastAsia"/>
                <w:color w:val="000000"/>
                <w:szCs w:val="21"/>
                <w:u w:val="single"/>
              </w:rPr>
              <w:t>～</w:t>
            </w:r>
            <w:r>
              <w:rPr>
                <w:rFonts w:eastAsiaTheme="minorEastAsia"/>
                <w:color w:val="000000"/>
                <w:szCs w:val="21"/>
                <w:u w:val="single"/>
              </w:rPr>
              <w:t>31.18</w:t>
            </w:r>
          </w:p>
          <w:p>
            <w:pPr>
              <w:spacing w:line="240" w:lineRule="exact"/>
              <w:jc w:val="center"/>
              <w:rPr>
                <w:rFonts w:eastAsiaTheme="minorEastAsia"/>
                <w:color w:val="000000"/>
                <w:szCs w:val="21"/>
              </w:rPr>
            </w:pPr>
            <w:r>
              <w:rPr>
                <w:rFonts w:eastAsiaTheme="minorEastAsia"/>
                <w:color w:val="000000"/>
                <w:szCs w:val="21"/>
              </w:rPr>
              <w:t>29.71</w:t>
            </w:r>
          </w:p>
        </w:tc>
        <w:tc>
          <w:tcPr>
            <w:tcW w:w="771" w:type="pct"/>
            <w:vAlign w:val="center"/>
          </w:tcPr>
          <w:p>
            <w:pPr>
              <w:spacing w:line="240" w:lineRule="exact"/>
              <w:jc w:val="center"/>
              <w:rPr>
                <w:rFonts w:eastAsiaTheme="minorEastAsia"/>
                <w:color w:val="000000"/>
                <w:szCs w:val="21"/>
                <w:u w:val="single"/>
              </w:rPr>
            </w:pPr>
            <w:r>
              <w:rPr>
                <w:rFonts w:eastAsiaTheme="minorEastAsia"/>
                <w:color w:val="000000"/>
                <w:szCs w:val="21"/>
                <w:u w:val="single"/>
              </w:rPr>
              <w:t>12.00</w:t>
            </w:r>
            <w:r>
              <w:rPr>
                <w:rFonts w:hAnsiTheme="minorEastAsia" w:eastAsiaTheme="minorEastAsia"/>
                <w:color w:val="000000"/>
                <w:szCs w:val="21"/>
                <w:u w:val="single"/>
              </w:rPr>
              <w:t>～</w:t>
            </w:r>
            <w:r>
              <w:rPr>
                <w:rFonts w:eastAsiaTheme="minorEastAsia"/>
                <w:color w:val="000000"/>
                <w:szCs w:val="21"/>
                <w:u w:val="single"/>
              </w:rPr>
              <w:t>18.50</w:t>
            </w:r>
          </w:p>
          <w:p>
            <w:pPr>
              <w:pStyle w:val="147"/>
              <w:spacing w:line="240" w:lineRule="exact"/>
              <w:ind w:firstLine="0" w:firstLineChars="0"/>
              <w:jc w:val="center"/>
              <w:rPr>
                <w:rFonts w:ascii="Times New Roman" w:hAnsi="Times New Roman" w:cs="Times New Roman" w:eastAsiaTheme="minorEastAsia"/>
                <w:color w:val="000000"/>
                <w:spacing w:val="0"/>
                <w:sz w:val="21"/>
                <w:szCs w:val="21"/>
              </w:rPr>
            </w:pPr>
            <w:r>
              <w:rPr>
                <w:rFonts w:ascii="Times New Roman" w:hAnsi="Times New Roman" w:cs="Times New Roman" w:eastAsiaTheme="minorEastAsia"/>
                <w:color w:val="000000"/>
                <w:spacing w:val="0"/>
                <w:sz w:val="21"/>
                <w:szCs w:val="21"/>
              </w:rPr>
              <w:t>15.57</w:t>
            </w:r>
          </w:p>
        </w:tc>
        <w:tc>
          <w:tcPr>
            <w:tcW w:w="294" w:type="pct"/>
            <w:vAlign w:val="center"/>
          </w:tcPr>
          <w:p>
            <w:pPr>
              <w:spacing w:line="240" w:lineRule="exact"/>
              <w:jc w:val="center"/>
              <w:rPr>
                <w:rFonts w:eastAsiaTheme="minorEastAsia"/>
                <w:color w:val="000000"/>
                <w:szCs w:val="21"/>
              </w:rPr>
            </w:pPr>
            <w:r>
              <w:rPr>
                <w:rFonts w:eastAsiaTheme="minorEastAsia"/>
                <w:color w:val="000000"/>
                <w:szCs w:val="21"/>
              </w:rPr>
              <w:t>JM</w:t>
            </w:r>
          </w:p>
        </w:tc>
      </w:tr>
    </w:tbl>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160" w:name="_Toc71551932"/>
      <w:r>
        <w:rPr>
          <w:rFonts w:ascii="Times New Roman" w:hAnsi="Times New Roman" w:eastAsiaTheme="minorEastAsia"/>
          <w:kern w:val="44"/>
          <w:sz w:val="30"/>
          <w:szCs w:val="30"/>
        </w:rPr>
        <w:t>3.3</w:t>
      </w:r>
      <w:r>
        <w:rPr>
          <w:rFonts w:hint="eastAsia" w:ascii="Times New Roman" w:hAnsiTheme="minorEastAsia" w:eastAsiaTheme="minorEastAsia"/>
          <w:kern w:val="44"/>
          <w:sz w:val="30"/>
          <w:szCs w:val="30"/>
        </w:rPr>
        <w:t>井田</w:t>
      </w:r>
      <w:r>
        <w:rPr>
          <w:rFonts w:ascii="Times New Roman" w:hAnsiTheme="minorEastAsia" w:eastAsiaTheme="minorEastAsia"/>
          <w:kern w:val="44"/>
          <w:sz w:val="30"/>
          <w:szCs w:val="30"/>
        </w:rPr>
        <w:t>开拓方案</w:t>
      </w:r>
      <w:bookmarkEnd w:id="160"/>
    </w:p>
    <w:p>
      <w:pPr>
        <w:spacing w:line="360" w:lineRule="auto"/>
        <w:outlineLvl w:val="2"/>
        <w:rPr>
          <w:rFonts w:eastAsiaTheme="minorEastAsia"/>
          <w:b/>
          <w:sz w:val="24"/>
        </w:rPr>
      </w:pPr>
      <w:r>
        <w:rPr>
          <w:rFonts w:eastAsiaTheme="minorEastAsia"/>
          <w:b/>
          <w:sz w:val="24"/>
        </w:rPr>
        <w:t>3.3.1</w:t>
      </w:r>
      <w:r>
        <w:rPr>
          <w:rFonts w:hAnsiTheme="minorEastAsia" w:eastAsiaTheme="minorEastAsia"/>
          <w:b/>
          <w:sz w:val="24"/>
        </w:rPr>
        <w:t>开拓方式及井口位置</w:t>
      </w:r>
    </w:p>
    <w:p>
      <w:pPr>
        <w:spacing w:line="360" w:lineRule="auto"/>
        <w:outlineLvl w:val="3"/>
        <w:rPr>
          <w:rFonts w:hAnsiTheme="minorEastAsia" w:eastAsiaTheme="minorEastAsia"/>
          <w:b/>
          <w:bCs/>
          <w:sz w:val="24"/>
        </w:rPr>
      </w:pPr>
      <w:r>
        <w:rPr>
          <w:rFonts w:eastAsiaTheme="minorEastAsia"/>
          <w:b/>
          <w:sz w:val="24"/>
        </w:rPr>
        <w:t>3.3.1.1</w:t>
      </w:r>
      <w:r>
        <w:rPr>
          <w:rFonts w:hint="eastAsia" w:hAnsiTheme="minorEastAsia" w:eastAsiaTheme="minorEastAsia"/>
          <w:b/>
          <w:bCs/>
          <w:sz w:val="24"/>
        </w:rPr>
        <w:t>开拓方式</w:t>
      </w:r>
    </w:p>
    <w:p>
      <w:pPr>
        <w:spacing w:line="360" w:lineRule="auto"/>
        <w:ind w:firstLine="482" w:firstLineChars="200"/>
        <w:rPr>
          <w:rFonts w:ascii="华文中宋" w:hAnsi="华文中宋" w:eastAsia="华文中宋"/>
        </w:rPr>
      </w:pPr>
      <w:r>
        <w:rPr>
          <w:rFonts w:hint="eastAsia" w:eastAsiaTheme="minorEastAsia"/>
          <w:b/>
          <w:bCs/>
          <w:sz w:val="24"/>
        </w:rPr>
        <w:t>原环评：</w:t>
      </w:r>
      <w:r>
        <w:rPr>
          <w:rFonts w:hint="eastAsia" w:eastAsiaTheme="minorEastAsia"/>
          <w:sz w:val="24"/>
        </w:rPr>
        <w:t>井田内第三、第四系厚度相对较薄，含水性较差，井筒可采用普通法施工，</w:t>
      </w:r>
      <w:r>
        <w:rPr>
          <w:rFonts w:eastAsiaTheme="minorEastAsia"/>
          <w:sz w:val="24"/>
        </w:rPr>
        <w:t>采用</w:t>
      </w:r>
      <w:r>
        <w:rPr>
          <w:rFonts w:hint="eastAsia" w:eastAsiaTheme="minorEastAsia"/>
          <w:sz w:val="24"/>
        </w:rPr>
        <w:t>斜井加立井</w:t>
      </w:r>
      <w:r>
        <w:rPr>
          <w:rFonts w:eastAsiaTheme="minorEastAsia"/>
          <w:sz w:val="24"/>
        </w:rPr>
        <w:t>、</w:t>
      </w:r>
      <w:r>
        <w:rPr>
          <w:rFonts w:hint="eastAsia" w:eastAsiaTheme="minorEastAsia"/>
          <w:sz w:val="24"/>
        </w:rPr>
        <w:t>主要</w:t>
      </w:r>
      <w:r>
        <w:rPr>
          <w:rFonts w:eastAsiaTheme="minorEastAsia"/>
          <w:sz w:val="24"/>
        </w:rPr>
        <w:t>石门开拓方式。</w:t>
      </w:r>
    </w:p>
    <w:p>
      <w:pPr>
        <w:spacing w:line="360" w:lineRule="auto"/>
        <w:ind w:firstLine="482" w:firstLineChars="200"/>
        <w:rPr>
          <w:rFonts w:eastAsiaTheme="minorEastAsia"/>
          <w:b/>
          <w:bCs/>
          <w:sz w:val="24"/>
        </w:rPr>
      </w:pPr>
      <w:r>
        <w:rPr>
          <w:rFonts w:hint="eastAsia" w:eastAsiaTheme="minorEastAsia"/>
          <w:b/>
          <w:bCs/>
          <w:sz w:val="24"/>
        </w:rPr>
        <w:t>变更后：</w:t>
      </w:r>
      <w:r>
        <w:rPr>
          <w:rFonts w:hint="eastAsia" w:eastAsiaTheme="minorEastAsia"/>
          <w:bCs/>
          <w:sz w:val="24"/>
        </w:rPr>
        <w:t>同原环评，无变更。</w:t>
      </w:r>
    </w:p>
    <w:p>
      <w:pPr>
        <w:spacing w:line="360" w:lineRule="auto"/>
        <w:outlineLvl w:val="3"/>
        <w:rPr>
          <w:rFonts w:eastAsiaTheme="minorEastAsia"/>
          <w:b/>
          <w:sz w:val="24"/>
        </w:rPr>
      </w:pPr>
      <w:r>
        <w:rPr>
          <w:rFonts w:eastAsiaTheme="minorEastAsia"/>
          <w:b/>
          <w:sz w:val="24"/>
        </w:rPr>
        <w:t>3.3.1.2</w:t>
      </w:r>
      <w:r>
        <w:rPr>
          <w:rFonts w:hAnsiTheme="minorEastAsia" w:eastAsiaTheme="minorEastAsia"/>
          <w:b/>
          <w:sz w:val="24"/>
        </w:rPr>
        <w:t>井口与工业场地位置选择</w:t>
      </w:r>
    </w:p>
    <w:p>
      <w:pPr>
        <w:pStyle w:val="85"/>
        <w:adjustRightInd/>
        <w:snapToGrid/>
        <w:ind w:firstLine="482"/>
        <w:rPr>
          <w:rFonts w:hAnsiTheme="minorEastAsia"/>
          <w:color w:val="auto"/>
          <w:sz w:val="24"/>
        </w:rPr>
      </w:pPr>
      <w:r>
        <w:rPr>
          <w:rFonts w:hint="eastAsia" w:ascii="Times New Roman" w:cs="Times New Roman" w:hAnsiTheme="minorEastAsia"/>
          <w:b/>
          <w:color w:val="auto"/>
          <w:sz w:val="24"/>
          <w:szCs w:val="24"/>
        </w:rPr>
        <w:t>原环评：</w:t>
      </w:r>
      <w:r>
        <w:rPr>
          <w:rFonts w:hint="eastAsia" w:hAnsiTheme="minorEastAsia"/>
          <w:color w:val="auto"/>
          <w:sz w:val="24"/>
        </w:rPr>
        <w:t>主、副斜井井口位置选择在原祥宇矿工业场地，回风立井井口选择在原宏宇矿工业场地。</w:t>
      </w:r>
    </w:p>
    <w:p>
      <w:pPr>
        <w:pStyle w:val="85"/>
        <w:ind w:firstLine="482"/>
        <w:rPr>
          <w:rFonts w:ascii="Times New Roman" w:hAnsi="Times New Roman" w:cs="Times New Roman"/>
          <w:color w:val="auto"/>
          <w:sz w:val="24"/>
        </w:rPr>
      </w:pPr>
      <w:r>
        <w:rPr>
          <w:rFonts w:ascii="Times New Roman" w:cs="Times New Roman" w:hAnsiTheme="minorEastAsia"/>
          <w:b/>
          <w:color w:val="auto"/>
          <w:sz w:val="24"/>
          <w:szCs w:val="24"/>
        </w:rPr>
        <w:t>变更后：</w:t>
      </w:r>
      <w:r>
        <w:rPr>
          <w:rFonts w:ascii="Times New Roman" w:cs="Times New Roman" w:hAnsiTheme="minorEastAsia"/>
          <w:color w:val="auto"/>
          <w:sz w:val="24"/>
        </w:rPr>
        <w:t>主、副斜井井口位置仍选择在原祥宇矿工业场地；回风立井井口位置改在原后庄矿工业场地（后庄矿工业场地在原初步设计期间，因地方关系问题，协调难度大，现已解决），</w:t>
      </w:r>
      <w:r>
        <w:rPr>
          <w:rFonts w:hint="eastAsia" w:ascii="Times New Roman" w:cs="Times New Roman" w:hAnsiTheme="minorEastAsia"/>
          <w:color w:val="auto"/>
          <w:sz w:val="24"/>
        </w:rPr>
        <w:t>风井场地经调整后可</w:t>
      </w:r>
      <w:r>
        <w:rPr>
          <w:rFonts w:ascii="Times New Roman" w:cs="Times New Roman" w:hAnsiTheme="minorEastAsia"/>
          <w:color w:val="auto"/>
          <w:sz w:val="24"/>
        </w:rPr>
        <w:t>缩短井下通风线路长度，减少巷道工程量（可减少</w:t>
      </w:r>
      <w:r>
        <w:rPr>
          <w:rFonts w:ascii="Times New Roman" w:hAnsi="Times New Roman" w:cs="Times New Roman"/>
          <w:color w:val="auto"/>
          <w:sz w:val="24"/>
        </w:rPr>
        <w:t>1644m</w:t>
      </w:r>
      <w:r>
        <w:rPr>
          <w:rFonts w:ascii="Times New Roman" w:cs="Times New Roman" w:hAnsiTheme="minorEastAsia"/>
          <w:color w:val="auto"/>
          <w:sz w:val="24"/>
        </w:rPr>
        <w:t>）。</w:t>
      </w:r>
    </w:p>
    <w:p>
      <w:pPr>
        <w:pStyle w:val="85"/>
        <w:ind w:firstLine="482"/>
        <w:rPr>
          <w:color w:val="auto"/>
          <w:sz w:val="24"/>
        </w:rPr>
      </w:pPr>
      <w:r>
        <w:rPr>
          <w:rFonts w:hint="eastAsia" w:ascii="Times New Roman" w:cs="Times New Roman" w:hAnsiTheme="minorEastAsia"/>
          <w:b/>
          <w:color w:val="auto"/>
          <w:sz w:val="24"/>
        </w:rPr>
        <w:t>现状：</w:t>
      </w:r>
      <w:r>
        <w:rPr>
          <w:rFonts w:ascii="Times New Roman" w:hAnsi="Times New Roman" w:cs="Times New Roman"/>
          <w:color w:val="auto"/>
          <w:sz w:val="24"/>
        </w:rPr>
        <w:t>主、副斜井井筒均已施工约420m，</w:t>
      </w:r>
      <w:r>
        <w:rPr>
          <w:rFonts w:ascii="Times New Roman" w:cs="Times New Roman"/>
          <w:color w:val="auto"/>
          <w:sz w:val="24"/>
        </w:rPr>
        <w:t>井筒方位角同原</w:t>
      </w:r>
      <w:r>
        <w:rPr>
          <w:rFonts w:hint="eastAsia" w:ascii="Times New Roman" w:cs="Times New Roman"/>
          <w:color w:val="auto"/>
          <w:sz w:val="24"/>
        </w:rPr>
        <w:t>环评</w:t>
      </w:r>
      <w:r>
        <w:rPr>
          <w:rFonts w:ascii="Times New Roman" w:cs="Times New Roman"/>
          <w:color w:val="auto"/>
          <w:sz w:val="24"/>
        </w:rPr>
        <w:t>，但井口实际施工位置与原</w:t>
      </w:r>
      <w:r>
        <w:rPr>
          <w:rFonts w:hint="eastAsia" w:ascii="Times New Roman" w:cs="Times New Roman"/>
          <w:color w:val="auto"/>
          <w:sz w:val="24"/>
        </w:rPr>
        <w:t>环评</w:t>
      </w:r>
      <w:r>
        <w:rPr>
          <w:rFonts w:ascii="Times New Roman" w:cs="Times New Roman"/>
          <w:color w:val="auto"/>
          <w:sz w:val="24"/>
        </w:rPr>
        <w:t>相比分别向西平移了</w:t>
      </w:r>
      <w:r>
        <w:rPr>
          <w:rFonts w:ascii="Times New Roman" w:hAnsi="Times New Roman" w:cs="Times New Roman"/>
          <w:color w:val="auto"/>
          <w:sz w:val="24"/>
        </w:rPr>
        <w:t>118m</w:t>
      </w:r>
      <w:r>
        <w:rPr>
          <w:rFonts w:ascii="Times New Roman" w:cs="Times New Roman"/>
          <w:color w:val="auto"/>
          <w:sz w:val="24"/>
        </w:rPr>
        <w:t>及</w:t>
      </w:r>
      <w:r>
        <w:rPr>
          <w:rFonts w:ascii="Times New Roman" w:hAnsi="Times New Roman" w:cs="Times New Roman"/>
          <w:color w:val="auto"/>
          <w:sz w:val="24"/>
        </w:rPr>
        <w:t>55m</w:t>
      </w:r>
      <w:r>
        <w:rPr>
          <w:rFonts w:ascii="Times New Roman" w:cs="Times New Roman"/>
          <w:color w:val="auto"/>
          <w:sz w:val="24"/>
        </w:rPr>
        <w:t>，</w:t>
      </w:r>
      <w:r>
        <w:rPr>
          <w:rFonts w:hint="eastAsia" w:ascii="Times New Roman" w:cs="Times New Roman"/>
          <w:color w:val="auto"/>
          <w:sz w:val="24"/>
        </w:rPr>
        <w:t>井口标高由+970m改为+983.8m，</w:t>
      </w:r>
      <w:r>
        <w:rPr>
          <w:rFonts w:ascii="Times New Roman" w:cs="Times New Roman"/>
          <w:color w:val="auto"/>
          <w:sz w:val="24"/>
        </w:rPr>
        <w:t>主斜井实际施工倾角为</w:t>
      </w:r>
      <w:r>
        <w:rPr>
          <w:rFonts w:ascii="Times New Roman" w:hAnsi="Times New Roman" w:cs="Times New Roman"/>
          <w:color w:val="auto"/>
          <w:sz w:val="24"/>
        </w:rPr>
        <w:t>17°/16°</w:t>
      </w:r>
      <w:r>
        <w:rPr>
          <w:rFonts w:ascii="Times New Roman" w:cs="Times New Roman"/>
          <w:color w:val="auto"/>
          <w:sz w:val="24"/>
        </w:rPr>
        <w:t>，副斜井实际施工倾角为</w:t>
      </w:r>
      <w:r>
        <w:rPr>
          <w:rFonts w:ascii="Times New Roman" w:hAnsi="Times New Roman" w:cs="Times New Roman"/>
          <w:color w:val="auto"/>
          <w:sz w:val="24"/>
        </w:rPr>
        <w:t>18°</w:t>
      </w:r>
      <w:r>
        <w:rPr>
          <w:rFonts w:ascii="Times New Roman" w:cs="Times New Roman"/>
          <w:color w:val="auto"/>
          <w:sz w:val="24"/>
        </w:rPr>
        <w:t>。</w:t>
      </w:r>
    </w:p>
    <w:p>
      <w:pPr>
        <w:spacing w:line="360" w:lineRule="auto"/>
        <w:outlineLvl w:val="2"/>
        <w:rPr>
          <w:rFonts w:eastAsiaTheme="minorEastAsia"/>
          <w:b/>
          <w:sz w:val="24"/>
        </w:rPr>
      </w:pPr>
      <w:r>
        <w:rPr>
          <w:rFonts w:eastAsiaTheme="minorEastAsia"/>
          <w:b/>
          <w:sz w:val="24"/>
        </w:rPr>
        <w:t>3.3.2</w:t>
      </w:r>
      <w:r>
        <w:rPr>
          <w:rFonts w:hAnsiTheme="minorEastAsia" w:eastAsiaTheme="minorEastAsia"/>
          <w:b/>
          <w:sz w:val="24"/>
        </w:rPr>
        <w:t>开拓部署</w:t>
      </w:r>
    </w:p>
    <w:p>
      <w:pPr>
        <w:spacing w:line="360" w:lineRule="auto"/>
        <w:outlineLvl w:val="3"/>
        <w:rPr>
          <w:rFonts w:eastAsiaTheme="minorEastAsia"/>
          <w:b/>
          <w:sz w:val="24"/>
        </w:rPr>
      </w:pPr>
      <w:r>
        <w:rPr>
          <w:rFonts w:eastAsiaTheme="minorEastAsia"/>
          <w:b/>
          <w:sz w:val="24"/>
        </w:rPr>
        <w:t>3.3.2.1</w:t>
      </w:r>
      <w:r>
        <w:rPr>
          <w:rFonts w:hAnsiTheme="minorEastAsia" w:eastAsiaTheme="minorEastAsia"/>
          <w:b/>
          <w:sz w:val="24"/>
        </w:rPr>
        <w:t>井筒</w:t>
      </w:r>
      <w:r>
        <w:rPr>
          <w:rFonts w:hint="eastAsia" w:hAnsiTheme="minorEastAsia" w:eastAsiaTheme="minorEastAsia"/>
          <w:b/>
          <w:sz w:val="24"/>
        </w:rPr>
        <w:t>布置方案</w:t>
      </w:r>
    </w:p>
    <w:p>
      <w:pPr>
        <w:pStyle w:val="111"/>
        <w:adjustRightInd/>
        <w:snapToGrid/>
        <w:spacing w:beforeLines="0" w:afterLines="0"/>
        <w:ind w:firstLine="482" w:firstLineChars="200"/>
        <w:outlineLvl w:val="9"/>
        <w:rPr>
          <w:rFonts w:ascii="Times New Roman" w:cs="Times New Roman" w:hAnsiTheme="minorEastAsia"/>
          <w:b w:val="0"/>
          <w:color w:val="auto"/>
          <w:sz w:val="24"/>
          <w:szCs w:val="24"/>
          <w:lang w:val="en-US"/>
        </w:rPr>
      </w:pPr>
      <w:r>
        <w:rPr>
          <w:rFonts w:hint="eastAsia" w:ascii="Times New Roman" w:cs="Times New Roman" w:hAnsiTheme="minorEastAsia"/>
          <w:color w:val="auto"/>
          <w:sz w:val="24"/>
          <w:szCs w:val="24"/>
        </w:rPr>
        <w:t>原环评：</w:t>
      </w:r>
      <w:r>
        <w:rPr>
          <w:rFonts w:hint="eastAsia" w:ascii="Times New Roman" w:cs="Times New Roman" w:hAnsiTheme="minorEastAsia"/>
          <w:b w:val="0"/>
          <w:color w:val="auto"/>
          <w:sz w:val="24"/>
          <w:szCs w:val="24"/>
          <w:lang w:val="en-US"/>
        </w:rPr>
        <w:t>在原祥宇矿工业场地东侧新建设主斜井、副斜井共2个井筒，改造宏宇煤矿的副立井做为回风井，全矿井共设3个井筒。主、副斜井沿老巷煤柱方向向西布置，主斜井（14.5°）、副斜井（17°）落底9号煤层底板岩石中。</w:t>
      </w:r>
    </w:p>
    <w:p>
      <w:pPr>
        <w:pStyle w:val="111"/>
        <w:adjustRightInd/>
        <w:snapToGrid/>
        <w:spacing w:beforeLines="0" w:afterLines="0"/>
        <w:ind w:firstLine="482" w:firstLineChars="200"/>
        <w:outlineLvl w:val="9"/>
        <w:rPr>
          <w:rFonts w:ascii="Times New Roman" w:hAnsi="Times New Roman" w:cs="Times New Roman"/>
          <w:b w:val="0"/>
          <w:sz w:val="24"/>
          <w:lang w:val="en-US"/>
        </w:rPr>
      </w:pPr>
      <w:r>
        <w:rPr>
          <w:rFonts w:hint="eastAsia" w:ascii="Times New Roman" w:cs="Times New Roman" w:hAnsiTheme="minorEastAsia"/>
          <w:color w:val="auto"/>
          <w:sz w:val="24"/>
          <w:szCs w:val="24"/>
          <w:lang w:val="en-US"/>
        </w:rPr>
        <w:t>变更后：</w:t>
      </w:r>
      <w:r>
        <w:rPr>
          <w:rFonts w:hint="eastAsia" w:ascii="Times New Roman" w:cs="Times New Roman" w:hAnsiTheme="minorEastAsia"/>
          <w:b w:val="0"/>
          <w:color w:val="auto"/>
          <w:sz w:val="24"/>
          <w:szCs w:val="24"/>
          <w:lang w:val="en-US"/>
        </w:rPr>
        <w:t>在原祥宇矿工业场地新建主斜井、副斜井，在原后庄矿工业场地新建回风立井。主、副斜井井筒沿原祥宇矿老巷煤柱方向向西布置，根据现场施工现状，主斜井上段倾角17°/ 16°，下段沿9号煤层布置，倾角约6.5°，井口标高+983.8m，井底标高+735m；副斜井倾角18°，井口标高</w:t>
      </w:r>
      <w:r>
        <w:rPr>
          <w:rFonts w:ascii="Times New Roman" w:cs="Times New Roman" w:hAnsiTheme="minorEastAsia"/>
          <w:b w:val="0"/>
          <w:color w:val="auto"/>
          <w:sz w:val="24"/>
          <w:szCs w:val="24"/>
          <w:lang w:val="en-US"/>
        </w:rPr>
        <w:t>+982.162</w:t>
      </w:r>
      <w:r>
        <w:rPr>
          <w:rFonts w:hint="eastAsia" w:ascii="Times New Roman" w:cs="Times New Roman" w:hAnsiTheme="minorEastAsia"/>
          <w:b w:val="0"/>
          <w:color w:val="auto"/>
          <w:sz w:val="24"/>
          <w:szCs w:val="24"/>
          <w:lang w:val="en-US"/>
        </w:rPr>
        <w:t>m，井底标高+750m；井底车场位于9号煤层底板约8m的泥岩及细粒砂岩中。回风立井井底位于+666m、8号煤层底板。采用上、下山开采方式。初期移交西一（4～5）采区1个5号煤层综放</w:t>
      </w:r>
      <w:r>
        <w:rPr>
          <w:rFonts w:ascii="Times New Roman" w:hAnsi="Times New Roman" w:cs="Times New Roman"/>
          <w:b w:val="0"/>
          <w:sz w:val="24"/>
          <w:lang w:val="en-US"/>
        </w:rPr>
        <w:t>工作面。</w:t>
      </w:r>
    </w:p>
    <w:p>
      <w:pPr>
        <w:pStyle w:val="39"/>
        <w:rPr>
          <w:rFonts w:ascii="Times New Roman" w:hAnsiTheme="minorEastAsia"/>
        </w:rPr>
      </w:pPr>
      <w:r>
        <w:rPr>
          <w:rFonts w:ascii="Times New Roman" w:hAnsi="Times New Roman"/>
        </w:rPr>
        <w:t>本项目变更前后</w:t>
      </w:r>
      <w:r>
        <w:rPr>
          <w:rFonts w:hint="eastAsia" w:ascii="Times New Roman" w:hAnsi="Times New Roman"/>
        </w:rPr>
        <w:t>各煤层、首采区</w:t>
      </w:r>
      <w:r>
        <w:rPr>
          <w:rFonts w:ascii="Times New Roman" w:hAnsi="Times New Roman"/>
        </w:rPr>
        <w:t>开拓方案图及采</w:t>
      </w:r>
      <w:r>
        <w:rPr>
          <w:rFonts w:hint="eastAsia" w:ascii="Times New Roman" w:hAnsi="Times New Roman"/>
        </w:rPr>
        <w:t>区</w:t>
      </w:r>
      <w:r>
        <w:rPr>
          <w:rFonts w:ascii="Times New Roman" w:hAnsi="Times New Roman"/>
        </w:rPr>
        <w:t>分</w:t>
      </w:r>
      <w:r>
        <w:rPr>
          <w:rFonts w:hint="eastAsia" w:ascii="Times New Roman" w:hAnsi="Times New Roman"/>
        </w:rPr>
        <w:t>布</w:t>
      </w:r>
      <w:r>
        <w:rPr>
          <w:rFonts w:ascii="Times New Roman" w:hAnsi="Times New Roman"/>
        </w:rPr>
        <w:t>图</w:t>
      </w:r>
      <w:r>
        <w:rPr>
          <w:rFonts w:hint="eastAsia" w:ascii="Times New Roman" w:hAnsi="Times New Roman"/>
        </w:rPr>
        <w:t>，</w:t>
      </w:r>
      <w:r>
        <w:rPr>
          <w:rFonts w:ascii="Times New Roman" w:hAnsi="Times New Roman"/>
        </w:rPr>
        <w:t>见图3.</w:t>
      </w:r>
      <w:r>
        <w:rPr>
          <w:rFonts w:hint="eastAsia" w:ascii="Times New Roman" w:hAnsi="Times New Roman"/>
        </w:rPr>
        <w:t>3</w:t>
      </w:r>
      <w:r>
        <w:rPr>
          <w:rFonts w:ascii="Times New Roman" w:hAnsi="Times New Roman"/>
        </w:rPr>
        <w:t>-</w:t>
      </w:r>
      <w:r>
        <w:rPr>
          <w:rFonts w:hint="eastAsia" w:ascii="Times New Roman" w:hAnsi="Times New Roman"/>
        </w:rPr>
        <w:t>1</w:t>
      </w:r>
      <w:r>
        <w:rPr>
          <w:rFonts w:ascii="Times New Roman" w:hAnsi="Times New Roman"/>
        </w:rPr>
        <w:t>~3.</w:t>
      </w:r>
      <w:r>
        <w:rPr>
          <w:rFonts w:hint="eastAsia" w:ascii="Times New Roman" w:hAnsi="Times New Roman"/>
        </w:rPr>
        <w:t>2</w:t>
      </w:r>
      <w:r>
        <w:rPr>
          <w:rFonts w:ascii="Times New Roman" w:hAnsi="Times New Roman"/>
        </w:rPr>
        <w:t>-</w:t>
      </w:r>
      <w:r>
        <w:rPr>
          <w:rFonts w:hint="eastAsia" w:ascii="Times New Roman" w:hAnsi="Times New Roman"/>
        </w:rPr>
        <w:t>5</w:t>
      </w:r>
      <w:r>
        <w:rPr>
          <w:rFonts w:ascii="Times New Roman" w:hAnsi="Times New Roman"/>
        </w:rPr>
        <w:t>。</w:t>
      </w:r>
    </w:p>
    <w:p>
      <w:pPr>
        <w:spacing w:line="360" w:lineRule="auto"/>
        <w:outlineLvl w:val="3"/>
        <w:rPr>
          <w:rFonts w:eastAsiaTheme="minorEastAsia"/>
          <w:b/>
          <w:sz w:val="24"/>
        </w:rPr>
      </w:pPr>
      <w:r>
        <w:rPr>
          <w:rFonts w:eastAsiaTheme="minorEastAsia"/>
          <w:b/>
          <w:sz w:val="24"/>
        </w:rPr>
        <w:t>3.3.2.2水平划分与标高</w:t>
      </w:r>
    </w:p>
    <w:p>
      <w:pPr>
        <w:pStyle w:val="85"/>
        <w:adjustRightInd/>
        <w:snapToGrid/>
        <w:ind w:firstLine="480"/>
        <w:rPr>
          <w:rFonts w:ascii="Times New Roman" w:hAnsi="Times New Roman" w:cs="Times New Roman"/>
          <w:color w:val="auto"/>
          <w:sz w:val="24"/>
          <w:szCs w:val="24"/>
        </w:rPr>
      </w:pPr>
      <w:bookmarkStart w:id="161" w:name="_Toc282349997"/>
      <w:bookmarkStart w:id="162" w:name="_Toc279072755"/>
      <w:r>
        <w:rPr>
          <w:rFonts w:ascii="Times New Roman" w:cs="Times New Roman" w:hAnsiTheme="minorEastAsia"/>
          <w:color w:val="auto"/>
          <w:sz w:val="24"/>
          <w:szCs w:val="24"/>
        </w:rPr>
        <w:t>（</w:t>
      </w:r>
      <w:r>
        <w:rPr>
          <w:rFonts w:ascii="Times New Roman" w:hAnsi="Times New Roman" w:cs="Times New Roman"/>
          <w:color w:val="auto"/>
          <w:sz w:val="24"/>
          <w:szCs w:val="24"/>
        </w:rPr>
        <w:t>1</w:t>
      </w:r>
      <w:r>
        <w:rPr>
          <w:rFonts w:ascii="Times New Roman" w:cs="Times New Roman" w:hAnsiTheme="minorEastAsia"/>
          <w:color w:val="auto"/>
          <w:sz w:val="24"/>
          <w:szCs w:val="24"/>
        </w:rPr>
        <w:t>）水平划分</w:t>
      </w:r>
    </w:p>
    <w:p>
      <w:pPr>
        <w:pStyle w:val="85"/>
        <w:adjustRightInd/>
        <w:snapToGrid/>
        <w:ind w:firstLine="482"/>
        <w:rPr>
          <w:rFonts w:ascii="Times New Roman" w:hAnsi="Times New Roman" w:cs="Times New Roman"/>
          <w:bCs/>
          <w:sz w:val="24"/>
        </w:rPr>
      </w:pPr>
      <w:r>
        <w:rPr>
          <w:rFonts w:ascii="Times New Roman" w:hAnsi="Times New Roman" w:cs="Times New Roman"/>
          <w:b/>
          <w:color w:val="auto"/>
          <w:sz w:val="24"/>
          <w:szCs w:val="24"/>
        </w:rPr>
        <w:t>原环评：</w:t>
      </w:r>
      <w:r>
        <w:rPr>
          <w:rFonts w:ascii="Times New Roman" w:hAnsi="Times New Roman" w:cs="Times New Roman"/>
          <w:bCs/>
          <w:sz w:val="24"/>
        </w:rPr>
        <w:t>全井田设一个开采水平，水平标高+700m。</w:t>
      </w:r>
    </w:p>
    <w:p>
      <w:pPr>
        <w:pStyle w:val="85"/>
        <w:adjustRightInd/>
        <w:snapToGrid/>
        <w:ind w:firstLine="482"/>
        <w:rPr>
          <w:rFonts w:ascii="Times New Roman" w:hAnsi="Times New Roman" w:cs="Times New Roman"/>
          <w:sz w:val="24"/>
        </w:rPr>
      </w:pPr>
      <w:r>
        <w:rPr>
          <w:rFonts w:hint="eastAsia" w:ascii="Times New Roman" w:cs="Times New Roman" w:hAnsiTheme="minorEastAsia"/>
          <w:b/>
          <w:color w:val="auto"/>
          <w:sz w:val="24"/>
        </w:rPr>
        <w:t>变更后：</w:t>
      </w:r>
      <w:r>
        <w:rPr>
          <w:rFonts w:ascii="Times New Roman" w:cs="Times New Roman" w:hAnsiTheme="minorEastAsia"/>
          <w:sz w:val="24"/>
        </w:rPr>
        <w:t>本井田构造为一走向北东、倾向北西的单斜构造，走向长</w:t>
      </w:r>
      <w:r>
        <w:rPr>
          <w:rFonts w:ascii="Times New Roman" w:hAnsi="Times New Roman" w:cs="Times New Roman"/>
          <w:sz w:val="24"/>
        </w:rPr>
        <w:t>1250</w:t>
      </w:r>
      <w:r>
        <w:rPr>
          <w:rFonts w:ascii="Times New Roman" w:cs="Times New Roman" w:hAnsiTheme="minorEastAsia"/>
          <w:sz w:val="24"/>
        </w:rPr>
        <w:t>～</w:t>
      </w:r>
      <w:r>
        <w:rPr>
          <w:rFonts w:ascii="Times New Roman" w:hAnsi="Times New Roman" w:cs="Times New Roman"/>
          <w:sz w:val="24"/>
        </w:rPr>
        <w:t>2300m</w:t>
      </w:r>
      <w:r>
        <w:rPr>
          <w:rFonts w:ascii="Times New Roman" w:cs="Times New Roman" w:hAnsiTheme="minorEastAsia"/>
          <w:sz w:val="24"/>
        </w:rPr>
        <w:t>，倾斜宽</w:t>
      </w:r>
      <w:r>
        <w:rPr>
          <w:rFonts w:ascii="Times New Roman" w:hAnsi="Times New Roman" w:cs="Times New Roman"/>
          <w:sz w:val="24"/>
        </w:rPr>
        <w:t>2550</w:t>
      </w:r>
      <w:r>
        <w:rPr>
          <w:rFonts w:ascii="Times New Roman" w:cs="Times New Roman" w:hAnsiTheme="minorEastAsia"/>
          <w:sz w:val="24"/>
        </w:rPr>
        <w:t>～</w:t>
      </w:r>
      <w:r>
        <w:rPr>
          <w:rFonts w:ascii="Times New Roman" w:hAnsi="Times New Roman" w:cs="Times New Roman"/>
          <w:sz w:val="24"/>
        </w:rPr>
        <w:t>3250m</w:t>
      </w:r>
      <w:r>
        <w:rPr>
          <w:rFonts w:ascii="Times New Roman" w:cs="Times New Roman" w:hAnsiTheme="minorEastAsia"/>
          <w:sz w:val="24"/>
        </w:rPr>
        <w:t>，煤层倾角</w:t>
      </w:r>
      <w:r>
        <w:rPr>
          <w:rFonts w:ascii="Times New Roman" w:hAnsi="Times New Roman" w:cs="Times New Roman"/>
          <w:sz w:val="24"/>
        </w:rPr>
        <w:t>4°</w:t>
      </w:r>
      <w:r>
        <w:rPr>
          <w:rFonts w:ascii="Times New Roman" w:cs="Times New Roman" w:hAnsiTheme="minorEastAsia"/>
          <w:sz w:val="24"/>
        </w:rPr>
        <w:t>～</w:t>
      </w:r>
      <w:r>
        <w:rPr>
          <w:rFonts w:ascii="Times New Roman" w:hAnsi="Times New Roman" w:cs="Times New Roman"/>
          <w:sz w:val="24"/>
        </w:rPr>
        <w:t>10°</w:t>
      </w:r>
      <w:r>
        <w:rPr>
          <w:rFonts w:ascii="Times New Roman" w:cs="Times New Roman" w:hAnsiTheme="minorEastAsia"/>
          <w:sz w:val="24"/>
        </w:rPr>
        <w:t>；</w:t>
      </w:r>
      <w:r>
        <w:rPr>
          <w:rFonts w:ascii="Times New Roman" w:hAnsi="Times New Roman" w:cs="Times New Roman"/>
          <w:sz w:val="24"/>
        </w:rPr>
        <w:t>4</w:t>
      </w:r>
      <w:r>
        <w:rPr>
          <w:rFonts w:ascii="Times New Roman" w:cs="Times New Roman" w:hAnsiTheme="minorEastAsia"/>
          <w:sz w:val="24"/>
        </w:rPr>
        <w:t>、</w:t>
      </w:r>
      <w:r>
        <w:rPr>
          <w:rFonts w:ascii="Times New Roman" w:hAnsi="Times New Roman" w:cs="Times New Roman"/>
          <w:sz w:val="24"/>
        </w:rPr>
        <w:t>5</w:t>
      </w:r>
      <w:r>
        <w:rPr>
          <w:rFonts w:ascii="Times New Roman" w:cs="Times New Roman" w:hAnsiTheme="minorEastAsia"/>
          <w:sz w:val="24"/>
        </w:rPr>
        <w:t>煤回采上限煤层标高约</w:t>
      </w:r>
      <w:r>
        <w:rPr>
          <w:rFonts w:ascii="Times New Roman" w:hAnsi="Times New Roman" w:cs="Times New Roman"/>
          <w:sz w:val="24"/>
        </w:rPr>
        <w:t>+810</w:t>
      </w:r>
      <w:r>
        <w:rPr>
          <w:rFonts w:ascii="Times New Roman" w:cs="Times New Roman" w:hAnsiTheme="minorEastAsia"/>
          <w:sz w:val="24"/>
        </w:rPr>
        <w:t>～</w:t>
      </w:r>
      <w:r>
        <w:rPr>
          <w:rFonts w:ascii="Times New Roman" w:hAnsi="Times New Roman" w:cs="Times New Roman"/>
          <w:sz w:val="24"/>
        </w:rPr>
        <w:t>+870m</w:t>
      </w:r>
      <w:r>
        <w:rPr>
          <w:rFonts w:ascii="Times New Roman" w:cs="Times New Roman" w:hAnsiTheme="minorEastAsia"/>
          <w:sz w:val="24"/>
        </w:rPr>
        <w:t>，回采下限约</w:t>
      </w:r>
      <w:r>
        <w:rPr>
          <w:rFonts w:ascii="Times New Roman" w:hAnsi="Times New Roman" w:cs="Times New Roman"/>
          <w:sz w:val="24"/>
        </w:rPr>
        <w:t>+550</w:t>
      </w:r>
      <w:r>
        <w:rPr>
          <w:rFonts w:ascii="Times New Roman" w:cs="Times New Roman" w:hAnsiTheme="minorEastAsia"/>
          <w:sz w:val="24"/>
        </w:rPr>
        <w:t>～</w:t>
      </w:r>
      <w:r>
        <w:rPr>
          <w:rFonts w:ascii="Times New Roman" w:hAnsi="Times New Roman" w:cs="Times New Roman"/>
          <w:sz w:val="24"/>
        </w:rPr>
        <w:t>+560m</w:t>
      </w:r>
      <w:r>
        <w:rPr>
          <w:rFonts w:ascii="Times New Roman" w:cs="Times New Roman" w:hAnsiTheme="minorEastAsia"/>
          <w:sz w:val="24"/>
        </w:rPr>
        <w:t>，</w:t>
      </w:r>
      <w:r>
        <w:rPr>
          <w:rFonts w:ascii="Times New Roman" w:hAnsi="Times New Roman" w:cs="Times New Roman"/>
          <w:sz w:val="24"/>
        </w:rPr>
        <w:t>8</w:t>
      </w:r>
      <w:r>
        <w:rPr>
          <w:rFonts w:ascii="Times New Roman" w:cs="Times New Roman" w:hAnsiTheme="minorEastAsia"/>
          <w:sz w:val="24"/>
        </w:rPr>
        <w:t>、</w:t>
      </w:r>
      <w:r>
        <w:rPr>
          <w:rFonts w:ascii="Times New Roman" w:hAnsi="Times New Roman" w:cs="Times New Roman"/>
          <w:sz w:val="24"/>
        </w:rPr>
        <w:t>9</w:t>
      </w:r>
      <w:r>
        <w:rPr>
          <w:rFonts w:ascii="Times New Roman" w:cs="Times New Roman" w:hAnsiTheme="minorEastAsia"/>
          <w:sz w:val="24"/>
        </w:rPr>
        <w:t>煤回采上限煤层标高约</w:t>
      </w:r>
      <w:r>
        <w:rPr>
          <w:rFonts w:ascii="Times New Roman" w:hAnsi="Times New Roman" w:cs="Times New Roman"/>
          <w:sz w:val="24"/>
        </w:rPr>
        <w:t>+800</w:t>
      </w:r>
      <w:r>
        <w:rPr>
          <w:rFonts w:ascii="Times New Roman" w:cs="Times New Roman" w:hAnsiTheme="minorEastAsia"/>
          <w:sz w:val="24"/>
        </w:rPr>
        <w:t>～</w:t>
      </w:r>
      <w:r>
        <w:rPr>
          <w:rFonts w:ascii="Times New Roman" w:hAnsi="Times New Roman" w:cs="Times New Roman"/>
          <w:sz w:val="24"/>
        </w:rPr>
        <w:t>+845m</w:t>
      </w:r>
      <w:r>
        <w:rPr>
          <w:rFonts w:ascii="Times New Roman" w:cs="Times New Roman" w:hAnsiTheme="minorEastAsia"/>
          <w:sz w:val="24"/>
        </w:rPr>
        <w:t>（浅部已回采），回采下限约</w:t>
      </w:r>
      <w:r>
        <w:rPr>
          <w:rFonts w:ascii="Times New Roman" w:hAnsi="Times New Roman" w:cs="Times New Roman"/>
          <w:sz w:val="24"/>
        </w:rPr>
        <w:t>+500</w:t>
      </w:r>
      <w:r>
        <w:rPr>
          <w:rFonts w:ascii="Times New Roman" w:cs="Times New Roman" w:hAnsiTheme="minorEastAsia"/>
          <w:sz w:val="24"/>
        </w:rPr>
        <w:t>～</w:t>
      </w:r>
      <w:r>
        <w:rPr>
          <w:rFonts w:ascii="Times New Roman" w:hAnsi="Times New Roman" w:cs="Times New Roman"/>
          <w:sz w:val="24"/>
        </w:rPr>
        <w:t>+510m</w:t>
      </w:r>
      <w:r>
        <w:rPr>
          <w:rFonts w:ascii="Times New Roman" w:cs="Times New Roman" w:hAnsiTheme="minorEastAsia"/>
          <w:sz w:val="24"/>
        </w:rPr>
        <w:t>，开采总高度约</w:t>
      </w:r>
      <w:r>
        <w:rPr>
          <w:rFonts w:ascii="Times New Roman" w:hAnsi="Times New Roman" w:cs="Times New Roman"/>
          <w:sz w:val="24"/>
        </w:rPr>
        <w:t>370m</w:t>
      </w:r>
      <w:r>
        <w:rPr>
          <w:rFonts w:ascii="Times New Roman" w:cs="Times New Roman" w:hAnsiTheme="minorEastAsia"/>
          <w:sz w:val="24"/>
        </w:rPr>
        <w:t>。根据井田具体条件，设计推荐全矿井采用一个水平、上下山开采。</w:t>
      </w:r>
    </w:p>
    <w:p>
      <w:pPr>
        <w:pStyle w:val="85"/>
        <w:adjustRightInd/>
        <w:snapToGrid/>
        <w:ind w:firstLine="480"/>
        <w:rPr>
          <w:rFonts w:ascii="Times New Roman" w:hAnsi="Times New Roman" w:cs="Times New Roman"/>
          <w:color w:val="auto"/>
          <w:sz w:val="24"/>
          <w:szCs w:val="24"/>
        </w:rPr>
      </w:pPr>
      <w:bookmarkStart w:id="163" w:name="_Toc282349998"/>
      <w:bookmarkStart w:id="164" w:name="_Toc279072756"/>
      <w:r>
        <w:rPr>
          <w:rFonts w:ascii="Times New Roman" w:cs="Times New Roman" w:hAnsiTheme="minorEastAsia"/>
          <w:color w:val="auto"/>
          <w:sz w:val="24"/>
          <w:szCs w:val="24"/>
        </w:rPr>
        <w:t>（</w:t>
      </w:r>
      <w:r>
        <w:rPr>
          <w:rFonts w:ascii="Times New Roman" w:hAnsi="Times New Roman" w:cs="Times New Roman"/>
          <w:color w:val="auto"/>
          <w:sz w:val="24"/>
          <w:szCs w:val="24"/>
        </w:rPr>
        <w:t>2</w:t>
      </w:r>
      <w:r>
        <w:rPr>
          <w:rFonts w:ascii="Times New Roman" w:cs="Times New Roman" w:hAnsiTheme="minorEastAsia"/>
          <w:color w:val="auto"/>
          <w:sz w:val="24"/>
          <w:szCs w:val="24"/>
        </w:rPr>
        <w:t>）水平标高</w:t>
      </w:r>
      <w:bookmarkEnd w:id="163"/>
      <w:bookmarkEnd w:id="164"/>
    </w:p>
    <w:p>
      <w:pPr>
        <w:pStyle w:val="85"/>
        <w:adjustRightInd/>
        <w:snapToGrid/>
        <w:ind w:firstLine="482"/>
        <w:rPr>
          <w:rFonts w:hAnsiTheme="minorEastAsia"/>
          <w:b/>
          <w:sz w:val="24"/>
        </w:rPr>
      </w:pPr>
      <w:r>
        <w:rPr>
          <w:rFonts w:hint="eastAsia" w:hAnsiTheme="minorEastAsia"/>
          <w:b/>
          <w:sz w:val="24"/>
        </w:rPr>
        <w:t>原环评：</w:t>
      </w:r>
      <w:r>
        <w:rPr>
          <w:rFonts w:ascii="Times New Roman" w:hAnsi="Times New Roman" w:cs="Times New Roman"/>
          <w:color w:val="auto"/>
          <w:sz w:val="24"/>
          <w:szCs w:val="24"/>
        </w:rPr>
        <w:t>水平标高为+700m，</w:t>
      </w:r>
      <w:r>
        <w:rPr>
          <w:rFonts w:ascii="Times New Roman" w:hAnsi="Times New Roman" w:cs="Times New Roman"/>
          <w:sz w:val="24"/>
        </w:rPr>
        <w:t>底车场巷道位于9号煤底板10～20m的细砂岩、砂质泥岩中。</w:t>
      </w:r>
    </w:p>
    <w:p>
      <w:pPr>
        <w:pStyle w:val="85"/>
        <w:adjustRightInd/>
        <w:snapToGrid/>
        <w:ind w:firstLine="482"/>
        <w:rPr>
          <w:rFonts w:hAnsiTheme="minorEastAsia"/>
          <w:b/>
          <w:sz w:val="24"/>
        </w:rPr>
      </w:pPr>
      <w:r>
        <w:rPr>
          <w:rFonts w:hint="eastAsia" w:hAnsiTheme="minorEastAsia"/>
          <w:b/>
          <w:sz w:val="24"/>
        </w:rPr>
        <w:t>变更后：</w:t>
      </w:r>
      <w:r>
        <w:rPr>
          <w:rFonts w:ascii="Times New Roman" w:hAnsi="Times New Roman" w:cs="Times New Roman"/>
          <w:sz w:val="24"/>
        </w:rPr>
        <w:t>水平标高变更为+750m，井底车场位于9号煤层底板约8m的泥岩及细粒砂岩中。</w:t>
      </w:r>
    </w:p>
    <w:bookmarkEnd w:id="161"/>
    <w:bookmarkEnd w:id="162"/>
    <w:p>
      <w:pPr>
        <w:spacing w:line="360" w:lineRule="auto"/>
        <w:outlineLvl w:val="3"/>
        <w:rPr>
          <w:rFonts w:eastAsiaTheme="minorEastAsia"/>
          <w:b/>
          <w:sz w:val="24"/>
        </w:rPr>
      </w:pPr>
      <w:r>
        <w:rPr>
          <w:rFonts w:eastAsiaTheme="minorEastAsia"/>
          <w:b/>
          <w:sz w:val="24"/>
        </w:rPr>
        <w:t>3.3.2.3</w:t>
      </w:r>
      <w:r>
        <w:rPr>
          <w:rFonts w:hint="eastAsia" w:hAnsiTheme="minorEastAsia" w:eastAsiaTheme="minorEastAsia"/>
          <w:b/>
          <w:sz w:val="24"/>
        </w:rPr>
        <w:t>主要巷道布置</w:t>
      </w:r>
    </w:p>
    <w:p>
      <w:pPr>
        <w:pStyle w:val="85"/>
        <w:adjustRightInd/>
        <w:snapToGrid/>
        <w:ind w:firstLine="482"/>
        <w:rPr>
          <w:rFonts w:ascii="Times New Roman" w:cs="Times New Roman" w:hAnsiTheme="minorEastAsia"/>
          <w:sz w:val="24"/>
        </w:rPr>
      </w:pPr>
      <w:r>
        <w:rPr>
          <w:rFonts w:hint="eastAsia" w:ascii="Times New Roman" w:cs="Times New Roman" w:hAnsiTheme="minorEastAsia"/>
          <w:b/>
          <w:color w:val="auto"/>
          <w:sz w:val="24"/>
          <w:szCs w:val="24"/>
        </w:rPr>
        <w:t>原环评：</w:t>
      </w:r>
      <w:r>
        <w:rPr>
          <w:rFonts w:ascii="Times New Roman" w:cs="Times New Roman" w:hAnsiTheme="minorEastAsia"/>
          <w:sz w:val="24"/>
        </w:rPr>
        <w:t>本井田可采煤层可分为上（</w:t>
      </w:r>
      <w:r>
        <w:rPr>
          <w:rFonts w:ascii="Times New Roman" w:hAnsi="Times New Roman" w:cs="Times New Roman"/>
          <w:sz w:val="24"/>
        </w:rPr>
        <w:t>4</w:t>
      </w:r>
      <w:r>
        <w:rPr>
          <w:rFonts w:ascii="Times New Roman" w:cs="Times New Roman" w:hAnsiTheme="minorEastAsia"/>
          <w:sz w:val="24"/>
        </w:rPr>
        <w:t>、</w:t>
      </w:r>
      <w:r>
        <w:rPr>
          <w:rFonts w:ascii="Times New Roman" w:hAnsi="Times New Roman" w:cs="Times New Roman"/>
          <w:sz w:val="24"/>
        </w:rPr>
        <w:t>5</w:t>
      </w:r>
      <w:r>
        <w:rPr>
          <w:rFonts w:ascii="Times New Roman" w:cs="Times New Roman" w:hAnsiTheme="minorEastAsia"/>
          <w:sz w:val="24"/>
        </w:rPr>
        <w:t>煤）、下（</w:t>
      </w:r>
      <w:r>
        <w:rPr>
          <w:rFonts w:ascii="Times New Roman" w:hAnsi="Times New Roman" w:cs="Times New Roman"/>
          <w:sz w:val="24"/>
        </w:rPr>
        <w:t>8</w:t>
      </w:r>
      <w:r>
        <w:rPr>
          <w:rFonts w:ascii="Times New Roman" w:cs="Times New Roman" w:hAnsiTheme="minorEastAsia"/>
          <w:sz w:val="24"/>
        </w:rPr>
        <w:t>、</w:t>
      </w:r>
      <w:r>
        <w:rPr>
          <w:rFonts w:ascii="Times New Roman" w:hAnsi="Times New Roman" w:cs="Times New Roman"/>
          <w:sz w:val="24"/>
        </w:rPr>
        <w:t>9</w:t>
      </w:r>
      <w:r>
        <w:rPr>
          <w:rFonts w:ascii="Times New Roman" w:cs="Times New Roman" w:hAnsiTheme="minorEastAsia"/>
          <w:sz w:val="24"/>
        </w:rPr>
        <w:t>煤）</w:t>
      </w:r>
      <w:r>
        <w:rPr>
          <w:rFonts w:ascii="Times New Roman" w:hAnsi="Times New Roman" w:cs="Times New Roman"/>
          <w:sz w:val="24"/>
        </w:rPr>
        <w:t>2</w:t>
      </w:r>
      <w:r>
        <w:rPr>
          <w:rFonts w:ascii="Times New Roman" w:cs="Times New Roman" w:hAnsiTheme="minorEastAsia"/>
          <w:sz w:val="24"/>
        </w:rPr>
        <w:t>个煤组，两煤组之间间距平均为</w:t>
      </w:r>
      <w:r>
        <w:rPr>
          <w:rFonts w:ascii="Times New Roman" w:hAnsi="Times New Roman" w:cs="Times New Roman"/>
          <w:sz w:val="24"/>
        </w:rPr>
        <w:t>43.72m</w:t>
      </w:r>
      <w:r>
        <w:rPr>
          <w:rFonts w:ascii="Times New Roman" w:cs="Times New Roman" w:hAnsiTheme="minorEastAsia"/>
          <w:sz w:val="24"/>
        </w:rPr>
        <w:t>，且各煤组内煤层间距较小，为</w:t>
      </w:r>
      <w:r>
        <w:rPr>
          <w:rFonts w:ascii="Times New Roman" w:hAnsi="Times New Roman" w:cs="Times New Roman"/>
          <w:sz w:val="24"/>
        </w:rPr>
        <w:t>1.66m</w:t>
      </w:r>
      <w:r>
        <w:rPr>
          <w:rFonts w:ascii="Times New Roman" w:cs="Times New Roman" w:hAnsiTheme="minorEastAsia"/>
          <w:sz w:val="24"/>
        </w:rPr>
        <w:t>～</w:t>
      </w:r>
      <w:r>
        <w:rPr>
          <w:rFonts w:ascii="Times New Roman" w:hAnsi="Times New Roman" w:cs="Times New Roman"/>
          <w:sz w:val="24"/>
        </w:rPr>
        <w:t>12.35m</w:t>
      </w:r>
      <w:r>
        <w:rPr>
          <w:rFonts w:ascii="Times New Roman" w:cs="Times New Roman" w:hAnsiTheme="minorEastAsia"/>
          <w:sz w:val="24"/>
        </w:rPr>
        <w:t>。为减少采区内区段斜巷岩巷工程量，简化工作面与上山的联系方式，本矿井主要巷道采用集中石门布置方式。</w:t>
      </w:r>
    </w:p>
    <w:p>
      <w:pPr>
        <w:pStyle w:val="85"/>
        <w:adjustRightInd/>
        <w:snapToGrid/>
        <w:ind w:firstLine="480"/>
        <w:rPr>
          <w:rFonts w:hAnsiTheme="minorEastAsia"/>
          <w:sz w:val="24"/>
        </w:rPr>
      </w:pPr>
      <w:r>
        <w:rPr>
          <w:rFonts w:ascii="Times New Roman" w:cs="Times New Roman" w:hAnsiTheme="minorEastAsia"/>
          <w:sz w:val="24"/>
        </w:rPr>
        <w:t>主、副斜井落底</w:t>
      </w:r>
      <w:r>
        <w:rPr>
          <w:rFonts w:ascii="Times New Roman" w:hAnsi="Times New Roman" w:cs="Times New Roman"/>
          <w:sz w:val="24"/>
        </w:rPr>
        <w:t>9</w:t>
      </w:r>
      <w:r>
        <w:rPr>
          <w:rFonts w:ascii="Times New Roman" w:cs="Times New Roman" w:hAnsiTheme="minorEastAsia"/>
          <w:sz w:val="24"/>
        </w:rPr>
        <w:t>煤底板后，通过一组石门，依次揭穿</w:t>
      </w:r>
      <w:r>
        <w:rPr>
          <w:rFonts w:ascii="Times New Roman" w:hAnsi="Times New Roman" w:cs="Times New Roman"/>
          <w:sz w:val="24"/>
        </w:rPr>
        <w:t>8</w:t>
      </w:r>
      <w:r>
        <w:rPr>
          <w:rFonts w:ascii="Times New Roman" w:cs="Times New Roman" w:hAnsiTheme="minorEastAsia"/>
          <w:sz w:val="24"/>
        </w:rPr>
        <w:t>、</w:t>
      </w:r>
      <w:r>
        <w:rPr>
          <w:rFonts w:ascii="Times New Roman" w:hAnsi="Times New Roman" w:cs="Times New Roman"/>
          <w:sz w:val="24"/>
        </w:rPr>
        <w:t>9</w:t>
      </w:r>
      <w:r>
        <w:rPr>
          <w:rFonts w:ascii="Times New Roman" w:cs="Times New Roman" w:hAnsiTheme="minorEastAsia"/>
          <w:sz w:val="24"/>
        </w:rPr>
        <w:t>煤组和</w:t>
      </w:r>
      <w:r>
        <w:rPr>
          <w:rFonts w:ascii="Times New Roman" w:hAnsi="Times New Roman" w:cs="Times New Roman"/>
          <w:sz w:val="24"/>
        </w:rPr>
        <w:t>4</w:t>
      </w:r>
      <w:r>
        <w:rPr>
          <w:rFonts w:ascii="Times New Roman" w:cs="Times New Roman" w:hAnsiTheme="minorEastAsia"/>
          <w:sz w:val="24"/>
        </w:rPr>
        <w:t>、</w:t>
      </w:r>
      <w:r>
        <w:rPr>
          <w:rFonts w:ascii="Times New Roman" w:hAnsi="Times New Roman" w:cs="Times New Roman"/>
          <w:sz w:val="24"/>
        </w:rPr>
        <w:t>5</w:t>
      </w:r>
      <w:r>
        <w:rPr>
          <w:rFonts w:ascii="Times New Roman" w:cs="Times New Roman" w:hAnsiTheme="minorEastAsia"/>
          <w:sz w:val="24"/>
        </w:rPr>
        <w:t>煤组，石门与各煤组分组上下山直接相联。</w:t>
      </w:r>
      <w:r>
        <w:rPr>
          <w:rFonts w:ascii="Times New Roman" w:hAnsi="Times New Roman" w:cs="Times New Roman"/>
          <w:sz w:val="24"/>
        </w:rPr>
        <w:t>4</w:t>
      </w:r>
      <w:r>
        <w:rPr>
          <w:rFonts w:ascii="Times New Roman" w:cs="Times New Roman" w:hAnsiTheme="minorEastAsia"/>
          <w:sz w:val="24"/>
        </w:rPr>
        <w:t>、</w:t>
      </w:r>
      <w:r>
        <w:rPr>
          <w:rFonts w:ascii="Times New Roman" w:hAnsi="Times New Roman" w:cs="Times New Roman"/>
          <w:sz w:val="24"/>
        </w:rPr>
        <w:t>5</w:t>
      </w:r>
      <w:r>
        <w:rPr>
          <w:rFonts w:ascii="Times New Roman" w:cs="Times New Roman" w:hAnsiTheme="minorEastAsia"/>
          <w:sz w:val="24"/>
        </w:rPr>
        <w:t>煤组三条下山沿</w:t>
      </w:r>
      <w:r>
        <w:rPr>
          <w:rFonts w:ascii="Times New Roman" w:hAnsi="Times New Roman" w:cs="Times New Roman"/>
          <w:sz w:val="24"/>
        </w:rPr>
        <w:t>5</w:t>
      </w:r>
      <w:r>
        <w:rPr>
          <w:rFonts w:ascii="Times New Roman" w:cs="Times New Roman" w:hAnsiTheme="minorEastAsia"/>
          <w:sz w:val="24"/>
        </w:rPr>
        <w:t>煤顶布置，</w:t>
      </w:r>
      <w:r>
        <w:rPr>
          <w:rFonts w:ascii="Times New Roman" w:hAnsi="Times New Roman" w:cs="Times New Roman"/>
          <w:sz w:val="24"/>
        </w:rPr>
        <w:t>8</w:t>
      </w:r>
      <w:r>
        <w:rPr>
          <w:rFonts w:ascii="Times New Roman" w:cs="Times New Roman" w:hAnsiTheme="minorEastAsia"/>
          <w:sz w:val="24"/>
        </w:rPr>
        <w:t>、</w:t>
      </w:r>
      <w:r>
        <w:rPr>
          <w:rFonts w:ascii="Times New Roman" w:hAnsi="Times New Roman" w:cs="Times New Roman"/>
          <w:sz w:val="24"/>
        </w:rPr>
        <w:t>9</w:t>
      </w:r>
      <w:r>
        <w:rPr>
          <w:rFonts w:ascii="Times New Roman" w:cs="Times New Roman" w:hAnsiTheme="minorEastAsia"/>
          <w:sz w:val="24"/>
        </w:rPr>
        <w:t>煤组三条下山沿</w:t>
      </w:r>
      <w:r>
        <w:rPr>
          <w:rFonts w:ascii="Times New Roman" w:hAnsi="Times New Roman" w:cs="Times New Roman"/>
          <w:sz w:val="24"/>
        </w:rPr>
        <w:t>9</w:t>
      </w:r>
      <w:r>
        <w:rPr>
          <w:rFonts w:ascii="Times New Roman" w:cs="Times New Roman" w:hAnsiTheme="minorEastAsia"/>
          <w:sz w:val="24"/>
        </w:rPr>
        <w:t>煤顶布置。</w:t>
      </w:r>
    </w:p>
    <w:p>
      <w:pPr>
        <w:pStyle w:val="85"/>
        <w:adjustRightInd/>
        <w:snapToGrid/>
        <w:ind w:firstLine="482"/>
        <w:rPr>
          <w:rFonts w:ascii="Times New Roman" w:hAnsi="Times New Roman" w:cs="Times New Roman"/>
          <w:sz w:val="24"/>
        </w:rPr>
      </w:pPr>
      <w:r>
        <w:rPr>
          <w:rFonts w:hint="eastAsia" w:hAnsiTheme="minorEastAsia"/>
          <w:b/>
          <w:sz w:val="24"/>
        </w:rPr>
        <w:t>变更后：</w:t>
      </w:r>
      <w:r>
        <w:rPr>
          <w:rFonts w:ascii="Times New Roman" w:cs="Times New Roman" w:hAnsiTheme="minorEastAsia"/>
          <w:sz w:val="24"/>
        </w:rPr>
        <w:t>主要巷道布置做了相应优化调整。</w:t>
      </w:r>
    </w:p>
    <w:p>
      <w:pPr>
        <w:pStyle w:val="85"/>
        <w:adjustRightInd/>
        <w:snapToGrid/>
        <w:ind w:firstLine="480"/>
        <w:rPr>
          <w:rFonts w:ascii="Times New Roman" w:hAnsi="Times New Roman" w:cs="Times New Roman"/>
          <w:sz w:val="24"/>
        </w:rPr>
      </w:pPr>
      <w:r>
        <w:rPr>
          <w:rFonts w:ascii="Times New Roman" w:cs="Times New Roman" w:hAnsiTheme="minorEastAsia"/>
          <w:sz w:val="24"/>
        </w:rPr>
        <w:t>本井田可采煤层可分为上（</w:t>
      </w:r>
      <w:r>
        <w:rPr>
          <w:rFonts w:ascii="Times New Roman" w:hAnsi="Times New Roman" w:cs="Times New Roman"/>
          <w:sz w:val="24"/>
        </w:rPr>
        <w:t>4</w:t>
      </w:r>
      <w:r>
        <w:rPr>
          <w:rFonts w:ascii="Times New Roman" w:cs="Times New Roman" w:hAnsiTheme="minorEastAsia"/>
          <w:sz w:val="24"/>
        </w:rPr>
        <w:t>、</w:t>
      </w:r>
      <w:r>
        <w:rPr>
          <w:rFonts w:ascii="Times New Roman" w:hAnsi="Times New Roman" w:cs="Times New Roman"/>
          <w:sz w:val="24"/>
        </w:rPr>
        <w:t>5</w:t>
      </w:r>
      <w:r>
        <w:rPr>
          <w:rFonts w:ascii="Times New Roman" w:cs="Times New Roman" w:hAnsiTheme="minorEastAsia"/>
          <w:sz w:val="24"/>
        </w:rPr>
        <w:t>号煤）、下（</w:t>
      </w:r>
      <w:r>
        <w:rPr>
          <w:rFonts w:ascii="Times New Roman" w:hAnsi="Times New Roman" w:cs="Times New Roman"/>
          <w:sz w:val="24"/>
        </w:rPr>
        <w:t>8</w:t>
      </w:r>
      <w:r>
        <w:rPr>
          <w:rFonts w:ascii="Times New Roman" w:cs="Times New Roman" w:hAnsiTheme="minorEastAsia"/>
          <w:sz w:val="24"/>
        </w:rPr>
        <w:t>、</w:t>
      </w:r>
      <w:r>
        <w:rPr>
          <w:rFonts w:ascii="Times New Roman" w:hAnsi="Times New Roman" w:cs="Times New Roman"/>
          <w:sz w:val="24"/>
        </w:rPr>
        <w:t>9</w:t>
      </w:r>
      <w:r>
        <w:rPr>
          <w:rFonts w:ascii="Times New Roman" w:cs="Times New Roman" w:hAnsiTheme="minorEastAsia"/>
          <w:sz w:val="24"/>
        </w:rPr>
        <w:t>号煤）</w:t>
      </w:r>
      <w:r>
        <w:rPr>
          <w:rFonts w:ascii="Times New Roman" w:hAnsi="Times New Roman" w:cs="Times New Roman"/>
          <w:sz w:val="24"/>
        </w:rPr>
        <w:t>2</w:t>
      </w:r>
      <w:r>
        <w:rPr>
          <w:rFonts w:ascii="Times New Roman" w:cs="Times New Roman" w:hAnsiTheme="minorEastAsia"/>
          <w:sz w:val="24"/>
        </w:rPr>
        <w:t>个煤组，</w:t>
      </w:r>
      <w:r>
        <w:rPr>
          <w:rFonts w:ascii="Times New Roman" w:hAnsi="Times New Roman" w:cs="Times New Roman"/>
          <w:sz w:val="24"/>
        </w:rPr>
        <w:t>2</w:t>
      </w:r>
      <w:r>
        <w:rPr>
          <w:rFonts w:ascii="Times New Roman" w:cs="Times New Roman" w:hAnsiTheme="minorEastAsia"/>
          <w:sz w:val="24"/>
        </w:rPr>
        <w:t>个煤组之间间距平均为</w:t>
      </w:r>
      <w:r>
        <w:rPr>
          <w:rFonts w:ascii="Times New Roman" w:hAnsi="Times New Roman" w:cs="Times New Roman"/>
          <w:sz w:val="24"/>
        </w:rPr>
        <w:t>43.72m</w:t>
      </w:r>
      <w:r>
        <w:rPr>
          <w:rFonts w:ascii="Times New Roman" w:cs="Times New Roman" w:hAnsiTheme="minorEastAsia"/>
          <w:sz w:val="24"/>
        </w:rPr>
        <w:t>，且各煤组内煤层间距较小，为</w:t>
      </w:r>
      <w:r>
        <w:rPr>
          <w:rFonts w:ascii="Times New Roman" w:hAnsi="Times New Roman" w:cs="Times New Roman"/>
          <w:sz w:val="24"/>
        </w:rPr>
        <w:t>1.66m</w:t>
      </w:r>
      <w:r>
        <w:rPr>
          <w:rFonts w:ascii="Times New Roman" w:cs="Times New Roman" w:hAnsiTheme="minorEastAsia"/>
          <w:sz w:val="24"/>
        </w:rPr>
        <w:t>～</w:t>
      </w:r>
      <w:r>
        <w:rPr>
          <w:rFonts w:ascii="Times New Roman" w:hAnsi="Times New Roman" w:cs="Times New Roman"/>
          <w:sz w:val="24"/>
        </w:rPr>
        <w:t>12.35m</w:t>
      </w:r>
      <w:r>
        <w:rPr>
          <w:rFonts w:ascii="Times New Roman" w:cs="Times New Roman" w:hAnsiTheme="minorEastAsia"/>
          <w:sz w:val="24"/>
        </w:rPr>
        <w:t>。为减少采区内区段斜巷岩巷工程量，简化工作面与上山的联系方式，矿井采用主要石门、分组大巷布置方式。</w:t>
      </w:r>
    </w:p>
    <w:p>
      <w:pPr>
        <w:pStyle w:val="85"/>
        <w:adjustRightInd/>
        <w:snapToGrid/>
        <w:ind w:firstLine="480"/>
        <w:rPr>
          <w:rFonts w:ascii="Times New Roman" w:hAnsi="Times New Roman" w:cs="Times New Roman"/>
          <w:sz w:val="24"/>
        </w:rPr>
      </w:pPr>
      <w:r>
        <w:rPr>
          <w:rFonts w:ascii="Times New Roman" w:cs="Times New Roman" w:hAnsiTheme="minorEastAsia"/>
          <w:sz w:val="24"/>
        </w:rPr>
        <w:t>主斜井井筒落底</w:t>
      </w:r>
      <w:r>
        <w:rPr>
          <w:rFonts w:ascii="Times New Roman" w:hAnsi="Times New Roman" w:cs="Times New Roman"/>
          <w:sz w:val="24"/>
        </w:rPr>
        <w:t>9</w:t>
      </w:r>
      <w:r>
        <w:rPr>
          <w:rFonts w:ascii="Times New Roman" w:cs="Times New Roman" w:hAnsiTheme="minorEastAsia"/>
          <w:sz w:val="24"/>
        </w:rPr>
        <w:t>煤层，初期通过胶带机石门穿到</w:t>
      </w:r>
      <w:r>
        <w:rPr>
          <w:rFonts w:ascii="Times New Roman" w:hAnsi="Times New Roman" w:cs="Times New Roman"/>
          <w:sz w:val="24"/>
        </w:rPr>
        <w:t>5</w:t>
      </w:r>
      <w:r>
        <w:rPr>
          <w:rFonts w:ascii="Times New Roman" w:cs="Times New Roman" w:hAnsiTheme="minorEastAsia"/>
          <w:sz w:val="24"/>
        </w:rPr>
        <w:t>煤层，沿</w:t>
      </w:r>
      <w:r>
        <w:rPr>
          <w:rFonts w:ascii="Times New Roman" w:hAnsi="Times New Roman" w:cs="Times New Roman"/>
          <w:sz w:val="24"/>
        </w:rPr>
        <w:t>5</w:t>
      </w:r>
      <w:r>
        <w:rPr>
          <w:rFonts w:ascii="Times New Roman" w:cs="Times New Roman" w:hAnsiTheme="minorEastAsia"/>
          <w:sz w:val="24"/>
        </w:rPr>
        <w:t>煤层布置采区胶带机下山；后期直接沿</w:t>
      </w:r>
      <w:r>
        <w:rPr>
          <w:rFonts w:ascii="Times New Roman" w:hAnsi="Times New Roman" w:cs="Times New Roman"/>
          <w:sz w:val="24"/>
        </w:rPr>
        <w:t>9</w:t>
      </w:r>
      <w:r>
        <w:rPr>
          <w:rFonts w:ascii="Times New Roman" w:cs="Times New Roman" w:hAnsiTheme="minorEastAsia"/>
          <w:sz w:val="24"/>
        </w:rPr>
        <w:t>煤层布置采区胶带机上、下山与胶带机石门搭接。</w:t>
      </w:r>
    </w:p>
    <w:p>
      <w:pPr>
        <w:pStyle w:val="85"/>
        <w:adjustRightInd/>
        <w:snapToGrid/>
        <w:ind w:firstLine="480"/>
        <w:rPr>
          <w:rFonts w:ascii="Times New Roman" w:hAnsi="Times New Roman" w:cs="Times New Roman"/>
          <w:sz w:val="24"/>
        </w:rPr>
      </w:pPr>
      <w:r>
        <w:rPr>
          <w:rFonts w:ascii="Times New Roman" w:cs="Times New Roman" w:hAnsiTheme="minorEastAsia"/>
          <w:sz w:val="24"/>
        </w:rPr>
        <w:t>副斜井落底</w:t>
      </w:r>
      <w:r>
        <w:rPr>
          <w:rFonts w:ascii="Times New Roman" w:hAnsi="Times New Roman" w:cs="Times New Roman"/>
          <w:sz w:val="24"/>
        </w:rPr>
        <w:t>9</w:t>
      </w:r>
      <w:r>
        <w:rPr>
          <w:rFonts w:ascii="Times New Roman" w:cs="Times New Roman" w:hAnsiTheme="minorEastAsia"/>
          <w:sz w:val="24"/>
        </w:rPr>
        <w:t>煤层底板，初期通过轨道石门（斜巷）揭</w:t>
      </w:r>
      <w:r>
        <w:rPr>
          <w:rFonts w:ascii="Times New Roman" w:hAnsi="Times New Roman" w:cs="Times New Roman"/>
          <w:sz w:val="24"/>
        </w:rPr>
        <w:t>5</w:t>
      </w:r>
      <w:r>
        <w:rPr>
          <w:rFonts w:ascii="Times New Roman" w:cs="Times New Roman" w:hAnsiTheme="minorEastAsia"/>
          <w:sz w:val="24"/>
        </w:rPr>
        <w:t>煤层后沿</w:t>
      </w:r>
      <w:r>
        <w:rPr>
          <w:rFonts w:ascii="Times New Roman" w:hAnsi="Times New Roman" w:cs="Times New Roman"/>
          <w:sz w:val="24"/>
        </w:rPr>
        <w:t>5</w:t>
      </w:r>
      <w:r>
        <w:rPr>
          <w:rFonts w:ascii="Times New Roman" w:cs="Times New Roman" w:hAnsiTheme="minorEastAsia"/>
          <w:sz w:val="24"/>
        </w:rPr>
        <w:t>煤层布置采区轨道下山；后期利用轨道石门沿</w:t>
      </w:r>
      <w:r>
        <w:rPr>
          <w:rFonts w:ascii="Times New Roman" w:hAnsi="Times New Roman" w:cs="Times New Roman"/>
          <w:sz w:val="24"/>
        </w:rPr>
        <w:t>8</w:t>
      </w:r>
      <w:r>
        <w:rPr>
          <w:rFonts w:ascii="Times New Roman" w:cs="Times New Roman" w:hAnsiTheme="minorEastAsia"/>
          <w:sz w:val="24"/>
        </w:rPr>
        <w:t>、</w:t>
      </w:r>
      <w:r>
        <w:rPr>
          <w:rFonts w:ascii="Times New Roman" w:hAnsi="Times New Roman" w:cs="Times New Roman"/>
          <w:sz w:val="24"/>
        </w:rPr>
        <w:t>9</w:t>
      </w:r>
      <w:r>
        <w:rPr>
          <w:rFonts w:ascii="Times New Roman" w:cs="Times New Roman" w:hAnsiTheme="minorEastAsia"/>
          <w:sz w:val="24"/>
        </w:rPr>
        <w:t>号煤层布置采区上、下山。</w:t>
      </w:r>
    </w:p>
    <w:p>
      <w:pPr>
        <w:pStyle w:val="85"/>
        <w:adjustRightInd/>
        <w:snapToGrid/>
        <w:ind w:firstLine="480"/>
        <w:rPr>
          <w:rFonts w:ascii="Times New Roman" w:hAnsi="Times New Roman" w:cs="Times New Roman"/>
          <w:sz w:val="24"/>
        </w:rPr>
      </w:pPr>
      <w:r>
        <w:rPr>
          <w:rFonts w:ascii="Times New Roman" w:cs="Times New Roman" w:hAnsiTheme="minorEastAsia"/>
          <w:sz w:val="24"/>
        </w:rPr>
        <w:t>回风立井与分组下山之间采用分组回风大巷连接。</w:t>
      </w:r>
    </w:p>
    <w:p>
      <w:pPr>
        <w:spacing w:line="360" w:lineRule="auto"/>
        <w:outlineLvl w:val="3"/>
        <w:rPr>
          <w:rFonts w:eastAsiaTheme="minorEastAsia"/>
          <w:b/>
          <w:sz w:val="24"/>
        </w:rPr>
      </w:pPr>
      <w:r>
        <w:rPr>
          <w:rFonts w:eastAsiaTheme="minorEastAsia"/>
          <w:b/>
          <w:sz w:val="24"/>
        </w:rPr>
        <w:t>3.3.2.4</w:t>
      </w:r>
      <w:r>
        <w:rPr>
          <w:rFonts w:hAnsiTheme="minorEastAsia" w:eastAsiaTheme="minorEastAsia"/>
          <w:b/>
          <w:sz w:val="24"/>
        </w:rPr>
        <w:t>煤层开采顺序</w:t>
      </w:r>
    </w:p>
    <w:p>
      <w:pPr>
        <w:pStyle w:val="85"/>
        <w:adjustRightInd/>
        <w:snapToGrid/>
        <w:ind w:firstLine="482"/>
        <w:rPr>
          <w:rFonts w:ascii="Times New Roman" w:cs="Times New Roman" w:hAnsiTheme="minorEastAsia"/>
          <w:b/>
          <w:color w:val="auto"/>
          <w:sz w:val="24"/>
          <w:szCs w:val="24"/>
        </w:rPr>
      </w:pPr>
      <w:r>
        <w:rPr>
          <w:rFonts w:hint="eastAsia" w:ascii="Times New Roman" w:cs="Times New Roman" w:hAnsiTheme="minorEastAsia"/>
          <w:b/>
          <w:color w:val="auto"/>
          <w:sz w:val="24"/>
          <w:szCs w:val="24"/>
        </w:rPr>
        <w:t>原环评：</w:t>
      </w:r>
      <w:r>
        <w:rPr>
          <w:rFonts w:ascii="Times New Roman" w:cs="Times New Roman" w:hAnsiTheme="minorEastAsia"/>
          <w:sz w:val="24"/>
        </w:rPr>
        <w:t>由于上煤组中</w:t>
      </w:r>
      <w:r>
        <w:rPr>
          <w:rFonts w:ascii="Times New Roman" w:hAnsi="Times New Roman" w:cs="Times New Roman"/>
          <w:sz w:val="24"/>
        </w:rPr>
        <w:t>4</w:t>
      </w:r>
      <w:r>
        <w:rPr>
          <w:rFonts w:ascii="Times New Roman" w:cs="Times New Roman" w:hAnsiTheme="minorEastAsia"/>
          <w:sz w:val="24"/>
        </w:rPr>
        <w:t>煤基本采完，故设计推荐先采上煤组中</w:t>
      </w:r>
      <w:r>
        <w:rPr>
          <w:rFonts w:ascii="Times New Roman" w:hAnsi="Times New Roman" w:cs="Times New Roman"/>
          <w:sz w:val="24"/>
        </w:rPr>
        <w:t>5</w:t>
      </w:r>
      <w:r>
        <w:rPr>
          <w:rFonts w:ascii="Times New Roman" w:cs="Times New Roman" w:hAnsiTheme="minorEastAsia"/>
          <w:sz w:val="24"/>
        </w:rPr>
        <w:t>煤，同时搭配回收局部块段的</w:t>
      </w:r>
      <w:r>
        <w:rPr>
          <w:rFonts w:ascii="Times New Roman" w:hAnsi="Times New Roman" w:cs="Times New Roman"/>
          <w:sz w:val="24"/>
        </w:rPr>
        <w:t>4</w:t>
      </w:r>
      <w:r>
        <w:rPr>
          <w:rFonts w:ascii="Times New Roman" w:cs="Times New Roman" w:hAnsiTheme="minorEastAsia"/>
          <w:sz w:val="24"/>
        </w:rPr>
        <w:t>煤，之后依次回采下煤组的</w:t>
      </w:r>
      <w:r>
        <w:rPr>
          <w:rFonts w:ascii="Times New Roman" w:hAnsi="Times New Roman" w:cs="Times New Roman"/>
          <w:sz w:val="24"/>
        </w:rPr>
        <w:t>8</w:t>
      </w:r>
      <w:r>
        <w:rPr>
          <w:rFonts w:ascii="Times New Roman" w:cs="Times New Roman" w:hAnsiTheme="minorEastAsia"/>
          <w:sz w:val="24"/>
        </w:rPr>
        <w:t>煤、</w:t>
      </w:r>
      <w:r>
        <w:rPr>
          <w:rFonts w:ascii="Times New Roman" w:hAnsi="Times New Roman" w:cs="Times New Roman"/>
          <w:sz w:val="24"/>
        </w:rPr>
        <w:t>9</w:t>
      </w:r>
      <w:r>
        <w:rPr>
          <w:rFonts w:ascii="Times New Roman" w:cs="Times New Roman" w:hAnsiTheme="minorEastAsia"/>
          <w:sz w:val="24"/>
        </w:rPr>
        <w:t>煤。</w:t>
      </w:r>
    </w:p>
    <w:p>
      <w:pPr>
        <w:pStyle w:val="85"/>
        <w:adjustRightInd/>
        <w:snapToGrid/>
        <w:ind w:firstLine="482"/>
        <w:rPr>
          <w:rFonts w:ascii="Times New Roman" w:hAnsi="Times New Roman" w:cs="Times New Roman"/>
          <w:sz w:val="24"/>
        </w:rPr>
      </w:pPr>
      <w:r>
        <w:rPr>
          <w:rFonts w:hint="eastAsia" w:hAnsiTheme="minorEastAsia"/>
          <w:b/>
          <w:sz w:val="24"/>
        </w:rPr>
        <w:t>变更后：</w:t>
      </w:r>
      <w:r>
        <w:rPr>
          <w:rFonts w:hint="eastAsia" w:ascii="Times New Roman" w:cs="Times New Roman" w:hAnsiTheme="minorEastAsia"/>
          <w:sz w:val="24"/>
        </w:rPr>
        <w:t>同原环评，无变化。</w:t>
      </w:r>
    </w:p>
    <w:p>
      <w:pPr>
        <w:spacing w:line="360" w:lineRule="auto"/>
        <w:outlineLvl w:val="3"/>
        <w:rPr>
          <w:rFonts w:eastAsiaTheme="minorEastAsia"/>
          <w:b/>
          <w:sz w:val="24"/>
        </w:rPr>
      </w:pPr>
      <w:r>
        <w:rPr>
          <w:rFonts w:eastAsiaTheme="minorEastAsia"/>
          <w:b/>
          <w:sz w:val="24"/>
        </w:rPr>
        <w:t>3.3.2.5</w:t>
      </w:r>
      <w:r>
        <w:rPr>
          <w:rFonts w:hint="eastAsia" w:hAnsiTheme="minorEastAsia" w:eastAsiaTheme="minorEastAsia"/>
          <w:b/>
          <w:sz w:val="24"/>
        </w:rPr>
        <w:t>采区</w:t>
      </w:r>
      <w:r>
        <w:rPr>
          <w:rFonts w:hAnsiTheme="minorEastAsia" w:eastAsiaTheme="minorEastAsia"/>
          <w:b/>
          <w:sz w:val="24"/>
        </w:rPr>
        <w:t>划分与接续</w:t>
      </w:r>
    </w:p>
    <w:p>
      <w:pPr>
        <w:pStyle w:val="111"/>
        <w:adjustRightInd/>
        <w:snapToGrid/>
        <w:spacing w:beforeLines="0" w:afterLines="0"/>
        <w:ind w:firstLine="482" w:firstLineChars="200"/>
        <w:outlineLvl w:val="9"/>
        <w:rPr>
          <w:rFonts w:ascii="Times New Roman" w:cs="Times New Roman" w:hAnsiTheme="minorEastAsia"/>
          <w:b w:val="0"/>
          <w:color w:val="auto"/>
          <w:sz w:val="24"/>
          <w:szCs w:val="24"/>
          <w:lang w:val="en-US"/>
        </w:rPr>
      </w:pPr>
      <w:r>
        <w:rPr>
          <w:rFonts w:hint="eastAsia" w:ascii="Times New Roman" w:cs="Times New Roman" w:hAnsiTheme="minorEastAsia"/>
          <w:color w:val="auto"/>
          <w:sz w:val="24"/>
          <w:szCs w:val="24"/>
          <w:lang w:val="en-US"/>
        </w:rPr>
        <w:t>原环评：</w:t>
      </w:r>
      <w:r>
        <w:rPr>
          <w:rFonts w:hint="eastAsia" w:ascii="Times New Roman" w:cs="Times New Roman" w:hAnsiTheme="minorEastAsia"/>
          <w:b w:val="0"/>
          <w:color w:val="auto"/>
          <w:sz w:val="24"/>
          <w:szCs w:val="24"/>
          <w:lang w:val="en-US"/>
        </w:rPr>
        <w:t>全井田划分为2个开采块段，4个分煤组采区，即5煤现有采空区以深为西二块段、以浅为西一块段，4个分煤组采区分别为下山部分的西二（4~5）采区、西二（8~9）采区和上山部分的西一（4~5）采区、西一（8~9）采区。</w:t>
      </w:r>
    </w:p>
    <w:p>
      <w:pPr>
        <w:pStyle w:val="111"/>
        <w:adjustRightInd/>
        <w:snapToGrid/>
        <w:spacing w:beforeLines="0" w:afterLines="0"/>
        <w:ind w:firstLine="482" w:firstLineChars="200"/>
        <w:outlineLvl w:val="9"/>
        <w:rPr>
          <w:rFonts w:hAnsiTheme="minorEastAsia"/>
          <w:sz w:val="24"/>
          <w:lang w:val="en-US"/>
        </w:rPr>
      </w:pPr>
      <w:r>
        <w:rPr>
          <w:rFonts w:hint="eastAsia" w:ascii="Times New Roman" w:cs="Times New Roman" w:hAnsiTheme="minorEastAsia"/>
          <w:color w:val="auto"/>
          <w:sz w:val="24"/>
          <w:szCs w:val="24"/>
          <w:lang w:val="en-US"/>
        </w:rPr>
        <w:t>变更后：</w:t>
      </w:r>
      <w:r>
        <w:rPr>
          <w:rFonts w:ascii="Times New Roman" w:hAnsi="Times New Roman" w:cs="Times New Roman"/>
          <w:b w:val="0"/>
          <w:sz w:val="24"/>
          <w:lang w:val="en-US"/>
        </w:rPr>
        <w:t>矿井首采西一（4~5）采区，然后依次开采西二（4～5）采区、西一（8～9）采区、西二（8～9）采区。</w:t>
      </w:r>
    </w:p>
    <w:p>
      <w:pPr>
        <w:spacing w:line="360" w:lineRule="auto"/>
        <w:outlineLvl w:val="3"/>
        <w:rPr>
          <w:rFonts w:eastAsiaTheme="minorEastAsia"/>
          <w:b/>
          <w:sz w:val="24"/>
        </w:rPr>
      </w:pPr>
      <w:r>
        <w:rPr>
          <w:rFonts w:eastAsiaTheme="minorEastAsia"/>
          <w:b/>
          <w:sz w:val="24"/>
        </w:rPr>
        <w:t>3.3.2.6</w:t>
      </w:r>
      <w:r>
        <w:rPr>
          <w:rFonts w:hAnsiTheme="minorEastAsia" w:eastAsiaTheme="minorEastAsia"/>
          <w:b/>
          <w:sz w:val="24"/>
        </w:rPr>
        <w:t>采煤方法及工艺</w:t>
      </w:r>
    </w:p>
    <w:p>
      <w:pPr>
        <w:pStyle w:val="85"/>
        <w:adjustRightInd/>
        <w:snapToGrid/>
        <w:ind w:firstLine="482"/>
        <w:rPr>
          <w:rFonts w:ascii="Times New Roman" w:cs="Times New Roman" w:hAnsiTheme="minorEastAsia"/>
          <w:b/>
          <w:color w:val="auto"/>
          <w:sz w:val="24"/>
          <w:szCs w:val="24"/>
        </w:rPr>
      </w:pPr>
      <w:r>
        <w:rPr>
          <w:rFonts w:ascii="Times New Roman" w:cs="Times New Roman" w:hAnsiTheme="minorEastAsia"/>
          <w:b/>
          <w:color w:val="auto"/>
          <w:sz w:val="24"/>
          <w:szCs w:val="24"/>
        </w:rPr>
        <w:t>原环评：</w:t>
      </w:r>
    </w:p>
    <w:p>
      <w:pPr>
        <w:pStyle w:val="85"/>
        <w:adjustRightInd/>
        <w:snapToGrid/>
        <w:ind w:firstLine="480"/>
        <w:rPr>
          <w:rFonts w:ascii="Times New Roman" w:cs="Times New Roman" w:hAnsiTheme="minorEastAsia"/>
          <w:color w:val="auto"/>
          <w:sz w:val="24"/>
          <w:szCs w:val="24"/>
        </w:rPr>
      </w:pPr>
      <w:r>
        <w:rPr>
          <w:rFonts w:hint="eastAsia" w:ascii="Times New Roman" w:cs="Times New Roman" w:hAnsiTheme="minorEastAsia"/>
          <w:color w:val="auto"/>
          <w:sz w:val="24"/>
          <w:szCs w:val="24"/>
        </w:rPr>
        <w:t>①采煤方法</w:t>
      </w:r>
    </w:p>
    <w:p>
      <w:pPr>
        <w:pStyle w:val="85"/>
        <w:adjustRightInd/>
        <w:snapToGrid/>
        <w:ind w:firstLine="480"/>
        <w:rPr>
          <w:rFonts w:ascii="Times New Roman" w:hAnsi="Times New Roman" w:cs="Times New Roman"/>
          <w:sz w:val="24"/>
        </w:rPr>
      </w:pPr>
      <w:r>
        <w:rPr>
          <w:rFonts w:ascii="Times New Roman" w:cs="Times New Roman" w:hAnsiTheme="minorEastAsia"/>
          <w:sz w:val="24"/>
        </w:rPr>
        <w:t>本井田煤层倾角多小于</w:t>
      </w:r>
      <w:r>
        <w:rPr>
          <w:rFonts w:ascii="Times New Roman" w:hAnsi="Times New Roman" w:cs="Times New Roman"/>
          <w:sz w:val="24"/>
        </w:rPr>
        <w:t>10°</w:t>
      </w:r>
      <w:r>
        <w:rPr>
          <w:rFonts w:ascii="Times New Roman" w:cs="Times New Roman" w:hAnsiTheme="minorEastAsia"/>
          <w:sz w:val="24"/>
        </w:rPr>
        <w:t>，属缓倾斜煤层。全井田暂划分为</w:t>
      </w:r>
      <w:r>
        <w:rPr>
          <w:rFonts w:ascii="Times New Roman" w:hAnsi="Times New Roman" w:cs="Times New Roman"/>
          <w:sz w:val="24"/>
        </w:rPr>
        <w:t>2</w:t>
      </w:r>
      <w:r>
        <w:rPr>
          <w:rFonts w:ascii="Times New Roman" w:cs="Times New Roman" w:hAnsiTheme="minorEastAsia"/>
          <w:sz w:val="24"/>
        </w:rPr>
        <w:t>个开采块段。其中，</w:t>
      </w:r>
      <w:r>
        <w:rPr>
          <w:rFonts w:ascii="Times New Roman" w:hAnsi="Times New Roman" w:cs="Times New Roman"/>
          <w:sz w:val="24"/>
        </w:rPr>
        <w:t>5</w:t>
      </w:r>
      <w:r>
        <w:rPr>
          <w:rFonts w:ascii="Times New Roman" w:cs="Times New Roman" w:hAnsiTheme="minorEastAsia"/>
          <w:sz w:val="24"/>
        </w:rPr>
        <w:t>煤采空区边界以东为西一采区，走向长</w:t>
      </w:r>
      <w:r>
        <w:rPr>
          <w:rFonts w:ascii="Times New Roman" w:hAnsi="Times New Roman" w:cs="Times New Roman"/>
          <w:sz w:val="24"/>
        </w:rPr>
        <w:t>2160m</w:t>
      </w:r>
      <w:r>
        <w:rPr>
          <w:rFonts w:ascii="Times New Roman" w:cs="Times New Roman" w:hAnsiTheme="minorEastAsia"/>
          <w:sz w:val="24"/>
        </w:rPr>
        <w:t>，倾斜宽</w:t>
      </w:r>
      <w:r>
        <w:rPr>
          <w:rFonts w:ascii="Times New Roman" w:hAnsi="Times New Roman" w:cs="Times New Roman"/>
          <w:sz w:val="24"/>
        </w:rPr>
        <w:t>436m</w:t>
      </w:r>
      <w:r>
        <w:rPr>
          <w:rFonts w:ascii="Times New Roman" w:cs="Times New Roman" w:hAnsiTheme="minorEastAsia"/>
          <w:sz w:val="24"/>
        </w:rPr>
        <w:t>；</w:t>
      </w:r>
      <w:r>
        <w:rPr>
          <w:rFonts w:ascii="Times New Roman" w:hAnsi="Times New Roman" w:cs="Times New Roman"/>
          <w:sz w:val="24"/>
        </w:rPr>
        <w:t>5</w:t>
      </w:r>
      <w:r>
        <w:rPr>
          <w:rFonts w:ascii="Times New Roman" w:cs="Times New Roman" w:hAnsiTheme="minorEastAsia"/>
          <w:sz w:val="24"/>
        </w:rPr>
        <w:t>煤采空区边界以西为西二采区，走向长</w:t>
      </w:r>
      <w:r>
        <w:rPr>
          <w:rFonts w:ascii="Times New Roman" w:hAnsi="Times New Roman" w:cs="Times New Roman"/>
          <w:sz w:val="24"/>
        </w:rPr>
        <w:t>1250</w:t>
      </w:r>
      <w:r>
        <w:rPr>
          <w:rFonts w:ascii="Times New Roman" w:cs="Times New Roman" w:hAnsiTheme="minorEastAsia"/>
          <w:sz w:val="24"/>
        </w:rPr>
        <w:t>～</w:t>
      </w:r>
      <w:r>
        <w:rPr>
          <w:rFonts w:ascii="Times New Roman" w:hAnsi="Times New Roman" w:cs="Times New Roman"/>
          <w:sz w:val="24"/>
        </w:rPr>
        <w:t>1600m</w:t>
      </w:r>
      <w:r>
        <w:rPr>
          <w:rFonts w:ascii="Times New Roman" w:cs="Times New Roman" w:hAnsiTheme="minorEastAsia"/>
          <w:sz w:val="24"/>
        </w:rPr>
        <w:t>，倾向宽</w:t>
      </w:r>
      <w:r>
        <w:rPr>
          <w:rFonts w:ascii="Times New Roman" w:hAnsi="Times New Roman" w:cs="Times New Roman"/>
          <w:sz w:val="24"/>
        </w:rPr>
        <w:t>1500m</w:t>
      </w:r>
      <w:r>
        <w:rPr>
          <w:rFonts w:ascii="Times New Roman" w:cs="Times New Roman" w:hAnsiTheme="minorEastAsia"/>
          <w:sz w:val="24"/>
        </w:rPr>
        <w:t>。结合矿井的开拓布置和</w:t>
      </w:r>
      <w:r>
        <w:rPr>
          <w:rFonts w:ascii="Times New Roman" w:hAnsi="Times New Roman" w:cs="Times New Roman"/>
          <w:sz w:val="24"/>
        </w:rPr>
        <w:t>4</w:t>
      </w:r>
      <w:r>
        <w:rPr>
          <w:rFonts w:ascii="Times New Roman" w:cs="Times New Roman" w:hAnsiTheme="minorEastAsia"/>
          <w:sz w:val="24"/>
        </w:rPr>
        <w:t>层主采煤层的赋存特点以及现有条件下工作面有效推进长度，特别是各煤层采空区范围及采空区疏水等影响，矿井宜采用走向长壁采煤法。</w:t>
      </w:r>
    </w:p>
    <w:p>
      <w:pPr>
        <w:pStyle w:val="85"/>
        <w:adjustRightInd/>
        <w:snapToGrid/>
        <w:ind w:firstLine="480"/>
        <w:rPr>
          <w:rFonts w:ascii="Times New Roman" w:hAnsi="Times New Roman" w:cs="Times New Roman"/>
          <w:color w:val="auto"/>
          <w:sz w:val="24"/>
          <w:szCs w:val="24"/>
        </w:rPr>
      </w:pPr>
      <w:r>
        <w:rPr>
          <w:rFonts w:hAnsiTheme="minorEastAsia"/>
          <w:sz w:val="24"/>
        </w:rPr>
        <w:t>②</w:t>
      </w:r>
      <w:r>
        <w:rPr>
          <w:rFonts w:ascii="Times New Roman" w:hAnsi="Times New Roman" w:cs="Times New Roman"/>
          <w:color w:val="auto"/>
          <w:sz w:val="24"/>
          <w:szCs w:val="24"/>
        </w:rPr>
        <w:t>回采工艺</w:t>
      </w:r>
    </w:p>
    <w:p>
      <w:pPr>
        <w:pStyle w:val="85"/>
        <w:adjustRightInd/>
        <w:snapToGrid/>
        <w:ind w:firstLine="480"/>
        <w:rPr>
          <w:rFonts w:ascii="Times New Roman" w:hAnsi="Times New Roman" w:cs="Times New Roman"/>
          <w:sz w:val="24"/>
        </w:rPr>
      </w:pPr>
      <w:r>
        <w:rPr>
          <w:rFonts w:ascii="Times New Roman" w:hAnsi="Times New Roman" w:cs="Times New Roman"/>
          <w:sz w:val="24"/>
        </w:rPr>
        <w:t>采用综采、一次采全高回采工艺；对4、5煤层合并区，采用大采高综采回采工艺。</w:t>
      </w:r>
    </w:p>
    <w:p>
      <w:pPr>
        <w:pStyle w:val="85"/>
        <w:adjustRightInd/>
        <w:snapToGrid/>
        <w:ind w:firstLine="480"/>
        <w:rPr>
          <w:rFonts w:hAnsiTheme="minorEastAsia"/>
          <w:sz w:val="24"/>
        </w:rPr>
      </w:pPr>
      <w:r>
        <w:rPr>
          <w:rFonts w:hint="eastAsia" w:hAnsiTheme="minorEastAsia"/>
          <w:sz w:val="24"/>
        </w:rPr>
        <w:t>③工作面推进方向</w:t>
      </w:r>
    </w:p>
    <w:p>
      <w:pPr>
        <w:pStyle w:val="85"/>
        <w:adjustRightInd/>
        <w:snapToGrid/>
        <w:ind w:firstLine="480"/>
        <w:rPr>
          <w:rFonts w:hAnsiTheme="minorEastAsia"/>
          <w:sz w:val="24"/>
        </w:rPr>
      </w:pPr>
      <w:r>
        <w:rPr>
          <w:rFonts w:hint="eastAsia" w:hAnsiTheme="minorEastAsia"/>
          <w:sz w:val="24"/>
        </w:rPr>
        <w:t>矿井正常生产期间，为切实掌握采区内煤层及地质构造变化规律，充分发挥采煤机械化效能，保证矿井安全高产稳产，回采工作面采取后退式布置。即走向长壁工作面沿煤层走向向下山方向推进。</w:t>
      </w:r>
    </w:p>
    <w:p>
      <w:pPr>
        <w:pStyle w:val="85"/>
        <w:adjustRightInd/>
        <w:snapToGrid/>
        <w:ind w:firstLine="482"/>
        <w:rPr>
          <w:rFonts w:ascii="Times New Roman" w:cs="Times New Roman" w:hAnsiTheme="minorEastAsia"/>
          <w:b/>
          <w:color w:val="auto"/>
          <w:sz w:val="24"/>
          <w:szCs w:val="24"/>
        </w:rPr>
      </w:pPr>
      <w:r>
        <w:rPr>
          <w:rFonts w:hint="eastAsia" w:ascii="Times New Roman" w:cs="Times New Roman" w:hAnsiTheme="minorEastAsia"/>
          <w:b/>
          <w:color w:val="auto"/>
          <w:sz w:val="24"/>
          <w:szCs w:val="24"/>
        </w:rPr>
        <w:t>变更后：</w:t>
      </w:r>
    </w:p>
    <w:p>
      <w:pPr>
        <w:pStyle w:val="85"/>
        <w:adjustRightInd/>
        <w:snapToGrid/>
        <w:ind w:firstLine="480"/>
        <w:rPr>
          <w:rFonts w:ascii="Times New Roman" w:cs="Times New Roman" w:hAnsiTheme="minorEastAsia"/>
          <w:color w:val="auto"/>
          <w:sz w:val="24"/>
          <w:szCs w:val="24"/>
        </w:rPr>
      </w:pPr>
      <w:r>
        <w:rPr>
          <w:rFonts w:hint="eastAsia" w:ascii="Times New Roman" w:cs="Times New Roman" w:hAnsiTheme="minorEastAsia"/>
          <w:color w:val="auto"/>
          <w:sz w:val="24"/>
          <w:szCs w:val="24"/>
        </w:rPr>
        <w:t>①采煤方法</w:t>
      </w:r>
    </w:p>
    <w:p>
      <w:pPr>
        <w:pStyle w:val="85"/>
        <w:adjustRightInd/>
        <w:snapToGrid/>
        <w:ind w:firstLine="480"/>
        <w:rPr>
          <w:rFonts w:ascii="Times New Roman" w:cs="Times New Roman" w:hAnsiTheme="minorEastAsia"/>
          <w:color w:val="auto"/>
          <w:sz w:val="24"/>
          <w:szCs w:val="24"/>
        </w:rPr>
      </w:pPr>
      <w:r>
        <w:rPr>
          <w:rFonts w:hint="eastAsia" w:ascii="Times New Roman" w:cs="Times New Roman" w:hAnsiTheme="minorEastAsia"/>
          <w:color w:val="auto"/>
          <w:sz w:val="24"/>
          <w:szCs w:val="24"/>
        </w:rPr>
        <w:t>同原环评，采用走向长壁采煤法。</w:t>
      </w:r>
    </w:p>
    <w:p>
      <w:pPr>
        <w:pStyle w:val="85"/>
        <w:adjustRightInd/>
        <w:snapToGrid/>
        <w:ind w:firstLine="480"/>
        <w:rPr>
          <w:rFonts w:ascii="Times New Roman" w:cs="Times New Roman" w:hAnsiTheme="minorEastAsia"/>
          <w:color w:val="auto"/>
          <w:sz w:val="24"/>
          <w:szCs w:val="24"/>
        </w:rPr>
      </w:pPr>
      <w:r>
        <w:rPr>
          <w:rFonts w:hint="eastAsia" w:ascii="Times New Roman" w:cs="Times New Roman" w:hAnsiTheme="minorEastAsia"/>
          <w:color w:val="auto"/>
          <w:sz w:val="24"/>
          <w:szCs w:val="24"/>
        </w:rPr>
        <w:t>②回采工艺</w:t>
      </w:r>
    </w:p>
    <w:p>
      <w:pPr>
        <w:pStyle w:val="85"/>
        <w:adjustRightInd/>
        <w:snapToGrid/>
        <w:ind w:firstLine="480"/>
        <w:rPr>
          <w:rFonts w:hAnsiTheme="minorEastAsia"/>
          <w:sz w:val="24"/>
        </w:rPr>
      </w:pPr>
      <w:r>
        <w:rPr>
          <w:rFonts w:hint="eastAsia" w:hAnsiTheme="minorEastAsia"/>
          <w:sz w:val="24"/>
        </w:rPr>
        <w:t>首采区采用综采（非合并区）与综放（合并区）相结合的回采工艺，全部冒落法管理顶板。</w:t>
      </w:r>
    </w:p>
    <w:p>
      <w:pPr>
        <w:pStyle w:val="85"/>
        <w:adjustRightInd/>
        <w:snapToGrid/>
        <w:ind w:firstLine="480"/>
        <w:rPr>
          <w:rFonts w:hAnsiTheme="minorEastAsia"/>
          <w:sz w:val="24"/>
        </w:rPr>
      </w:pPr>
      <w:r>
        <w:rPr>
          <w:rFonts w:hint="eastAsia" w:hAnsiTheme="minorEastAsia"/>
          <w:sz w:val="24"/>
        </w:rPr>
        <w:t>③工作面推进方向</w:t>
      </w:r>
    </w:p>
    <w:p>
      <w:pPr>
        <w:pStyle w:val="85"/>
        <w:adjustRightInd/>
        <w:snapToGrid/>
        <w:ind w:firstLine="480"/>
        <w:rPr>
          <w:rFonts w:ascii="Times New Roman" w:cs="Times New Roman" w:hAnsiTheme="minorEastAsia"/>
          <w:color w:val="auto"/>
          <w:sz w:val="24"/>
          <w:szCs w:val="24"/>
        </w:rPr>
      </w:pPr>
      <w:r>
        <w:rPr>
          <w:rFonts w:hint="eastAsia" w:ascii="Times New Roman" w:cs="Times New Roman" w:hAnsiTheme="minorEastAsia"/>
          <w:color w:val="auto"/>
          <w:sz w:val="24"/>
          <w:szCs w:val="24"/>
        </w:rPr>
        <w:t>同原环评，无变更。</w:t>
      </w:r>
    </w:p>
    <w:p>
      <w:pPr>
        <w:spacing w:line="360" w:lineRule="auto"/>
        <w:outlineLvl w:val="3"/>
        <w:rPr>
          <w:rFonts w:eastAsiaTheme="minorEastAsia"/>
          <w:b/>
          <w:color w:val="FF0000"/>
          <w:sz w:val="24"/>
        </w:rPr>
      </w:pPr>
      <w:r>
        <w:rPr>
          <w:rFonts w:eastAsiaTheme="minorEastAsia"/>
          <w:b/>
          <w:sz w:val="24"/>
        </w:rPr>
        <w:t>3.3.2.</w:t>
      </w:r>
      <w:r>
        <w:rPr>
          <w:rFonts w:hint="eastAsia" w:eastAsiaTheme="minorEastAsia"/>
          <w:b/>
          <w:sz w:val="24"/>
        </w:rPr>
        <w:t>7</w:t>
      </w:r>
      <w:r>
        <w:rPr>
          <w:rFonts w:hAnsiTheme="minorEastAsia" w:eastAsiaTheme="minorEastAsia"/>
          <w:b/>
          <w:sz w:val="24"/>
        </w:rPr>
        <w:t>井筒</w:t>
      </w:r>
    </w:p>
    <w:p>
      <w:pPr>
        <w:pStyle w:val="85"/>
        <w:adjustRightInd/>
        <w:snapToGrid/>
        <w:ind w:firstLine="480"/>
        <w:rPr>
          <w:rFonts w:ascii="Times New Roman" w:cs="Times New Roman" w:hAnsiTheme="minorEastAsia"/>
          <w:color w:val="auto"/>
          <w:sz w:val="24"/>
          <w:szCs w:val="24"/>
        </w:rPr>
      </w:pPr>
      <w:r>
        <w:rPr>
          <w:rFonts w:hint="eastAsia" w:ascii="Times New Roman" w:cs="Times New Roman" w:hAnsiTheme="minorEastAsia"/>
          <w:color w:val="auto"/>
          <w:sz w:val="24"/>
          <w:szCs w:val="24"/>
        </w:rPr>
        <w:t>根据矿井提升和通风要求，在工业场地内设主斜井、副斜井2个井筒，在风井场地设回风立井，全矿井共设3个井筒。</w:t>
      </w:r>
    </w:p>
    <w:p>
      <w:pPr>
        <w:pStyle w:val="85"/>
        <w:adjustRightInd/>
        <w:snapToGrid/>
        <w:ind w:firstLine="482"/>
        <w:rPr>
          <w:rFonts w:hAnsiTheme="minorEastAsia"/>
          <w:b/>
          <w:sz w:val="24"/>
        </w:rPr>
      </w:pPr>
      <w:r>
        <w:rPr>
          <w:rFonts w:hint="eastAsia" w:hAnsiTheme="minorEastAsia"/>
          <w:b/>
          <w:sz w:val="24"/>
        </w:rPr>
        <w:t>（一）主斜井</w:t>
      </w:r>
    </w:p>
    <w:p>
      <w:pPr>
        <w:pStyle w:val="85"/>
        <w:adjustRightInd/>
        <w:snapToGrid/>
        <w:ind w:firstLine="482"/>
        <w:rPr>
          <w:rFonts w:ascii="Times New Roman" w:hAnsi="Times New Roman" w:cs="Times New Roman"/>
          <w:sz w:val="24"/>
        </w:rPr>
      </w:pPr>
      <w:r>
        <w:rPr>
          <w:rFonts w:hint="eastAsia" w:hAnsiTheme="minorEastAsia"/>
          <w:b/>
          <w:sz w:val="24"/>
        </w:rPr>
        <w:t>原环评：</w:t>
      </w:r>
      <w:r>
        <w:rPr>
          <w:rFonts w:ascii="Times New Roman" w:cs="Times New Roman" w:hAnsiTheme="minorEastAsia"/>
          <w:sz w:val="24"/>
        </w:rPr>
        <w:t>主斜井担负全矿井的煤炭提升任务，同时兼人员运输、进风及安全出口。井筒全长</w:t>
      </w:r>
      <w:r>
        <w:rPr>
          <w:rFonts w:ascii="Times New Roman" w:hAnsi="Times New Roman" w:cs="Times New Roman"/>
          <w:sz w:val="24"/>
        </w:rPr>
        <w:t>1078m</w:t>
      </w:r>
      <w:r>
        <w:rPr>
          <w:rFonts w:ascii="Times New Roman" w:cs="Times New Roman" w:hAnsiTheme="minorEastAsia"/>
          <w:sz w:val="24"/>
        </w:rPr>
        <w:t>，倾角</w:t>
      </w:r>
      <w:r>
        <w:rPr>
          <w:rFonts w:ascii="Times New Roman" w:hAnsi="Times New Roman" w:cs="Times New Roman"/>
          <w:sz w:val="24"/>
        </w:rPr>
        <w:t>14.5</w:t>
      </w:r>
      <w:r>
        <w:rPr>
          <w:rFonts w:ascii="Times New Roman" w:hAnsi="Times New Roman" w:cs="Times New Roman"/>
          <w:sz w:val="24"/>
          <w:vertAlign w:val="superscript"/>
        </w:rPr>
        <w:t>o</w:t>
      </w:r>
      <w:r>
        <w:rPr>
          <w:rFonts w:ascii="Times New Roman" w:cs="Times New Roman" w:hAnsiTheme="minorEastAsia"/>
          <w:sz w:val="24"/>
        </w:rPr>
        <w:t>。井筒断面采用直墙半圆拱，净宽</w:t>
      </w:r>
      <w:r>
        <w:rPr>
          <w:rFonts w:ascii="Times New Roman" w:hAnsi="Times New Roman" w:cs="Times New Roman"/>
          <w:sz w:val="24"/>
        </w:rPr>
        <w:t>4.7m</w:t>
      </w:r>
      <w:r>
        <w:rPr>
          <w:rFonts w:ascii="Times New Roman" w:cs="Times New Roman" w:hAnsiTheme="minorEastAsia"/>
          <w:sz w:val="24"/>
        </w:rPr>
        <w:t>，净高</w:t>
      </w:r>
      <w:r>
        <w:rPr>
          <w:rFonts w:ascii="Times New Roman" w:hAnsi="Times New Roman" w:cs="Times New Roman"/>
          <w:sz w:val="24"/>
        </w:rPr>
        <w:t>4.15m</w:t>
      </w:r>
      <w:r>
        <w:rPr>
          <w:rFonts w:ascii="Times New Roman" w:cs="Times New Roman" w:hAnsiTheme="minorEastAsia"/>
          <w:sz w:val="24"/>
        </w:rPr>
        <w:t>，净断面</w:t>
      </w:r>
      <w:r>
        <w:rPr>
          <w:rFonts w:ascii="Times New Roman" w:hAnsi="Times New Roman" w:cs="Times New Roman"/>
          <w:sz w:val="24"/>
        </w:rPr>
        <w:t>17.1m</w:t>
      </w:r>
      <w:r>
        <w:rPr>
          <w:rFonts w:ascii="Times New Roman" w:hAnsi="Times New Roman" w:cs="Times New Roman"/>
          <w:sz w:val="24"/>
          <w:vertAlign w:val="superscript"/>
        </w:rPr>
        <w:t>2</w:t>
      </w:r>
      <w:r>
        <w:rPr>
          <w:rFonts w:ascii="Times New Roman" w:cs="Times New Roman" w:hAnsiTheme="minorEastAsia"/>
          <w:sz w:val="24"/>
        </w:rPr>
        <w:t>。井筒内一侧安装带宽</w:t>
      </w:r>
      <w:r>
        <w:rPr>
          <w:rFonts w:ascii="Times New Roman" w:hAnsi="Times New Roman" w:cs="Times New Roman"/>
          <w:sz w:val="24"/>
        </w:rPr>
        <w:t>1m</w:t>
      </w:r>
      <w:r>
        <w:rPr>
          <w:rFonts w:ascii="Times New Roman" w:cs="Times New Roman" w:hAnsiTheme="minorEastAsia"/>
          <w:sz w:val="24"/>
        </w:rPr>
        <w:t>的胶带输送机，另一侧安装架空乘人器和行人台阶。井筒内敷设一趟</w:t>
      </w:r>
      <w:r>
        <w:rPr>
          <w:rFonts w:hint="eastAsia" w:ascii="Times New Roman" w:cs="Times New Roman" w:hAnsiTheme="minorEastAsia"/>
          <w:sz w:val="24"/>
        </w:rPr>
        <w:t>洒水管、两趟潜水泵排水管、一趟灌浆管以及动力、照明、信号电缆等。</w:t>
      </w:r>
    </w:p>
    <w:p>
      <w:pPr>
        <w:pStyle w:val="85"/>
        <w:adjustRightInd/>
        <w:snapToGrid/>
        <w:ind w:firstLine="482"/>
        <w:rPr>
          <w:sz w:val="24"/>
        </w:rPr>
      </w:pPr>
      <w:r>
        <w:rPr>
          <w:rFonts w:hint="eastAsia" w:hAnsiTheme="minorEastAsia"/>
          <w:b/>
          <w:sz w:val="24"/>
        </w:rPr>
        <w:t>变更后：</w:t>
      </w:r>
      <w:r>
        <w:rPr>
          <w:rFonts w:ascii="Times New Roman" w:cs="Times New Roman" w:hAnsiTheme="minorEastAsia"/>
          <w:sz w:val="24"/>
        </w:rPr>
        <w:t>主斜井担负全矿井的煤炭提升任务，同时兼人员运输、进风及安全出口。井口绝对标高为</w:t>
      </w:r>
      <w:r>
        <w:rPr>
          <w:rFonts w:ascii="Times New Roman" w:hAnsi="Times New Roman" w:cs="Times New Roman"/>
          <w:sz w:val="24"/>
        </w:rPr>
        <w:t>+983.8m</w:t>
      </w:r>
      <w:r>
        <w:rPr>
          <w:rFonts w:ascii="Times New Roman" w:cs="Times New Roman" w:hAnsiTheme="minorEastAsia"/>
          <w:sz w:val="24"/>
        </w:rPr>
        <w:t>，井筒全长为</w:t>
      </w:r>
      <w:r>
        <w:rPr>
          <w:rFonts w:ascii="Times New Roman" w:hAnsi="Times New Roman" w:cs="Times New Roman"/>
          <w:sz w:val="24"/>
        </w:rPr>
        <w:t>973.0m</w:t>
      </w:r>
      <w:r>
        <w:rPr>
          <w:rFonts w:ascii="Times New Roman" w:cs="Times New Roman" w:hAnsiTheme="minorEastAsia"/>
          <w:sz w:val="24"/>
        </w:rPr>
        <w:t>（含已施工段），根据现场施工现状，主斜井上段倾角</w:t>
      </w:r>
      <w:r>
        <w:rPr>
          <w:rFonts w:ascii="Times New Roman" w:hAnsi="Times New Roman" w:cs="Times New Roman"/>
          <w:sz w:val="24"/>
        </w:rPr>
        <w:t>17°/ 16°</w:t>
      </w:r>
      <w:r>
        <w:rPr>
          <w:rFonts w:ascii="Times New Roman" w:cs="Times New Roman" w:hAnsiTheme="minorEastAsia"/>
          <w:sz w:val="24"/>
        </w:rPr>
        <w:t>，下段沿</w:t>
      </w:r>
      <w:r>
        <w:rPr>
          <w:rFonts w:ascii="Times New Roman" w:hAnsi="Times New Roman" w:cs="Times New Roman"/>
          <w:sz w:val="24"/>
        </w:rPr>
        <w:t>9</w:t>
      </w:r>
      <w:r>
        <w:rPr>
          <w:rFonts w:ascii="Times New Roman" w:cs="Times New Roman" w:hAnsiTheme="minorEastAsia"/>
          <w:sz w:val="24"/>
        </w:rPr>
        <w:t>号煤层布置，倾角约</w:t>
      </w:r>
      <w:r>
        <w:rPr>
          <w:rFonts w:ascii="Times New Roman" w:hAnsi="Times New Roman" w:cs="Times New Roman"/>
          <w:sz w:val="24"/>
        </w:rPr>
        <w:t>6.5°</w:t>
      </w:r>
      <w:r>
        <w:rPr>
          <w:rFonts w:ascii="Times New Roman" w:cs="Times New Roman" w:hAnsiTheme="minorEastAsia"/>
          <w:sz w:val="24"/>
        </w:rPr>
        <w:t>。井筒采用直墙半圆拱断面，净宽</w:t>
      </w:r>
      <w:r>
        <w:rPr>
          <w:rFonts w:ascii="Times New Roman" w:hAnsi="Times New Roman" w:cs="Times New Roman"/>
          <w:sz w:val="24"/>
        </w:rPr>
        <w:t>4.8m</w:t>
      </w:r>
      <w:r>
        <w:rPr>
          <w:rFonts w:ascii="Times New Roman" w:cs="Times New Roman" w:hAnsiTheme="minorEastAsia"/>
          <w:sz w:val="24"/>
        </w:rPr>
        <w:t>，净高</w:t>
      </w:r>
      <w:r>
        <w:rPr>
          <w:rFonts w:ascii="Times New Roman" w:hAnsi="Times New Roman" w:cs="Times New Roman"/>
          <w:sz w:val="24"/>
        </w:rPr>
        <w:t>4.15m</w:t>
      </w:r>
      <w:r>
        <w:rPr>
          <w:rFonts w:ascii="Times New Roman" w:cs="Times New Roman" w:hAnsiTheme="minorEastAsia"/>
          <w:sz w:val="24"/>
        </w:rPr>
        <w:t>（局部表土已施工段净宽</w:t>
      </w:r>
      <w:r>
        <w:rPr>
          <w:rFonts w:ascii="Times New Roman" w:hAnsi="Times New Roman" w:cs="Times New Roman"/>
          <w:sz w:val="24"/>
        </w:rPr>
        <w:t>4.7m</w:t>
      </w:r>
      <w:r>
        <w:rPr>
          <w:rFonts w:ascii="Times New Roman" w:cs="Times New Roman" w:hAnsiTheme="minorEastAsia"/>
          <w:sz w:val="24"/>
        </w:rPr>
        <w:t>，净高</w:t>
      </w:r>
      <w:r>
        <w:rPr>
          <w:rFonts w:ascii="Times New Roman" w:hAnsi="Times New Roman" w:cs="Times New Roman"/>
          <w:sz w:val="24"/>
        </w:rPr>
        <w:t>4.15m</w:t>
      </w:r>
      <w:r>
        <w:rPr>
          <w:rFonts w:ascii="Times New Roman" w:cs="Times New Roman" w:hAnsiTheme="minorEastAsia"/>
          <w:sz w:val="24"/>
        </w:rPr>
        <w:t>）。井筒内一侧安装带宽</w:t>
      </w:r>
      <w:r>
        <w:rPr>
          <w:rFonts w:ascii="Times New Roman" w:hAnsi="Times New Roman" w:cs="Times New Roman"/>
          <w:sz w:val="24"/>
        </w:rPr>
        <w:t>1200mm</w:t>
      </w:r>
      <w:r>
        <w:rPr>
          <w:rFonts w:ascii="Times New Roman" w:cs="Times New Roman" w:hAnsiTheme="minorEastAsia"/>
          <w:sz w:val="24"/>
        </w:rPr>
        <w:t>的胶带输送机，另一侧安装架空乘人装置。井筒内敷设一趟洒水管、一趟压风管、一趟</w:t>
      </w:r>
      <w:r>
        <w:rPr>
          <w:rFonts w:ascii="Times New Roman" w:hAnsi="Times New Roman" w:cs="Times New Roman"/>
          <w:sz w:val="24"/>
        </w:rPr>
        <w:t>5</w:t>
      </w:r>
      <w:r>
        <w:rPr>
          <w:rFonts w:ascii="Times New Roman" w:cs="Times New Roman" w:hAnsiTheme="minorEastAsia"/>
          <w:sz w:val="24"/>
        </w:rPr>
        <w:t>根通讯电缆支架和一趟照明电缆。井筒内设水沟、台阶和扶手。</w:t>
      </w:r>
    </w:p>
    <w:p>
      <w:pPr>
        <w:pStyle w:val="85"/>
        <w:adjustRightInd/>
        <w:snapToGrid/>
        <w:ind w:firstLine="482"/>
        <w:rPr>
          <w:rFonts w:hAnsiTheme="minorEastAsia"/>
          <w:b/>
          <w:sz w:val="24"/>
        </w:rPr>
      </w:pPr>
      <w:r>
        <w:rPr>
          <w:rFonts w:hint="eastAsia" w:hAnsiTheme="minorEastAsia"/>
          <w:b/>
          <w:sz w:val="24"/>
        </w:rPr>
        <w:t>（二）副斜井</w:t>
      </w:r>
    </w:p>
    <w:p>
      <w:pPr>
        <w:pStyle w:val="85"/>
        <w:adjustRightInd/>
        <w:snapToGrid/>
        <w:ind w:firstLine="482"/>
        <w:rPr>
          <w:rFonts w:ascii="Times New Roman" w:hAnsi="Times New Roman" w:cs="Times New Roman"/>
          <w:sz w:val="24"/>
        </w:rPr>
      </w:pPr>
      <w:r>
        <w:rPr>
          <w:rFonts w:ascii="Times New Roman" w:hAnsi="Times New Roman" w:cs="Times New Roman"/>
          <w:b/>
          <w:sz w:val="24"/>
        </w:rPr>
        <w:t>原环评：</w:t>
      </w:r>
      <w:r>
        <w:rPr>
          <w:rFonts w:ascii="Times New Roman" w:hAnsi="Times New Roman" w:cs="Times New Roman"/>
          <w:sz w:val="24"/>
        </w:rPr>
        <w:t>副斜井担负全矿井提升矸石、材料及设备的运输任务，同时兼主要进风井及安全出口。井筒全长923m，倾角17</w:t>
      </w:r>
      <w:r>
        <w:rPr>
          <w:rFonts w:ascii="Times New Roman" w:hAnsi="Times New Roman" w:cs="Times New Roman"/>
          <w:sz w:val="24"/>
          <w:vertAlign w:val="superscript"/>
        </w:rPr>
        <w:t>o</w:t>
      </w:r>
      <w:r>
        <w:rPr>
          <w:rFonts w:ascii="Times New Roman" w:hAnsi="Times New Roman" w:cs="Times New Roman"/>
          <w:sz w:val="24"/>
        </w:rPr>
        <w:t>，采用双钩、串车提升。井筒断面采用直墙半圆拱，采用双轨布置，净宽4.7m，净高4.2m，净断面17.4m</w:t>
      </w:r>
      <w:r>
        <w:rPr>
          <w:rFonts w:ascii="Times New Roman" w:hAnsi="Times New Roman" w:cs="Times New Roman"/>
          <w:sz w:val="24"/>
          <w:vertAlign w:val="superscript"/>
        </w:rPr>
        <w:t>2</w:t>
      </w:r>
      <w:r>
        <w:rPr>
          <w:rFonts w:ascii="Times New Roman" w:hAnsi="Times New Roman" w:cs="Times New Roman"/>
          <w:sz w:val="24"/>
        </w:rPr>
        <w:t>。井筒内敷设二趟排水管，一趟洒水管，一趟压风管以及照明、信号电缆、行人台阶等。</w:t>
      </w:r>
    </w:p>
    <w:p>
      <w:pPr>
        <w:pStyle w:val="85"/>
        <w:adjustRightInd/>
        <w:snapToGrid/>
        <w:ind w:firstLine="482"/>
        <w:rPr>
          <w:rFonts w:ascii="Times New Roman" w:hAnsi="Times New Roman" w:cs="Times New Roman"/>
          <w:sz w:val="24"/>
        </w:rPr>
      </w:pPr>
      <w:r>
        <w:rPr>
          <w:rFonts w:ascii="Times New Roman" w:hAnsi="Times New Roman" w:cs="Times New Roman"/>
          <w:b/>
          <w:sz w:val="24"/>
        </w:rPr>
        <w:t>变更后：</w:t>
      </w:r>
      <w:r>
        <w:rPr>
          <w:rFonts w:ascii="Times New Roman" w:hAnsi="Times New Roman" w:cs="Times New Roman"/>
          <w:sz w:val="24"/>
        </w:rPr>
        <w:t>副斜井担负全矿井材料及设备的运输任务，</w:t>
      </w:r>
      <w:r>
        <w:rPr>
          <w:rFonts w:ascii="Times New Roman" w:hAnsi="Times New Roman" w:cs="Times New Roman"/>
          <w:bCs/>
          <w:sz w:val="24"/>
        </w:rPr>
        <w:t>同时兼进风井及安全出口</w:t>
      </w:r>
      <w:r>
        <w:rPr>
          <w:rFonts w:ascii="Times New Roman" w:hAnsi="Times New Roman" w:cs="Times New Roman"/>
          <w:sz w:val="24"/>
        </w:rPr>
        <w:t>。井筒井口绝对标高为+982.162m，井筒全长为761m（含已施工段），倾角为18°，井筒内一侧采用轨道串车运输，单钩提升，井筒内布置单轨。井筒采用直墙半圆拱断面，净宽4.8m，净高4.15m（局部表土已施工段净宽4.7m，净高4.2m）。井筒内敷设一趟洒水管、一趟压风管、一趟注氮管、两趟排水管、一趟乳化液回液管、一趟乳化液供液管、两趟5根通讯电缆支架、一趟7根动力电缆支架和一趟照明电缆。井筒内设水沟、台阶和扶手。</w:t>
      </w:r>
    </w:p>
    <w:p>
      <w:pPr>
        <w:pStyle w:val="85"/>
        <w:adjustRightInd/>
        <w:snapToGrid/>
        <w:ind w:firstLine="482"/>
        <w:rPr>
          <w:rFonts w:ascii="Times New Roman" w:hAnsi="Times New Roman" w:cs="Times New Roman"/>
          <w:b/>
          <w:sz w:val="24"/>
        </w:rPr>
      </w:pPr>
      <w:r>
        <w:rPr>
          <w:rFonts w:ascii="Times New Roman" w:hAnsi="Times New Roman" w:cs="Times New Roman"/>
          <w:b/>
          <w:sz w:val="24"/>
        </w:rPr>
        <w:t>（三）回风井</w:t>
      </w:r>
    </w:p>
    <w:p>
      <w:pPr>
        <w:pStyle w:val="85"/>
        <w:adjustRightInd/>
        <w:snapToGrid/>
        <w:ind w:firstLine="482"/>
        <w:rPr>
          <w:rFonts w:ascii="Times New Roman" w:hAnsi="Times New Roman" w:cs="Times New Roman"/>
          <w:sz w:val="24"/>
        </w:rPr>
      </w:pPr>
      <w:r>
        <w:rPr>
          <w:rFonts w:hint="eastAsia" w:hAnsiTheme="minorEastAsia"/>
          <w:b/>
          <w:sz w:val="24"/>
        </w:rPr>
        <w:t>原环评：</w:t>
      </w:r>
      <w:r>
        <w:rPr>
          <w:rFonts w:ascii="Times New Roman" w:hAnsi="Times New Roman" w:cs="Times New Roman"/>
          <w:sz w:val="24"/>
        </w:rPr>
        <w:t>改造原宏宇煤矿副立井作为本矿井的回风井，副立井由原直径2.5m刷大到净直径5.0m，并装备梯子间，做为矿井的一个安全出口。</w:t>
      </w:r>
    </w:p>
    <w:p>
      <w:pPr>
        <w:pStyle w:val="85"/>
        <w:adjustRightInd/>
        <w:snapToGrid/>
        <w:ind w:firstLine="482"/>
        <w:rPr>
          <w:sz w:val="24"/>
        </w:rPr>
      </w:pPr>
      <w:r>
        <w:rPr>
          <w:rFonts w:hint="eastAsia" w:hAnsiTheme="minorEastAsia"/>
          <w:b/>
          <w:sz w:val="24"/>
        </w:rPr>
        <w:t>变更后：</w:t>
      </w:r>
      <w:r>
        <w:rPr>
          <w:rFonts w:ascii="Times New Roman" w:cs="Times New Roman" w:hAnsiTheme="minorEastAsia"/>
          <w:sz w:val="24"/>
        </w:rPr>
        <w:t>回风立井井筒净直径为</w:t>
      </w:r>
      <w:r>
        <w:rPr>
          <w:rFonts w:ascii="Times New Roman" w:hAnsi="Times New Roman" w:cs="Times New Roman"/>
          <w:sz w:val="24"/>
        </w:rPr>
        <w:t>5.5m</w:t>
      </w:r>
      <w:r>
        <w:rPr>
          <w:rFonts w:ascii="Times New Roman" w:cs="Times New Roman" w:hAnsiTheme="minorEastAsia"/>
          <w:sz w:val="24"/>
        </w:rPr>
        <w:t>，井口绝对标高为</w:t>
      </w:r>
      <w:r>
        <w:rPr>
          <w:rFonts w:ascii="Times New Roman" w:hAnsi="Times New Roman" w:cs="Times New Roman"/>
          <w:sz w:val="24"/>
        </w:rPr>
        <w:t>+906m</w:t>
      </w:r>
      <w:r>
        <w:rPr>
          <w:rFonts w:ascii="Times New Roman" w:cs="Times New Roman" w:hAnsiTheme="minorEastAsia"/>
          <w:sz w:val="24"/>
        </w:rPr>
        <w:t>，井筒深度为</w:t>
      </w:r>
      <w:r>
        <w:rPr>
          <w:rFonts w:ascii="Times New Roman" w:hAnsi="Times New Roman" w:cs="Times New Roman"/>
          <w:sz w:val="24"/>
        </w:rPr>
        <w:t>240m</w:t>
      </w:r>
      <w:r>
        <w:rPr>
          <w:rFonts w:ascii="Times New Roman" w:cs="Times New Roman" w:hAnsiTheme="minorEastAsia"/>
          <w:sz w:val="24"/>
        </w:rPr>
        <w:t>。本井筒为矿井专用回风井。井筒内装备玻璃钢封闭梯子间，为矿井另一安全出口。梯子间梁采用托架固定于井壁上。井筒内还敷设两趟强排水管和一趟灌浆管。</w:t>
      </w:r>
    </w:p>
    <w:p>
      <w:pPr>
        <w:pStyle w:val="85"/>
        <w:adjustRightInd/>
        <w:snapToGrid/>
        <w:ind w:firstLine="482"/>
        <w:rPr>
          <w:rFonts w:ascii="Times New Roman" w:hAnsi="Times New Roman" w:cs="Times New Roman"/>
          <w:b/>
          <w:color w:val="auto"/>
          <w:sz w:val="24"/>
          <w:szCs w:val="24"/>
        </w:rPr>
      </w:pPr>
      <w:r>
        <w:rPr>
          <w:rFonts w:ascii="Times New Roman" w:cs="Times New Roman" w:hAnsiTheme="minorEastAsia"/>
          <w:b/>
          <w:color w:val="auto"/>
          <w:sz w:val="24"/>
          <w:szCs w:val="24"/>
        </w:rPr>
        <w:t>（四）井壁结构</w:t>
      </w:r>
    </w:p>
    <w:p>
      <w:pPr>
        <w:pStyle w:val="85"/>
        <w:adjustRightInd/>
        <w:snapToGrid/>
        <w:ind w:firstLine="482"/>
        <w:rPr>
          <w:rFonts w:ascii="Times New Roman" w:hAnsi="Times New Roman" w:eastAsia="宋体" w:cs="Times New Roman"/>
          <w:sz w:val="24"/>
        </w:rPr>
      </w:pPr>
      <w:r>
        <w:rPr>
          <w:rFonts w:ascii="Times New Roman" w:cs="Times New Roman" w:hAnsiTheme="minorEastAsia"/>
          <w:b/>
          <w:sz w:val="24"/>
        </w:rPr>
        <w:t>原环评：</w:t>
      </w:r>
      <w:r>
        <w:rPr>
          <w:rFonts w:ascii="Times New Roman" w:hAnsi="宋体" w:eastAsia="宋体" w:cs="Times New Roman"/>
          <w:sz w:val="24"/>
        </w:rPr>
        <w:t>主斜井井筒表土段（厚度约</w:t>
      </w:r>
      <w:r>
        <w:rPr>
          <w:rFonts w:ascii="Times New Roman" w:hAnsi="Times New Roman" w:eastAsia="宋体" w:cs="Times New Roman"/>
          <w:sz w:val="24"/>
        </w:rPr>
        <w:t>40m</w:t>
      </w:r>
      <w:r>
        <w:rPr>
          <w:rFonts w:ascii="Times New Roman" w:hAnsi="宋体" w:eastAsia="宋体" w:cs="Times New Roman"/>
          <w:sz w:val="24"/>
        </w:rPr>
        <w:t>）采用钢筋混凝土砌碹支护，支护厚度为</w:t>
      </w:r>
      <w:r>
        <w:rPr>
          <w:rFonts w:ascii="Times New Roman" w:hAnsi="Times New Roman" w:eastAsia="宋体" w:cs="Times New Roman"/>
          <w:sz w:val="24"/>
        </w:rPr>
        <w:t>450mm</w:t>
      </w:r>
      <w:r>
        <w:rPr>
          <w:rFonts w:ascii="Times New Roman" w:hAnsi="宋体" w:eastAsia="宋体" w:cs="Times New Roman"/>
          <w:sz w:val="24"/>
        </w:rPr>
        <w:t>，支护长度为</w:t>
      </w:r>
      <w:r>
        <w:rPr>
          <w:rFonts w:ascii="Times New Roman" w:hAnsi="Times New Roman" w:eastAsia="宋体" w:cs="Times New Roman"/>
          <w:sz w:val="24"/>
        </w:rPr>
        <w:t>339m</w:t>
      </w:r>
      <w:r>
        <w:rPr>
          <w:rFonts w:ascii="Times New Roman" w:hAnsi="宋体" w:eastAsia="宋体" w:cs="Times New Roman"/>
          <w:sz w:val="24"/>
        </w:rPr>
        <w:t>，掘进面积为</w:t>
      </w:r>
      <w:r>
        <w:rPr>
          <w:rFonts w:ascii="Times New Roman" w:hAnsi="Times New Roman" w:eastAsia="宋体" w:cs="Times New Roman"/>
          <w:sz w:val="24"/>
        </w:rPr>
        <w:t>24.5m</w:t>
      </w:r>
      <w:r>
        <w:rPr>
          <w:rFonts w:ascii="Times New Roman" w:hAnsi="Times New Roman" w:eastAsia="宋体" w:cs="Times New Roman"/>
          <w:sz w:val="24"/>
          <w:vertAlign w:val="superscript"/>
        </w:rPr>
        <w:t>2</w:t>
      </w:r>
      <w:r>
        <w:rPr>
          <w:rFonts w:ascii="Times New Roman" w:hAnsi="宋体" w:eastAsia="宋体" w:cs="Times New Roman"/>
          <w:sz w:val="24"/>
        </w:rPr>
        <w:t>；基岩段采用锚、网、喷、</w:t>
      </w:r>
      <w:r>
        <w:rPr>
          <w:rFonts w:ascii="Times New Roman" w:hAnsi="Times New Roman" w:eastAsia="宋体" w:cs="Times New Roman"/>
          <w:sz w:val="24"/>
        </w:rPr>
        <w:t>U</w:t>
      </w:r>
      <w:r>
        <w:rPr>
          <w:rFonts w:ascii="Times New Roman" w:hAnsi="宋体" w:eastAsia="宋体" w:cs="Times New Roman"/>
          <w:sz w:val="24"/>
        </w:rPr>
        <w:t>型钢支护，支护厚度为</w:t>
      </w:r>
      <w:r>
        <w:rPr>
          <w:rFonts w:ascii="Times New Roman" w:hAnsi="Times New Roman" w:eastAsia="宋体" w:cs="Times New Roman"/>
          <w:sz w:val="24"/>
        </w:rPr>
        <w:t>200mm</w:t>
      </w:r>
      <w:r>
        <w:rPr>
          <w:rFonts w:ascii="Times New Roman" w:hAnsi="宋体" w:eastAsia="宋体" w:cs="Times New Roman"/>
          <w:sz w:val="24"/>
        </w:rPr>
        <w:t>，支护长度为</w:t>
      </w:r>
      <w:r>
        <w:rPr>
          <w:rFonts w:ascii="Times New Roman" w:hAnsi="Times New Roman" w:eastAsia="宋体" w:cs="Times New Roman"/>
          <w:sz w:val="24"/>
        </w:rPr>
        <w:t>739m</w:t>
      </w:r>
      <w:r>
        <w:rPr>
          <w:rFonts w:ascii="Times New Roman" w:hAnsi="宋体" w:eastAsia="宋体" w:cs="Times New Roman"/>
          <w:sz w:val="24"/>
        </w:rPr>
        <w:t>，掘进面积为</w:t>
      </w:r>
      <w:r>
        <w:rPr>
          <w:rFonts w:ascii="Times New Roman" w:hAnsi="Times New Roman" w:eastAsia="宋体" w:cs="Times New Roman"/>
          <w:sz w:val="24"/>
        </w:rPr>
        <w:t>20.2m</w:t>
      </w:r>
      <w:r>
        <w:rPr>
          <w:rFonts w:ascii="Times New Roman" w:hAnsi="Times New Roman" w:eastAsia="宋体" w:cs="Times New Roman"/>
          <w:sz w:val="24"/>
          <w:vertAlign w:val="superscript"/>
        </w:rPr>
        <w:t>2</w:t>
      </w:r>
      <w:r>
        <w:rPr>
          <w:rFonts w:ascii="Times New Roman" w:hAnsi="宋体" w:eastAsia="宋体" w:cs="Times New Roman"/>
          <w:sz w:val="24"/>
        </w:rPr>
        <w:t>。</w:t>
      </w:r>
    </w:p>
    <w:p>
      <w:pPr>
        <w:pStyle w:val="85"/>
        <w:adjustRightInd/>
        <w:snapToGrid/>
        <w:ind w:firstLine="480"/>
        <w:rPr>
          <w:rFonts w:ascii="Times New Roman" w:hAnsi="Times New Roman" w:eastAsia="宋体" w:cs="Times New Roman"/>
          <w:sz w:val="24"/>
        </w:rPr>
      </w:pPr>
      <w:r>
        <w:rPr>
          <w:rFonts w:ascii="Times New Roman" w:hAnsi="宋体" w:eastAsia="宋体" w:cs="Times New Roman"/>
          <w:sz w:val="24"/>
        </w:rPr>
        <w:t>副斜井井筒表土段（厚度约</w:t>
      </w:r>
      <w:r>
        <w:rPr>
          <w:rFonts w:ascii="Times New Roman" w:hAnsi="Times New Roman" w:eastAsia="宋体" w:cs="Times New Roman"/>
          <w:sz w:val="24"/>
        </w:rPr>
        <w:t>40m</w:t>
      </w:r>
      <w:r>
        <w:rPr>
          <w:rFonts w:ascii="Times New Roman" w:hAnsi="宋体" w:eastAsia="宋体" w:cs="Times New Roman"/>
          <w:sz w:val="24"/>
        </w:rPr>
        <w:t>）采用钢筋混凝土砌碹支护，支护厚度为</w:t>
      </w:r>
      <w:r>
        <w:rPr>
          <w:rFonts w:ascii="Times New Roman" w:hAnsi="Times New Roman" w:eastAsia="宋体" w:cs="Times New Roman"/>
          <w:sz w:val="24"/>
        </w:rPr>
        <w:t>450mm</w:t>
      </w:r>
      <w:r>
        <w:rPr>
          <w:rFonts w:ascii="Times New Roman" w:hAnsi="宋体" w:eastAsia="宋体" w:cs="Times New Roman"/>
          <w:sz w:val="24"/>
        </w:rPr>
        <w:t>，支护长度为</w:t>
      </w:r>
      <w:r>
        <w:rPr>
          <w:rFonts w:ascii="Times New Roman" w:hAnsi="Times New Roman" w:eastAsia="宋体" w:cs="Times New Roman"/>
          <w:sz w:val="24"/>
        </w:rPr>
        <w:t>291m</w:t>
      </w:r>
      <w:r>
        <w:rPr>
          <w:rFonts w:ascii="Times New Roman" w:hAnsi="宋体" w:eastAsia="宋体" w:cs="Times New Roman"/>
          <w:sz w:val="24"/>
        </w:rPr>
        <w:t>，掘进面积为</w:t>
      </w:r>
      <w:r>
        <w:rPr>
          <w:rFonts w:ascii="Times New Roman" w:hAnsi="Times New Roman" w:eastAsia="宋体" w:cs="Times New Roman"/>
          <w:sz w:val="24"/>
        </w:rPr>
        <w:t>25.3m</w:t>
      </w:r>
      <w:r>
        <w:rPr>
          <w:rFonts w:ascii="Times New Roman" w:hAnsi="Times New Roman" w:eastAsia="宋体" w:cs="Times New Roman"/>
          <w:sz w:val="24"/>
          <w:vertAlign w:val="superscript"/>
        </w:rPr>
        <w:t>2</w:t>
      </w:r>
      <w:r>
        <w:rPr>
          <w:rFonts w:ascii="Times New Roman" w:hAnsi="宋体" w:eastAsia="宋体" w:cs="Times New Roman"/>
          <w:sz w:val="24"/>
        </w:rPr>
        <w:t>。基岩段采用锚、网、喷、</w:t>
      </w:r>
      <w:r>
        <w:rPr>
          <w:rFonts w:ascii="Times New Roman" w:hAnsi="Times New Roman" w:eastAsia="宋体" w:cs="Times New Roman"/>
          <w:sz w:val="24"/>
        </w:rPr>
        <w:t>U</w:t>
      </w:r>
      <w:r>
        <w:rPr>
          <w:rFonts w:ascii="Times New Roman" w:hAnsi="宋体" w:eastAsia="宋体" w:cs="Times New Roman"/>
          <w:sz w:val="24"/>
        </w:rPr>
        <w:t>型钢支护，支护厚度为</w:t>
      </w:r>
      <w:r>
        <w:rPr>
          <w:rFonts w:ascii="Times New Roman" w:hAnsi="Times New Roman" w:eastAsia="宋体" w:cs="Times New Roman"/>
          <w:sz w:val="24"/>
        </w:rPr>
        <w:t>200mm</w:t>
      </w:r>
      <w:r>
        <w:rPr>
          <w:rFonts w:ascii="Times New Roman" w:hAnsi="宋体" w:eastAsia="宋体" w:cs="Times New Roman"/>
          <w:sz w:val="24"/>
        </w:rPr>
        <w:t>，支护长度为</w:t>
      </w:r>
      <w:r>
        <w:rPr>
          <w:rFonts w:ascii="Times New Roman" w:hAnsi="Times New Roman" w:eastAsia="宋体" w:cs="Times New Roman"/>
          <w:sz w:val="24"/>
        </w:rPr>
        <w:t>632m</w:t>
      </w:r>
      <w:r>
        <w:rPr>
          <w:rFonts w:ascii="Times New Roman" w:hAnsi="宋体" w:eastAsia="宋体" w:cs="Times New Roman"/>
          <w:sz w:val="24"/>
        </w:rPr>
        <w:t>，掘进面积为</w:t>
      </w:r>
      <w:r>
        <w:rPr>
          <w:rFonts w:ascii="Times New Roman" w:hAnsi="Times New Roman" w:eastAsia="宋体" w:cs="Times New Roman"/>
          <w:sz w:val="24"/>
        </w:rPr>
        <w:t>20.3m</w:t>
      </w:r>
      <w:r>
        <w:rPr>
          <w:rFonts w:ascii="Times New Roman" w:hAnsi="Times New Roman" w:eastAsia="宋体" w:cs="Times New Roman"/>
          <w:sz w:val="24"/>
          <w:vertAlign w:val="superscript"/>
        </w:rPr>
        <w:t>2</w:t>
      </w:r>
      <w:r>
        <w:rPr>
          <w:rFonts w:ascii="Times New Roman" w:hAnsi="宋体" w:eastAsia="宋体" w:cs="Times New Roman"/>
          <w:sz w:val="24"/>
        </w:rPr>
        <w:t>。</w:t>
      </w:r>
    </w:p>
    <w:p>
      <w:pPr>
        <w:pStyle w:val="85"/>
        <w:adjustRightInd/>
        <w:snapToGrid/>
        <w:ind w:firstLine="480"/>
        <w:rPr>
          <w:rFonts w:ascii="Times New Roman" w:hAnsi="Times New Roman" w:eastAsia="宋体" w:cs="Times New Roman"/>
          <w:sz w:val="24"/>
        </w:rPr>
      </w:pPr>
      <w:r>
        <w:rPr>
          <w:rFonts w:ascii="Times New Roman" w:hAnsi="宋体" w:eastAsia="宋体" w:cs="Times New Roman"/>
          <w:sz w:val="24"/>
        </w:rPr>
        <w:t>井筒砌碹混凝土强度等级为</w:t>
      </w:r>
      <w:r>
        <w:rPr>
          <w:rFonts w:ascii="Times New Roman" w:hAnsi="Times New Roman" w:eastAsia="宋体" w:cs="Times New Roman"/>
          <w:sz w:val="24"/>
        </w:rPr>
        <w:t>C30</w:t>
      </w:r>
      <w:r>
        <w:rPr>
          <w:rFonts w:ascii="Times New Roman" w:hAnsi="宋体" w:eastAsia="宋体" w:cs="Times New Roman"/>
          <w:sz w:val="24"/>
        </w:rPr>
        <w:t>，喷射混凝土强度等级为</w:t>
      </w:r>
      <w:r>
        <w:rPr>
          <w:rFonts w:ascii="Times New Roman" w:hAnsi="Times New Roman" w:eastAsia="宋体" w:cs="Times New Roman"/>
          <w:sz w:val="24"/>
        </w:rPr>
        <w:t>C20</w:t>
      </w:r>
      <w:r>
        <w:rPr>
          <w:rFonts w:ascii="Times New Roman" w:hAnsi="宋体" w:eastAsia="宋体" w:cs="Times New Roman"/>
          <w:sz w:val="24"/>
        </w:rPr>
        <w:t>。</w:t>
      </w:r>
    </w:p>
    <w:p>
      <w:pPr>
        <w:pStyle w:val="85"/>
        <w:adjustRightInd/>
        <w:snapToGrid/>
        <w:ind w:firstLine="480"/>
        <w:rPr>
          <w:rFonts w:ascii="Times New Roman" w:hAnsi="Times New Roman" w:eastAsia="宋体" w:cs="Times New Roman"/>
          <w:sz w:val="24"/>
        </w:rPr>
      </w:pPr>
      <w:r>
        <w:rPr>
          <w:rFonts w:ascii="Times New Roman" w:hAnsi="宋体" w:eastAsia="宋体" w:cs="Times New Roman"/>
          <w:sz w:val="24"/>
        </w:rPr>
        <w:t>回风立井井筒表土段（厚度约</w:t>
      </w:r>
      <w:r>
        <w:rPr>
          <w:rFonts w:ascii="Times New Roman" w:hAnsi="Times New Roman" w:eastAsia="宋体" w:cs="Times New Roman"/>
          <w:sz w:val="24"/>
        </w:rPr>
        <w:t>12m</w:t>
      </w:r>
      <w:r>
        <w:rPr>
          <w:rFonts w:ascii="Times New Roman" w:hAnsi="宋体" w:eastAsia="宋体" w:cs="Times New Roman"/>
          <w:sz w:val="24"/>
        </w:rPr>
        <w:t>）采用钢筋混凝土支护，厚度为</w:t>
      </w:r>
      <w:r>
        <w:rPr>
          <w:rFonts w:ascii="Times New Roman" w:hAnsi="Times New Roman" w:eastAsia="宋体" w:cs="Times New Roman"/>
          <w:sz w:val="24"/>
        </w:rPr>
        <w:t>450mm</w:t>
      </w:r>
      <w:r>
        <w:rPr>
          <w:rFonts w:ascii="Times New Roman" w:hAnsi="宋体" w:eastAsia="宋体" w:cs="Times New Roman"/>
          <w:sz w:val="24"/>
        </w:rPr>
        <w:t>，支护长度为</w:t>
      </w:r>
      <w:r>
        <w:rPr>
          <w:rFonts w:ascii="Times New Roman" w:hAnsi="Times New Roman" w:eastAsia="宋体" w:cs="Times New Roman"/>
          <w:sz w:val="24"/>
        </w:rPr>
        <w:t>52m</w:t>
      </w:r>
      <w:r>
        <w:rPr>
          <w:rFonts w:ascii="Times New Roman" w:hAnsi="宋体" w:eastAsia="宋体" w:cs="Times New Roman"/>
          <w:sz w:val="24"/>
        </w:rPr>
        <w:t>。基岩段采用素混凝土支护，厚度为</w:t>
      </w:r>
      <w:r>
        <w:rPr>
          <w:rFonts w:ascii="Times New Roman" w:hAnsi="Times New Roman" w:eastAsia="宋体" w:cs="Times New Roman"/>
          <w:sz w:val="24"/>
        </w:rPr>
        <w:t>400mm</w:t>
      </w:r>
      <w:r>
        <w:rPr>
          <w:rFonts w:ascii="Times New Roman" w:hAnsi="宋体" w:eastAsia="宋体" w:cs="Times New Roman"/>
          <w:sz w:val="24"/>
        </w:rPr>
        <w:t>，支护长度为</w:t>
      </w:r>
      <w:r>
        <w:rPr>
          <w:rFonts w:ascii="Times New Roman" w:hAnsi="Times New Roman" w:eastAsia="宋体" w:cs="Times New Roman"/>
          <w:sz w:val="24"/>
        </w:rPr>
        <w:t>74m</w:t>
      </w:r>
      <w:r>
        <w:rPr>
          <w:rFonts w:ascii="Times New Roman" w:hAnsi="宋体" w:eastAsia="宋体" w:cs="Times New Roman"/>
          <w:sz w:val="24"/>
        </w:rPr>
        <w:t>。混凝土强度等级为</w:t>
      </w:r>
      <w:r>
        <w:rPr>
          <w:rFonts w:ascii="Times New Roman" w:hAnsi="Times New Roman" w:eastAsia="宋体" w:cs="Times New Roman"/>
          <w:sz w:val="24"/>
        </w:rPr>
        <w:t>C30</w:t>
      </w:r>
      <w:r>
        <w:rPr>
          <w:rFonts w:ascii="Times New Roman" w:hAnsi="宋体" w:eastAsia="宋体" w:cs="Times New Roman"/>
          <w:sz w:val="24"/>
        </w:rPr>
        <w:t>。</w:t>
      </w:r>
    </w:p>
    <w:p>
      <w:pPr>
        <w:pStyle w:val="85"/>
        <w:adjustRightInd/>
        <w:snapToGrid/>
        <w:ind w:firstLine="480"/>
        <w:rPr>
          <w:rFonts w:ascii="Times New Roman" w:hAnsi="Times New Roman" w:eastAsia="宋体" w:cs="Times New Roman"/>
          <w:sz w:val="24"/>
        </w:rPr>
      </w:pPr>
      <w:r>
        <w:rPr>
          <w:rFonts w:ascii="Times New Roman" w:hAnsi="宋体" w:eastAsia="宋体" w:cs="Times New Roman"/>
          <w:sz w:val="24"/>
        </w:rPr>
        <w:t>考虑到井筒受采空区影响，井壁结构在设计时适当提高了支护强度，回风立井井筒纵向设置了可压缩井壁。</w:t>
      </w:r>
    </w:p>
    <w:p>
      <w:pPr>
        <w:pStyle w:val="85"/>
        <w:adjustRightInd/>
        <w:snapToGrid/>
        <w:ind w:firstLine="482"/>
        <w:rPr>
          <w:rFonts w:ascii="Times New Roman" w:hAnsi="Times New Roman" w:cs="Times New Roman"/>
          <w:sz w:val="24"/>
        </w:rPr>
      </w:pPr>
      <w:r>
        <w:rPr>
          <w:rFonts w:ascii="Times New Roman" w:hAnsi="Times New Roman" w:cs="Times New Roman"/>
          <w:b/>
          <w:sz w:val="24"/>
        </w:rPr>
        <w:t>变更后：</w:t>
      </w:r>
      <w:r>
        <w:rPr>
          <w:rFonts w:ascii="Times New Roman" w:hAnsi="Times New Roman" w:cs="Times New Roman"/>
          <w:sz w:val="24"/>
        </w:rPr>
        <w:t>主斜井井筒表土明挖段支护斜长为13m，采用钢筋混凝土支护，浇筑厚度为450mm；表土暗挖段支护斜长为276m，采用网+U型+喷砼+钢筋混凝土支护，浇筑厚度为450mm，喷射混凝土为50mm，支护总厚度为500mm；基岩段支护斜长为684m，采用“锚+网+索+喷砼”支护，支护厚度为150mm。基岩破碎段采用“锚+网+U型钢+喷砼”，支护厚度为200mm。浇筑混凝土强度等级为C30，喷射混凝土强度等级为C20。</w:t>
      </w:r>
    </w:p>
    <w:p>
      <w:pPr>
        <w:spacing w:line="360" w:lineRule="auto"/>
        <w:rPr>
          <w:rFonts w:eastAsiaTheme="minorEastAsia"/>
          <w:sz w:val="24"/>
        </w:rPr>
      </w:pPr>
      <w:r>
        <w:rPr>
          <w:rFonts w:eastAsiaTheme="minorEastAsia"/>
          <w:sz w:val="24"/>
        </w:rPr>
        <w:t xml:space="preserve">    副斜井井筒表土明挖段 支护斜长为16m，采用钢筋混凝土支护，浇筑厚度为450mm；表土暗挖段支护斜长为285m，采用网+U型+喷砼+钢筋混凝土支护，浇筑厚度为450mm，喷射混凝土为50mm，支护总厚度为500mm；基岩段支护斜长为460m，采用“锚+网+索+喷砼”支护，支护厚度为150mm。基岩破碎段采用“锚+网+U型钢+喷砼”，支护厚度为200mm。浇筑混凝土强度等级为C30，喷射混凝土强度等级为C20。</w:t>
      </w:r>
    </w:p>
    <w:p>
      <w:pPr>
        <w:spacing w:line="360" w:lineRule="auto"/>
        <w:rPr>
          <w:rFonts w:eastAsiaTheme="minorEastAsia"/>
          <w:sz w:val="24"/>
        </w:rPr>
      </w:pPr>
      <w:r>
        <w:rPr>
          <w:rFonts w:eastAsiaTheme="minorEastAsia"/>
          <w:sz w:val="24"/>
        </w:rPr>
        <w:t>回风立井井筒采用钢筋混凝土支护，厚度为500mm，支护深度为240m。混凝土强度等级为C30。</w:t>
      </w:r>
    </w:p>
    <w:p>
      <w:pPr>
        <w:spacing w:line="360" w:lineRule="auto"/>
        <w:outlineLvl w:val="3"/>
        <w:rPr>
          <w:rFonts w:eastAsiaTheme="minorEastAsia"/>
          <w:b/>
          <w:sz w:val="24"/>
        </w:rPr>
      </w:pPr>
      <w:r>
        <w:rPr>
          <w:rFonts w:eastAsiaTheme="minorEastAsia"/>
          <w:b/>
          <w:sz w:val="24"/>
        </w:rPr>
        <w:t>3.3.2.8</w:t>
      </w:r>
      <w:r>
        <w:rPr>
          <w:rFonts w:hAnsiTheme="minorEastAsia" w:eastAsiaTheme="minorEastAsia"/>
          <w:b/>
          <w:sz w:val="24"/>
        </w:rPr>
        <w:t>井底车场及硐室</w:t>
      </w:r>
    </w:p>
    <w:p>
      <w:pPr>
        <w:pStyle w:val="85"/>
        <w:adjustRightInd/>
        <w:snapToGrid/>
        <w:ind w:firstLine="482"/>
        <w:rPr>
          <w:rFonts w:ascii="Times New Roman" w:cs="Times New Roman" w:hAnsiTheme="minorEastAsia"/>
          <w:b/>
          <w:color w:val="auto"/>
          <w:sz w:val="24"/>
          <w:szCs w:val="24"/>
        </w:rPr>
      </w:pPr>
      <w:r>
        <w:rPr>
          <w:rFonts w:hint="eastAsia" w:ascii="Times New Roman" w:cs="Times New Roman" w:hAnsiTheme="minorEastAsia"/>
          <w:b/>
          <w:color w:val="auto"/>
          <w:sz w:val="24"/>
          <w:szCs w:val="24"/>
        </w:rPr>
        <w:t>原环评：</w:t>
      </w:r>
    </w:p>
    <w:p>
      <w:pPr>
        <w:pStyle w:val="85"/>
        <w:adjustRightInd/>
        <w:snapToGrid/>
        <w:ind w:firstLine="482"/>
        <w:rPr>
          <w:rFonts w:ascii="Times New Roman" w:hAnsi="Times New Roman" w:cs="Times New Roman"/>
          <w:b/>
          <w:color w:val="auto"/>
          <w:sz w:val="24"/>
          <w:szCs w:val="24"/>
        </w:rPr>
      </w:pPr>
      <w:r>
        <w:rPr>
          <w:rFonts w:ascii="Times New Roman" w:cs="Times New Roman" w:hAnsiTheme="minorEastAsia"/>
          <w:b/>
          <w:color w:val="auto"/>
          <w:sz w:val="24"/>
          <w:szCs w:val="24"/>
        </w:rPr>
        <w:t>（一）井底车场</w:t>
      </w:r>
    </w:p>
    <w:p>
      <w:pPr>
        <w:pStyle w:val="85"/>
        <w:adjustRightInd/>
        <w:snapToGrid/>
        <w:ind w:firstLine="480"/>
        <w:rPr>
          <w:rFonts w:ascii="Times New Roman" w:cs="Times New Roman" w:hAnsiTheme="minorEastAsia"/>
          <w:color w:val="auto"/>
          <w:sz w:val="24"/>
          <w:szCs w:val="24"/>
        </w:rPr>
      </w:pPr>
      <w:r>
        <w:rPr>
          <w:rFonts w:hint="eastAsia" w:ascii="Times New Roman" w:hAnsi="宋体" w:eastAsia="宋体" w:cs="Times New Roman"/>
          <w:color w:val="auto"/>
          <w:sz w:val="24"/>
          <w:szCs w:val="24"/>
        </w:rPr>
        <w:t>根据矿井开拓部署、井下大巷的运输方式以及工业场地布置等，从减少初期井巷工程量、缩短建设工期以及有利于硐室维护等方面综合考虑，并结合开拓巷道实际布置，本次设计推荐井底车场型式采用平车场布置形式，车场石门与下山直接相联</w:t>
      </w:r>
      <w:r>
        <w:rPr>
          <w:rFonts w:hint="eastAsia" w:ascii="Times New Roman" w:cs="Times New Roman" w:hAnsiTheme="minorEastAsia"/>
          <w:color w:val="auto"/>
          <w:sz w:val="24"/>
          <w:szCs w:val="24"/>
        </w:rPr>
        <w:t>。</w:t>
      </w:r>
    </w:p>
    <w:p>
      <w:pPr>
        <w:pStyle w:val="85"/>
        <w:adjustRightInd/>
        <w:snapToGrid/>
        <w:ind w:firstLine="482"/>
        <w:rPr>
          <w:rFonts w:ascii="Times New Roman" w:hAnsi="Times New Roman" w:cs="Times New Roman"/>
          <w:b/>
          <w:color w:val="auto"/>
          <w:sz w:val="24"/>
          <w:szCs w:val="24"/>
        </w:rPr>
      </w:pPr>
      <w:r>
        <w:rPr>
          <w:rFonts w:ascii="Times New Roman" w:cs="Times New Roman" w:hAnsiTheme="minorEastAsia"/>
          <w:b/>
          <w:color w:val="auto"/>
          <w:sz w:val="24"/>
          <w:szCs w:val="24"/>
        </w:rPr>
        <w:t>（二）井底车场主要硐室</w:t>
      </w:r>
    </w:p>
    <w:p>
      <w:pPr>
        <w:pStyle w:val="85"/>
        <w:adjustRightInd/>
        <w:snapToGrid/>
        <w:ind w:firstLine="480"/>
        <w:rPr>
          <w:rFonts w:ascii="Times New Roman" w:hAnsi="Times New Roman" w:eastAsia="宋体" w:cs="Times New Roman"/>
          <w:sz w:val="24"/>
          <w:szCs w:val="24"/>
        </w:rPr>
      </w:pPr>
      <w:r>
        <w:rPr>
          <w:rFonts w:hint="eastAsia" w:ascii="Times New Roman" w:hAnsi="宋体" w:eastAsia="宋体" w:cs="Times New Roman"/>
          <w:sz w:val="24"/>
          <w:szCs w:val="24"/>
        </w:rPr>
        <w:t>1、</w:t>
      </w:r>
      <w:r>
        <w:rPr>
          <w:rFonts w:ascii="Times New Roman" w:hAnsi="宋体" w:eastAsia="宋体" w:cs="Times New Roman"/>
          <w:sz w:val="24"/>
          <w:szCs w:val="24"/>
        </w:rPr>
        <w:t>主斜井系统硐室</w:t>
      </w:r>
    </w:p>
    <w:p>
      <w:pPr>
        <w:pStyle w:val="85"/>
        <w:adjustRightInd/>
        <w:snapToGrid/>
        <w:ind w:firstLine="480"/>
        <w:rPr>
          <w:rFonts w:ascii="Times New Roman" w:hAnsi="Times New Roman" w:eastAsia="宋体" w:cs="Times New Roman"/>
          <w:sz w:val="24"/>
          <w:szCs w:val="24"/>
        </w:rPr>
      </w:pPr>
      <w:r>
        <w:rPr>
          <w:rFonts w:ascii="Times New Roman" w:hAnsi="宋体" w:eastAsia="宋体" w:cs="Times New Roman"/>
          <w:sz w:val="24"/>
          <w:szCs w:val="24"/>
        </w:rPr>
        <w:t>主斜井系统硐室主要包括：井底煤仓，井底清理撒煤硐室等。</w:t>
      </w:r>
    </w:p>
    <w:p>
      <w:pPr>
        <w:pStyle w:val="85"/>
        <w:adjustRightInd/>
        <w:snapToGrid/>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宋体" w:eastAsia="宋体" w:cs="Times New Roman"/>
          <w:sz w:val="24"/>
          <w:szCs w:val="24"/>
        </w:rPr>
        <w:t>井底煤仓</w:t>
      </w:r>
    </w:p>
    <w:p>
      <w:pPr>
        <w:spacing w:line="360" w:lineRule="auto"/>
        <w:ind w:firstLine="480" w:firstLineChars="200"/>
        <w:rPr>
          <w:sz w:val="24"/>
        </w:rPr>
      </w:pPr>
      <w:r>
        <w:rPr>
          <w:rFonts w:hAnsi="宋体"/>
          <w:sz w:val="24"/>
        </w:rPr>
        <w:t>本矿井主斜井与</w:t>
      </w:r>
      <w:r>
        <w:rPr>
          <w:sz w:val="24"/>
        </w:rPr>
        <w:t>+740m</w:t>
      </w:r>
      <w:r>
        <w:rPr>
          <w:rFonts w:hAnsi="宋体"/>
          <w:sz w:val="24"/>
        </w:rPr>
        <w:t>胶带机石门之间设</w:t>
      </w:r>
      <w:r>
        <w:rPr>
          <w:sz w:val="24"/>
        </w:rPr>
        <w:t>1</w:t>
      </w:r>
      <w:r>
        <w:rPr>
          <w:rFonts w:hAnsi="宋体"/>
          <w:sz w:val="24"/>
        </w:rPr>
        <w:t>个井底煤仓，净直径为</w:t>
      </w:r>
      <w:r>
        <w:rPr>
          <w:sz w:val="24"/>
        </w:rPr>
        <w:t>6.0m</w:t>
      </w:r>
      <w:r>
        <w:rPr>
          <w:rFonts w:hAnsi="宋体"/>
          <w:sz w:val="24"/>
        </w:rPr>
        <w:t>，煤仓上口标高为</w:t>
      </w:r>
      <w:r>
        <w:rPr>
          <w:sz w:val="24"/>
        </w:rPr>
        <w:t>+740m</w:t>
      </w:r>
      <w:r>
        <w:rPr>
          <w:rFonts w:hAnsi="宋体"/>
          <w:sz w:val="24"/>
        </w:rPr>
        <w:t>，下口标高为</w:t>
      </w:r>
      <w:r>
        <w:rPr>
          <w:sz w:val="24"/>
        </w:rPr>
        <w:t>+700m</w:t>
      </w:r>
      <w:r>
        <w:rPr>
          <w:rFonts w:hAnsi="宋体"/>
          <w:sz w:val="24"/>
        </w:rPr>
        <w:t>。煤仓上口通过联络巷与回风大巷沟通，以解决皮带机机头通风问题。煤仓上下锁口均采用钢筋混凝土结构，仓体采用混凝土结构，煤仓底部设有压风清扫系统，上口设有满载和空载信号，煤仓有效总容积约为</w:t>
      </w:r>
      <w:r>
        <w:rPr>
          <w:sz w:val="24"/>
        </w:rPr>
        <w:t>950t</w:t>
      </w:r>
      <w:r>
        <w:rPr>
          <w:rFonts w:hAnsi="宋体"/>
          <w:sz w:val="24"/>
        </w:rPr>
        <w:t>。</w:t>
      </w:r>
    </w:p>
    <w:p>
      <w:pPr>
        <w:spacing w:line="360" w:lineRule="auto"/>
        <w:ind w:firstLine="480" w:firstLineChars="200"/>
        <w:rPr>
          <w:sz w:val="24"/>
        </w:rPr>
      </w:pPr>
      <w:r>
        <w:rPr>
          <w:rFonts w:hint="eastAsia"/>
          <w:sz w:val="24"/>
        </w:rPr>
        <w:t>（2）</w:t>
      </w:r>
      <w:r>
        <w:rPr>
          <w:rFonts w:hAnsi="宋体"/>
          <w:sz w:val="24"/>
        </w:rPr>
        <w:t>井底清理撒煤硐室</w:t>
      </w:r>
    </w:p>
    <w:p>
      <w:pPr>
        <w:spacing w:line="360" w:lineRule="auto"/>
        <w:ind w:firstLine="480" w:firstLineChars="200"/>
        <w:rPr>
          <w:sz w:val="24"/>
        </w:rPr>
      </w:pPr>
      <w:r>
        <w:rPr>
          <w:rFonts w:hAnsi="宋体"/>
          <w:sz w:val="24"/>
        </w:rPr>
        <w:t>主斜井施工至</w:t>
      </w:r>
      <w:r>
        <w:rPr>
          <w:sz w:val="24"/>
        </w:rPr>
        <w:t>+700m</w:t>
      </w:r>
      <w:r>
        <w:rPr>
          <w:rFonts w:hAnsi="宋体"/>
          <w:sz w:val="24"/>
        </w:rPr>
        <w:t>水平，故主斜井井底清理撒煤系统设在</w:t>
      </w:r>
      <w:r>
        <w:rPr>
          <w:sz w:val="24"/>
        </w:rPr>
        <w:t>+700m</w:t>
      </w:r>
      <w:r>
        <w:rPr>
          <w:rFonts w:hAnsi="宋体"/>
          <w:sz w:val="24"/>
        </w:rPr>
        <w:t>车场水平。主斜井井筒内的撒煤沉淀后装入矿车，运至井底车场，由副斜井提升至地面。</w:t>
      </w:r>
    </w:p>
    <w:p>
      <w:pPr>
        <w:spacing w:line="360" w:lineRule="auto"/>
        <w:ind w:firstLine="480" w:firstLineChars="200"/>
        <w:rPr>
          <w:sz w:val="24"/>
        </w:rPr>
      </w:pPr>
      <w:r>
        <w:rPr>
          <w:rFonts w:hint="eastAsia" w:hAnsi="宋体"/>
          <w:sz w:val="24"/>
        </w:rPr>
        <w:t>2、</w:t>
      </w:r>
      <w:r>
        <w:rPr>
          <w:rFonts w:hAnsi="宋体"/>
          <w:sz w:val="24"/>
        </w:rPr>
        <w:t>副斜井系统硐室</w:t>
      </w:r>
    </w:p>
    <w:p>
      <w:pPr>
        <w:spacing w:line="360" w:lineRule="auto"/>
        <w:ind w:firstLine="480" w:firstLineChars="200"/>
        <w:rPr>
          <w:sz w:val="24"/>
        </w:rPr>
      </w:pPr>
      <w:r>
        <w:rPr>
          <w:rFonts w:hAnsi="宋体"/>
          <w:sz w:val="24"/>
        </w:rPr>
        <w:t>副斜井系统硐室主要包括：中央变电所、中央水泵房、管子道、水仓等。</w:t>
      </w:r>
    </w:p>
    <w:p>
      <w:pPr>
        <w:spacing w:line="360" w:lineRule="auto"/>
        <w:ind w:firstLine="480" w:firstLineChars="200"/>
        <w:rPr>
          <w:sz w:val="24"/>
        </w:rPr>
      </w:pPr>
      <w:r>
        <w:rPr>
          <w:rFonts w:hint="eastAsia"/>
          <w:sz w:val="24"/>
        </w:rPr>
        <w:t>（1）</w:t>
      </w:r>
      <w:r>
        <w:rPr>
          <w:rFonts w:hAnsi="宋体"/>
          <w:sz w:val="24"/>
        </w:rPr>
        <w:t>中央变电所、中央水泵房及管子道</w:t>
      </w:r>
    </w:p>
    <w:p>
      <w:pPr>
        <w:spacing w:line="360" w:lineRule="auto"/>
        <w:ind w:firstLine="480" w:firstLineChars="200"/>
        <w:rPr>
          <w:sz w:val="24"/>
        </w:rPr>
      </w:pPr>
      <w:r>
        <w:rPr>
          <w:rFonts w:hAnsi="宋体"/>
          <w:sz w:val="24"/>
        </w:rPr>
        <w:t>中央变电所和中央水泵房采用联合布置形式，管子道位于中央水</w:t>
      </w:r>
    </w:p>
    <w:p>
      <w:pPr>
        <w:spacing w:line="360" w:lineRule="auto"/>
        <w:ind w:firstLine="200"/>
        <w:rPr>
          <w:sz w:val="24"/>
        </w:rPr>
      </w:pPr>
      <w:r>
        <w:rPr>
          <w:rFonts w:hAnsi="宋体"/>
          <w:sz w:val="24"/>
        </w:rPr>
        <w:t>泵房的东侧。</w:t>
      </w:r>
    </w:p>
    <w:p>
      <w:pPr>
        <w:spacing w:line="360" w:lineRule="auto"/>
        <w:ind w:firstLine="480" w:firstLineChars="200"/>
        <w:rPr>
          <w:sz w:val="24"/>
        </w:rPr>
      </w:pPr>
      <w:r>
        <w:rPr>
          <w:rFonts w:hAnsi="宋体"/>
          <w:sz w:val="24"/>
        </w:rPr>
        <w:t>中央水泵房净宽</w:t>
      </w:r>
      <w:r>
        <w:rPr>
          <w:sz w:val="24"/>
        </w:rPr>
        <w:t>4.5m</w:t>
      </w:r>
      <w:r>
        <w:rPr>
          <w:rFonts w:hAnsi="宋体"/>
          <w:sz w:val="24"/>
        </w:rPr>
        <w:t>，净高</w:t>
      </w:r>
      <w:r>
        <w:rPr>
          <w:sz w:val="24"/>
        </w:rPr>
        <w:t>4.5m</w:t>
      </w:r>
      <w:r>
        <w:rPr>
          <w:rFonts w:hAnsi="宋体"/>
          <w:sz w:val="24"/>
        </w:rPr>
        <w:t>，长</w:t>
      </w:r>
      <w:r>
        <w:rPr>
          <w:sz w:val="24"/>
        </w:rPr>
        <w:t>35m</w:t>
      </w:r>
      <w:r>
        <w:rPr>
          <w:rFonts w:hAnsi="宋体"/>
          <w:sz w:val="24"/>
        </w:rPr>
        <w:t>。采用直墙半圆拱断面、钢筋混凝土支护。</w:t>
      </w:r>
    </w:p>
    <w:p>
      <w:pPr>
        <w:spacing w:line="360" w:lineRule="auto"/>
        <w:ind w:firstLine="480" w:firstLineChars="200"/>
        <w:rPr>
          <w:sz w:val="24"/>
        </w:rPr>
      </w:pPr>
      <w:r>
        <w:rPr>
          <w:rFonts w:hAnsi="宋体"/>
          <w:sz w:val="24"/>
        </w:rPr>
        <w:t>中央变电所位于水泵房的西侧，净宽</w:t>
      </w:r>
      <w:r>
        <w:rPr>
          <w:sz w:val="24"/>
        </w:rPr>
        <w:t>4.8m</w:t>
      </w:r>
      <w:r>
        <w:rPr>
          <w:rFonts w:hAnsi="宋体"/>
          <w:sz w:val="24"/>
        </w:rPr>
        <w:t>，净高</w:t>
      </w:r>
      <w:r>
        <w:rPr>
          <w:sz w:val="24"/>
        </w:rPr>
        <w:t>4.0m</w:t>
      </w:r>
      <w:r>
        <w:rPr>
          <w:rFonts w:hAnsi="宋体"/>
          <w:sz w:val="24"/>
        </w:rPr>
        <w:t>，长</w:t>
      </w:r>
      <w:r>
        <w:rPr>
          <w:sz w:val="24"/>
        </w:rPr>
        <w:t>45m</w:t>
      </w:r>
      <w:r>
        <w:rPr>
          <w:rFonts w:hAnsi="宋体"/>
          <w:sz w:val="24"/>
        </w:rPr>
        <w:t>。采用直墙半圆拱断面、钢筋混凝土支护。</w:t>
      </w:r>
    </w:p>
    <w:p>
      <w:pPr>
        <w:spacing w:line="360" w:lineRule="auto"/>
        <w:ind w:firstLine="480" w:firstLineChars="200"/>
        <w:rPr>
          <w:sz w:val="24"/>
        </w:rPr>
      </w:pPr>
      <w:r>
        <w:rPr>
          <w:rFonts w:hint="eastAsia"/>
          <w:sz w:val="24"/>
        </w:rPr>
        <w:t>（2）</w:t>
      </w:r>
      <w:r>
        <w:rPr>
          <w:rFonts w:hAnsi="宋体"/>
          <w:sz w:val="24"/>
        </w:rPr>
        <w:t>水仓</w:t>
      </w:r>
    </w:p>
    <w:p>
      <w:pPr>
        <w:spacing w:line="360" w:lineRule="auto"/>
        <w:ind w:firstLine="480" w:firstLineChars="200"/>
        <w:rPr>
          <w:sz w:val="24"/>
        </w:rPr>
      </w:pPr>
      <w:r>
        <w:rPr>
          <w:rFonts w:hAnsi="宋体"/>
          <w:sz w:val="24"/>
        </w:rPr>
        <w:t>考虑到本矿井采空区疏水、井下消防洒水、防火灌浆等水量，本矿井正常排水量为</w:t>
      </w:r>
      <w:r>
        <w:rPr>
          <w:sz w:val="24"/>
        </w:rPr>
        <w:t>204m</w:t>
      </w:r>
      <w:r>
        <w:rPr>
          <w:sz w:val="24"/>
          <w:vertAlign w:val="superscript"/>
        </w:rPr>
        <w:t>3</w:t>
      </w:r>
      <w:r>
        <w:rPr>
          <w:sz w:val="24"/>
        </w:rPr>
        <w:t>/h</w:t>
      </w:r>
      <w:r>
        <w:rPr>
          <w:rFonts w:hAnsi="宋体"/>
          <w:sz w:val="24"/>
        </w:rPr>
        <w:t>，按</w:t>
      </w:r>
      <w:r>
        <w:rPr>
          <w:sz w:val="24"/>
        </w:rPr>
        <w:t>8</w:t>
      </w:r>
      <w:r>
        <w:rPr>
          <w:rFonts w:hAnsi="宋体"/>
          <w:sz w:val="24"/>
        </w:rPr>
        <w:t>小时正常排水量计算，水仓有效容积为</w:t>
      </w:r>
      <w:r>
        <w:rPr>
          <w:sz w:val="24"/>
        </w:rPr>
        <w:t>1632m</w:t>
      </w:r>
      <w:r>
        <w:rPr>
          <w:sz w:val="24"/>
          <w:vertAlign w:val="superscript"/>
        </w:rPr>
        <w:t>3</w:t>
      </w:r>
      <w:r>
        <w:rPr>
          <w:rFonts w:hAnsi="宋体"/>
          <w:sz w:val="24"/>
        </w:rPr>
        <w:t>。水仓分为主仓和副仓，当一个水仓清理时，另一个能正常使用。水仓净断面为</w:t>
      </w:r>
      <w:r>
        <w:rPr>
          <w:sz w:val="24"/>
        </w:rPr>
        <w:t>6.9m</w:t>
      </w:r>
      <w:r>
        <w:rPr>
          <w:sz w:val="24"/>
          <w:vertAlign w:val="superscript"/>
        </w:rPr>
        <w:t>2</w:t>
      </w:r>
      <w:r>
        <w:rPr>
          <w:rFonts w:hAnsi="宋体"/>
          <w:sz w:val="24"/>
        </w:rPr>
        <w:t>，水仓有效长度为</w:t>
      </w:r>
      <w:r>
        <w:rPr>
          <w:sz w:val="24"/>
        </w:rPr>
        <w:t>240m</w:t>
      </w:r>
      <w:r>
        <w:rPr>
          <w:rFonts w:hAnsi="宋体"/>
          <w:sz w:val="24"/>
        </w:rPr>
        <w:t>。采用混凝土支护。采用矿车清理。</w:t>
      </w:r>
    </w:p>
    <w:p>
      <w:pPr>
        <w:spacing w:line="360" w:lineRule="auto"/>
        <w:ind w:firstLine="480" w:firstLineChars="200"/>
        <w:rPr>
          <w:sz w:val="24"/>
        </w:rPr>
      </w:pPr>
      <w:r>
        <w:rPr>
          <w:rFonts w:hAnsi="宋体"/>
          <w:sz w:val="24"/>
        </w:rPr>
        <w:t>（三）其它硐室</w:t>
      </w:r>
    </w:p>
    <w:p>
      <w:pPr>
        <w:spacing w:line="360" w:lineRule="auto"/>
        <w:ind w:firstLine="480" w:firstLineChars="200"/>
        <w:rPr>
          <w:sz w:val="24"/>
        </w:rPr>
      </w:pPr>
      <w:r>
        <w:rPr>
          <w:rFonts w:hAnsi="宋体"/>
          <w:sz w:val="24"/>
        </w:rPr>
        <w:t>本车场内还设有等候室、医疗室、调度室、消防材料库等硐室。</w:t>
      </w:r>
    </w:p>
    <w:p>
      <w:pPr>
        <w:spacing w:line="360" w:lineRule="auto"/>
        <w:ind w:firstLine="482" w:firstLineChars="200"/>
        <w:rPr>
          <w:rFonts w:eastAsiaTheme="minorEastAsia"/>
          <w:b/>
          <w:sz w:val="24"/>
        </w:rPr>
      </w:pPr>
      <w:r>
        <w:rPr>
          <w:rFonts w:hint="eastAsia" w:eastAsiaTheme="minorEastAsia"/>
          <w:b/>
          <w:sz w:val="24"/>
        </w:rPr>
        <w:t>变更后：</w:t>
      </w:r>
    </w:p>
    <w:p>
      <w:pPr>
        <w:pStyle w:val="85"/>
        <w:adjustRightInd/>
        <w:snapToGrid/>
        <w:ind w:firstLine="482"/>
        <w:rPr>
          <w:rFonts w:ascii="Times New Roman" w:hAnsi="Times New Roman" w:cs="Times New Roman"/>
          <w:b/>
          <w:color w:val="auto"/>
          <w:sz w:val="24"/>
          <w:szCs w:val="24"/>
        </w:rPr>
      </w:pPr>
      <w:r>
        <w:rPr>
          <w:rFonts w:ascii="Times New Roman" w:cs="Times New Roman" w:hAnsiTheme="minorEastAsia"/>
          <w:b/>
          <w:color w:val="auto"/>
          <w:sz w:val="24"/>
          <w:szCs w:val="24"/>
        </w:rPr>
        <w:t>（一）井底车场</w:t>
      </w:r>
    </w:p>
    <w:p>
      <w:pPr>
        <w:pStyle w:val="85"/>
        <w:adjustRightInd/>
        <w:snapToGrid/>
        <w:ind w:firstLine="480"/>
        <w:rPr>
          <w:rFonts w:ascii="Times New Roman" w:cs="Times New Roman" w:hAnsiTheme="minorEastAsia"/>
          <w:color w:val="auto"/>
          <w:sz w:val="24"/>
          <w:szCs w:val="24"/>
        </w:rPr>
      </w:pPr>
      <w:r>
        <w:rPr>
          <w:rFonts w:hint="eastAsia" w:ascii="Times New Roman" w:cs="Times New Roman" w:hAnsiTheme="minorEastAsia"/>
          <w:color w:val="auto"/>
          <w:sz w:val="24"/>
          <w:szCs w:val="24"/>
        </w:rPr>
        <w:t>同原环评，无变更。</w:t>
      </w:r>
    </w:p>
    <w:p>
      <w:pPr>
        <w:pStyle w:val="85"/>
        <w:adjustRightInd/>
        <w:snapToGrid/>
        <w:ind w:firstLine="482"/>
        <w:rPr>
          <w:rFonts w:ascii="Times New Roman" w:hAnsi="Times New Roman" w:cs="Times New Roman"/>
          <w:b/>
          <w:color w:val="auto"/>
          <w:sz w:val="24"/>
          <w:szCs w:val="24"/>
        </w:rPr>
      </w:pPr>
      <w:r>
        <w:rPr>
          <w:rFonts w:ascii="Times New Roman" w:cs="Times New Roman" w:hAnsiTheme="minorEastAsia"/>
          <w:b/>
          <w:color w:val="auto"/>
          <w:sz w:val="24"/>
          <w:szCs w:val="24"/>
        </w:rPr>
        <w:t>（二）井底车场主要硐室</w:t>
      </w:r>
    </w:p>
    <w:p>
      <w:pPr>
        <w:pStyle w:val="85"/>
        <w:adjustRightInd/>
        <w:snapToGrid/>
        <w:ind w:firstLine="480"/>
        <w:rPr>
          <w:rFonts w:ascii="Times New Roman" w:hAnsi="Times New Roman" w:eastAsia="宋体" w:cs="Times New Roman"/>
          <w:sz w:val="24"/>
          <w:szCs w:val="24"/>
        </w:rPr>
      </w:pPr>
      <w:r>
        <w:rPr>
          <w:rFonts w:hint="eastAsia" w:ascii="Times New Roman" w:hAnsi="宋体" w:eastAsia="宋体" w:cs="Times New Roman"/>
          <w:sz w:val="24"/>
          <w:szCs w:val="24"/>
        </w:rPr>
        <w:t>1、</w:t>
      </w:r>
      <w:r>
        <w:rPr>
          <w:rFonts w:ascii="Times New Roman" w:hAnsi="宋体" w:eastAsia="宋体" w:cs="Times New Roman"/>
          <w:sz w:val="24"/>
          <w:szCs w:val="24"/>
        </w:rPr>
        <w:t>主斜井系统硐室</w:t>
      </w:r>
    </w:p>
    <w:p>
      <w:pPr>
        <w:pStyle w:val="85"/>
        <w:adjustRightInd/>
        <w:snapToGrid/>
        <w:ind w:firstLine="480"/>
        <w:rPr>
          <w:rFonts w:hAnsiTheme="minorEastAsia"/>
          <w:sz w:val="24"/>
        </w:rPr>
      </w:pPr>
      <w:r>
        <w:rPr>
          <w:rFonts w:hint="eastAsia" w:hAnsiTheme="minorEastAsia"/>
          <w:sz w:val="24"/>
        </w:rPr>
        <w:t>同原初步设计，主斜井系统硐室主要包括：井底煤仓，井底清理撒煤撒煤硐室等。</w:t>
      </w:r>
    </w:p>
    <w:p>
      <w:pPr>
        <w:pStyle w:val="85"/>
        <w:adjustRightInd/>
        <w:snapToGrid/>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宋体" w:eastAsia="宋体" w:cs="Times New Roman"/>
          <w:sz w:val="24"/>
          <w:szCs w:val="24"/>
        </w:rPr>
        <w:t>井底煤仓</w:t>
      </w:r>
    </w:p>
    <w:p>
      <w:pPr>
        <w:spacing w:line="360" w:lineRule="auto"/>
        <w:ind w:firstLine="480" w:firstLineChars="200"/>
        <w:rPr>
          <w:rFonts w:hAnsiTheme="minorEastAsia" w:eastAsiaTheme="minorEastAsia"/>
          <w:sz w:val="24"/>
        </w:rPr>
      </w:pPr>
      <w:r>
        <w:rPr>
          <w:rFonts w:hint="eastAsia" w:hAnsiTheme="minorEastAsia" w:eastAsiaTheme="minorEastAsia"/>
          <w:sz w:val="24"/>
        </w:rPr>
        <w:t>本矿井主斜井与胶带机石门之间设1个井底煤仓，净直径为6.0m，煤仓上口标高为+776m，下口标高为+736m。煤仓上口通过联络巷与井底车场沟通，以解决皮带机机头通风问题。煤仓上下锁口均采用钢筋混凝土结构，仓体采用混凝土结构，煤仓底部设有压风清扫系统，上口设有满载和空载信号，煤仓有效总容积约为950t。</w:t>
      </w:r>
    </w:p>
    <w:p>
      <w:pPr>
        <w:spacing w:line="360" w:lineRule="auto"/>
        <w:ind w:firstLine="480" w:firstLineChars="200"/>
        <w:rPr>
          <w:sz w:val="24"/>
        </w:rPr>
      </w:pPr>
      <w:r>
        <w:rPr>
          <w:rFonts w:hint="eastAsia"/>
          <w:sz w:val="24"/>
        </w:rPr>
        <w:t>（2）</w:t>
      </w:r>
      <w:r>
        <w:rPr>
          <w:rFonts w:hAnsi="宋体"/>
          <w:sz w:val="24"/>
        </w:rPr>
        <w:t>井底清理撒煤硐室</w:t>
      </w:r>
    </w:p>
    <w:p>
      <w:pPr>
        <w:spacing w:line="360" w:lineRule="auto"/>
        <w:ind w:firstLine="480" w:firstLineChars="200"/>
        <w:rPr>
          <w:rFonts w:hAnsiTheme="minorEastAsia" w:eastAsiaTheme="minorEastAsia"/>
          <w:sz w:val="24"/>
        </w:rPr>
      </w:pPr>
      <w:r>
        <w:rPr>
          <w:rFonts w:hint="eastAsia" w:hAnsiTheme="minorEastAsia" w:eastAsiaTheme="minorEastAsia"/>
          <w:sz w:val="24"/>
        </w:rPr>
        <w:t>主斜井井底清理撒煤系统设在主斜井井底，通过清理斜巷与+750m井底车场联接。</w:t>
      </w:r>
    </w:p>
    <w:p>
      <w:pPr>
        <w:spacing w:line="360" w:lineRule="auto"/>
        <w:ind w:firstLine="480" w:firstLineChars="200"/>
        <w:rPr>
          <w:sz w:val="24"/>
        </w:rPr>
      </w:pPr>
      <w:r>
        <w:rPr>
          <w:rFonts w:hint="eastAsia" w:hAnsi="宋体"/>
          <w:sz w:val="24"/>
        </w:rPr>
        <w:t>2、</w:t>
      </w:r>
      <w:r>
        <w:rPr>
          <w:rFonts w:hAnsi="宋体"/>
          <w:sz w:val="24"/>
        </w:rPr>
        <w:t>副斜井系统硐室</w:t>
      </w:r>
    </w:p>
    <w:p>
      <w:pPr>
        <w:spacing w:line="360" w:lineRule="auto"/>
        <w:ind w:firstLine="480" w:firstLineChars="200"/>
        <w:rPr>
          <w:rFonts w:hAnsiTheme="minorEastAsia" w:eastAsiaTheme="minorEastAsia"/>
          <w:sz w:val="24"/>
        </w:rPr>
      </w:pPr>
      <w:r>
        <w:rPr>
          <w:rFonts w:hint="eastAsia" w:hAnsiTheme="minorEastAsia" w:eastAsiaTheme="minorEastAsia"/>
          <w:sz w:val="24"/>
        </w:rPr>
        <w:t>同原初步设计，无变更。副斜井系统硐室主要包括：井下主变电所、井下主水泵房、管子道、水仓等。</w:t>
      </w:r>
    </w:p>
    <w:p>
      <w:pPr>
        <w:pStyle w:val="85"/>
        <w:adjustRightInd/>
        <w:snapToGrid/>
        <w:ind w:firstLine="482"/>
        <w:rPr>
          <w:rFonts w:ascii="Times New Roman" w:cs="Times New Roman" w:hAnsiTheme="minorEastAsia"/>
          <w:b/>
          <w:color w:val="auto"/>
          <w:sz w:val="24"/>
          <w:szCs w:val="24"/>
        </w:rPr>
      </w:pPr>
      <w:r>
        <w:rPr>
          <w:rFonts w:hint="eastAsia" w:ascii="Times New Roman" w:cs="Times New Roman" w:hAnsiTheme="minorEastAsia"/>
          <w:b/>
          <w:color w:val="auto"/>
          <w:sz w:val="24"/>
          <w:szCs w:val="24"/>
        </w:rPr>
        <w:t>（三）其它硐室</w:t>
      </w:r>
    </w:p>
    <w:p>
      <w:pPr>
        <w:spacing w:line="360" w:lineRule="auto"/>
        <w:ind w:firstLine="480" w:firstLineChars="200"/>
        <w:rPr>
          <w:rFonts w:hAnsiTheme="minorEastAsia" w:eastAsiaTheme="minorEastAsia"/>
          <w:sz w:val="24"/>
        </w:rPr>
      </w:pPr>
      <w:r>
        <w:rPr>
          <w:rFonts w:hint="eastAsia" w:hAnsiTheme="minorEastAsia" w:eastAsiaTheme="minorEastAsia"/>
          <w:sz w:val="24"/>
        </w:rPr>
        <w:t>本次变更设计，取消调度室；井下增加井下避险设施硐室。</w:t>
      </w:r>
    </w:p>
    <w:p>
      <w:pPr>
        <w:spacing w:line="360" w:lineRule="auto"/>
        <w:ind w:firstLine="480" w:firstLineChars="200"/>
        <w:rPr>
          <w:rFonts w:hAnsiTheme="minorEastAsia" w:eastAsiaTheme="minorEastAsia"/>
          <w:sz w:val="24"/>
        </w:rPr>
      </w:pPr>
      <w:r>
        <w:rPr>
          <w:rFonts w:hint="eastAsia" w:hAnsiTheme="minorEastAsia" w:eastAsiaTheme="minorEastAsia"/>
          <w:sz w:val="24"/>
        </w:rPr>
        <w:t>变更后，井底车场内还设有消防材料库、井下避险设施硐室、等候室、医疗室等硐室。</w:t>
      </w:r>
    </w:p>
    <w:p>
      <w:pPr>
        <w:spacing w:line="360" w:lineRule="auto"/>
        <w:outlineLvl w:val="3"/>
        <w:rPr>
          <w:rFonts w:eastAsiaTheme="minorEastAsia"/>
          <w:b/>
          <w:sz w:val="24"/>
        </w:rPr>
      </w:pPr>
      <w:r>
        <w:rPr>
          <w:rFonts w:eastAsiaTheme="minorEastAsia"/>
          <w:b/>
          <w:sz w:val="24"/>
        </w:rPr>
        <w:t>3.3.2.9</w:t>
      </w:r>
      <w:r>
        <w:rPr>
          <w:rFonts w:hAnsiTheme="minorEastAsia" w:eastAsiaTheme="minorEastAsia"/>
          <w:b/>
          <w:sz w:val="24"/>
        </w:rPr>
        <w:t>井下运输</w:t>
      </w:r>
    </w:p>
    <w:p>
      <w:pPr>
        <w:pStyle w:val="111"/>
        <w:adjustRightInd/>
        <w:snapToGrid/>
        <w:spacing w:beforeLines="0" w:afterLines="0"/>
        <w:ind w:firstLine="482" w:firstLineChars="200"/>
        <w:outlineLvl w:val="9"/>
        <w:rPr>
          <w:rFonts w:ascii="Times New Roman" w:hAnsi="Times New Roman" w:cs="Times New Roman"/>
          <w:snapToGrid w:val="0"/>
          <w:color w:val="auto"/>
          <w:kern w:val="0"/>
          <w:sz w:val="24"/>
          <w:szCs w:val="24"/>
          <w:lang w:val="en-US"/>
        </w:rPr>
      </w:pPr>
      <w:r>
        <w:rPr>
          <w:rFonts w:hint="eastAsia" w:ascii="Times New Roman" w:hAnsi="Times New Roman" w:cs="Times New Roman"/>
          <w:snapToGrid w:val="0"/>
          <w:color w:val="auto"/>
          <w:kern w:val="0"/>
          <w:sz w:val="24"/>
          <w:szCs w:val="24"/>
          <w:lang w:val="en-US"/>
        </w:rPr>
        <w:t>原环评：</w:t>
      </w:r>
    </w:p>
    <w:p>
      <w:pPr>
        <w:pStyle w:val="111"/>
        <w:adjustRightInd/>
        <w:snapToGrid/>
        <w:spacing w:beforeLines="0" w:afterLines="0"/>
        <w:ind w:firstLine="480" w:firstLineChars="200"/>
        <w:outlineLvl w:val="9"/>
        <w:rPr>
          <w:rFonts w:ascii="Times New Roman" w:cs="Times New Roman" w:hAnsiTheme="minorEastAsia"/>
          <w:b w:val="0"/>
          <w:snapToGrid w:val="0"/>
          <w:color w:val="auto"/>
          <w:kern w:val="0"/>
          <w:sz w:val="24"/>
          <w:szCs w:val="24"/>
          <w:lang w:val="en-US"/>
        </w:rPr>
      </w:pPr>
      <w:r>
        <w:rPr>
          <w:rFonts w:ascii="Times New Roman" w:hAnsi="Times New Roman" w:cs="Times New Roman"/>
          <w:b w:val="0"/>
          <w:snapToGrid w:val="0"/>
          <w:color w:val="auto"/>
          <w:kern w:val="0"/>
          <w:sz w:val="24"/>
          <w:szCs w:val="24"/>
          <w:lang w:val="en-US"/>
        </w:rPr>
        <w:t>1</w:t>
      </w:r>
      <w:r>
        <w:rPr>
          <w:rFonts w:ascii="Times New Roman" w:cs="Times New Roman" w:hAnsiTheme="minorEastAsia"/>
          <w:b w:val="0"/>
          <w:snapToGrid w:val="0"/>
          <w:color w:val="auto"/>
          <w:kern w:val="0"/>
          <w:sz w:val="24"/>
          <w:szCs w:val="24"/>
          <w:lang w:val="en-US"/>
        </w:rPr>
        <w:t>、煤炭运输</w:t>
      </w:r>
    </w:p>
    <w:p>
      <w:pPr>
        <w:pStyle w:val="111"/>
        <w:adjustRightInd/>
        <w:snapToGrid/>
        <w:spacing w:beforeLines="0" w:afterLines="0"/>
        <w:ind w:firstLine="480" w:firstLineChars="200"/>
        <w:outlineLvl w:val="9"/>
        <w:rPr>
          <w:rFonts w:ascii="Calibri" w:hAnsi="宋体" w:eastAsia="宋体" w:cs="Times New Roman"/>
          <w:sz w:val="24"/>
          <w:lang w:val="en-US"/>
        </w:rPr>
      </w:pPr>
      <w:r>
        <w:rPr>
          <w:rFonts w:ascii="Times New Roman" w:hAnsi="宋体" w:eastAsia="宋体" w:cs="Times New Roman"/>
          <w:b w:val="0"/>
          <w:sz w:val="24"/>
          <w:lang w:val="en-US"/>
        </w:rPr>
        <w:t>井下煤炭运输采用带式输送机方式运输。</w:t>
      </w:r>
    </w:p>
    <w:p>
      <w:pPr>
        <w:pStyle w:val="111"/>
        <w:adjustRightInd/>
        <w:snapToGrid/>
        <w:spacing w:beforeLines="0" w:afterLines="0"/>
        <w:ind w:firstLine="480" w:firstLineChars="200"/>
        <w:outlineLvl w:val="9"/>
        <w:rPr>
          <w:rFonts w:ascii="Times New Roman" w:hAnsi="Times New Roman" w:cs="Times New Roman"/>
          <w:b w:val="0"/>
          <w:snapToGrid w:val="0"/>
          <w:color w:val="auto"/>
          <w:kern w:val="0"/>
          <w:sz w:val="24"/>
          <w:szCs w:val="24"/>
          <w:lang w:val="en-US"/>
        </w:rPr>
      </w:pPr>
      <w:r>
        <w:rPr>
          <w:rFonts w:ascii="Times New Roman" w:hAnsi="Times New Roman" w:cs="Times New Roman"/>
          <w:b w:val="0"/>
          <w:snapToGrid w:val="0"/>
          <w:color w:val="auto"/>
          <w:kern w:val="0"/>
          <w:sz w:val="24"/>
          <w:szCs w:val="24"/>
          <w:lang w:val="en-US"/>
        </w:rPr>
        <w:t>2、辅助运输</w:t>
      </w:r>
    </w:p>
    <w:p>
      <w:pPr>
        <w:pStyle w:val="111"/>
        <w:adjustRightInd/>
        <w:snapToGrid/>
        <w:spacing w:beforeLines="0" w:afterLines="0"/>
        <w:ind w:firstLine="480" w:firstLineChars="200"/>
        <w:outlineLvl w:val="9"/>
        <w:rPr>
          <w:rFonts w:ascii="Times New Roman" w:hAnsi="Times New Roman" w:cs="Times New Roman"/>
          <w:b w:val="0"/>
          <w:snapToGrid w:val="0"/>
          <w:color w:val="auto"/>
          <w:kern w:val="0"/>
          <w:sz w:val="24"/>
          <w:szCs w:val="24"/>
          <w:lang w:val="en-US"/>
        </w:rPr>
      </w:pPr>
      <w:r>
        <w:rPr>
          <w:rFonts w:hint="eastAsia" w:ascii="Times New Roman" w:hAnsi="Times New Roman" w:eastAsia="宋体" w:cs="Times New Roman"/>
          <w:b w:val="0"/>
          <w:snapToGrid w:val="0"/>
          <w:color w:val="auto"/>
          <w:kern w:val="0"/>
          <w:sz w:val="24"/>
          <w:szCs w:val="24"/>
          <w:lang w:val="en-US"/>
        </w:rPr>
        <w:t>辅助运输采用蓄电池电机车牵引1t固定式矿车运输</w:t>
      </w:r>
    </w:p>
    <w:p>
      <w:pPr>
        <w:pStyle w:val="111"/>
        <w:adjustRightInd/>
        <w:snapToGrid/>
        <w:spacing w:beforeLines="0" w:afterLines="0"/>
        <w:ind w:firstLine="482" w:firstLineChars="200"/>
        <w:outlineLvl w:val="9"/>
        <w:rPr>
          <w:rFonts w:ascii="Times New Roman" w:hAnsi="Times New Roman" w:cs="Times New Roman"/>
          <w:snapToGrid w:val="0"/>
          <w:color w:val="auto"/>
          <w:kern w:val="0"/>
          <w:sz w:val="24"/>
          <w:szCs w:val="24"/>
          <w:lang w:val="en-US"/>
        </w:rPr>
      </w:pPr>
      <w:r>
        <w:rPr>
          <w:rFonts w:hint="eastAsia" w:ascii="Times New Roman" w:hAnsi="Times New Roman" w:cs="Times New Roman"/>
          <w:snapToGrid w:val="0"/>
          <w:color w:val="auto"/>
          <w:kern w:val="0"/>
          <w:sz w:val="24"/>
          <w:szCs w:val="24"/>
          <w:lang w:val="en-US"/>
        </w:rPr>
        <w:t>变更后：</w:t>
      </w:r>
    </w:p>
    <w:p>
      <w:pPr>
        <w:pStyle w:val="111"/>
        <w:adjustRightInd/>
        <w:snapToGrid/>
        <w:spacing w:beforeLines="0" w:afterLines="0"/>
        <w:ind w:firstLine="480" w:firstLineChars="200"/>
        <w:outlineLvl w:val="9"/>
        <w:rPr>
          <w:rFonts w:ascii="Times New Roman" w:cs="Times New Roman" w:hAnsiTheme="minorEastAsia"/>
          <w:b w:val="0"/>
          <w:snapToGrid w:val="0"/>
          <w:color w:val="auto"/>
          <w:kern w:val="0"/>
          <w:sz w:val="24"/>
          <w:szCs w:val="24"/>
          <w:lang w:val="en-US"/>
        </w:rPr>
      </w:pPr>
      <w:r>
        <w:rPr>
          <w:rFonts w:ascii="Times New Roman" w:hAnsi="Times New Roman" w:cs="Times New Roman"/>
          <w:b w:val="0"/>
          <w:snapToGrid w:val="0"/>
          <w:color w:val="auto"/>
          <w:kern w:val="0"/>
          <w:sz w:val="24"/>
          <w:szCs w:val="24"/>
          <w:lang w:val="en-US"/>
        </w:rPr>
        <w:t>1</w:t>
      </w:r>
      <w:r>
        <w:rPr>
          <w:rFonts w:ascii="Times New Roman" w:cs="Times New Roman" w:hAnsiTheme="minorEastAsia"/>
          <w:b w:val="0"/>
          <w:snapToGrid w:val="0"/>
          <w:color w:val="auto"/>
          <w:kern w:val="0"/>
          <w:sz w:val="24"/>
          <w:szCs w:val="24"/>
          <w:lang w:val="en-US"/>
        </w:rPr>
        <w:t>、煤炭运输</w:t>
      </w:r>
    </w:p>
    <w:p>
      <w:pPr>
        <w:pStyle w:val="111"/>
        <w:adjustRightInd/>
        <w:snapToGrid/>
        <w:spacing w:beforeLines="0" w:afterLines="0"/>
        <w:ind w:firstLine="480" w:firstLineChars="200"/>
        <w:outlineLvl w:val="9"/>
        <w:rPr>
          <w:rFonts w:ascii="Calibri" w:hAnsi="宋体" w:eastAsia="宋体" w:cs="Times New Roman"/>
          <w:sz w:val="24"/>
          <w:lang w:val="en-US"/>
        </w:rPr>
      </w:pPr>
      <w:r>
        <w:rPr>
          <w:rFonts w:hint="eastAsia" w:ascii="Times New Roman" w:cs="Times New Roman" w:hAnsiTheme="minorEastAsia"/>
          <w:b w:val="0"/>
          <w:sz w:val="24"/>
          <w:lang w:val="en-US"/>
        </w:rPr>
        <w:t>同原环评，无变更。</w:t>
      </w:r>
      <w:r>
        <w:rPr>
          <w:rFonts w:ascii="Times New Roman" w:hAnsi="宋体" w:eastAsia="宋体" w:cs="Times New Roman"/>
          <w:b w:val="0"/>
          <w:sz w:val="24"/>
          <w:lang w:val="en-US"/>
        </w:rPr>
        <w:t>井下煤炭运输采用带式输送机方式运输。</w:t>
      </w:r>
    </w:p>
    <w:p>
      <w:pPr>
        <w:pStyle w:val="111"/>
        <w:adjustRightInd/>
        <w:snapToGrid/>
        <w:spacing w:beforeLines="0" w:afterLines="0"/>
        <w:ind w:firstLine="480" w:firstLineChars="200"/>
        <w:outlineLvl w:val="9"/>
        <w:rPr>
          <w:rFonts w:ascii="Times New Roman" w:hAnsi="Times New Roman" w:cs="Times New Roman"/>
          <w:b w:val="0"/>
          <w:snapToGrid w:val="0"/>
          <w:color w:val="auto"/>
          <w:kern w:val="0"/>
          <w:sz w:val="24"/>
          <w:szCs w:val="24"/>
          <w:lang w:val="en-US"/>
        </w:rPr>
      </w:pPr>
      <w:r>
        <w:rPr>
          <w:rFonts w:ascii="Times New Roman" w:hAnsi="Times New Roman" w:cs="Times New Roman"/>
          <w:b w:val="0"/>
          <w:snapToGrid w:val="0"/>
          <w:color w:val="auto"/>
          <w:kern w:val="0"/>
          <w:sz w:val="24"/>
          <w:szCs w:val="24"/>
          <w:lang w:val="en-US"/>
        </w:rPr>
        <w:t>2、辅助运输</w:t>
      </w:r>
    </w:p>
    <w:p>
      <w:pPr>
        <w:pStyle w:val="111"/>
        <w:adjustRightInd/>
        <w:snapToGrid/>
        <w:spacing w:beforeLines="0" w:afterLines="0"/>
        <w:ind w:firstLine="480" w:firstLineChars="200"/>
        <w:outlineLvl w:val="9"/>
        <w:rPr>
          <w:rFonts w:ascii="Times New Roman" w:hAnsi="Times New Roman" w:eastAsia="宋体" w:cs="Times New Roman"/>
          <w:b w:val="0"/>
          <w:snapToGrid w:val="0"/>
          <w:kern w:val="0"/>
          <w:sz w:val="24"/>
          <w:lang w:val="en-US"/>
        </w:rPr>
      </w:pPr>
      <w:r>
        <w:rPr>
          <w:rFonts w:ascii="Times New Roman" w:hAnsi="宋体" w:eastAsia="宋体" w:cs="Times New Roman"/>
          <w:b w:val="0"/>
          <w:snapToGrid w:val="0"/>
          <w:kern w:val="0"/>
          <w:sz w:val="24"/>
          <w:lang w:val="en-US"/>
        </w:rPr>
        <w:t>由于</w:t>
      </w:r>
      <w:r>
        <w:rPr>
          <w:rFonts w:ascii="Times New Roman" w:hAnsi="Times New Roman" w:eastAsia="宋体" w:cs="Times New Roman"/>
          <w:b w:val="0"/>
          <w:snapToGrid w:val="0"/>
          <w:kern w:val="0"/>
          <w:sz w:val="24"/>
          <w:lang w:val="en-US"/>
        </w:rPr>
        <w:t>+750m</w:t>
      </w:r>
      <w:r>
        <w:rPr>
          <w:rFonts w:ascii="Times New Roman" w:hAnsi="宋体" w:eastAsia="宋体" w:cs="Times New Roman"/>
          <w:b w:val="0"/>
          <w:snapToGrid w:val="0"/>
          <w:kern w:val="0"/>
          <w:sz w:val="24"/>
          <w:lang w:val="en-US"/>
        </w:rPr>
        <w:t>井底车场与采区轨道下山之间石门长度较短，因此，本次设计取消蓄电池电机车牵引</w:t>
      </w:r>
      <w:r>
        <w:rPr>
          <w:rFonts w:ascii="Times New Roman" w:hAnsi="Times New Roman" w:eastAsia="宋体" w:cs="Times New Roman"/>
          <w:b w:val="0"/>
          <w:snapToGrid w:val="0"/>
          <w:kern w:val="0"/>
          <w:sz w:val="24"/>
          <w:lang w:val="en-US"/>
        </w:rPr>
        <w:t>1t</w:t>
      </w:r>
      <w:r>
        <w:rPr>
          <w:rFonts w:ascii="Times New Roman" w:hAnsi="宋体" w:eastAsia="宋体" w:cs="Times New Roman"/>
          <w:b w:val="0"/>
          <w:snapToGrid w:val="0"/>
          <w:kern w:val="0"/>
          <w:sz w:val="24"/>
          <w:lang w:val="en-US"/>
        </w:rPr>
        <w:t>固定式矿车运输方式，采用无极绳连续牵引车牵引。无极绞车硐室设至井底车场附近，</w:t>
      </w:r>
      <w:r>
        <w:rPr>
          <w:rFonts w:ascii="Times New Roman" w:hAnsi="Times New Roman" w:eastAsia="宋体" w:cs="Times New Roman"/>
          <w:b w:val="0"/>
          <w:snapToGrid w:val="0"/>
          <w:kern w:val="0"/>
          <w:sz w:val="24"/>
          <w:lang w:val="en-US"/>
        </w:rPr>
        <w:t>+750m</w:t>
      </w:r>
      <w:r>
        <w:rPr>
          <w:rFonts w:ascii="Times New Roman" w:hAnsi="宋体" w:eastAsia="宋体" w:cs="Times New Roman"/>
          <w:b w:val="0"/>
          <w:snapToGrid w:val="0"/>
          <w:kern w:val="0"/>
          <w:sz w:val="24"/>
          <w:lang w:val="en-US"/>
        </w:rPr>
        <w:t>井底车场、轨道石门及下山采用无极绳连续牵引车牵引矿车方式。</w:t>
      </w:r>
    </w:p>
    <w:p>
      <w:pPr>
        <w:spacing w:line="360" w:lineRule="auto"/>
        <w:outlineLvl w:val="3"/>
        <w:rPr>
          <w:rFonts w:eastAsiaTheme="minorEastAsia"/>
          <w:b/>
          <w:sz w:val="24"/>
        </w:rPr>
      </w:pPr>
      <w:r>
        <w:rPr>
          <w:rFonts w:eastAsiaTheme="minorEastAsia"/>
          <w:b/>
          <w:sz w:val="24"/>
        </w:rPr>
        <w:t>3.3.2.10</w:t>
      </w:r>
      <w:r>
        <w:rPr>
          <w:rFonts w:hAnsiTheme="minorEastAsia" w:eastAsiaTheme="minorEastAsia"/>
          <w:b/>
          <w:sz w:val="24"/>
        </w:rPr>
        <w:t>井下通风与安全</w:t>
      </w:r>
    </w:p>
    <w:p>
      <w:pPr>
        <w:pStyle w:val="111"/>
        <w:adjustRightInd/>
        <w:snapToGrid/>
        <w:spacing w:beforeLines="0" w:afterLines="0"/>
        <w:ind w:firstLine="482" w:firstLineChars="200"/>
        <w:outlineLvl w:val="9"/>
        <w:rPr>
          <w:rFonts w:ascii="Times New Roman" w:hAnsi="Times New Roman" w:cs="Times New Roman"/>
          <w:color w:val="auto"/>
          <w:sz w:val="24"/>
          <w:szCs w:val="24"/>
          <w:lang w:val="en-US"/>
        </w:rPr>
      </w:pPr>
      <w:r>
        <w:rPr>
          <w:rFonts w:hint="eastAsia" w:ascii="Times New Roman" w:hAnsi="Times New Roman" w:cs="Times New Roman"/>
          <w:color w:val="auto"/>
          <w:sz w:val="24"/>
          <w:szCs w:val="24"/>
          <w:lang w:val="en-US"/>
        </w:rPr>
        <w:t>原环评：</w:t>
      </w:r>
    </w:p>
    <w:p>
      <w:pPr>
        <w:pStyle w:val="111"/>
        <w:adjustRightInd/>
        <w:snapToGrid/>
        <w:spacing w:beforeLines="0" w:afterLines="0"/>
        <w:ind w:firstLine="480" w:firstLineChars="200"/>
        <w:outlineLvl w:val="9"/>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1</w:t>
      </w:r>
      <w:r>
        <w:rPr>
          <w:rFonts w:ascii="Times New Roman" w:cs="Times New Roman" w:hAnsiTheme="minorEastAsia"/>
          <w:b w:val="0"/>
          <w:color w:val="auto"/>
          <w:sz w:val="24"/>
          <w:szCs w:val="24"/>
          <w:lang w:val="en-US"/>
        </w:rPr>
        <w:t>、通风方法及通风方式</w:t>
      </w:r>
    </w:p>
    <w:p>
      <w:pPr>
        <w:pStyle w:val="111"/>
        <w:adjustRightInd/>
        <w:snapToGrid/>
        <w:spacing w:beforeLines="0" w:afterLines="0"/>
        <w:ind w:firstLine="480" w:firstLineChars="200"/>
        <w:outlineLvl w:val="9"/>
        <w:rPr>
          <w:rFonts w:ascii="Calibri" w:hAnsi="宋体" w:eastAsia="宋体" w:cs="Times New Roman"/>
          <w:b w:val="0"/>
          <w:sz w:val="24"/>
          <w:lang w:val="en-US"/>
        </w:rPr>
      </w:pPr>
      <w:r>
        <w:rPr>
          <w:rFonts w:hint="eastAsia" w:ascii="Calibri" w:hAnsi="宋体" w:eastAsia="宋体" w:cs="Times New Roman"/>
          <w:b w:val="0"/>
          <w:sz w:val="24"/>
          <w:lang w:val="en-US"/>
        </w:rPr>
        <w:t>矿井生产为分列式通风系统；通风方法为机械抽出式。</w:t>
      </w:r>
    </w:p>
    <w:p>
      <w:pPr>
        <w:pStyle w:val="111"/>
        <w:adjustRightInd/>
        <w:snapToGrid/>
        <w:spacing w:beforeLines="0" w:afterLines="0"/>
        <w:ind w:firstLine="480" w:firstLineChars="200"/>
        <w:outlineLvl w:val="9"/>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2</w:t>
      </w:r>
      <w:r>
        <w:rPr>
          <w:rFonts w:ascii="Times New Roman" w:cs="Times New Roman" w:hAnsiTheme="minorEastAsia"/>
          <w:b w:val="0"/>
          <w:color w:val="auto"/>
          <w:sz w:val="24"/>
          <w:szCs w:val="24"/>
          <w:lang w:val="en-US"/>
        </w:rPr>
        <w:t>、通风系统</w:t>
      </w:r>
    </w:p>
    <w:p>
      <w:pPr>
        <w:spacing w:line="360" w:lineRule="auto"/>
        <w:ind w:firstLine="480" w:firstLineChars="200"/>
        <w:rPr>
          <w:rFonts w:hAnsiTheme="minorEastAsia" w:eastAsiaTheme="minorEastAsia"/>
          <w:sz w:val="24"/>
        </w:rPr>
      </w:pPr>
      <w:r>
        <w:rPr>
          <w:rFonts w:hint="eastAsia" w:hAnsi="宋体"/>
          <w:sz w:val="24"/>
        </w:rPr>
        <w:t>矿井工业场地内设主斜井（净断面17.1m</w:t>
      </w:r>
      <w:r>
        <w:rPr>
          <w:rFonts w:hint="eastAsia" w:hAnsi="宋体"/>
          <w:sz w:val="24"/>
          <w:vertAlign w:val="superscript"/>
        </w:rPr>
        <w:t>2</w:t>
      </w:r>
      <w:r>
        <w:rPr>
          <w:rFonts w:hint="eastAsia" w:hAnsi="宋体"/>
          <w:sz w:val="24"/>
        </w:rPr>
        <w:t>）和副斜井（净断面17.4m</w:t>
      </w:r>
      <w:r>
        <w:rPr>
          <w:rFonts w:hint="eastAsia" w:hAnsi="宋体"/>
          <w:sz w:val="24"/>
          <w:vertAlign w:val="superscript"/>
        </w:rPr>
        <w:t>2</w:t>
      </w:r>
      <w:r>
        <w:rPr>
          <w:rFonts w:hint="eastAsia" w:hAnsi="宋体"/>
          <w:sz w:val="24"/>
        </w:rPr>
        <w:t>），主、副斜井进风，改造宏宇矿井副立井（D5.0m）回风；采区布置轨道下山（或上山）、胶带机下山（或上山）和回风下山（或上山），轨道、胶带机巷进风，回风巷回风；首采区回采工作面采用走向长壁布置，采煤工作面胶带机顺槽进风，轨道顺槽回风，工作面采用“U”通风；掘进工作面采用机械压入式通风；采区内变电所采取独立通风，各工作面之间无串联风。</w:t>
      </w:r>
    </w:p>
    <w:p>
      <w:pPr>
        <w:spacing w:line="360" w:lineRule="auto"/>
        <w:ind w:firstLine="480" w:firstLineChars="200"/>
        <w:rPr>
          <w:rFonts w:hAnsi="宋体"/>
          <w:sz w:val="24"/>
        </w:rPr>
      </w:pPr>
      <w:r>
        <w:rPr>
          <w:rFonts w:hint="eastAsia" w:hAnsiTheme="minorEastAsia" w:eastAsiaTheme="minorEastAsia"/>
          <w:sz w:val="24"/>
        </w:rPr>
        <w:t>3、井筒数目及用途</w:t>
      </w:r>
    </w:p>
    <w:p>
      <w:pPr>
        <w:spacing w:line="360" w:lineRule="auto"/>
        <w:ind w:firstLine="480" w:firstLineChars="200"/>
        <w:rPr>
          <w:rFonts w:hAnsi="宋体"/>
          <w:sz w:val="24"/>
        </w:rPr>
      </w:pPr>
      <w:r>
        <w:rPr>
          <w:rFonts w:hint="eastAsia" w:hAnsi="宋体"/>
          <w:sz w:val="24"/>
        </w:rPr>
        <w:t>矿井通风井筒数目为3个，其中，工业场地内设有主斜井、副斜井，改造原宏宇矿井现有的副立井为专用回风井。主斜井、副斜井进风，改造原宏宇矿井现有的副立井回风。主斜井、副斜井和回风立井服务全矿井所有生产时期。</w:t>
      </w:r>
    </w:p>
    <w:p>
      <w:pPr>
        <w:spacing w:line="360" w:lineRule="auto"/>
        <w:ind w:firstLine="480" w:firstLineChars="200"/>
        <w:rPr>
          <w:rFonts w:hAnsi="宋体"/>
          <w:sz w:val="24"/>
        </w:rPr>
      </w:pPr>
      <w:r>
        <w:rPr>
          <w:rFonts w:hint="eastAsia" w:hAnsi="宋体"/>
          <w:sz w:val="24"/>
        </w:rPr>
        <w:t>原宏宇矿井副立井扩筑至净直径5.0m，井筒内安装梯子间。主斜井、副斜井和回风立井作为矿井的3个安全出口。</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变更后：</w:t>
      </w:r>
    </w:p>
    <w:p>
      <w:pPr>
        <w:pStyle w:val="111"/>
        <w:adjustRightInd/>
        <w:snapToGrid/>
        <w:spacing w:beforeLines="0" w:afterLines="0"/>
        <w:ind w:firstLine="480" w:firstLineChars="200"/>
        <w:outlineLvl w:val="9"/>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1</w:t>
      </w:r>
      <w:r>
        <w:rPr>
          <w:rFonts w:ascii="Times New Roman" w:cs="Times New Roman" w:hAnsiTheme="minorEastAsia"/>
          <w:b w:val="0"/>
          <w:color w:val="auto"/>
          <w:sz w:val="24"/>
          <w:szCs w:val="24"/>
          <w:lang w:val="en-US"/>
        </w:rPr>
        <w:t>、通风方法及通风方式</w:t>
      </w:r>
    </w:p>
    <w:p>
      <w:pPr>
        <w:pStyle w:val="111"/>
        <w:adjustRightInd/>
        <w:snapToGrid/>
        <w:spacing w:beforeLines="0" w:afterLines="0"/>
        <w:ind w:firstLine="480" w:firstLineChars="200"/>
        <w:outlineLvl w:val="9"/>
        <w:rPr>
          <w:rFonts w:ascii="Calibri" w:hAnsi="宋体" w:eastAsia="宋体" w:cs="Times New Roman"/>
          <w:b w:val="0"/>
          <w:sz w:val="24"/>
          <w:lang w:val="en-US"/>
        </w:rPr>
      </w:pPr>
      <w:r>
        <w:rPr>
          <w:rFonts w:hint="eastAsia" w:hAnsiTheme="minorEastAsia"/>
          <w:b w:val="0"/>
          <w:sz w:val="24"/>
          <w:lang w:val="en-US"/>
        </w:rPr>
        <w:t>同原环评，无变更。</w:t>
      </w:r>
    </w:p>
    <w:p>
      <w:pPr>
        <w:pStyle w:val="111"/>
        <w:adjustRightInd/>
        <w:snapToGrid/>
        <w:spacing w:beforeLines="0" w:afterLines="0"/>
        <w:ind w:firstLine="480" w:firstLineChars="200"/>
        <w:outlineLvl w:val="9"/>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2</w:t>
      </w:r>
      <w:r>
        <w:rPr>
          <w:rFonts w:ascii="Times New Roman" w:cs="Times New Roman" w:hAnsiTheme="minorEastAsia"/>
          <w:b w:val="0"/>
          <w:color w:val="auto"/>
          <w:sz w:val="24"/>
          <w:szCs w:val="24"/>
          <w:lang w:val="en-US"/>
        </w:rPr>
        <w:t>、通风系统</w:t>
      </w:r>
    </w:p>
    <w:p>
      <w:pPr>
        <w:spacing w:line="360" w:lineRule="auto"/>
        <w:ind w:firstLine="480" w:firstLineChars="200"/>
        <w:rPr>
          <w:rFonts w:hAnsi="宋体"/>
          <w:sz w:val="24"/>
        </w:rPr>
      </w:pPr>
      <w:r>
        <w:rPr>
          <w:rFonts w:hint="eastAsia" w:hAnsi="宋体"/>
          <w:sz w:val="24"/>
        </w:rPr>
        <w:t>矿井工业场地内设主斜井（净断面17.44m</w:t>
      </w:r>
      <w:r>
        <w:rPr>
          <w:rFonts w:hint="eastAsia" w:hAnsi="宋体"/>
          <w:sz w:val="24"/>
          <w:vertAlign w:val="superscript"/>
        </w:rPr>
        <w:t>2</w:t>
      </w:r>
      <w:r>
        <w:rPr>
          <w:rFonts w:hint="eastAsia" w:hAnsi="宋体"/>
          <w:sz w:val="24"/>
        </w:rPr>
        <w:t>）和副斜井（净断面17.44m</w:t>
      </w:r>
      <w:r>
        <w:rPr>
          <w:rFonts w:hint="eastAsia" w:hAnsi="宋体"/>
          <w:sz w:val="24"/>
          <w:vertAlign w:val="superscript"/>
        </w:rPr>
        <w:t>2</w:t>
      </w:r>
      <w:r>
        <w:rPr>
          <w:rFonts w:hint="eastAsia" w:hAnsi="宋体"/>
          <w:sz w:val="24"/>
        </w:rPr>
        <w:t>），在原后庄工业场地内新凿1个回风立井（D5.5m）；主、副斜井进风，回风立井回风；采区轨道下山、胶带机下山进风，回风下山回风；回采工作面胶带机顺槽进风，轨道顺槽回风。</w:t>
      </w:r>
    </w:p>
    <w:p>
      <w:pPr>
        <w:spacing w:line="360" w:lineRule="auto"/>
        <w:ind w:firstLine="480" w:firstLineChars="200"/>
        <w:rPr>
          <w:rFonts w:hAnsi="宋体"/>
          <w:sz w:val="24"/>
        </w:rPr>
      </w:pPr>
      <w:r>
        <w:rPr>
          <w:rFonts w:hint="eastAsia" w:hAnsiTheme="minorEastAsia" w:eastAsiaTheme="minorEastAsia"/>
          <w:sz w:val="24"/>
        </w:rPr>
        <w:t>3、井筒数目及用途</w:t>
      </w:r>
    </w:p>
    <w:p>
      <w:pPr>
        <w:spacing w:line="360" w:lineRule="auto"/>
        <w:ind w:firstLine="480" w:firstLineChars="200"/>
        <w:rPr>
          <w:rFonts w:hAnsi="宋体"/>
          <w:sz w:val="24"/>
        </w:rPr>
      </w:pPr>
      <w:r>
        <w:rPr>
          <w:rFonts w:hint="eastAsia" w:hAnsi="宋体"/>
          <w:sz w:val="24"/>
        </w:rPr>
        <w:t>井筒数目及用途同原初步设计。矿井通风井筒数目为3个，其中，工业场地内设有主斜井、副斜井，在原后庄工业场地内设回风立井。主斜井、副斜井和回风立井服务全矿井所有生产时期。</w:t>
      </w:r>
    </w:p>
    <w:p>
      <w:pPr>
        <w:spacing w:line="360" w:lineRule="auto"/>
        <w:outlineLvl w:val="2"/>
        <w:rPr>
          <w:rFonts w:eastAsiaTheme="minorEastAsia"/>
          <w:b/>
          <w:sz w:val="24"/>
        </w:rPr>
      </w:pPr>
      <w:r>
        <w:rPr>
          <w:rFonts w:eastAsiaTheme="minorEastAsia"/>
          <w:b/>
          <w:sz w:val="24"/>
        </w:rPr>
        <w:t>3.3.3</w:t>
      </w:r>
      <w:r>
        <w:rPr>
          <w:rFonts w:hAnsiTheme="minorEastAsia" w:eastAsiaTheme="minorEastAsia"/>
          <w:b/>
          <w:sz w:val="24"/>
        </w:rPr>
        <w:t>地面生产系统</w:t>
      </w:r>
    </w:p>
    <w:p>
      <w:pPr>
        <w:spacing w:line="360" w:lineRule="auto"/>
        <w:outlineLvl w:val="3"/>
        <w:rPr>
          <w:rFonts w:eastAsiaTheme="minorEastAsia"/>
          <w:b/>
          <w:sz w:val="24"/>
        </w:rPr>
      </w:pPr>
      <w:r>
        <w:rPr>
          <w:rFonts w:eastAsiaTheme="minorEastAsia"/>
          <w:b/>
          <w:sz w:val="24"/>
        </w:rPr>
        <w:t>3.3.3.1</w:t>
      </w:r>
      <w:r>
        <w:rPr>
          <w:rFonts w:hAnsiTheme="minorEastAsia" w:eastAsiaTheme="minorEastAsia"/>
          <w:b/>
          <w:sz w:val="24"/>
        </w:rPr>
        <w:t>地面生产系统</w:t>
      </w:r>
    </w:p>
    <w:p>
      <w:pPr>
        <w:spacing w:line="360" w:lineRule="auto"/>
        <w:ind w:firstLine="482" w:firstLineChars="200"/>
        <w:textAlignment w:val="bottom"/>
        <w:rPr>
          <w:rFonts w:hAnsiTheme="minorEastAsia" w:eastAsiaTheme="minorEastAsia"/>
          <w:b/>
          <w:sz w:val="24"/>
        </w:rPr>
      </w:pPr>
      <w:r>
        <w:rPr>
          <w:rFonts w:hint="eastAsia" w:hAnsiTheme="minorEastAsia" w:eastAsiaTheme="minorEastAsia"/>
          <w:b/>
          <w:sz w:val="24"/>
        </w:rPr>
        <w:t>原环评：</w:t>
      </w:r>
    </w:p>
    <w:p>
      <w:pPr>
        <w:spacing w:line="360" w:lineRule="auto"/>
        <w:ind w:firstLine="480" w:firstLineChars="200"/>
        <w:textAlignment w:val="bottom"/>
        <w:rPr>
          <w:rFonts w:eastAsiaTheme="minorEastAsia"/>
          <w:sz w:val="24"/>
        </w:rPr>
      </w:pPr>
      <w:r>
        <w:rPr>
          <w:rFonts w:eastAsiaTheme="minorEastAsia"/>
          <w:sz w:val="24"/>
        </w:rPr>
        <w:t>（1）主斜井生产系统</w:t>
      </w:r>
    </w:p>
    <w:p>
      <w:pPr>
        <w:spacing w:line="360" w:lineRule="auto"/>
        <w:ind w:firstLine="480" w:firstLineChars="200"/>
        <w:textAlignment w:val="bottom"/>
        <w:rPr>
          <w:sz w:val="24"/>
        </w:rPr>
      </w:pPr>
      <w:r>
        <w:rPr>
          <w:rFonts w:eastAsiaTheme="minorEastAsia"/>
          <w:sz w:val="24"/>
        </w:rPr>
        <w:t>主斜井井筒斜长1078m，</w:t>
      </w:r>
      <w:r>
        <w:rPr>
          <w:sz w:val="24"/>
        </w:rPr>
        <w:t>倾角14.5°，装备一条带宽1m带式输送机，另一侧装备架空乘人装置。</w:t>
      </w:r>
    </w:p>
    <w:p>
      <w:pPr>
        <w:spacing w:line="360" w:lineRule="auto"/>
        <w:ind w:firstLine="480" w:firstLineChars="200"/>
        <w:textAlignment w:val="bottom"/>
        <w:rPr>
          <w:rFonts w:eastAsiaTheme="minorEastAsia"/>
          <w:sz w:val="24"/>
        </w:rPr>
      </w:pPr>
      <w:r>
        <w:rPr>
          <w:sz w:val="24"/>
        </w:rPr>
        <w:t>主斜井井底设井底煤仓，原煤经井底煤仓下口给煤机均匀的给至主斜井胶带输送机再经井口胶带输送机运至选矸楼，选矸楼内布置两台YAH1536型圆振动筛，筛上+50mm级经手选胶带输送机进行人工选矸，选矸后的块煤进入破碎机，破碎后的煤与筛下煤混合由胶带运输机运至缓冲仓，经缓冲仓仓下胶带运输机运入选煤厂入洗。选煤厂洗选后的精煤经胶带输送机转载至产品仓。产品仓煤经仓下给料机装汽车外运。</w:t>
      </w:r>
    </w:p>
    <w:p>
      <w:pPr>
        <w:spacing w:line="360" w:lineRule="auto"/>
        <w:ind w:firstLine="480" w:firstLineChars="200"/>
        <w:textAlignment w:val="bottom"/>
        <w:rPr>
          <w:rFonts w:eastAsiaTheme="minorEastAsia"/>
          <w:sz w:val="24"/>
        </w:rPr>
      </w:pPr>
      <w:r>
        <w:rPr>
          <w:rFonts w:eastAsiaTheme="minorEastAsia"/>
          <w:sz w:val="24"/>
        </w:rPr>
        <w:t>（2）</w:t>
      </w:r>
      <w:r>
        <w:rPr>
          <w:sz w:val="24"/>
        </w:rPr>
        <w:t>副斜井</w:t>
      </w:r>
      <w:r>
        <w:rPr>
          <w:rFonts w:eastAsiaTheme="minorEastAsia"/>
          <w:sz w:val="24"/>
        </w:rPr>
        <w:t>生产系统</w:t>
      </w:r>
    </w:p>
    <w:p>
      <w:pPr>
        <w:pStyle w:val="85"/>
        <w:adjustRightInd/>
        <w:snapToGrid/>
        <w:ind w:firstLine="480"/>
        <w:rPr>
          <w:rFonts w:ascii="Times New Roman" w:hAnsi="Times New Roman" w:cs="Times New Roman"/>
          <w:color w:val="auto"/>
          <w:sz w:val="24"/>
          <w:szCs w:val="24"/>
        </w:rPr>
      </w:pPr>
      <w:r>
        <w:rPr>
          <w:rFonts w:ascii="Times New Roman" w:hAnsi="Times New Roman" w:eastAsia="宋体" w:cs="Times New Roman"/>
          <w:color w:val="auto"/>
          <w:sz w:val="24"/>
          <w:szCs w:val="24"/>
        </w:rPr>
        <w:t>副斜井生产系统采用双钩串车提升系统，主要担负矿井矸石、材料、坑木及设备的提升下放任务。</w:t>
      </w:r>
    </w:p>
    <w:p>
      <w:pPr>
        <w:pStyle w:val="85"/>
        <w:adjustRightInd/>
        <w:snapToGrid/>
        <w:ind w:firstLine="480"/>
        <w:rPr>
          <w:rFonts w:ascii="Times New Roman" w:hAnsi="Times New Roman" w:eastAsia="宋体" w:cs="Times New Roman"/>
          <w:sz w:val="24"/>
        </w:rPr>
      </w:pPr>
      <w:r>
        <w:rPr>
          <w:rFonts w:ascii="Times New Roman" w:hAnsi="Times New Roman" w:eastAsia="宋体" w:cs="Times New Roman"/>
          <w:sz w:val="24"/>
        </w:rPr>
        <w:t>副斜井井口为平车场，钢轨型号为30kg/m，轨距600mm，井口装设挡车器，阻车器、道岔、托绳轮，井筒内装设地滚及9组常闭式ZDC30/30型斜井防跑车装置(每隔100米安装一组)以防止脱钩、断绳和误操作等原因而使矿车滑入井筒，造成意外事故。井口平车场有轨道与地面材料库、机修间、坑木房等辅助设施相连。</w:t>
      </w:r>
    </w:p>
    <w:p>
      <w:pPr>
        <w:spacing w:line="360" w:lineRule="auto"/>
        <w:ind w:firstLine="480" w:firstLineChars="200"/>
        <w:textAlignment w:val="bottom"/>
        <w:rPr>
          <w:rFonts w:eastAsiaTheme="minorEastAsia"/>
          <w:sz w:val="24"/>
        </w:rPr>
      </w:pPr>
      <w:r>
        <w:rPr>
          <w:rFonts w:eastAsiaTheme="minorEastAsia"/>
          <w:sz w:val="24"/>
        </w:rPr>
        <w:t>（3）排矸系统</w:t>
      </w:r>
    </w:p>
    <w:p>
      <w:pPr>
        <w:spacing w:line="360" w:lineRule="auto"/>
        <w:ind w:firstLine="480" w:firstLineChars="200"/>
        <w:textAlignment w:val="bottom"/>
        <w:rPr>
          <w:sz w:val="24"/>
        </w:rPr>
      </w:pPr>
      <w:r>
        <w:rPr>
          <w:sz w:val="24"/>
        </w:rPr>
        <w:t>本矿井达产后井下排矸量为</w:t>
      </w:r>
      <w:r>
        <w:rPr>
          <w:rFonts w:hint="eastAsia"/>
          <w:sz w:val="24"/>
        </w:rPr>
        <w:t>12</w:t>
      </w:r>
      <w:r>
        <w:rPr>
          <w:sz w:val="24"/>
        </w:rPr>
        <w:t>万吨/年（按矿井年产量120万t含矸量</w:t>
      </w:r>
      <w:r>
        <w:rPr>
          <w:rFonts w:hint="eastAsia"/>
          <w:sz w:val="24"/>
        </w:rPr>
        <w:t>10</w:t>
      </w:r>
      <w:r>
        <w:rPr>
          <w:sz w:val="24"/>
        </w:rPr>
        <w:t>%计），</w:t>
      </w:r>
      <w:r>
        <w:rPr>
          <w:rFonts w:hint="eastAsia"/>
          <w:sz w:val="24"/>
        </w:rPr>
        <w:t>筛分矸石、掘进矸石由矿车经窄轨运输到翻车机，由汽车运输至矸石沟填埋。</w:t>
      </w:r>
    </w:p>
    <w:p>
      <w:pPr>
        <w:spacing w:line="360" w:lineRule="auto"/>
        <w:ind w:firstLine="480" w:firstLineChars="200"/>
        <w:textAlignment w:val="bottom"/>
        <w:rPr>
          <w:rFonts w:eastAsiaTheme="minorEastAsia"/>
          <w:sz w:val="24"/>
        </w:rPr>
      </w:pPr>
      <w:r>
        <w:rPr>
          <w:rFonts w:eastAsiaTheme="minorEastAsia"/>
          <w:sz w:val="24"/>
        </w:rPr>
        <w:t>（4）辅助设施</w:t>
      </w:r>
    </w:p>
    <w:p>
      <w:pPr>
        <w:pStyle w:val="85"/>
        <w:adjustRightInd/>
        <w:snapToGrid/>
        <w:ind w:firstLine="480"/>
        <w:rPr>
          <w:rFonts w:ascii="Times New Roman" w:hAnsi="Times New Roman" w:cs="Times New Roman"/>
          <w:color w:val="auto"/>
          <w:sz w:val="24"/>
          <w:szCs w:val="24"/>
        </w:rPr>
      </w:pPr>
      <w:r>
        <w:rPr>
          <w:rFonts w:ascii="Times New Roman" w:hAnsi="Times New Roman" w:cs="Times New Roman"/>
          <w:color w:val="auto"/>
          <w:sz w:val="24"/>
          <w:szCs w:val="24"/>
        </w:rPr>
        <w:t>矿井工业场地设有机电设备修理车间、坑木加工房、综采设备库和煤样化验室等辅助设施。</w:t>
      </w:r>
    </w:p>
    <w:p>
      <w:pPr>
        <w:pStyle w:val="85"/>
        <w:ind w:firstLine="482"/>
        <w:rPr>
          <w:rFonts w:ascii="Times New Roman" w:hAnsi="Times New Roman" w:cs="Times New Roman"/>
          <w:b/>
          <w:color w:val="auto"/>
          <w:sz w:val="24"/>
          <w:szCs w:val="24"/>
        </w:rPr>
      </w:pPr>
      <w:r>
        <w:rPr>
          <w:rFonts w:hint="eastAsia" w:ascii="Times New Roman" w:hAnsi="Times New Roman" w:cs="Times New Roman"/>
          <w:b/>
          <w:color w:val="auto"/>
          <w:sz w:val="24"/>
          <w:szCs w:val="24"/>
        </w:rPr>
        <w:t>变更后：</w:t>
      </w:r>
    </w:p>
    <w:p>
      <w:pPr>
        <w:pStyle w:val="85"/>
        <w:adjustRightInd/>
        <w:snapToGrid/>
        <w:ind w:firstLine="480"/>
        <w:rPr>
          <w:rFonts w:ascii="Times New Roman" w:hAnsi="Times New Roman" w:cs="Times New Roman"/>
          <w:sz w:val="24"/>
        </w:rPr>
      </w:pPr>
      <w:r>
        <w:rPr>
          <w:rFonts w:ascii="Times New Roman" w:cs="Times New Roman"/>
          <w:sz w:val="24"/>
        </w:rPr>
        <w:t>（</w:t>
      </w:r>
      <w:r>
        <w:rPr>
          <w:rFonts w:ascii="Times New Roman" w:hAnsi="Times New Roman" w:cs="Times New Roman"/>
          <w:sz w:val="24"/>
        </w:rPr>
        <w:t>1</w:t>
      </w:r>
      <w:r>
        <w:rPr>
          <w:rFonts w:ascii="Times New Roman" w:cs="Times New Roman"/>
          <w:sz w:val="24"/>
        </w:rPr>
        <w:t>）主斜井生产系统</w:t>
      </w:r>
    </w:p>
    <w:p>
      <w:pPr>
        <w:pStyle w:val="85"/>
        <w:adjustRightInd/>
        <w:snapToGrid/>
        <w:ind w:firstLine="480"/>
        <w:rPr>
          <w:rFonts w:ascii="Times New Roman" w:hAnsi="Times New Roman" w:eastAsia="宋体" w:cs="Times New Roman"/>
          <w:sz w:val="24"/>
        </w:rPr>
      </w:pPr>
      <w:r>
        <w:rPr>
          <w:rFonts w:ascii="Times New Roman" w:hAnsi="Calibri" w:eastAsia="宋体" w:cs="Times New Roman"/>
          <w:sz w:val="24"/>
        </w:rPr>
        <w:t>根据矿井实际施工现状及开拓优化方案，主斜井倾角、斜长相应变更；主斜井胶带机相应变更。</w:t>
      </w:r>
    </w:p>
    <w:p>
      <w:pPr>
        <w:pStyle w:val="85"/>
        <w:adjustRightInd/>
        <w:snapToGrid/>
        <w:ind w:firstLine="480"/>
        <w:rPr>
          <w:rFonts w:ascii="Times New Roman" w:hAnsi="Times New Roman" w:eastAsia="宋体" w:cs="Times New Roman"/>
          <w:sz w:val="24"/>
        </w:rPr>
      </w:pPr>
      <w:r>
        <w:rPr>
          <w:rFonts w:ascii="Times New Roman" w:hAnsi="Calibri" w:eastAsia="宋体" w:cs="Times New Roman"/>
          <w:sz w:val="24"/>
        </w:rPr>
        <w:t>主斜井井筒长度约</w:t>
      </w:r>
      <w:r>
        <w:rPr>
          <w:rFonts w:ascii="Times New Roman" w:hAnsi="Times New Roman" w:eastAsia="宋体" w:cs="Times New Roman"/>
          <w:sz w:val="24"/>
        </w:rPr>
        <w:t>973m</w:t>
      </w:r>
      <w:r>
        <w:rPr>
          <w:rFonts w:ascii="Times New Roman" w:hAnsi="Calibri" w:eastAsia="宋体" w:cs="Times New Roman"/>
          <w:sz w:val="24"/>
        </w:rPr>
        <w:t>，主斜井倾角约为</w:t>
      </w:r>
      <w:r>
        <w:rPr>
          <w:rFonts w:ascii="Times New Roman" w:hAnsi="Times New Roman" w:eastAsia="宋体" w:cs="Times New Roman"/>
          <w:sz w:val="24"/>
        </w:rPr>
        <w:t>16°~5.6°</w:t>
      </w:r>
      <w:r>
        <w:rPr>
          <w:rFonts w:ascii="Times New Roman" w:hAnsi="Calibri" w:eastAsia="宋体" w:cs="Times New Roman"/>
          <w:sz w:val="24"/>
        </w:rPr>
        <w:t>，提升高度约</w:t>
      </w:r>
      <w:r>
        <w:rPr>
          <w:rFonts w:ascii="Times New Roman" w:hAnsi="Times New Roman" w:eastAsia="宋体" w:cs="Times New Roman"/>
          <w:sz w:val="24"/>
        </w:rPr>
        <w:t>255m</w:t>
      </w:r>
      <w:r>
        <w:rPr>
          <w:rFonts w:ascii="Times New Roman" w:hAnsi="Calibri" w:eastAsia="宋体" w:cs="Times New Roman"/>
          <w:sz w:val="24"/>
        </w:rPr>
        <w:t>，另一侧装备架空乘人装置，留有人行通道；主斜井净断面宽度为</w:t>
      </w:r>
      <w:r>
        <w:rPr>
          <w:rFonts w:ascii="Times New Roman" w:hAnsi="Times New Roman" w:eastAsia="宋体" w:cs="Times New Roman"/>
          <w:sz w:val="24"/>
        </w:rPr>
        <w:t>4.8m</w:t>
      </w:r>
      <w:r>
        <w:rPr>
          <w:rFonts w:ascii="Times New Roman" w:hAnsi="Calibri" w:eastAsia="宋体" w:cs="Times New Roman"/>
          <w:sz w:val="24"/>
        </w:rPr>
        <w:t>。主斜井井口房布置</w:t>
      </w:r>
      <w:r>
        <w:rPr>
          <w:rFonts w:ascii="Times New Roman" w:hAnsi="Times New Roman" w:eastAsia="宋体" w:cs="Times New Roman"/>
          <w:sz w:val="24"/>
        </w:rPr>
        <w:t>1</w:t>
      </w:r>
      <w:r>
        <w:rPr>
          <w:rFonts w:ascii="Times New Roman" w:hAnsi="Calibri" w:eastAsia="宋体" w:cs="Times New Roman"/>
          <w:sz w:val="24"/>
        </w:rPr>
        <w:t>台防爆桥式起重机（</w:t>
      </w:r>
      <w:r>
        <w:rPr>
          <w:rFonts w:ascii="Times New Roman" w:hAnsi="Times New Roman" w:eastAsia="宋体" w:cs="Times New Roman"/>
          <w:sz w:val="24"/>
        </w:rPr>
        <w:t>16t</w:t>
      </w:r>
      <w:r>
        <w:rPr>
          <w:rFonts w:ascii="Times New Roman" w:hAnsi="Calibri" w:eastAsia="宋体" w:cs="Times New Roman"/>
          <w:sz w:val="24"/>
        </w:rPr>
        <w:t>），用于起吊带式输送机驱动部设备。</w:t>
      </w:r>
    </w:p>
    <w:p>
      <w:pPr>
        <w:pStyle w:val="85"/>
        <w:adjustRightInd/>
        <w:snapToGrid/>
        <w:ind w:firstLine="480"/>
        <w:rPr>
          <w:rFonts w:ascii="Times New Roman" w:hAnsi="Times New Roman" w:eastAsia="宋体" w:cs="Times New Roman"/>
          <w:color w:val="auto"/>
          <w:sz w:val="24"/>
        </w:rPr>
      </w:pPr>
      <w:r>
        <w:rPr>
          <w:rFonts w:ascii="Times New Roman" w:hAnsi="Calibri" w:eastAsia="宋体" w:cs="Times New Roman"/>
          <w:color w:val="auto"/>
          <w:sz w:val="24"/>
        </w:rPr>
        <w:t>根据现有地面设施情况生产系统设置一号转载点，二号转载点。二号转载点位于</w:t>
      </w:r>
      <w:r>
        <w:rPr>
          <w:rFonts w:hint="eastAsia" w:ascii="Times New Roman" w:hAnsi="Calibri" w:eastAsia="宋体" w:cs="Times New Roman"/>
          <w:color w:val="auto"/>
          <w:sz w:val="24"/>
        </w:rPr>
        <w:t>龙宇</w:t>
      </w:r>
      <w:r>
        <w:rPr>
          <w:rFonts w:ascii="Times New Roman" w:hAnsi="Calibri" w:eastAsia="宋体" w:cs="Times New Roman"/>
          <w:color w:val="auto"/>
          <w:sz w:val="24"/>
        </w:rPr>
        <w:t>选煤厂原煤棚处。矿井煤炭经主斜井带式输送机、井口房至一号转载点带式输送机运至一号转载点，再经一号转载点至二号转载点带式输送机运至原煤</w:t>
      </w:r>
      <w:r>
        <w:rPr>
          <w:rFonts w:hint="eastAsia" w:ascii="Times New Roman" w:hAnsi="Calibri" w:eastAsia="宋体" w:cs="Times New Roman"/>
          <w:color w:val="auto"/>
          <w:sz w:val="24"/>
        </w:rPr>
        <w:t>库</w:t>
      </w:r>
      <w:r>
        <w:rPr>
          <w:rFonts w:ascii="Times New Roman" w:hAnsi="Calibri" w:eastAsia="宋体" w:cs="Times New Roman"/>
          <w:color w:val="auto"/>
          <w:sz w:val="24"/>
        </w:rPr>
        <w:t>；一号转载点至二号转载点带式输送机配置犁式卸料器将煤炭落入原煤</w:t>
      </w:r>
      <w:r>
        <w:rPr>
          <w:rFonts w:hint="eastAsia" w:ascii="Times New Roman" w:hAnsi="Calibri" w:eastAsia="宋体" w:cs="Times New Roman"/>
          <w:color w:val="auto"/>
          <w:sz w:val="24"/>
        </w:rPr>
        <w:t>库</w:t>
      </w:r>
      <w:r>
        <w:rPr>
          <w:rFonts w:ascii="Times New Roman" w:hAnsi="Calibri" w:eastAsia="宋体" w:cs="Times New Roman"/>
          <w:color w:val="auto"/>
          <w:sz w:val="24"/>
        </w:rPr>
        <w:t>，并设置高精度电子皮带秤。</w:t>
      </w:r>
    </w:p>
    <w:p>
      <w:pPr>
        <w:pStyle w:val="85"/>
        <w:adjustRightInd/>
        <w:snapToGrid/>
        <w:ind w:firstLine="480"/>
        <w:rPr>
          <w:rFonts w:ascii="Times New Roman" w:hAnsi="Times New Roman" w:cs="Times New Roman"/>
          <w:sz w:val="24"/>
        </w:rPr>
      </w:pPr>
      <w:r>
        <w:rPr>
          <w:rFonts w:ascii="Times New Roman" w:cs="Times New Roman"/>
          <w:sz w:val="24"/>
        </w:rPr>
        <w:t>（</w:t>
      </w:r>
      <w:r>
        <w:rPr>
          <w:rFonts w:ascii="Times New Roman" w:hAnsi="Times New Roman" w:cs="Times New Roman"/>
          <w:sz w:val="24"/>
        </w:rPr>
        <w:t>2</w:t>
      </w:r>
      <w:r>
        <w:rPr>
          <w:rFonts w:ascii="Times New Roman" w:cs="Times New Roman"/>
          <w:sz w:val="24"/>
        </w:rPr>
        <w:t>）</w:t>
      </w:r>
      <w:r>
        <w:rPr>
          <w:rFonts w:ascii="Times New Roman" w:hAnsi="Calibri" w:eastAsia="宋体" w:cs="Times New Roman"/>
          <w:sz w:val="24"/>
        </w:rPr>
        <w:t>副斜井</w:t>
      </w:r>
      <w:r>
        <w:rPr>
          <w:rFonts w:ascii="Times New Roman" w:cs="Times New Roman"/>
          <w:sz w:val="24"/>
        </w:rPr>
        <w:t>生产系统</w:t>
      </w:r>
    </w:p>
    <w:p>
      <w:pPr>
        <w:spacing w:line="360" w:lineRule="auto"/>
        <w:ind w:firstLine="480" w:firstLineChars="200"/>
        <w:rPr>
          <w:sz w:val="24"/>
        </w:rPr>
      </w:pPr>
      <w:r>
        <w:rPr>
          <w:rFonts w:hAnsi="宋体"/>
          <w:sz w:val="24"/>
        </w:rPr>
        <w:t>根据施工现状，副斜井井筒倾角为</w:t>
      </w:r>
      <w:r>
        <w:rPr>
          <w:sz w:val="24"/>
        </w:rPr>
        <w:t>18°</w:t>
      </w:r>
      <w:r>
        <w:rPr>
          <w:rFonts w:hAnsi="宋体"/>
          <w:sz w:val="24"/>
        </w:rPr>
        <w:t>。本次变更设计，副斜井采用单钩提升，井筒内布置一条</w:t>
      </w:r>
      <w:r>
        <w:rPr>
          <w:sz w:val="24"/>
        </w:rPr>
        <w:t>600</w:t>
      </w:r>
      <w:r>
        <w:rPr>
          <w:rFonts w:hAnsi="宋体"/>
          <w:sz w:val="24"/>
        </w:rPr>
        <w:t>轨距单轨。</w:t>
      </w:r>
    </w:p>
    <w:p>
      <w:pPr>
        <w:spacing w:line="360" w:lineRule="auto"/>
        <w:ind w:firstLine="480" w:firstLineChars="200"/>
        <w:rPr>
          <w:sz w:val="24"/>
        </w:rPr>
      </w:pPr>
      <w:r>
        <w:rPr>
          <w:rFonts w:hAnsi="宋体"/>
          <w:sz w:val="24"/>
        </w:rPr>
        <w:t>为防止矿车在井口、井中提升过程中脱钩、跑车造成井筒及装备的破坏，需在副井井筒中设置防跑车防护装置。</w:t>
      </w:r>
    </w:p>
    <w:p>
      <w:pPr>
        <w:pStyle w:val="85"/>
        <w:adjustRightInd/>
        <w:snapToGrid/>
        <w:ind w:firstLine="480"/>
        <w:rPr>
          <w:rFonts w:ascii="Times New Roman" w:hAnsi="Times New Roman" w:cs="Times New Roman"/>
          <w:color w:val="auto"/>
          <w:sz w:val="24"/>
          <w:szCs w:val="24"/>
        </w:rPr>
      </w:pPr>
      <w:r>
        <w:rPr>
          <w:rFonts w:hint="eastAsia" w:ascii="Times New Roman" w:hAnsi="Times New Roman" w:cs="Times New Roman"/>
          <w:color w:val="auto"/>
          <w:sz w:val="24"/>
          <w:szCs w:val="24"/>
        </w:rPr>
        <w:t>（3</w:t>
      </w:r>
      <w:r>
        <w:rPr>
          <w:rFonts w:ascii="Times New Roman" w:hAnsi="Times New Roman" w:cs="Times New Roman"/>
          <w:color w:val="auto"/>
          <w:sz w:val="24"/>
          <w:szCs w:val="24"/>
        </w:rPr>
        <w:t>）</w:t>
      </w:r>
      <w:r>
        <w:rPr>
          <w:rFonts w:hint="eastAsia" w:ascii="Times New Roman" w:hAnsi="Times New Roman" w:cs="Times New Roman"/>
          <w:color w:val="auto"/>
          <w:sz w:val="24"/>
          <w:szCs w:val="24"/>
        </w:rPr>
        <w:t>矸石系统</w:t>
      </w:r>
    </w:p>
    <w:p>
      <w:pPr>
        <w:spacing w:line="360" w:lineRule="auto"/>
        <w:ind w:firstLine="480" w:firstLineChars="200"/>
        <w:textAlignment w:val="bottom"/>
        <w:rPr>
          <w:rFonts w:eastAsiaTheme="minorEastAsia"/>
          <w:sz w:val="24"/>
        </w:rPr>
      </w:pPr>
      <w:r>
        <w:rPr>
          <w:rFonts w:hint="eastAsia" w:hAnsi="宋体"/>
          <w:sz w:val="24"/>
        </w:rPr>
        <w:t>同原环评。</w:t>
      </w:r>
    </w:p>
    <w:p>
      <w:pPr>
        <w:pStyle w:val="85"/>
        <w:adjustRightInd/>
        <w:snapToGrid/>
        <w:ind w:firstLine="480"/>
        <w:rPr>
          <w:rFonts w:ascii="Times New Roman" w:hAnsi="Times New Roman" w:cs="Times New Roman"/>
          <w:color w:val="auto"/>
          <w:sz w:val="24"/>
          <w:szCs w:val="24"/>
        </w:rPr>
      </w:pPr>
      <w:r>
        <w:rPr>
          <w:rFonts w:ascii="Times New Roman" w:hAnsi="Times New Roman" w:cs="Times New Roman"/>
          <w:color w:val="auto"/>
          <w:sz w:val="24"/>
          <w:szCs w:val="24"/>
        </w:rPr>
        <w:t>（</w:t>
      </w:r>
      <w:r>
        <w:rPr>
          <w:rFonts w:hint="eastAsia" w:ascii="Times New Roman" w:hAnsi="Times New Roman" w:cs="Times New Roman"/>
          <w:color w:val="auto"/>
          <w:sz w:val="24"/>
          <w:szCs w:val="24"/>
        </w:rPr>
        <w:t>4</w:t>
      </w:r>
      <w:r>
        <w:rPr>
          <w:rFonts w:ascii="Times New Roman" w:hAnsi="Times New Roman" w:cs="Times New Roman"/>
          <w:color w:val="auto"/>
          <w:sz w:val="24"/>
          <w:szCs w:val="24"/>
        </w:rPr>
        <w:t>）</w:t>
      </w:r>
      <w:r>
        <w:rPr>
          <w:rFonts w:hint="eastAsia" w:ascii="Times New Roman" w:hAnsi="Times New Roman" w:cs="Times New Roman"/>
          <w:color w:val="auto"/>
          <w:sz w:val="24"/>
          <w:szCs w:val="24"/>
        </w:rPr>
        <w:t>脏杂煤处理系统</w:t>
      </w:r>
    </w:p>
    <w:p>
      <w:pPr>
        <w:pStyle w:val="85"/>
        <w:adjustRightInd/>
        <w:snapToGrid/>
        <w:ind w:firstLine="48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井下脏杂煤主要为主斜井撒煤及水仓清理煤泥。主斜井撒煤及水仓清理煤泥全部进入主运输系统。通过主斜井带式输送机运至选煤厂。</w:t>
      </w:r>
    </w:p>
    <w:p>
      <w:pPr>
        <w:pStyle w:val="85"/>
        <w:adjustRightInd/>
        <w:snapToGrid/>
        <w:ind w:firstLine="480"/>
        <w:rPr>
          <w:rFonts w:ascii="Times New Roman" w:hAnsi="Times New Roman" w:cs="Times New Roman"/>
          <w:color w:val="auto"/>
          <w:sz w:val="24"/>
          <w:szCs w:val="24"/>
        </w:rPr>
      </w:pPr>
      <w:r>
        <w:rPr>
          <w:rFonts w:ascii="Times New Roman" w:hAnsi="Times New Roman" w:cs="Times New Roman"/>
          <w:color w:val="auto"/>
          <w:sz w:val="24"/>
          <w:szCs w:val="24"/>
        </w:rPr>
        <w:t>（</w:t>
      </w:r>
      <w:r>
        <w:rPr>
          <w:rFonts w:hint="eastAsia" w:ascii="Times New Roman" w:hAnsi="Times New Roman" w:cs="Times New Roman"/>
          <w:color w:val="auto"/>
          <w:sz w:val="24"/>
          <w:szCs w:val="24"/>
        </w:rPr>
        <w:t>5</w:t>
      </w:r>
      <w:r>
        <w:rPr>
          <w:rFonts w:ascii="Times New Roman" w:hAnsi="Times New Roman" w:cs="Times New Roman"/>
          <w:color w:val="auto"/>
          <w:sz w:val="24"/>
          <w:szCs w:val="24"/>
        </w:rPr>
        <w:t>）</w:t>
      </w:r>
      <w:r>
        <w:rPr>
          <w:rFonts w:hint="eastAsia" w:ascii="Times New Roman" w:hAnsi="Times New Roman" w:cs="Times New Roman"/>
          <w:color w:val="auto"/>
          <w:sz w:val="24"/>
          <w:szCs w:val="24"/>
        </w:rPr>
        <w:t>辅助系统</w:t>
      </w:r>
    </w:p>
    <w:p>
      <w:pPr>
        <w:pStyle w:val="85"/>
        <w:adjustRightInd/>
        <w:snapToGrid/>
        <w:ind w:firstLine="480"/>
        <w:rPr>
          <w:rFonts w:ascii="Times New Roman" w:hAnsi="Times New Roman" w:cs="Times New Roman"/>
          <w:color w:val="auto"/>
          <w:sz w:val="24"/>
          <w:szCs w:val="24"/>
        </w:rPr>
      </w:pPr>
      <w:r>
        <w:rPr>
          <w:rFonts w:hint="eastAsia" w:ascii="Times New Roman" w:hAnsi="Times New Roman" w:eastAsia="宋体" w:cs="Times New Roman"/>
          <w:color w:val="auto"/>
          <w:sz w:val="24"/>
          <w:szCs w:val="24"/>
        </w:rPr>
        <w:t>本次变更设计取消木材加工房。</w:t>
      </w:r>
    </w:p>
    <w:p>
      <w:pPr>
        <w:pStyle w:val="85"/>
        <w:adjustRightInd/>
        <w:snapToGrid/>
        <w:ind w:firstLine="480"/>
        <w:rPr>
          <w:rFonts w:ascii="Times New Roman" w:hAnsi="Times New Roman" w:cs="Times New Roman"/>
          <w:color w:val="auto"/>
          <w:sz w:val="24"/>
          <w:szCs w:val="24"/>
        </w:rPr>
      </w:pPr>
      <w:r>
        <w:rPr>
          <w:rFonts w:ascii="Times New Roman" w:hAnsi="Times New Roman" w:cs="Times New Roman"/>
          <w:color w:val="auto"/>
          <w:sz w:val="24"/>
          <w:szCs w:val="24"/>
        </w:rPr>
        <w:t>机电设备修理车间</w:t>
      </w:r>
      <w:r>
        <w:rPr>
          <w:rFonts w:hint="eastAsia" w:ascii="Times New Roman" w:hAnsi="Times New Roman" w:cs="Times New Roman"/>
          <w:color w:val="auto"/>
          <w:sz w:val="24"/>
          <w:szCs w:val="24"/>
        </w:rPr>
        <w:t>及</w:t>
      </w:r>
      <w:r>
        <w:rPr>
          <w:rFonts w:ascii="Times New Roman" w:hAnsi="Times New Roman" w:cs="Times New Roman"/>
          <w:color w:val="auto"/>
          <w:sz w:val="24"/>
          <w:szCs w:val="24"/>
        </w:rPr>
        <w:t>综采设备库、</w:t>
      </w:r>
      <w:r>
        <w:rPr>
          <w:rFonts w:hint="eastAsia" w:ascii="Times New Roman" w:hAnsi="Times New Roman" w:cs="Times New Roman"/>
          <w:color w:val="auto"/>
          <w:sz w:val="24"/>
          <w:szCs w:val="24"/>
        </w:rPr>
        <w:t>电机车库、器材库面积较原环评减小。</w:t>
      </w:r>
    </w:p>
    <w:p>
      <w:pPr>
        <w:spacing w:line="360" w:lineRule="auto"/>
        <w:outlineLvl w:val="3"/>
        <w:rPr>
          <w:rFonts w:eastAsiaTheme="minorEastAsia"/>
          <w:b/>
          <w:sz w:val="24"/>
        </w:rPr>
      </w:pPr>
      <w:r>
        <w:rPr>
          <w:rFonts w:eastAsiaTheme="minorEastAsia"/>
          <w:b/>
          <w:sz w:val="24"/>
        </w:rPr>
        <w:t>3.3.3.2</w:t>
      </w:r>
      <w:r>
        <w:rPr>
          <w:rFonts w:hAnsiTheme="minorEastAsia" w:eastAsiaTheme="minorEastAsia"/>
          <w:b/>
          <w:sz w:val="24"/>
        </w:rPr>
        <w:t>洗煤厂工程</w:t>
      </w:r>
    </w:p>
    <w:p>
      <w:pPr>
        <w:spacing w:line="360" w:lineRule="auto"/>
        <w:ind w:firstLine="480" w:firstLineChars="200"/>
        <w:rPr>
          <w:rFonts w:eastAsiaTheme="minorEastAsia"/>
          <w:sz w:val="24"/>
        </w:rPr>
      </w:pPr>
      <w:r>
        <w:rPr>
          <w:rFonts w:hint="eastAsia" w:hAnsiTheme="minorEastAsia" w:eastAsiaTheme="minorEastAsia"/>
          <w:sz w:val="24"/>
        </w:rPr>
        <w:t>在本矿工业场地内建设有吕梁龙宇洗煤有限公司180万t/a选煤厂，并已被本集团收购，该洗煤厂经吕梁市环境保护局吕环行审[2009]123号文批复，2019年6月13日临县环境保护局以临环行备[2019]15号文对该洗煤厂进行了验收批复。洗煤厂洗煤工艺采用重介+浮选，配套浓缩、浮选、压滤。</w:t>
      </w:r>
      <w:r>
        <w:rPr>
          <w:rFonts w:eastAsiaTheme="minorEastAsia"/>
          <w:sz w:val="24"/>
        </w:rPr>
        <w:t>块煤（13mm～80mm）采用重介斜轮全部入洗，末煤（0～13mm）采用重介旋流器部分入洗，粗煤泥（1.5～0.2mm）采用螺旋分选，细煤泥（0.2～0mm）经浓缩压滤全部回收处理。主要产品有洗中块、洗小块、洗末煤、筛末煤；煤泥水一级闭路循环。</w:t>
      </w:r>
    </w:p>
    <w:p>
      <w:pPr>
        <w:spacing w:line="360" w:lineRule="auto"/>
        <w:ind w:firstLine="480" w:firstLineChars="200"/>
        <w:rPr>
          <w:rFonts w:eastAsiaTheme="minorEastAsia"/>
          <w:sz w:val="24"/>
        </w:rPr>
      </w:pPr>
      <w:r>
        <w:rPr>
          <w:rFonts w:eastAsiaTheme="minorEastAsia"/>
          <w:sz w:val="24"/>
        </w:rPr>
        <w:t>本矿井生产能力为120万吨/a，配套洗煤厂洗选能力为180万t/a，故洗煤厂生产规模可满足本工程的洗选要求。</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165" w:name="_Toc280270945"/>
      <w:bookmarkStart w:id="166" w:name="_Toc228850758"/>
      <w:bookmarkStart w:id="167" w:name="_Toc71551933"/>
      <w:bookmarkStart w:id="168" w:name="_Toc480708220"/>
      <w:r>
        <w:rPr>
          <w:rFonts w:ascii="Times New Roman" w:hAnsi="Times New Roman" w:eastAsiaTheme="minorEastAsia"/>
          <w:kern w:val="44"/>
          <w:sz w:val="30"/>
          <w:szCs w:val="30"/>
        </w:rPr>
        <w:t>3.</w:t>
      </w:r>
      <w:bookmarkEnd w:id="165"/>
      <w:bookmarkEnd w:id="166"/>
      <w:r>
        <w:rPr>
          <w:rFonts w:ascii="Times New Roman" w:hAnsi="Times New Roman" w:eastAsiaTheme="minorEastAsia"/>
          <w:kern w:val="44"/>
          <w:sz w:val="30"/>
          <w:szCs w:val="30"/>
        </w:rPr>
        <w:t>4</w:t>
      </w:r>
      <w:r>
        <w:rPr>
          <w:rFonts w:ascii="Times New Roman" w:hAnsiTheme="minorEastAsia" w:eastAsiaTheme="minorEastAsia"/>
          <w:kern w:val="44"/>
          <w:sz w:val="30"/>
          <w:szCs w:val="30"/>
        </w:rPr>
        <w:t>污染因素及防治措施分析</w:t>
      </w:r>
      <w:bookmarkEnd w:id="167"/>
    </w:p>
    <w:p>
      <w:pPr>
        <w:spacing w:line="360" w:lineRule="auto"/>
        <w:ind w:firstLine="480" w:firstLineChars="200"/>
        <w:rPr>
          <w:rFonts w:eastAsiaTheme="minorEastAsia"/>
          <w:bCs/>
          <w:sz w:val="24"/>
        </w:rPr>
      </w:pPr>
      <w:r>
        <w:rPr>
          <w:rFonts w:hAnsiTheme="minorEastAsia" w:eastAsiaTheme="minorEastAsia"/>
          <w:bCs/>
          <w:sz w:val="24"/>
        </w:rPr>
        <w:t>本工程</w:t>
      </w:r>
      <w:r>
        <w:rPr>
          <w:rFonts w:hAnsiTheme="minorEastAsia" w:eastAsiaTheme="minorEastAsia"/>
          <w:sz w:val="24"/>
        </w:rPr>
        <w:t>排污情况按建设期、营运期和服务期满后三个时段进行分析。</w:t>
      </w:r>
      <w:r>
        <w:rPr>
          <w:rFonts w:hAnsiTheme="minorEastAsia" w:eastAsiaTheme="minorEastAsia"/>
          <w:bCs/>
          <w:sz w:val="24"/>
        </w:rPr>
        <w:t>各时期产污环节图见图</w:t>
      </w:r>
      <w:r>
        <w:rPr>
          <w:rFonts w:eastAsiaTheme="minorEastAsia"/>
          <w:bCs/>
          <w:sz w:val="24"/>
        </w:rPr>
        <w:t>3.4-1</w:t>
      </w:r>
      <w:r>
        <w:rPr>
          <w:rFonts w:hAnsiTheme="minorEastAsia" w:eastAsiaTheme="minorEastAsia"/>
          <w:bCs/>
          <w:sz w:val="24"/>
        </w:rPr>
        <w:t>。</w:t>
      </w:r>
    </w:p>
    <w:p>
      <w:pPr>
        <w:spacing w:line="360" w:lineRule="auto"/>
        <w:outlineLvl w:val="2"/>
        <w:rPr>
          <w:rFonts w:eastAsiaTheme="minorEastAsia"/>
          <w:b/>
          <w:sz w:val="24"/>
        </w:rPr>
      </w:pPr>
      <w:r>
        <w:rPr>
          <w:rFonts w:eastAsiaTheme="minorEastAsia"/>
          <w:b/>
          <w:sz w:val="24"/>
        </w:rPr>
        <w:t>3.4.1</w:t>
      </w:r>
      <w:r>
        <w:rPr>
          <w:rFonts w:hAnsiTheme="minorEastAsia" w:eastAsiaTheme="minorEastAsia"/>
          <w:b/>
          <w:sz w:val="24"/>
        </w:rPr>
        <w:t>建设期环境影响分析及治理措施</w:t>
      </w:r>
    </w:p>
    <w:p>
      <w:pPr>
        <w:spacing w:line="360" w:lineRule="auto"/>
        <w:ind w:firstLine="480" w:firstLineChars="200"/>
        <w:rPr>
          <w:rFonts w:eastAsiaTheme="minorEastAsia"/>
          <w:sz w:val="24"/>
        </w:rPr>
      </w:pPr>
      <w:r>
        <w:rPr>
          <w:rFonts w:hAnsiTheme="minorEastAsia" w:eastAsiaTheme="minorEastAsia"/>
          <w:sz w:val="24"/>
        </w:rPr>
        <w:t>本项目建设期为</w:t>
      </w:r>
      <w:r>
        <w:rPr>
          <w:rFonts w:hint="eastAsia" w:eastAsiaTheme="minorEastAsia"/>
          <w:sz w:val="24"/>
        </w:rPr>
        <w:t>36.5</w:t>
      </w:r>
      <w:r>
        <w:rPr>
          <w:rFonts w:hAnsiTheme="minorEastAsia" w:eastAsiaTheme="minorEastAsia"/>
          <w:sz w:val="24"/>
        </w:rPr>
        <w:t>个月，施工活动主要是井下设施的建设，包括井下斜井（立井）的掘进</w:t>
      </w:r>
      <w:r>
        <w:rPr>
          <w:rFonts w:hAnsiTheme="minorEastAsia" w:eastAsiaTheme="minorEastAsia"/>
          <w:bCs/>
          <w:sz w:val="24"/>
        </w:rPr>
        <w:t>、辅助设施建设、设备安装等</w:t>
      </w:r>
      <w:r>
        <w:rPr>
          <w:rFonts w:hAnsiTheme="minorEastAsia" w:eastAsiaTheme="minorEastAsia"/>
          <w:sz w:val="24"/>
        </w:rPr>
        <w:t>，主要在井下进行。</w:t>
      </w:r>
    </w:p>
    <w:p>
      <w:pPr>
        <w:spacing w:line="360" w:lineRule="auto"/>
        <w:ind w:firstLine="480" w:firstLineChars="200"/>
        <w:rPr>
          <w:rFonts w:hAnsiTheme="minorEastAsia" w:eastAsiaTheme="minorEastAsia"/>
          <w:bCs/>
          <w:sz w:val="24"/>
        </w:rPr>
      </w:pPr>
      <w:r>
        <w:rPr>
          <w:rFonts w:hAnsiTheme="minorEastAsia" w:eastAsiaTheme="minorEastAsia"/>
          <w:sz w:val="24"/>
        </w:rPr>
        <w:t>本项目建设期</w:t>
      </w:r>
      <w:r>
        <w:rPr>
          <w:rFonts w:hint="eastAsia" w:hAnsiTheme="minorEastAsia" w:eastAsiaTheme="minorEastAsia"/>
          <w:sz w:val="24"/>
        </w:rPr>
        <w:t>主要环境问题表现为：风井场地施工、</w:t>
      </w:r>
      <w:r>
        <w:rPr>
          <w:rFonts w:hAnsiTheme="minorEastAsia" w:eastAsiaTheme="minorEastAsia"/>
          <w:sz w:val="24"/>
        </w:rPr>
        <w:t>井下斜井（立井）的掘进产生的少量矿井涌水、掘进矸石清运车辆产生的尾气、运输扬尘、矸石堆放对环境的影响以及施工人员产生的少量的生活污水和生活垃圾，</w:t>
      </w:r>
      <w:r>
        <w:rPr>
          <w:rFonts w:hAnsiTheme="minorEastAsia" w:eastAsiaTheme="minorEastAsia"/>
          <w:bCs/>
          <w:sz w:val="24"/>
        </w:rPr>
        <w:t>对矿区自然、生态环境及周围居民生活的影响。</w:t>
      </w:r>
    </w:p>
    <w:p>
      <w:pPr>
        <w:spacing w:line="360" w:lineRule="auto"/>
        <w:rPr>
          <w:rFonts w:eastAsiaTheme="minorEastAsia"/>
          <w:b/>
          <w:sz w:val="24"/>
        </w:rPr>
      </w:pPr>
      <w:r>
        <w:rPr>
          <w:rFonts w:eastAsiaTheme="minorEastAsia"/>
          <w:b/>
          <w:sz w:val="24"/>
        </w:rPr>
        <w:t>3.4.1.1</w:t>
      </w:r>
      <w:r>
        <w:rPr>
          <w:rFonts w:hAnsiTheme="minorEastAsia" w:eastAsiaTheme="minorEastAsia"/>
          <w:b/>
          <w:sz w:val="24"/>
        </w:rPr>
        <w:t>建设期</w:t>
      </w:r>
      <w:r>
        <w:rPr>
          <w:rFonts w:hint="eastAsia" w:hAnsiTheme="minorEastAsia" w:eastAsiaTheme="minorEastAsia"/>
          <w:b/>
          <w:sz w:val="24"/>
        </w:rPr>
        <w:t>大气环境影响分析及治理措施</w:t>
      </w:r>
    </w:p>
    <w:p>
      <w:pPr>
        <w:spacing w:line="360" w:lineRule="auto"/>
        <w:ind w:firstLine="480" w:firstLineChars="200"/>
        <w:rPr>
          <w:rFonts w:eastAsiaTheme="minorEastAsia"/>
          <w:bCs/>
          <w:sz w:val="24"/>
        </w:rPr>
      </w:pPr>
      <w:r>
        <w:rPr>
          <w:rFonts w:hAnsiTheme="minorEastAsia" w:eastAsiaTheme="minorEastAsia"/>
          <w:bCs/>
          <w:sz w:val="24"/>
        </w:rPr>
        <w:t>（一）</w:t>
      </w:r>
      <w:r>
        <w:rPr>
          <w:rFonts w:hint="eastAsia" w:hAnsiTheme="minorEastAsia" w:eastAsiaTheme="minorEastAsia"/>
          <w:bCs/>
          <w:sz w:val="24"/>
        </w:rPr>
        <w:t>建设</w:t>
      </w:r>
      <w:r>
        <w:rPr>
          <w:rFonts w:hAnsiTheme="minorEastAsia" w:eastAsiaTheme="minorEastAsia"/>
          <w:bCs/>
          <w:sz w:val="24"/>
        </w:rPr>
        <w:t>期大气环境影响分析</w:t>
      </w:r>
    </w:p>
    <w:p>
      <w:pPr>
        <w:spacing w:line="360" w:lineRule="auto"/>
        <w:ind w:firstLine="480" w:firstLineChars="200"/>
        <w:rPr>
          <w:rFonts w:eastAsiaTheme="minorEastAsia"/>
          <w:sz w:val="24"/>
        </w:rPr>
      </w:pPr>
      <w:r>
        <w:rPr>
          <w:rFonts w:hAnsiTheme="minorEastAsia" w:eastAsiaTheme="minorEastAsia"/>
          <w:sz w:val="24"/>
        </w:rPr>
        <w:t>施工期主要大气环境影响为扬尘对周围大气环境的影响，扬尘主要为施工扬尘和道路运输扬尘。施工扬尘主要来自于施工现场物料装卸、堆放等过程；道路运输扬尘来自于施工机械和车辆的往来过程。扬尘排放方式为间歇不定量排放，其影响范围为施工现场附近和运输道路沿途。其次还有施工机械所产生的废气和运输车辆所产生的废气。</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w:t>
      </w:r>
      <w:r>
        <w:rPr>
          <w:rFonts w:hint="eastAsia" w:hAnsiTheme="minorEastAsia" w:eastAsiaTheme="minorEastAsia"/>
          <w:sz w:val="24"/>
        </w:rPr>
        <w:t>建设</w:t>
      </w:r>
      <w:r>
        <w:rPr>
          <w:rFonts w:hAnsiTheme="minorEastAsia" w:eastAsiaTheme="minorEastAsia"/>
          <w:sz w:val="24"/>
        </w:rPr>
        <w:t>期扬尘污染源</w:t>
      </w:r>
    </w:p>
    <w:p>
      <w:pPr>
        <w:spacing w:line="360" w:lineRule="auto"/>
        <w:ind w:firstLine="480" w:firstLineChars="200"/>
        <w:rPr>
          <w:rFonts w:eastAsiaTheme="minorEastAsia"/>
          <w:sz w:val="24"/>
        </w:rPr>
      </w:pPr>
      <w:r>
        <w:rPr>
          <w:rFonts w:eastAsiaTheme="minorEastAsia"/>
          <w:sz w:val="24"/>
        </w:rPr>
        <w:t>a.</w:t>
      </w:r>
      <w:r>
        <w:rPr>
          <w:rFonts w:hAnsiTheme="minorEastAsia" w:eastAsiaTheme="minorEastAsia"/>
          <w:sz w:val="24"/>
        </w:rPr>
        <w:t>施工场地的地表和植被遭到破坏，遇风可产生扬尘；</w:t>
      </w:r>
    </w:p>
    <w:p>
      <w:pPr>
        <w:tabs>
          <w:tab w:val="right" w:pos="8967"/>
        </w:tabs>
        <w:spacing w:line="360" w:lineRule="auto"/>
        <w:ind w:firstLine="480" w:firstLineChars="200"/>
        <w:rPr>
          <w:rFonts w:eastAsiaTheme="minorEastAsia"/>
          <w:sz w:val="24"/>
        </w:rPr>
      </w:pPr>
      <w:r>
        <w:rPr>
          <w:rFonts w:eastAsiaTheme="minorEastAsia"/>
          <w:sz w:val="24"/>
        </w:rPr>
        <w:t>b.</w:t>
      </w:r>
      <w:r>
        <w:rPr>
          <w:rFonts w:hAnsiTheme="minorEastAsia" w:eastAsiaTheme="minorEastAsia"/>
          <w:sz w:val="24"/>
        </w:rPr>
        <w:t>堆放易产尘的建筑材料，如无围挡，随意堆放，会产生二次扬尘；</w:t>
      </w:r>
    </w:p>
    <w:p>
      <w:pPr>
        <w:tabs>
          <w:tab w:val="right" w:pos="8967"/>
        </w:tabs>
        <w:spacing w:line="360" w:lineRule="auto"/>
        <w:ind w:firstLine="480" w:firstLineChars="200"/>
        <w:rPr>
          <w:rFonts w:eastAsiaTheme="minorEastAsia"/>
          <w:sz w:val="24"/>
        </w:rPr>
      </w:pPr>
      <w:r>
        <w:rPr>
          <w:rFonts w:eastAsiaTheme="minorEastAsia"/>
          <w:sz w:val="24"/>
        </w:rPr>
        <w:t>c.</w:t>
      </w:r>
      <w:r>
        <w:rPr>
          <w:rFonts w:hAnsiTheme="minorEastAsia" w:eastAsiaTheme="minorEastAsia"/>
          <w:sz w:val="24"/>
        </w:rPr>
        <w:t>建筑材料的运输，如不采取有效的遮盖措施，会产生扬尘；</w:t>
      </w:r>
    </w:p>
    <w:p>
      <w:pPr>
        <w:spacing w:line="360" w:lineRule="auto"/>
        <w:ind w:firstLine="480" w:firstLineChars="200"/>
        <w:rPr>
          <w:rFonts w:eastAsiaTheme="minorEastAsia"/>
          <w:sz w:val="24"/>
        </w:rPr>
      </w:pPr>
      <w:r>
        <w:rPr>
          <w:rFonts w:eastAsiaTheme="minorEastAsia"/>
          <w:sz w:val="24"/>
        </w:rPr>
        <w:t>d.</w:t>
      </w:r>
      <w:r>
        <w:rPr>
          <w:rFonts w:hAnsiTheme="minorEastAsia" w:eastAsiaTheme="minorEastAsia"/>
          <w:sz w:val="24"/>
        </w:rPr>
        <w:t>施工垃圾的清理会产生扬尘；</w:t>
      </w:r>
    </w:p>
    <w:p>
      <w:pPr>
        <w:spacing w:line="360" w:lineRule="auto"/>
        <w:ind w:firstLine="480" w:firstLineChars="200"/>
        <w:rPr>
          <w:rFonts w:eastAsiaTheme="minorEastAsia"/>
          <w:sz w:val="24"/>
        </w:rPr>
      </w:pPr>
      <w:r>
        <w:rPr>
          <w:rFonts w:eastAsiaTheme="minorEastAsia"/>
          <w:sz w:val="24"/>
        </w:rPr>
        <w:t>e.</w:t>
      </w:r>
      <w:r>
        <w:rPr>
          <w:rFonts w:hAnsiTheme="minorEastAsia" w:eastAsiaTheme="minorEastAsia"/>
          <w:kern w:val="0"/>
          <w:sz w:val="24"/>
        </w:rPr>
        <w:t>施工及装卸车辆造成的扬尘</w:t>
      </w:r>
      <w:r>
        <w:rPr>
          <w:rFonts w:hAnsiTheme="minorEastAsia" w:eastAsiaTheme="minorEastAsia"/>
          <w:sz w:val="24"/>
        </w:rPr>
        <w:t>。</w:t>
      </w:r>
    </w:p>
    <w:p>
      <w:pPr>
        <w:widowControl/>
        <w:spacing w:line="360" w:lineRule="auto"/>
        <w:ind w:firstLine="480" w:firstLineChars="200"/>
        <w:rPr>
          <w:rFonts w:eastAsiaTheme="minorEastAsia"/>
          <w:kern w:val="0"/>
          <w:sz w:val="24"/>
        </w:rPr>
      </w:pPr>
      <w:r>
        <w:rPr>
          <w:rFonts w:hAnsiTheme="minorEastAsia" w:eastAsiaTheme="minorEastAsia"/>
          <w:kern w:val="0"/>
          <w:sz w:val="24"/>
        </w:rPr>
        <w:t>（</w:t>
      </w:r>
      <w:r>
        <w:rPr>
          <w:rFonts w:eastAsiaTheme="minorEastAsia"/>
          <w:kern w:val="0"/>
          <w:sz w:val="24"/>
        </w:rPr>
        <w:t>2</w:t>
      </w:r>
      <w:r>
        <w:rPr>
          <w:rFonts w:hAnsiTheme="minorEastAsia" w:eastAsiaTheme="minorEastAsia"/>
          <w:kern w:val="0"/>
          <w:sz w:val="24"/>
        </w:rPr>
        <w:t>）汽车运输扬尘环境影响分析</w:t>
      </w:r>
    </w:p>
    <w:p>
      <w:pPr>
        <w:widowControl/>
        <w:spacing w:line="360" w:lineRule="auto"/>
        <w:ind w:firstLine="480" w:firstLineChars="200"/>
        <w:rPr>
          <w:rFonts w:eastAsiaTheme="minorEastAsia"/>
          <w:kern w:val="0"/>
          <w:sz w:val="24"/>
        </w:rPr>
      </w:pPr>
      <w:r>
        <w:rPr>
          <w:rFonts w:hAnsiTheme="minorEastAsia" w:eastAsiaTheme="minorEastAsia"/>
          <w:kern w:val="0"/>
          <w:sz w:val="24"/>
        </w:rPr>
        <w:t>据有关文献资料介绍，车辆行驶产生的扬尘占总扬尘的</w:t>
      </w:r>
      <w:r>
        <w:rPr>
          <w:rFonts w:eastAsiaTheme="minorEastAsia"/>
          <w:kern w:val="0"/>
          <w:sz w:val="24"/>
        </w:rPr>
        <w:t>60%</w:t>
      </w:r>
      <w:r>
        <w:rPr>
          <w:rFonts w:hAnsiTheme="minorEastAsia" w:eastAsiaTheme="minorEastAsia"/>
          <w:kern w:val="0"/>
          <w:sz w:val="24"/>
        </w:rPr>
        <w:t>以上。在同样路面清洁程度条件下，车速越快，扬尘量越大；而在同样车速情况下，路面越脏，则扬尘量越大。</w:t>
      </w:r>
    </w:p>
    <w:p>
      <w:pPr>
        <w:spacing w:line="360" w:lineRule="auto"/>
        <w:ind w:firstLine="480" w:firstLineChars="200"/>
        <w:rPr>
          <w:rFonts w:eastAsiaTheme="minorEastAsia"/>
          <w:sz w:val="24"/>
        </w:rPr>
      </w:pPr>
      <w:r>
        <w:rPr>
          <w:rFonts w:hAnsiTheme="minorEastAsia" w:eastAsiaTheme="minorEastAsia"/>
          <w:sz w:val="24"/>
        </w:rPr>
        <w:t>施工期大气污染物排放量较小，这些大气污染源会随着施工期的结束而消失。</w:t>
      </w:r>
    </w:p>
    <w:p>
      <w:pPr>
        <w:widowControl/>
        <w:spacing w:line="360" w:lineRule="auto"/>
        <w:ind w:firstLine="480" w:firstLineChars="200"/>
        <w:rPr>
          <w:rFonts w:eastAsiaTheme="minorEastAsia"/>
          <w:bCs/>
          <w:sz w:val="24"/>
          <w:szCs w:val="28"/>
          <w:lang w:val="zh-CN"/>
        </w:rPr>
      </w:pPr>
      <w:r>
        <w:rPr>
          <w:rFonts w:hAnsiTheme="minorEastAsia" w:eastAsiaTheme="minorEastAsia"/>
          <w:bCs/>
          <w:sz w:val="24"/>
          <w:szCs w:val="28"/>
          <w:lang w:val="zh-CN"/>
        </w:rPr>
        <w:t>（</w:t>
      </w:r>
      <w:r>
        <w:rPr>
          <w:rFonts w:eastAsiaTheme="minorEastAsia"/>
          <w:bCs/>
          <w:sz w:val="24"/>
          <w:szCs w:val="28"/>
        </w:rPr>
        <w:t>3</w:t>
      </w:r>
      <w:r>
        <w:rPr>
          <w:rFonts w:hAnsiTheme="minorEastAsia" w:eastAsiaTheme="minorEastAsia"/>
          <w:bCs/>
          <w:sz w:val="24"/>
          <w:szCs w:val="28"/>
          <w:lang w:val="zh-CN"/>
        </w:rPr>
        <w:t>）废气</w:t>
      </w:r>
    </w:p>
    <w:p>
      <w:pPr>
        <w:widowControl/>
        <w:spacing w:line="360" w:lineRule="auto"/>
        <w:ind w:firstLine="480" w:firstLineChars="200"/>
        <w:rPr>
          <w:rFonts w:eastAsiaTheme="minorEastAsia"/>
          <w:sz w:val="24"/>
        </w:rPr>
      </w:pPr>
      <w:r>
        <w:rPr>
          <w:rFonts w:hAnsiTheme="minorEastAsia" w:eastAsiaTheme="minorEastAsia"/>
          <w:sz w:val="24"/>
        </w:rPr>
        <w:t>运输车辆和施工机械施工时产生废气，</w:t>
      </w:r>
      <w:r>
        <w:rPr>
          <w:rFonts w:hAnsiTheme="minorEastAsia" w:eastAsiaTheme="minorEastAsia"/>
          <w:sz w:val="24"/>
          <w:lang w:val="zh-CN"/>
        </w:rPr>
        <w:t>包括</w:t>
      </w:r>
      <w:r>
        <w:rPr>
          <w:rFonts w:eastAsiaTheme="minorEastAsia"/>
          <w:bCs/>
          <w:sz w:val="24"/>
          <w:szCs w:val="28"/>
          <w:lang w:val="zh-CN"/>
        </w:rPr>
        <w:t>CO</w:t>
      </w:r>
      <w:r>
        <w:rPr>
          <w:rFonts w:hAnsiTheme="minorEastAsia" w:eastAsiaTheme="minorEastAsia"/>
          <w:bCs/>
          <w:sz w:val="24"/>
          <w:szCs w:val="28"/>
          <w:lang w:val="zh-CN"/>
        </w:rPr>
        <w:t>、</w:t>
      </w:r>
      <w:r>
        <w:rPr>
          <w:rFonts w:eastAsiaTheme="minorEastAsia"/>
          <w:sz w:val="24"/>
        </w:rPr>
        <w:t>NO</w:t>
      </w:r>
      <w:r>
        <w:rPr>
          <w:rFonts w:eastAsiaTheme="minorEastAsia"/>
          <w:sz w:val="24"/>
          <w:vertAlign w:val="subscript"/>
        </w:rPr>
        <w:t>x</w:t>
      </w:r>
      <w:r>
        <w:rPr>
          <w:rFonts w:hAnsiTheme="minorEastAsia" w:eastAsiaTheme="minorEastAsia"/>
          <w:bCs/>
          <w:sz w:val="24"/>
          <w:szCs w:val="28"/>
          <w:lang w:val="zh-CN"/>
        </w:rPr>
        <w:t>、</w:t>
      </w:r>
      <w:r>
        <w:rPr>
          <w:rFonts w:eastAsiaTheme="minorEastAsia"/>
          <w:bCs/>
          <w:sz w:val="24"/>
          <w:szCs w:val="28"/>
        </w:rPr>
        <w:t>HC</w:t>
      </w:r>
      <w:r>
        <w:rPr>
          <w:rFonts w:hAnsiTheme="minorEastAsia" w:eastAsiaTheme="minorEastAsia"/>
          <w:bCs/>
          <w:sz w:val="24"/>
          <w:szCs w:val="28"/>
          <w:lang w:val="zh-CN"/>
        </w:rPr>
        <w:t>等，但废气产生量不大，</w:t>
      </w:r>
      <w:r>
        <w:rPr>
          <w:rFonts w:hAnsiTheme="minorEastAsia" w:eastAsiaTheme="minorEastAsia"/>
          <w:sz w:val="24"/>
        </w:rPr>
        <w:t>属无组织排放。</w:t>
      </w:r>
    </w:p>
    <w:p>
      <w:pPr>
        <w:spacing w:line="360" w:lineRule="auto"/>
        <w:ind w:firstLine="504" w:firstLineChars="200"/>
        <w:rPr>
          <w:rFonts w:eastAsiaTheme="minorEastAsia"/>
          <w:spacing w:val="6"/>
          <w:sz w:val="24"/>
        </w:rPr>
      </w:pPr>
      <w:r>
        <w:rPr>
          <w:rFonts w:hAnsiTheme="minorEastAsia" w:eastAsiaTheme="minorEastAsia"/>
          <w:spacing w:val="6"/>
          <w:sz w:val="24"/>
        </w:rPr>
        <w:t>上述施工过程中产生的废气、粉尘（扬尘）如不加强管理，则可能对周围大气环境造成污染，其中以粉尘的危害较为严重。</w:t>
      </w:r>
    </w:p>
    <w:p>
      <w:pPr>
        <w:spacing w:line="360" w:lineRule="auto"/>
        <w:ind w:firstLine="480" w:firstLineChars="200"/>
        <w:rPr>
          <w:rFonts w:eastAsiaTheme="minorEastAsia"/>
          <w:bCs/>
          <w:sz w:val="24"/>
        </w:rPr>
      </w:pPr>
      <w:r>
        <w:rPr>
          <w:rFonts w:hAnsiTheme="minorEastAsia" w:eastAsiaTheme="minorEastAsia"/>
          <w:bCs/>
          <w:sz w:val="24"/>
        </w:rPr>
        <w:t>（二）施工期大气污染防治措施</w:t>
      </w:r>
    </w:p>
    <w:p>
      <w:pPr>
        <w:pStyle w:val="148"/>
        <w:adjustRightInd/>
        <w:snapToGrid/>
        <w:spacing w:line="360" w:lineRule="auto"/>
        <w:ind w:firstLine="496" w:firstLineChars="200"/>
        <w:rPr>
          <w:rFonts w:eastAsiaTheme="minorEastAsia"/>
          <w:b w:val="0"/>
          <w:bCs/>
        </w:rPr>
      </w:pPr>
      <w:r>
        <w:rPr>
          <w:rFonts w:hAnsiTheme="minorEastAsia" w:eastAsiaTheme="minorEastAsia"/>
          <w:b w:val="0"/>
          <w:bCs/>
        </w:rPr>
        <w:t>根据《山西省人民政府关于印发山西省打赢蓝天保卫战三年行动计划的通知》晋政发【</w:t>
      </w:r>
      <w:r>
        <w:rPr>
          <w:rFonts w:eastAsiaTheme="minorEastAsia"/>
          <w:b w:val="0"/>
          <w:bCs/>
        </w:rPr>
        <w:t>2018</w:t>
      </w:r>
      <w:r>
        <w:rPr>
          <w:rFonts w:hAnsiTheme="minorEastAsia" w:eastAsiaTheme="minorEastAsia"/>
          <w:b w:val="0"/>
          <w:bCs/>
        </w:rPr>
        <w:t>】</w:t>
      </w:r>
      <w:r>
        <w:rPr>
          <w:rFonts w:eastAsiaTheme="minorEastAsia"/>
          <w:b w:val="0"/>
          <w:bCs/>
        </w:rPr>
        <w:t>30</w:t>
      </w:r>
      <w:r>
        <w:rPr>
          <w:rFonts w:hAnsiTheme="minorEastAsia" w:eastAsiaTheme="minorEastAsia"/>
          <w:b w:val="0"/>
          <w:bCs/>
        </w:rPr>
        <w:t>号、《防治城市扬尘污染技术规范》（</w:t>
      </w:r>
      <w:r>
        <w:rPr>
          <w:rFonts w:eastAsiaTheme="minorEastAsia"/>
          <w:b w:val="0"/>
          <w:bCs/>
        </w:rPr>
        <w:t>HJ/T393-2007</w:t>
      </w:r>
      <w:r>
        <w:rPr>
          <w:rFonts w:hAnsiTheme="minorEastAsia" w:eastAsiaTheme="minorEastAsia"/>
          <w:b w:val="0"/>
          <w:bCs/>
        </w:rPr>
        <w:t>）、晋环发【</w:t>
      </w:r>
      <w:r>
        <w:rPr>
          <w:rFonts w:eastAsiaTheme="minorEastAsia"/>
          <w:b w:val="0"/>
          <w:bCs/>
        </w:rPr>
        <w:t>2010</w:t>
      </w:r>
      <w:r>
        <w:rPr>
          <w:rFonts w:hAnsiTheme="minorEastAsia" w:eastAsiaTheme="minorEastAsia"/>
          <w:b w:val="0"/>
          <w:bCs/>
        </w:rPr>
        <w:t>】</w:t>
      </w:r>
      <w:r>
        <w:rPr>
          <w:rFonts w:eastAsiaTheme="minorEastAsia"/>
          <w:b w:val="0"/>
          <w:bCs/>
        </w:rPr>
        <w:t>136</w:t>
      </w:r>
      <w:r>
        <w:rPr>
          <w:rFonts w:hAnsiTheme="minorEastAsia" w:eastAsiaTheme="minorEastAsia"/>
          <w:b w:val="0"/>
          <w:bCs/>
        </w:rPr>
        <w:t>号《关于加强建筑施工扬尘排污费核定征收工作的通知》及山西省关于施工场所扬尘防治的有关要求，本报告要求建设单位采取以下防治措施：</w:t>
      </w:r>
    </w:p>
    <w:p>
      <w:pPr>
        <w:pStyle w:val="148"/>
        <w:adjustRightInd/>
        <w:snapToGrid/>
        <w:spacing w:line="360" w:lineRule="auto"/>
        <w:ind w:firstLine="496" w:firstLineChars="200"/>
        <w:rPr>
          <w:rFonts w:hAnsiTheme="minorEastAsia" w:eastAsiaTheme="minorEastAsia"/>
          <w:b w:val="0"/>
          <w:bCs/>
        </w:rPr>
      </w:pPr>
      <w:r>
        <w:rPr>
          <w:rFonts w:hint="eastAsia" w:hAnsiTheme="minorEastAsia" w:eastAsiaTheme="minorEastAsia"/>
          <w:b w:val="0"/>
          <w:bCs/>
        </w:rPr>
        <w:t>①基建期应严格按照工程建设及施工操作规范实施，杜绝随意性，并要加强对施工人员的行为管理；</w:t>
      </w:r>
    </w:p>
    <w:p>
      <w:pPr>
        <w:spacing w:line="360" w:lineRule="auto"/>
        <w:ind w:firstLine="480" w:firstLineChars="200"/>
        <w:rPr>
          <w:rFonts w:hAnsi="宋体"/>
          <w:color w:val="000000"/>
          <w:sz w:val="24"/>
        </w:rPr>
      </w:pPr>
      <w:r>
        <w:rPr>
          <w:rFonts w:hint="eastAsia" w:hAnsi="宋体"/>
          <w:color w:val="000000"/>
          <w:sz w:val="24"/>
        </w:rPr>
        <w:t>②合理安排施工计划，同时要对每个施工环节提出具体的要求；根据平面布局，可以对矿区局部提前进行绿化，改善生态景观的同时，也可以减轻扬尘的环境影响；</w:t>
      </w:r>
    </w:p>
    <w:p>
      <w:pPr>
        <w:pStyle w:val="148"/>
        <w:adjustRightInd/>
        <w:snapToGrid/>
        <w:spacing w:line="360" w:lineRule="auto"/>
        <w:ind w:firstLine="496" w:firstLineChars="200"/>
        <w:rPr>
          <w:rFonts w:eastAsiaTheme="minorEastAsia"/>
          <w:b w:val="0"/>
          <w:bCs/>
        </w:rPr>
      </w:pPr>
      <w:r>
        <w:rPr>
          <w:rFonts w:hint="eastAsia" w:hAnsiTheme="minorEastAsia" w:eastAsiaTheme="minorEastAsia"/>
          <w:b w:val="0"/>
          <w:bCs/>
        </w:rPr>
        <w:t>③</w:t>
      </w:r>
      <w:r>
        <w:rPr>
          <w:rFonts w:hAnsiTheme="minorEastAsia" w:eastAsiaTheme="minorEastAsia"/>
          <w:b w:val="0"/>
          <w:bCs/>
        </w:rPr>
        <w:t>遇到干燥易起尘的土方工程作业时，应辅以洒水抑尘，尽量缩短起尘操作时间。遇到四级及四级以上大风天气，应停止土方作业，同时作业处覆以防尘网；</w:t>
      </w:r>
    </w:p>
    <w:p>
      <w:pPr>
        <w:pStyle w:val="148"/>
        <w:adjustRightInd/>
        <w:snapToGrid/>
        <w:spacing w:line="360" w:lineRule="auto"/>
        <w:ind w:firstLine="496" w:firstLineChars="200"/>
        <w:rPr>
          <w:rFonts w:hAnsiTheme="minorEastAsia" w:eastAsiaTheme="minorEastAsia"/>
          <w:b w:val="0"/>
          <w:bCs/>
        </w:rPr>
      </w:pPr>
      <w:r>
        <w:rPr>
          <w:rFonts w:hint="eastAsia" w:hAnsiTheme="minorEastAsia" w:eastAsiaTheme="minorEastAsia"/>
          <w:b w:val="0"/>
          <w:bCs/>
        </w:rPr>
        <w:t>④限定物料堆放场地，采取防尘布网覆盖，并加强管理，确保覆盖到位；施工现场易飞扬的细颗粒散体材料应密闭存放；易产生扬尘的砂石等散体材料，应设置高度不低于</w:t>
      </w:r>
      <w:r>
        <w:rPr>
          <w:rFonts w:hAnsiTheme="minorEastAsia" w:eastAsiaTheme="minorEastAsia"/>
          <w:b w:val="0"/>
          <w:bCs/>
        </w:rPr>
        <w:t xml:space="preserve">0.5m </w:t>
      </w:r>
      <w:r>
        <w:rPr>
          <w:rFonts w:hint="eastAsia" w:hAnsiTheme="minorEastAsia" w:eastAsiaTheme="minorEastAsia"/>
          <w:b w:val="0"/>
          <w:bCs/>
        </w:rPr>
        <w:t>的堆放池，并采取覆盖措施；</w:t>
      </w:r>
    </w:p>
    <w:p>
      <w:pPr>
        <w:pStyle w:val="148"/>
        <w:adjustRightInd/>
        <w:snapToGrid/>
        <w:spacing w:line="360" w:lineRule="auto"/>
        <w:ind w:firstLine="496" w:firstLineChars="200"/>
        <w:rPr>
          <w:rFonts w:eastAsiaTheme="minorEastAsia"/>
          <w:b w:val="0"/>
          <w:bCs/>
        </w:rPr>
      </w:pPr>
      <w:r>
        <w:rPr>
          <w:rFonts w:hAnsiTheme="minorEastAsia" w:eastAsiaTheme="minorEastAsia"/>
          <w:b w:val="0"/>
          <w:bCs/>
        </w:rPr>
        <w:t>⑤当空气质量为重度污染（空气质量指数</w:t>
      </w:r>
      <w:r>
        <w:rPr>
          <w:rFonts w:eastAsiaTheme="minorEastAsia"/>
          <w:b w:val="0"/>
          <w:bCs/>
        </w:rPr>
        <w:t>≥201</w:t>
      </w:r>
      <w:r>
        <w:rPr>
          <w:rFonts w:hAnsiTheme="minorEastAsia" w:eastAsiaTheme="minorEastAsia"/>
          <w:b w:val="0"/>
          <w:bCs/>
        </w:rPr>
        <w:t>）和气象预报风速达</w:t>
      </w:r>
      <w:r>
        <w:rPr>
          <w:rFonts w:eastAsiaTheme="minorEastAsia"/>
          <w:b w:val="0"/>
          <w:bCs/>
        </w:rPr>
        <w:t xml:space="preserve">5 </w:t>
      </w:r>
      <w:r>
        <w:rPr>
          <w:rFonts w:hAnsiTheme="minorEastAsia" w:eastAsiaTheme="minorEastAsia"/>
          <w:b w:val="0"/>
          <w:bCs/>
        </w:rPr>
        <w:t>级以上时，停止土方工程和拆迁施工，并做好覆盖工作；当空气质量为中度污染（空气质量指数</w:t>
      </w:r>
      <w:r>
        <w:rPr>
          <w:rFonts w:eastAsiaTheme="minorEastAsia"/>
          <w:b w:val="0"/>
          <w:bCs/>
        </w:rPr>
        <w:t>151-200</w:t>
      </w:r>
      <w:r>
        <w:rPr>
          <w:rFonts w:hAnsiTheme="minorEastAsia" w:eastAsiaTheme="minorEastAsia"/>
          <w:b w:val="0"/>
          <w:bCs/>
        </w:rPr>
        <w:t>）和风速达</w:t>
      </w:r>
      <w:r>
        <w:rPr>
          <w:rFonts w:eastAsiaTheme="minorEastAsia"/>
          <w:b w:val="0"/>
          <w:bCs/>
        </w:rPr>
        <w:t xml:space="preserve">4 </w:t>
      </w:r>
      <w:r>
        <w:rPr>
          <w:rFonts w:hAnsiTheme="minorEastAsia" w:eastAsiaTheme="minorEastAsia"/>
          <w:b w:val="0"/>
          <w:bCs/>
        </w:rPr>
        <w:t>级以上时，停止土方工程和拆迁施工，并每隔</w:t>
      </w:r>
      <w:r>
        <w:rPr>
          <w:rFonts w:eastAsiaTheme="minorEastAsia"/>
          <w:b w:val="0"/>
          <w:bCs/>
        </w:rPr>
        <w:t>2h</w:t>
      </w:r>
      <w:r>
        <w:rPr>
          <w:rFonts w:hAnsiTheme="minorEastAsia" w:eastAsiaTheme="minorEastAsia"/>
          <w:b w:val="0"/>
          <w:bCs/>
        </w:rPr>
        <w:t>对施工现场洒水</w:t>
      </w:r>
      <w:r>
        <w:rPr>
          <w:rFonts w:eastAsiaTheme="minorEastAsia"/>
          <w:b w:val="0"/>
          <w:bCs/>
        </w:rPr>
        <w:t xml:space="preserve">1 </w:t>
      </w:r>
      <w:r>
        <w:rPr>
          <w:rFonts w:hAnsiTheme="minorEastAsia" w:eastAsiaTheme="minorEastAsia"/>
          <w:b w:val="0"/>
          <w:bCs/>
        </w:rPr>
        <w:t>次；当空气质量为轻度污染（空气质量指数</w:t>
      </w:r>
      <w:r>
        <w:rPr>
          <w:rFonts w:eastAsiaTheme="minorEastAsia"/>
          <w:b w:val="0"/>
          <w:bCs/>
        </w:rPr>
        <w:t>101-150</w:t>
      </w:r>
      <w:r>
        <w:rPr>
          <w:rFonts w:hAnsiTheme="minorEastAsia" w:eastAsiaTheme="minorEastAsia"/>
          <w:b w:val="0"/>
          <w:bCs/>
        </w:rPr>
        <w:t>）时，应每隔</w:t>
      </w:r>
      <w:r>
        <w:rPr>
          <w:rFonts w:eastAsiaTheme="minorEastAsia"/>
          <w:b w:val="0"/>
          <w:bCs/>
        </w:rPr>
        <w:t xml:space="preserve">4h </w:t>
      </w:r>
      <w:r>
        <w:rPr>
          <w:rFonts w:hAnsiTheme="minorEastAsia" w:eastAsiaTheme="minorEastAsia"/>
          <w:b w:val="0"/>
          <w:bCs/>
        </w:rPr>
        <w:t>对施工现场洒水</w:t>
      </w:r>
      <w:r>
        <w:rPr>
          <w:rFonts w:eastAsiaTheme="minorEastAsia"/>
          <w:b w:val="0"/>
          <w:bCs/>
        </w:rPr>
        <w:t xml:space="preserve">1 </w:t>
      </w:r>
      <w:r>
        <w:rPr>
          <w:rFonts w:hAnsiTheme="minorEastAsia" w:eastAsiaTheme="minorEastAsia"/>
          <w:b w:val="0"/>
          <w:bCs/>
        </w:rPr>
        <w:t>次。</w:t>
      </w:r>
    </w:p>
    <w:p>
      <w:pPr>
        <w:pStyle w:val="148"/>
        <w:adjustRightInd/>
        <w:snapToGrid/>
        <w:spacing w:line="360" w:lineRule="auto"/>
        <w:ind w:firstLine="496" w:firstLineChars="200"/>
        <w:rPr>
          <w:rFonts w:hAnsiTheme="minorEastAsia" w:eastAsiaTheme="minorEastAsia"/>
          <w:b w:val="0"/>
          <w:bCs/>
        </w:rPr>
      </w:pPr>
      <w:r>
        <w:rPr>
          <w:rFonts w:hint="eastAsia" w:hAnsiTheme="minorEastAsia" w:eastAsiaTheme="minorEastAsia"/>
          <w:b w:val="0"/>
          <w:bCs/>
        </w:rPr>
        <w:t>⑥建设单位应配置洒水车辆，可收集利用施工废水在运输道路和工业场地、排土场施工区定时洒水，干旱、多风季节可增加洒水次数（一般天气状况应不少于</w:t>
      </w:r>
      <w:r>
        <w:rPr>
          <w:rFonts w:hAnsiTheme="minorEastAsia" w:eastAsiaTheme="minorEastAsia"/>
          <w:b w:val="0"/>
          <w:bCs/>
        </w:rPr>
        <w:t xml:space="preserve">3 </w:t>
      </w:r>
      <w:r>
        <w:rPr>
          <w:rFonts w:hint="eastAsia" w:hAnsiTheme="minorEastAsia" w:eastAsiaTheme="minorEastAsia"/>
          <w:b w:val="0"/>
          <w:bCs/>
        </w:rPr>
        <w:t>次</w:t>
      </w:r>
      <w:r>
        <w:rPr>
          <w:rFonts w:hAnsiTheme="minorEastAsia" w:eastAsiaTheme="minorEastAsia"/>
          <w:b w:val="0"/>
          <w:bCs/>
        </w:rPr>
        <w:t>/</w:t>
      </w:r>
      <w:r>
        <w:rPr>
          <w:rFonts w:hint="eastAsia" w:hAnsiTheme="minorEastAsia" w:eastAsiaTheme="minorEastAsia"/>
          <w:b w:val="0"/>
          <w:bCs/>
        </w:rPr>
        <w:t>日，大风日应加大洒水频率），以保持地面和空气湿润，减少起尘量。</w:t>
      </w:r>
    </w:p>
    <w:p>
      <w:pPr>
        <w:pStyle w:val="148"/>
        <w:adjustRightInd/>
        <w:snapToGrid/>
        <w:spacing w:line="360" w:lineRule="auto"/>
        <w:ind w:firstLine="496" w:firstLineChars="200"/>
        <w:rPr>
          <w:rFonts w:eastAsiaTheme="minorEastAsia"/>
          <w:b w:val="0"/>
          <w:bCs/>
        </w:rPr>
      </w:pPr>
      <w:r>
        <w:rPr>
          <w:rFonts w:hint="eastAsia" w:hAnsiTheme="minorEastAsia" w:eastAsiaTheme="minorEastAsia"/>
          <w:b w:val="0"/>
          <w:bCs/>
        </w:rPr>
        <w:t>⑦</w:t>
      </w:r>
      <w:r>
        <w:rPr>
          <w:rFonts w:hAnsiTheme="minorEastAsia" w:eastAsiaTheme="minorEastAsia"/>
          <w:b w:val="0"/>
          <w:bCs/>
        </w:rPr>
        <w:t>运输车辆应尽可能采用密闭车斗，并保证物料不遗撒外漏，以减少沿路抛洒和减少运输的二次扬尘产生，并且运输车辆进入厂区应低速行驶，减轻对周围环境的影响；</w:t>
      </w:r>
    </w:p>
    <w:p>
      <w:pPr>
        <w:pStyle w:val="148"/>
        <w:adjustRightInd/>
        <w:snapToGrid/>
        <w:spacing w:line="360" w:lineRule="auto"/>
        <w:ind w:firstLine="496" w:firstLineChars="200"/>
        <w:rPr>
          <w:rFonts w:eastAsiaTheme="minorEastAsia"/>
          <w:b w:val="0"/>
          <w:bCs/>
        </w:rPr>
      </w:pPr>
      <w:r>
        <w:rPr>
          <w:rFonts w:hint="eastAsia" w:hAnsiTheme="minorEastAsia" w:eastAsiaTheme="minorEastAsia"/>
          <w:b w:val="0"/>
          <w:bCs/>
        </w:rPr>
        <w:t>⑧</w:t>
      </w:r>
      <w:r>
        <w:rPr>
          <w:rFonts w:hAnsiTheme="minorEastAsia" w:eastAsiaTheme="minorEastAsia"/>
          <w:b w:val="0"/>
          <w:bCs/>
        </w:rPr>
        <w:t>施工期间应在物料、渣土、垃圾运输车辆的出口内侧设置洗车平台，洗车平台四周应设置防溢座、沉砂池及其它防治设施，收集洗车、施工以及降水过程中产生的废水和泥浆，工地出口处铺装道路上可见粘带泥土不得超过</w:t>
      </w:r>
      <w:r>
        <w:rPr>
          <w:rFonts w:eastAsiaTheme="minorEastAsia"/>
          <w:b w:val="0"/>
          <w:bCs/>
        </w:rPr>
        <w:t>10</w:t>
      </w:r>
      <w:r>
        <w:rPr>
          <w:rFonts w:hAnsiTheme="minorEastAsia" w:eastAsiaTheme="minorEastAsia"/>
          <w:b w:val="0"/>
          <w:bCs/>
        </w:rPr>
        <w:t>米，并应及时清扫冲洗；</w:t>
      </w:r>
    </w:p>
    <w:p>
      <w:pPr>
        <w:pStyle w:val="148"/>
        <w:adjustRightInd/>
        <w:snapToGrid/>
        <w:spacing w:line="360" w:lineRule="auto"/>
        <w:ind w:firstLine="496" w:firstLineChars="200"/>
        <w:rPr>
          <w:rFonts w:eastAsiaTheme="minorEastAsia"/>
          <w:b w:val="0"/>
          <w:bCs/>
        </w:rPr>
      </w:pPr>
      <w:r>
        <w:rPr>
          <w:rFonts w:hint="eastAsia" w:hAnsiTheme="minorEastAsia" w:eastAsiaTheme="minorEastAsia"/>
          <w:b w:val="0"/>
          <w:bCs/>
        </w:rPr>
        <w:t>⑨</w:t>
      </w:r>
      <w:r>
        <w:rPr>
          <w:rFonts w:hAnsiTheme="minorEastAsia" w:eastAsiaTheme="minorEastAsia"/>
          <w:b w:val="0"/>
          <w:bCs/>
        </w:rPr>
        <w:t>施工期间，施工工地内及工地出口至铺装道路间的车行道路，应采取铺设钢板或水泥混凝土，并保持路面清洁，防止机动车扬尘。</w:t>
      </w:r>
    </w:p>
    <w:p>
      <w:pPr>
        <w:pStyle w:val="148"/>
        <w:adjustRightInd/>
        <w:snapToGrid/>
        <w:spacing w:line="360" w:lineRule="auto"/>
        <w:ind w:firstLine="496" w:firstLineChars="200"/>
        <w:rPr>
          <w:rFonts w:eastAsiaTheme="minorEastAsia"/>
          <w:b w:val="0"/>
          <w:bCs/>
        </w:rPr>
      </w:pPr>
      <w:r>
        <w:rPr>
          <w:rFonts w:hint="eastAsia" w:hAnsiTheme="minorEastAsia" w:eastAsiaTheme="minorEastAsia"/>
          <w:b w:val="0"/>
          <w:bCs/>
        </w:rPr>
        <w:t>⑩</w:t>
      </w:r>
      <w:r>
        <w:rPr>
          <w:rFonts w:hAnsiTheme="minorEastAsia" w:eastAsiaTheme="minorEastAsia"/>
          <w:b w:val="0"/>
          <w:bCs/>
        </w:rPr>
        <w:t>同时做到工地周边围挡</w:t>
      </w:r>
      <w:r>
        <w:rPr>
          <w:rFonts w:eastAsiaTheme="minorEastAsia"/>
          <w:b w:val="0"/>
          <w:bCs/>
        </w:rPr>
        <w:t>100%</w:t>
      </w:r>
      <w:r>
        <w:rPr>
          <w:rFonts w:hAnsiTheme="minorEastAsia" w:eastAsiaTheme="minorEastAsia"/>
          <w:b w:val="0"/>
          <w:bCs/>
        </w:rPr>
        <w:t>、施工便道硬化</w:t>
      </w:r>
      <w:r>
        <w:rPr>
          <w:rFonts w:eastAsiaTheme="minorEastAsia"/>
          <w:b w:val="0"/>
          <w:bCs/>
        </w:rPr>
        <w:t>100%</w:t>
      </w:r>
      <w:r>
        <w:rPr>
          <w:rFonts w:hAnsiTheme="minorEastAsia" w:eastAsiaTheme="minorEastAsia"/>
          <w:b w:val="0"/>
          <w:bCs/>
        </w:rPr>
        <w:t>、裸土及物料堆放覆盖</w:t>
      </w:r>
      <w:r>
        <w:rPr>
          <w:rFonts w:eastAsiaTheme="minorEastAsia"/>
          <w:b w:val="0"/>
          <w:bCs/>
        </w:rPr>
        <w:t>100%</w:t>
      </w:r>
      <w:r>
        <w:rPr>
          <w:rFonts w:hAnsiTheme="minorEastAsia" w:eastAsiaTheme="minorEastAsia"/>
          <w:b w:val="0"/>
          <w:bCs/>
        </w:rPr>
        <w:t>、土石方开挖和拆除工程湿法作业</w:t>
      </w:r>
      <w:r>
        <w:rPr>
          <w:rFonts w:eastAsiaTheme="minorEastAsia"/>
          <w:b w:val="0"/>
          <w:bCs/>
        </w:rPr>
        <w:t>100%</w:t>
      </w:r>
      <w:r>
        <w:rPr>
          <w:rFonts w:hAnsiTheme="minorEastAsia" w:eastAsiaTheme="minorEastAsia"/>
          <w:b w:val="0"/>
          <w:bCs/>
        </w:rPr>
        <w:t>、出入车辆清洗</w:t>
      </w:r>
      <w:r>
        <w:rPr>
          <w:rFonts w:eastAsiaTheme="minorEastAsia"/>
          <w:b w:val="0"/>
          <w:bCs/>
        </w:rPr>
        <w:t>100%</w:t>
      </w:r>
      <w:r>
        <w:rPr>
          <w:rFonts w:hAnsiTheme="minorEastAsia" w:eastAsiaTheme="minorEastAsia"/>
          <w:b w:val="0"/>
          <w:bCs/>
        </w:rPr>
        <w:t>、渣土车辆密闭运输</w:t>
      </w:r>
      <w:r>
        <w:rPr>
          <w:rFonts w:eastAsiaTheme="minorEastAsia"/>
          <w:b w:val="0"/>
          <w:bCs/>
        </w:rPr>
        <w:t>100%</w:t>
      </w:r>
      <w:r>
        <w:rPr>
          <w:rFonts w:hAnsiTheme="minorEastAsia" w:eastAsiaTheme="minorEastAsia"/>
          <w:b w:val="0"/>
          <w:bCs/>
        </w:rPr>
        <w:t>等</w:t>
      </w:r>
      <w:r>
        <w:rPr>
          <w:rFonts w:eastAsiaTheme="minorEastAsia"/>
          <w:b w:val="0"/>
          <w:bCs/>
        </w:rPr>
        <w:t>“</w:t>
      </w:r>
      <w:r>
        <w:rPr>
          <w:rFonts w:hAnsiTheme="minorEastAsia" w:eastAsiaTheme="minorEastAsia"/>
          <w:b w:val="0"/>
          <w:bCs/>
        </w:rPr>
        <w:t>六个</w:t>
      </w:r>
      <w:r>
        <w:rPr>
          <w:rFonts w:eastAsiaTheme="minorEastAsia"/>
          <w:b w:val="0"/>
          <w:bCs/>
        </w:rPr>
        <w:t>100%”</w:t>
      </w:r>
      <w:r>
        <w:rPr>
          <w:rFonts w:hAnsiTheme="minorEastAsia" w:eastAsiaTheme="minorEastAsia"/>
          <w:b w:val="0"/>
          <w:bCs/>
        </w:rPr>
        <w:t>的防治措施。</w:t>
      </w:r>
    </w:p>
    <w:p>
      <w:pPr>
        <w:pStyle w:val="148"/>
        <w:adjustRightInd/>
        <w:snapToGrid/>
        <w:spacing w:line="360" w:lineRule="auto"/>
        <w:ind w:firstLine="496" w:firstLineChars="200"/>
        <w:rPr>
          <w:rFonts w:eastAsiaTheme="minorEastAsia"/>
          <w:b w:val="0"/>
          <w:bCs/>
        </w:rPr>
      </w:pPr>
      <w:r>
        <w:rPr>
          <w:rFonts w:hAnsiTheme="minorEastAsia" w:eastAsiaTheme="minorEastAsia"/>
          <w:b w:val="0"/>
          <w:bCs/>
        </w:rPr>
        <w:t>在采取以上防治措施以后，施工期产生的大气污染物对敏感目标产生的影响会降至最小。</w:t>
      </w:r>
    </w:p>
    <w:p>
      <w:pPr>
        <w:spacing w:line="360" w:lineRule="auto"/>
        <w:rPr>
          <w:rFonts w:eastAsiaTheme="minorEastAsia"/>
          <w:b/>
          <w:sz w:val="24"/>
        </w:rPr>
      </w:pPr>
      <w:r>
        <w:rPr>
          <w:rFonts w:eastAsiaTheme="minorEastAsia"/>
          <w:b/>
          <w:sz w:val="24"/>
        </w:rPr>
        <w:t>3.4.1.</w:t>
      </w:r>
      <w:r>
        <w:rPr>
          <w:rFonts w:hint="eastAsia" w:eastAsiaTheme="minorEastAsia"/>
          <w:b/>
          <w:sz w:val="24"/>
        </w:rPr>
        <w:t>2</w:t>
      </w:r>
      <w:r>
        <w:rPr>
          <w:rFonts w:hAnsiTheme="minorEastAsia" w:eastAsiaTheme="minorEastAsia"/>
          <w:b/>
          <w:sz w:val="24"/>
        </w:rPr>
        <w:t>建设期</w:t>
      </w:r>
      <w:r>
        <w:rPr>
          <w:rFonts w:hint="eastAsia" w:hAnsiTheme="minorEastAsia" w:eastAsiaTheme="minorEastAsia"/>
          <w:b/>
          <w:sz w:val="24"/>
        </w:rPr>
        <w:t>水环境影响分析及措施</w:t>
      </w:r>
    </w:p>
    <w:p>
      <w:pPr>
        <w:pStyle w:val="14"/>
        <w:tabs>
          <w:tab w:val="left" w:pos="0"/>
        </w:tabs>
        <w:spacing w:after="0" w:line="360" w:lineRule="auto"/>
        <w:ind w:left="0" w:leftChars="0" w:firstLine="480" w:firstLineChars="200"/>
        <w:jc w:val="left"/>
        <w:rPr>
          <w:rFonts w:hAnsi="宋体"/>
          <w:color w:val="000000"/>
          <w:sz w:val="24"/>
        </w:rPr>
      </w:pPr>
      <w:r>
        <w:rPr>
          <w:rFonts w:hint="eastAsia" w:hAnsi="宋体"/>
          <w:color w:val="000000"/>
          <w:sz w:val="24"/>
        </w:rPr>
        <w:t>基建期废水主要为施工废水和施工人员生活废水等，施工废水中污染物主要为</w:t>
      </w:r>
      <w:r>
        <w:rPr>
          <w:rFonts w:hAnsi="宋体"/>
          <w:color w:val="000000"/>
          <w:sz w:val="24"/>
        </w:rPr>
        <w:t>SS</w:t>
      </w:r>
      <w:r>
        <w:rPr>
          <w:rFonts w:hint="eastAsia" w:hAnsi="宋体"/>
          <w:color w:val="000000"/>
          <w:sz w:val="24"/>
        </w:rPr>
        <w:t>。施工人员生活污水产生量较少，污水中污染物主要为</w:t>
      </w:r>
      <w:r>
        <w:rPr>
          <w:rFonts w:hAnsi="宋体"/>
          <w:color w:val="000000"/>
          <w:sz w:val="24"/>
        </w:rPr>
        <w:t>CODcr</w:t>
      </w:r>
      <w:r>
        <w:rPr>
          <w:rFonts w:hint="eastAsia" w:hAnsi="宋体"/>
          <w:color w:val="000000"/>
          <w:sz w:val="24"/>
        </w:rPr>
        <w:t>、</w:t>
      </w:r>
      <w:r>
        <w:rPr>
          <w:rFonts w:hAnsi="宋体"/>
          <w:color w:val="000000"/>
          <w:sz w:val="24"/>
        </w:rPr>
        <w:t>BOD</w:t>
      </w:r>
      <w:r>
        <w:rPr>
          <w:rFonts w:hAnsi="宋体"/>
          <w:color w:val="000000"/>
          <w:sz w:val="24"/>
          <w:vertAlign w:val="subscript"/>
        </w:rPr>
        <w:t>5</w:t>
      </w:r>
      <w:r>
        <w:rPr>
          <w:rFonts w:hint="eastAsia" w:hAnsi="宋体"/>
          <w:color w:val="000000"/>
          <w:sz w:val="24"/>
        </w:rPr>
        <w:t>及</w:t>
      </w:r>
      <w:r>
        <w:rPr>
          <w:rFonts w:hAnsi="宋体"/>
          <w:color w:val="000000"/>
          <w:sz w:val="24"/>
        </w:rPr>
        <w:t>SS</w:t>
      </w:r>
      <w:r>
        <w:rPr>
          <w:rFonts w:hint="eastAsia" w:hAnsi="宋体"/>
          <w:color w:val="000000"/>
          <w:sz w:val="24"/>
        </w:rPr>
        <w:t>等。</w:t>
      </w:r>
    </w:p>
    <w:p>
      <w:pPr>
        <w:pStyle w:val="14"/>
        <w:tabs>
          <w:tab w:val="left" w:pos="0"/>
        </w:tabs>
        <w:spacing w:after="0" w:line="360" w:lineRule="auto"/>
        <w:ind w:left="0" w:leftChars="0" w:firstLine="480" w:firstLineChars="200"/>
        <w:jc w:val="left"/>
        <w:rPr>
          <w:rFonts w:hAnsi="宋体"/>
          <w:color w:val="000000"/>
          <w:sz w:val="24"/>
        </w:rPr>
      </w:pPr>
      <w:r>
        <w:rPr>
          <w:rFonts w:hint="eastAsia" w:hAnsi="宋体"/>
          <w:color w:val="000000"/>
          <w:sz w:val="24"/>
        </w:rPr>
        <w:t>（</w:t>
      </w:r>
      <w:r>
        <w:rPr>
          <w:rFonts w:hAnsi="宋体"/>
          <w:color w:val="000000"/>
          <w:sz w:val="24"/>
        </w:rPr>
        <w:t>1</w:t>
      </w:r>
      <w:r>
        <w:rPr>
          <w:rFonts w:hint="eastAsia" w:hAnsi="宋体"/>
          <w:color w:val="000000"/>
          <w:sz w:val="24"/>
        </w:rPr>
        <w:t>）基建期水环境影响分析</w:t>
      </w:r>
    </w:p>
    <w:p>
      <w:pPr>
        <w:pStyle w:val="14"/>
        <w:tabs>
          <w:tab w:val="left" w:pos="0"/>
        </w:tabs>
        <w:spacing w:after="0" w:line="360" w:lineRule="auto"/>
        <w:ind w:left="0" w:leftChars="0" w:firstLine="480" w:firstLineChars="200"/>
        <w:jc w:val="left"/>
        <w:rPr>
          <w:rFonts w:hAnsi="宋体"/>
          <w:color w:val="000000"/>
          <w:sz w:val="24"/>
        </w:rPr>
      </w:pPr>
      <w:r>
        <w:rPr>
          <w:rFonts w:hAnsi="宋体"/>
          <w:color w:val="000000"/>
          <w:sz w:val="24"/>
        </w:rPr>
        <w:t>1</w:t>
      </w:r>
      <w:r>
        <w:rPr>
          <w:rFonts w:hint="eastAsia" w:hAnsi="宋体"/>
          <w:color w:val="000000"/>
          <w:sz w:val="24"/>
        </w:rPr>
        <w:t>）施工废水</w:t>
      </w:r>
    </w:p>
    <w:p>
      <w:pPr>
        <w:pStyle w:val="14"/>
        <w:tabs>
          <w:tab w:val="left" w:pos="0"/>
        </w:tabs>
        <w:spacing w:after="0" w:line="360" w:lineRule="auto"/>
        <w:ind w:left="0" w:leftChars="0" w:firstLine="480" w:firstLineChars="200"/>
        <w:jc w:val="left"/>
        <w:rPr>
          <w:rFonts w:hAnsi="宋体"/>
          <w:color w:val="000000"/>
          <w:sz w:val="24"/>
        </w:rPr>
      </w:pPr>
      <w:r>
        <w:rPr>
          <w:rFonts w:hint="eastAsia" w:hAnsi="宋体"/>
          <w:color w:val="000000"/>
          <w:sz w:val="24"/>
        </w:rPr>
        <w:t>基建期用水主要为砂浆配置过程中用水及机械、车辆冲洗用水，基建期废水的排放主要由设备冲洗及施工中的跑、冒、滴、漏、溢流产生，施工废水主要污染物为</w:t>
      </w:r>
      <w:r>
        <w:rPr>
          <w:rFonts w:hAnsi="宋体"/>
          <w:color w:val="000000"/>
          <w:sz w:val="24"/>
        </w:rPr>
        <w:t>SS</w:t>
      </w:r>
      <w:r>
        <w:rPr>
          <w:rFonts w:hint="eastAsia" w:hAnsi="宋体"/>
          <w:color w:val="000000"/>
          <w:sz w:val="24"/>
        </w:rPr>
        <w:t>，其中有少量的石油类。</w:t>
      </w:r>
    </w:p>
    <w:p>
      <w:pPr>
        <w:pStyle w:val="14"/>
        <w:tabs>
          <w:tab w:val="left" w:pos="0"/>
        </w:tabs>
        <w:spacing w:after="0" w:line="360" w:lineRule="auto"/>
        <w:ind w:left="0" w:leftChars="0" w:firstLine="480" w:firstLineChars="200"/>
        <w:jc w:val="left"/>
        <w:rPr>
          <w:rFonts w:hAnsi="宋体"/>
          <w:color w:val="000000"/>
          <w:sz w:val="24"/>
        </w:rPr>
      </w:pPr>
      <w:r>
        <w:rPr>
          <w:rFonts w:hAnsi="宋体"/>
          <w:color w:val="000000"/>
          <w:sz w:val="24"/>
        </w:rPr>
        <w:t>2</w:t>
      </w:r>
      <w:r>
        <w:rPr>
          <w:rFonts w:hint="eastAsia" w:hAnsi="宋体"/>
          <w:color w:val="000000"/>
          <w:sz w:val="24"/>
        </w:rPr>
        <w:t>）生活污水</w:t>
      </w:r>
    </w:p>
    <w:p>
      <w:pPr>
        <w:spacing w:line="360" w:lineRule="auto"/>
        <w:ind w:firstLine="480" w:firstLineChars="200"/>
        <w:rPr>
          <w:rFonts w:hAnsi="宋体"/>
          <w:color w:val="000000"/>
          <w:sz w:val="24"/>
        </w:rPr>
      </w:pPr>
      <w:r>
        <w:rPr>
          <w:rFonts w:hint="eastAsia" w:hAnsi="宋体"/>
          <w:color w:val="000000"/>
          <w:sz w:val="24"/>
        </w:rPr>
        <w:t>基建期生活污水主要由工地施工人员的食堂、洗漱等产生。生活污水一般不含有毒物质，但含有大量的有机物。基建期平均施工人数按180人计，生活用水量按</w:t>
      </w:r>
      <w:r>
        <w:rPr>
          <w:rFonts w:hAnsi="宋体"/>
          <w:color w:val="000000"/>
          <w:sz w:val="24"/>
        </w:rPr>
        <w:t>60L/</w:t>
      </w:r>
      <w:r>
        <w:rPr>
          <w:rFonts w:hint="eastAsia" w:hAnsi="宋体"/>
          <w:color w:val="000000"/>
          <w:sz w:val="24"/>
        </w:rPr>
        <w:t>人·日计，则生活用水量为10.8</w:t>
      </w:r>
      <w:r>
        <w:rPr>
          <w:rFonts w:hAnsi="宋体"/>
          <w:color w:val="000000"/>
          <w:sz w:val="24"/>
        </w:rPr>
        <w:t>t/d</w:t>
      </w:r>
      <w:r>
        <w:rPr>
          <w:rFonts w:hint="eastAsia" w:hAnsi="宋体"/>
          <w:color w:val="000000"/>
          <w:sz w:val="24"/>
        </w:rPr>
        <w:t>。生活污水的产生量按用水量的</w:t>
      </w:r>
      <w:r>
        <w:rPr>
          <w:rFonts w:hAnsi="宋体"/>
          <w:color w:val="000000"/>
          <w:sz w:val="24"/>
        </w:rPr>
        <w:t>80%</w:t>
      </w:r>
      <w:r>
        <w:rPr>
          <w:rFonts w:hint="eastAsia" w:hAnsi="宋体"/>
          <w:color w:val="000000"/>
          <w:sz w:val="24"/>
        </w:rPr>
        <w:t>计，则生活污水的产生量为8.64</w:t>
      </w:r>
      <w:r>
        <w:rPr>
          <w:rFonts w:hAnsi="宋体"/>
          <w:color w:val="000000"/>
          <w:sz w:val="24"/>
        </w:rPr>
        <w:t>t/d</w:t>
      </w:r>
      <w:r>
        <w:rPr>
          <w:rFonts w:hint="eastAsia" w:hAnsi="宋体"/>
          <w:color w:val="000000"/>
          <w:sz w:val="24"/>
        </w:rPr>
        <w:t>。该污水的主要污染因子为</w:t>
      </w:r>
      <w:r>
        <w:rPr>
          <w:rFonts w:hAnsi="宋体"/>
          <w:color w:val="000000"/>
          <w:sz w:val="24"/>
        </w:rPr>
        <w:t>COD</w:t>
      </w:r>
      <w:r>
        <w:rPr>
          <w:rFonts w:hint="eastAsia" w:hAnsi="宋体"/>
          <w:color w:val="000000"/>
          <w:sz w:val="24"/>
        </w:rPr>
        <w:t>和氨氮，水质类比一般城镇生活污水水质，则各污染物浓度为</w:t>
      </w:r>
      <w:r>
        <w:rPr>
          <w:rFonts w:hAnsi="宋体"/>
          <w:color w:val="000000"/>
          <w:sz w:val="24"/>
        </w:rPr>
        <w:t>COD</w:t>
      </w:r>
      <w:r>
        <w:rPr>
          <w:rFonts w:hAnsi="宋体"/>
          <w:color w:val="000000"/>
          <w:sz w:val="24"/>
          <w:vertAlign w:val="subscript"/>
        </w:rPr>
        <w:t>cr</w:t>
      </w:r>
      <w:r>
        <w:rPr>
          <w:rFonts w:hAnsi="宋体"/>
          <w:color w:val="000000"/>
          <w:sz w:val="24"/>
        </w:rPr>
        <w:t>350mg/L</w:t>
      </w:r>
      <w:r>
        <w:rPr>
          <w:rFonts w:hint="eastAsia" w:hAnsi="宋体"/>
          <w:color w:val="000000"/>
          <w:sz w:val="24"/>
        </w:rPr>
        <w:t>，氨氮</w:t>
      </w:r>
      <w:r>
        <w:rPr>
          <w:rFonts w:hAnsi="宋体"/>
          <w:color w:val="000000"/>
          <w:sz w:val="24"/>
        </w:rPr>
        <w:t>30mg/L</w:t>
      </w:r>
      <w:r>
        <w:rPr>
          <w:rFonts w:hint="eastAsia" w:hAnsi="宋体"/>
          <w:color w:val="000000"/>
          <w:sz w:val="24"/>
        </w:rPr>
        <w:t>，由此各污染物的日产生量为</w:t>
      </w:r>
      <w:r>
        <w:rPr>
          <w:rFonts w:hAnsi="宋体"/>
          <w:color w:val="000000"/>
          <w:sz w:val="24"/>
        </w:rPr>
        <w:t>COD</w:t>
      </w:r>
      <w:r>
        <w:rPr>
          <w:rFonts w:hAnsi="宋体"/>
          <w:color w:val="000000"/>
          <w:sz w:val="24"/>
          <w:vertAlign w:val="subscript"/>
        </w:rPr>
        <w:t>cr</w:t>
      </w:r>
      <w:r>
        <w:rPr>
          <w:rFonts w:hint="eastAsia" w:hAnsi="宋体"/>
          <w:color w:val="000000"/>
          <w:sz w:val="24"/>
        </w:rPr>
        <w:t>3.02</w:t>
      </w:r>
      <w:r>
        <w:rPr>
          <w:rFonts w:hAnsi="宋体"/>
          <w:color w:val="000000"/>
          <w:sz w:val="24"/>
        </w:rPr>
        <w:t>kg</w:t>
      </w:r>
      <w:r>
        <w:rPr>
          <w:rFonts w:hint="eastAsia" w:hAnsi="宋体"/>
          <w:color w:val="000000"/>
          <w:sz w:val="24"/>
        </w:rPr>
        <w:t>，氨氮</w:t>
      </w:r>
      <w:r>
        <w:rPr>
          <w:rFonts w:hAnsi="宋体"/>
          <w:color w:val="000000"/>
          <w:sz w:val="24"/>
        </w:rPr>
        <w:t>0.</w:t>
      </w:r>
      <w:r>
        <w:rPr>
          <w:rFonts w:hint="eastAsia" w:hAnsi="宋体"/>
          <w:color w:val="000000"/>
          <w:sz w:val="24"/>
        </w:rPr>
        <w:t>26</w:t>
      </w:r>
      <w:r>
        <w:rPr>
          <w:rFonts w:hAnsi="宋体"/>
          <w:color w:val="000000"/>
          <w:sz w:val="24"/>
        </w:rPr>
        <w:t>kg</w:t>
      </w:r>
      <w:r>
        <w:rPr>
          <w:rFonts w:hint="eastAsia" w:hAnsi="宋体"/>
          <w:color w:val="000000"/>
          <w:sz w:val="24"/>
        </w:rPr>
        <w:t>。</w:t>
      </w:r>
    </w:p>
    <w:p>
      <w:pPr>
        <w:pStyle w:val="14"/>
        <w:tabs>
          <w:tab w:val="left" w:pos="0"/>
        </w:tabs>
        <w:spacing w:after="0" w:line="360" w:lineRule="auto"/>
        <w:ind w:left="0" w:leftChars="0" w:firstLine="480" w:firstLineChars="200"/>
        <w:jc w:val="left"/>
        <w:rPr>
          <w:rFonts w:hAnsi="宋体"/>
          <w:color w:val="000000"/>
          <w:sz w:val="24"/>
        </w:rPr>
      </w:pPr>
      <w:r>
        <w:rPr>
          <w:rFonts w:hint="eastAsia" w:hAnsi="宋体"/>
          <w:color w:val="000000"/>
          <w:sz w:val="24"/>
        </w:rPr>
        <w:t>（</w:t>
      </w:r>
      <w:r>
        <w:rPr>
          <w:rFonts w:hAnsi="宋体"/>
          <w:color w:val="000000"/>
          <w:sz w:val="24"/>
        </w:rPr>
        <w:t>2</w:t>
      </w:r>
      <w:r>
        <w:rPr>
          <w:rFonts w:hint="eastAsia" w:hAnsi="宋体"/>
          <w:color w:val="000000"/>
          <w:sz w:val="24"/>
        </w:rPr>
        <w:t>）基建期水环境影响防治措施</w:t>
      </w:r>
    </w:p>
    <w:p>
      <w:pPr>
        <w:spacing w:line="360" w:lineRule="auto"/>
        <w:ind w:firstLine="480" w:firstLineChars="200"/>
        <w:rPr>
          <w:color w:val="000000"/>
          <w:kern w:val="0"/>
          <w:sz w:val="24"/>
        </w:rPr>
      </w:pPr>
      <w:r>
        <w:rPr>
          <w:rFonts w:hint="eastAsia"/>
          <w:color w:val="000000"/>
          <w:kern w:val="0"/>
          <w:sz w:val="24"/>
        </w:rPr>
        <w:t>综上所述，本项目基建期废水产生量较少，污染物成分较为简单。但是如果不经处理或处理不当，同样会危害环境，所以，基建期废水不能随意排放，其防治措施主要有：</w:t>
      </w:r>
    </w:p>
    <w:p>
      <w:pPr>
        <w:spacing w:line="360" w:lineRule="auto"/>
        <w:ind w:firstLine="480" w:firstLineChars="200"/>
        <w:rPr>
          <w:rFonts w:hAnsi="宋体"/>
          <w:color w:val="000000"/>
          <w:sz w:val="24"/>
        </w:rPr>
      </w:pPr>
      <w:r>
        <w:rPr>
          <w:rFonts w:hint="eastAsia" w:hAnsi="宋体"/>
          <w:color w:val="000000"/>
          <w:sz w:val="24"/>
        </w:rPr>
        <w:t>①针对施工废水，在施工场地设置一座10</w:t>
      </w:r>
      <w:r>
        <w:rPr>
          <w:rFonts w:hAnsi="宋体"/>
          <w:color w:val="000000"/>
          <w:sz w:val="24"/>
        </w:rPr>
        <w:t>m</w:t>
      </w:r>
      <w:r>
        <w:rPr>
          <w:rFonts w:hAnsi="宋体"/>
          <w:color w:val="000000"/>
          <w:sz w:val="24"/>
          <w:vertAlign w:val="superscript"/>
        </w:rPr>
        <w:t>3</w:t>
      </w:r>
      <w:r>
        <w:rPr>
          <w:rFonts w:hint="eastAsia" w:hAnsi="宋体"/>
          <w:color w:val="000000"/>
          <w:sz w:val="24"/>
        </w:rPr>
        <w:t>的沉淀池，收集机械、车辆冲洗水，回用于施工场地洒水和车辆冲洗，也可以节约施工中新鲜水的用量。</w:t>
      </w:r>
    </w:p>
    <w:p>
      <w:pPr>
        <w:spacing w:line="360" w:lineRule="auto"/>
        <w:ind w:firstLine="480" w:firstLineChars="200"/>
        <w:rPr>
          <w:rFonts w:hAnsi="宋体"/>
          <w:color w:val="000000"/>
          <w:sz w:val="24"/>
        </w:rPr>
      </w:pPr>
      <w:r>
        <w:rPr>
          <w:rFonts w:hint="eastAsia" w:hAnsi="宋体"/>
          <w:color w:val="000000"/>
          <w:sz w:val="24"/>
        </w:rPr>
        <w:t>②</w:t>
      </w:r>
      <w:r>
        <w:rPr>
          <w:rFonts w:hint="eastAsia"/>
          <w:color w:val="000000"/>
          <w:kern w:val="0"/>
          <w:sz w:val="24"/>
        </w:rPr>
        <w:t>施工人员生活污水集中收集后用于场内洒水抑尘，不排入地面水环境</w:t>
      </w:r>
      <w:r>
        <w:rPr>
          <w:rFonts w:hint="eastAsia" w:hAnsi="宋体"/>
          <w:color w:val="000000"/>
          <w:sz w:val="24"/>
        </w:rPr>
        <w:t>。</w:t>
      </w:r>
    </w:p>
    <w:p>
      <w:pPr>
        <w:spacing w:line="360" w:lineRule="auto"/>
        <w:ind w:firstLine="480" w:firstLineChars="200"/>
        <w:rPr>
          <w:rFonts w:hAnsi="宋体"/>
          <w:color w:val="000000"/>
          <w:sz w:val="24"/>
        </w:rPr>
      </w:pPr>
      <w:r>
        <w:rPr>
          <w:rFonts w:hint="eastAsia" w:hAnsi="宋体"/>
          <w:color w:val="000000"/>
          <w:sz w:val="24"/>
        </w:rPr>
        <w:t>采取以上措施后，可以保证项目施工废水全部综合利用，不外排，对区域地表水及浅层地下水环境不会产生较大影响，且随着基建期的结束，此影响也随之消失。</w:t>
      </w:r>
    </w:p>
    <w:p>
      <w:pPr>
        <w:spacing w:line="360" w:lineRule="auto"/>
        <w:rPr>
          <w:rFonts w:hAnsiTheme="minorEastAsia" w:eastAsiaTheme="minorEastAsia"/>
          <w:b/>
          <w:sz w:val="24"/>
        </w:rPr>
      </w:pPr>
      <w:r>
        <w:rPr>
          <w:rFonts w:eastAsiaTheme="minorEastAsia"/>
          <w:b/>
          <w:sz w:val="24"/>
        </w:rPr>
        <w:t xml:space="preserve"> 3.4.1.</w:t>
      </w:r>
      <w:r>
        <w:rPr>
          <w:rFonts w:hint="eastAsia" w:eastAsiaTheme="minorEastAsia"/>
          <w:b/>
          <w:sz w:val="24"/>
        </w:rPr>
        <w:t>3</w:t>
      </w:r>
      <w:r>
        <w:rPr>
          <w:rFonts w:hAnsiTheme="minorEastAsia" w:eastAsiaTheme="minorEastAsia"/>
          <w:b/>
          <w:sz w:val="24"/>
        </w:rPr>
        <w:t>建设期</w:t>
      </w:r>
      <w:r>
        <w:rPr>
          <w:rFonts w:hint="eastAsia" w:hAnsiTheme="minorEastAsia" w:eastAsiaTheme="minorEastAsia"/>
          <w:b/>
          <w:sz w:val="24"/>
        </w:rPr>
        <w:t>声环境影响分析及措施</w:t>
      </w:r>
    </w:p>
    <w:p>
      <w:pPr>
        <w:spacing w:line="360" w:lineRule="auto"/>
        <w:ind w:firstLine="480" w:firstLineChars="200"/>
        <w:rPr>
          <w:bCs/>
          <w:sz w:val="24"/>
        </w:rPr>
      </w:pPr>
      <w:r>
        <w:rPr>
          <w:bCs/>
          <w:sz w:val="24"/>
        </w:rPr>
        <w:t>（一）施工期声环境影响分析</w:t>
      </w:r>
    </w:p>
    <w:p>
      <w:pPr>
        <w:spacing w:line="360" w:lineRule="auto"/>
        <w:ind w:firstLine="480" w:firstLineChars="200"/>
        <w:rPr>
          <w:bCs/>
          <w:sz w:val="24"/>
        </w:rPr>
      </w:pPr>
      <w:r>
        <w:rPr>
          <w:bCs/>
          <w:sz w:val="24"/>
        </w:rPr>
        <w:t>施工期的噪声主要为机械噪声、施工作业噪声和施工车辆噪声。</w:t>
      </w:r>
    </w:p>
    <w:p>
      <w:pPr>
        <w:spacing w:line="360" w:lineRule="auto"/>
        <w:ind w:firstLine="480" w:firstLineChars="200"/>
        <w:rPr>
          <w:bCs/>
        </w:rPr>
      </w:pPr>
      <w:r>
        <w:rPr>
          <w:bCs/>
          <w:sz w:val="24"/>
        </w:rPr>
        <w:t>机械噪声主要由施工机械所造成，如挖土机械、打桩机械、升降机等，多为点声源；施工作业噪声主要指一些零星的敲打声、装卸车辆的撞击声、吆喝声、拆装模板的撞击声等，多为瞬间噪声；施工车辆的噪声属于交通噪声。根据类比，机械噪声在70～100dB（A）之间，运输车辆噪声一般在90dB（A）左右。施工噪声较大，其产生的施工噪声会对周围环境影响产生一定的影响。</w:t>
      </w:r>
    </w:p>
    <w:p>
      <w:pPr>
        <w:spacing w:line="360" w:lineRule="auto"/>
        <w:ind w:firstLine="480" w:firstLineChars="200"/>
        <w:rPr>
          <w:bCs/>
        </w:rPr>
      </w:pPr>
      <w:r>
        <w:rPr>
          <w:bCs/>
          <w:sz w:val="24"/>
        </w:rPr>
        <w:t>（二）施工期噪声防治措施</w:t>
      </w:r>
    </w:p>
    <w:p>
      <w:pPr>
        <w:spacing w:line="360" w:lineRule="auto"/>
        <w:ind w:firstLine="480" w:firstLineChars="200"/>
        <w:rPr>
          <w:bCs/>
          <w:sz w:val="24"/>
        </w:rPr>
      </w:pPr>
      <w:r>
        <w:rPr>
          <w:bCs/>
          <w:sz w:val="24"/>
        </w:rPr>
        <w:t>（1）降低施工设备噪声，要定期对机械设备进行维护和保养，使其一直保持良好的状态，减轻因设备运行状态不佳而造成的噪声污染；对动力机械、设备，加强定期检修、养护；</w:t>
      </w:r>
    </w:p>
    <w:p>
      <w:pPr>
        <w:spacing w:line="360" w:lineRule="auto"/>
        <w:ind w:firstLine="480" w:firstLineChars="200"/>
        <w:rPr>
          <w:bCs/>
          <w:sz w:val="24"/>
        </w:rPr>
      </w:pPr>
      <w:r>
        <w:rPr>
          <w:bCs/>
          <w:sz w:val="24"/>
        </w:rPr>
        <w:t>（2）施工现场合理布局，以避免局部声级过高，将施工阶段的噪声减至最小；</w:t>
      </w:r>
    </w:p>
    <w:p>
      <w:pPr>
        <w:spacing w:line="360" w:lineRule="auto"/>
        <w:ind w:firstLine="480" w:firstLineChars="200"/>
        <w:rPr>
          <w:bCs/>
          <w:sz w:val="24"/>
        </w:rPr>
      </w:pPr>
      <w:r>
        <w:rPr>
          <w:bCs/>
          <w:sz w:val="24"/>
        </w:rPr>
        <w:t>（3）在施工工作面铺设草袋等，以减少车辆与路面摩擦产生的噪声；</w:t>
      </w:r>
    </w:p>
    <w:p>
      <w:pPr>
        <w:spacing w:line="360" w:lineRule="auto"/>
        <w:ind w:firstLine="480" w:firstLineChars="200"/>
        <w:rPr>
          <w:bCs/>
          <w:sz w:val="24"/>
        </w:rPr>
      </w:pPr>
      <w:r>
        <w:rPr>
          <w:bCs/>
          <w:sz w:val="24"/>
        </w:rPr>
        <w:t>（4）严格控制施工时间，评价要求场地晚上22:00至次日凌晨6:00禁止施工。</w:t>
      </w:r>
    </w:p>
    <w:p>
      <w:pPr>
        <w:pStyle w:val="148"/>
        <w:adjustRightInd/>
        <w:snapToGrid/>
        <w:spacing w:line="360" w:lineRule="auto"/>
        <w:ind w:firstLine="200"/>
        <w:rPr>
          <w:rFonts w:eastAsia="宋体"/>
          <w:b w:val="0"/>
          <w:bCs/>
        </w:rPr>
      </w:pPr>
      <w:r>
        <w:rPr>
          <w:rFonts w:eastAsia="宋体"/>
          <w:b w:val="0"/>
          <w:bCs/>
        </w:rPr>
        <w:t>在采取以上噪声防治措施后，可有效降低施工噪声对周围环境的影响。</w:t>
      </w:r>
    </w:p>
    <w:p>
      <w:pPr>
        <w:spacing w:line="360" w:lineRule="auto"/>
        <w:rPr>
          <w:rFonts w:eastAsiaTheme="minorEastAsia"/>
          <w:b/>
          <w:sz w:val="24"/>
        </w:rPr>
      </w:pPr>
      <w:r>
        <w:rPr>
          <w:rFonts w:eastAsiaTheme="minorEastAsia"/>
          <w:b/>
          <w:sz w:val="24"/>
        </w:rPr>
        <w:t>3.4.1.</w:t>
      </w:r>
      <w:r>
        <w:rPr>
          <w:rFonts w:hint="eastAsia" w:eastAsiaTheme="minorEastAsia"/>
          <w:b/>
          <w:sz w:val="24"/>
        </w:rPr>
        <w:t>4</w:t>
      </w:r>
      <w:r>
        <w:rPr>
          <w:rFonts w:hAnsiTheme="minorEastAsia" w:eastAsiaTheme="minorEastAsia"/>
          <w:b/>
          <w:sz w:val="24"/>
        </w:rPr>
        <w:t>建设期固体废物</w:t>
      </w:r>
    </w:p>
    <w:p>
      <w:pPr>
        <w:spacing w:line="360" w:lineRule="auto"/>
        <w:ind w:firstLine="480" w:firstLineChars="200"/>
        <w:rPr>
          <w:rFonts w:eastAsiaTheme="minorEastAsia"/>
          <w:sz w:val="24"/>
        </w:rPr>
      </w:pPr>
      <w:r>
        <w:rPr>
          <w:rFonts w:hAnsiTheme="minorEastAsia" w:eastAsiaTheme="minorEastAsia"/>
          <w:bCs/>
          <w:sz w:val="24"/>
        </w:rPr>
        <w:t>施工期产生固体废物主要为巷道开拓、井筒开拓产生的掘进矸石、废土石。此外，还包括</w:t>
      </w:r>
      <w:r>
        <w:rPr>
          <w:rFonts w:hAnsiTheme="minorEastAsia" w:eastAsiaTheme="minorEastAsia"/>
          <w:sz w:val="24"/>
        </w:rPr>
        <w:t>施工</w:t>
      </w:r>
      <w:r>
        <w:rPr>
          <w:rFonts w:hAnsiTheme="minorEastAsia" w:eastAsiaTheme="minorEastAsia"/>
          <w:bCs/>
          <w:sz w:val="24"/>
        </w:rPr>
        <w:t>过程废弃的建筑材料及施工人员少量的生活垃圾。</w:t>
      </w:r>
    </w:p>
    <w:p>
      <w:pPr>
        <w:spacing w:line="360" w:lineRule="auto"/>
        <w:ind w:firstLine="480" w:firstLineChars="200"/>
        <w:rPr>
          <w:rFonts w:hAnsiTheme="minorEastAsia" w:eastAsiaTheme="minorEastAsia"/>
          <w:sz w:val="24"/>
        </w:rPr>
      </w:pPr>
      <w:r>
        <w:rPr>
          <w:rFonts w:hAnsiTheme="minorEastAsia" w:eastAsiaTheme="minorEastAsia"/>
          <w:sz w:val="24"/>
        </w:rPr>
        <w:t>施工期斜井（立井）的掘进产生的矸石，可依托</w:t>
      </w:r>
      <w:r>
        <w:rPr>
          <w:rFonts w:hint="eastAsia" w:hAnsiTheme="minorEastAsia" w:eastAsiaTheme="minorEastAsia"/>
          <w:sz w:val="24"/>
        </w:rPr>
        <w:t>原有的临时矸石场</w:t>
      </w:r>
      <w:r>
        <w:rPr>
          <w:rFonts w:hAnsiTheme="minorEastAsia" w:eastAsiaTheme="minorEastAsia"/>
          <w:sz w:val="24"/>
        </w:rPr>
        <w:t>；生活垃圾经收集后</w:t>
      </w:r>
      <w:r>
        <w:rPr>
          <w:rFonts w:hint="eastAsia" w:hAnsiTheme="minorEastAsia" w:eastAsiaTheme="minorEastAsia"/>
          <w:sz w:val="24"/>
        </w:rPr>
        <w:t>交</w:t>
      </w:r>
      <w:r>
        <w:rPr>
          <w:rFonts w:hAnsiTheme="minorEastAsia" w:eastAsiaTheme="minorEastAsia"/>
          <w:sz w:val="24"/>
        </w:rPr>
        <w:t>由环卫部门统一处理。</w:t>
      </w:r>
    </w:p>
    <w:p>
      <w:pPr>
        <w:spacing w:line="360" w:lineRule="auto"/>
        <w:rPr>
          <w:rFonts w:hAnsiTheme="minorEastAsia" w:eastAsiaTheme="minorEastAsia"/>
          <w:b/>
          <w:sz w:val="24"/>
        </w:rPr>
      </w:pPr>
      <w:r>
        <w:rPr>
          <w:rFonts w:eastAsiaTheme="minorEastAsia"/>
          <w:b/>
          <w:sz w:val="24"/>
        </w:rPr>
        <w:t>3.4.1.</w:t>
      </w:r>
      <w:r>
        <w:rPr>
          <w:rFonts w:hint="eastAsia" w:eastAsiaTheme="minorEastAsia"/>
          <w:b/>
          <w:sz w:val="24"/>
        </w:rPr>
        <w:t>5</w:t>
      </w:r>
      <w:r>
        <w:rPr>
          <w:rFonts w:hAnsiTheme="minorEastAsia" w:eastAsiaTheme="minorEastAsia"/>
          <w:b/>
          <w:sz w:val="24"/>
        </w:rPr>
        <w:t>建设期</w:t>
      </w:r>
      <w:r>
        <w:rPr>
          <w:rFonts w:hint="eastAsia" w:hAnsiTheme="minorEastAsia" w:eastAsiaTheme="minorEastAsia"/>
          <w:b/>
          <w:sz w:val="24"/>
        </w:rPr>
        <w:t>生态环境影响分析及治理措施</w:t>
      </w:r>
    </w:p>
    <w:p>
      <w:pPr>
        <w:spacing w:line="360" w:lineRule="auto"/>
        <w:ind w:firstLine="480" w:firstLineChars="200"/>
        <w:rPr>
          <w:sz w:val="24"/>
        </w:rPr>
      </w:pPr>
      <w:r>
        <w:rPr>
          <w:sz w:val="24"/>
        </w:rPr>
        <w:t>本工程在建设期间，由于机械碾压等施工活动，破坏了项目占地的原有地貌和植被、扰动表土结构，土壤抗蚀能力降低。同时建筑垃圾临时堆放以及施工结束前后一段时间内地表绿化工作尚未完成时，都将造成土壤裸露。遇下雨时，尤其是暴雨时，将会造成水土流失。</w:t>
      </w:r>
    </w:p>
    <w:p>
      <w:pPr>
        <w:spacing w:line="360" w:lineRule="auto"/>
        <w:ind w:firstLine="480" w:firstLineChars="200"/>
        <w:rPr>
          <w:sz w:val="24"/>
        </w:rPr>
      </w:pPr>
      <w:r>
        <w:rPr>
          <w:sz w:val="24"/>
        </w:rPr>
        <w:t>从生态环境保护角度考虑，建议采用的环保措施主要有：</w:t>
      </w:r>
    </w:p>
    <w:p>
      <w:pPr>
        <w:spacing w:line="360" w:lineRule="auto"/>
        <w:ind w:firstLine="480" w:firstLineChars="200"/>
        <w:rPr>
          <w:sz w:val="24"/>
        </w:rPr>
      </w:pPr>
      <w:r>
        <w:rPr>
          <w:sz w:val="24"/>
        </w:rPr>
        <w:t>（1）加强施工场地的管理，材料设备的堆放要合理，对易散落和流失的建筑材料如水泥、沙、土等，要做好堆场的排水等防护措施。严格控制施工区域，不能扩大施工范围。</w:t>
      </w:r>
    </w:p>
    <w:p>
      <w:pPr>
        <w:spacing w:line="360" w:lineRule="auto"/>
        <w:ind w:firstLine="480" w:firstLineChars="200"/>
        <w:rPr>
          <w:rFonts w:eastAsiaTheme="minorEastAsia"/>
        </w:rPr>
      </w:pPr>
      <w:r>
        <w:rPr>
          <w:sz w:val="24"/>
        </w:rPr>
        <w:t>（2）周边绿化措施：结合实际情况在可绿化区域进行植草、种植灌木，以提高绿化率改善生态环境。</w:t>
      </w:r>
    </w:p>
    <w:p>
      <w:pPr>
        <w:spacing w:line="360" w:lineRule="auto"/>
        <w:ind w:firstLine="480" w:firstLineChars="200"/>
        <w:rPr>
          <w:rFonts w:eastAsiaTheme="minorEastAsia"/>
          <w:b/>
          <w:sz w:val="24"/>
        </w:rPr>
      </w:pPr>
      <w:r>
        <w:rPr>
          <w:bCs/>
          <w:sz w:val="24"/>
        </w:rPr>
        <w:t>建设单位必须加强工地管理工作，对施工人员除进行安全生产教育外，还应加强环保教育，提高全体施工人员环保意识，共同搞好工地的环保工作。同时建设单位必须切实落实好这些措施，工地的污染防治工作要有专人分工负责，提高污染防治效果，防止或缓解对环境的污染，做到文明生产。采取上述措施后施工对环境的影响将会大大降低，同时其对环境的影响也将随施工的结束而消失</w:t>
      </w:r>
      <w:r>
        <w:rPr>
          <w:rFonts w:hint="eastAsia"/>
          <w:bCs/>
          <w:sz w:val="24"/>
        </w:rPr>
        <w:t>。</w:t>
      </w:r>
    </w:p>
    <w:p>
      <w:pPr>
        <w:spacing w:line="360" w:lineRule="auto"/>
        <w:ind w:firstLine="480" w:firstLineChars="200"/>
        <w:rPr>
          <w:rFonts w:eastAsiaTheme="minorEastAsia"/>
          <w:sz w:val="24"/>
        </w:rPr>
      </w:pPr>
    </w:p>
    <w:bookmarkEnd w:id="168"/>
    <w:p>
      <w:pPr>
        <w:spacing w:line="360" w:lineRule="auto"/>
        <w:ind w:firstLine="480" w:firstLineChars="200"/>
        <w:rPr>
          <w:rFonts w:eastAsiaTheme="minorEastAsia"/>
          <w:bCs/>
          <w:sz w:val="24"/>
        </w:rPr>
        <w:sectPr>
          <w:pgSz w:w="11906" w:h="16838"/>
          <w:pgMar w:top="1701" w:right="1418" w:bottom="1701" w:left="1418" w:header="992" w:footer="992" w:gutter="0"/>
          <w:cols w:space="425" w:num="1"/>
          <w:docGrid w:type="lines" w:linePitch="312" w:charSpace="0"/>
        </w:sectPr>
      </w:pPr>
    </w:p>
    <w:p>
      <w:pPr>
        <w:snapToGrid w:val="0"/>
        <w:ind w:firstLine="480" w:firstLineChars="200"/>
        <w:jc w:val="left"/>
        <w:rPr>
          <w:rFonts w:eastAsiaTheme="minorEastAsia"/>
          <w:sz w:val="24"/>
        </w:rPr>
        <w:sectPr>
          <w:headerReference r:id="rId16" w:type="default"/>
          <w:footerReference r:id="rId17" w:type="default"/>
          <w:pgSz w:w="16838" w:h="11906" w:orient="landscape"/>
          <w:pgMar w:top="1701" w:right="1418" w:bottom="1701" w:left="1418" w:header="851" w:footer="992" w:gutter="0"/>
          <w:cols w:space="425" w:num="1"/>
          <w:docGrid w:linePitch="312" w:charSpace="0"/>
        </w:sectPr>
      </w:pPr>
      <w:r>
        <w:rPr>
          <w:rFonts w:eastAsiaTheme="minorEastAsia"/>
          <w:sz w:val="24"/>
        </w:rPr>
        <w:pict>
          <v:rect id="_x0000_s55780" o:spid="_x0000_s55780" o:spt="1" style="position:absolute;left:0pt;margin-left:242.9pt;margin-top:254.55pt;height:30.6pt;width:88.3pt;z-index:251688960;mso-width-relative:page;mso-height-relative:page;" coordsize="21600,21600">
            <v:path/>
            <v:fill focussize="0,0"/>
            <v:stroke/>
            <v:imagedata o:title=""/>
            <o:lock v:ext="edit"/>
            <v:textbox>
              <w:txbxContent>
                <w:p>
                  <w:r>
                    <w:rPr>
                      <w:rFonts w:hint="eastAsia"/>
                    </w:rPr>
                    <w:t>外排</w:t>
                  </w:r>
                </w:p>
              </w:txbxContent>
            </v:textbox>
          </v:rect>
        </w:pict>
      </w:r>
      <w:r>
        <w:rPr>
          <w:rFonts w:eastAsiaTheme="minorEastAsia"/>
          <w:sz w:val="24"/>
        </w:rPr>
        <w:pict>
          <v:rect id="_x0000_s55779" o:spid="_x0000_s55779" o:spt="1" style="position:absolute;left:0pt;margin-left:521.4pt;margin-top:262.05pt;height:23.1pt;width:121.6pt;z-index:251687936;mso-width-relative:page;mso-height-relative:page;" coordsize="21600,21600">
            <v:path/>
            <v:fill focussize="0,0"/>
            <v:stroke/>
            <v:imagedata o:title=""/>
            <o:lock v:ext="edit"/>
            <v:textbox>
              <w:txbxContent>
                <w:p>
                  <w:r>
                    <w:rPr>
                      <w:rFonts w:hint="eastAsia"/>
                    </w:rPr>
                    <w:t>绿化、洒水，多余外排</w:t>
                  </w:r>
                </w:p>
              </w:txbxContent>
            </v:textbox>
          </v:rect>
        </w:pict>
      </w:r>
      <w:r>
        <w:rPr>
          <w:rFonts w:eastAsiaTheme="minorEastAsia"/>
          <w:sz w:val="24"/>
        </w:rPr>
        <w:pict>
          <v:rect id="_x0000_s17906" o:spid="_x0000_s17906" o:spt="1" style="position:absolute;left:0pt;margin-left:255.7pt;margin-top:417.6pt;height:25.8pt;width:212.45pt;z-index:251683840;mso-width-relative:page;mso-height-relative:page;" filled="f" stroked="f" coordsize="21600,21600">
            <v:path/>
            <v:fill on="f" focussize="0,0"/>
            <v:stroke on="f"/>
            <v:imagedata o:title=""/>
            <o:lock v:ext="edit"/>
            <v:textbox>
              <w:txbxContent>
                <w:p>
                  <w:pPr>
                    <w:rPr>
                      <w:sz w:val="24"/>
                    </w:rPr>
                  </w:pPr>
                  <w:r>
                    <w:rPr>
                      <w:rFonts w:hint="eastAsia"/>
                      <w:sz w:val="24"/>
                    </w:rPr>
                    <w:t>图3.4-1  项目各时期产污环节图</w:t>
                  </w:r>
                </w:p>
              </w:txbxContent>
            </v:textbox>
          </v:rect>
        </w:pict>
      </w:r>
      <w:r>
        <w:rPr>
          <w:rFonts w:eastAsiaTheme="minorEastAsia"/>
          <w:sz w:val="24"/>
        </w:rPr>
        <w:pict>
          <v:rect id="_x0000_s17904" o:spid="_x0000_s17904" o:spt="1" style="position:absolute;left:0pt;margin-left:480.65pt;margin-top:55.4pt;height:29.3pt;width:93.05pt;z-index:251682816;mso-width-relative:page;mso-height-relative:page;" stroked="f" coordsize="21600,21600">
            <v:path/>
            <v:fill focussize="0,0"/>
            <v:stroke on="f"/>
            <v:imagedata o:title=""/>
            <o:lock v:ext="edit"/>
            <v:textbox>
              <w:txbxContent>
                <w:p/>
              </w:txbxContent>
            </v:textbox>
          </v:rect>
        </w:pict>
      </w:r>
      <w:r>
        <w:rPr>
          <w:rFonts w:eastAsiaTheme="minorEastAsia"/>
          <w:sz w:val="24"/>
        </w:rPr>
        <w:drawing>
          <wp:anchor distT="0" distB="0" distL="114300" distR="114300" simplePos="0" relativeHeight="251660288" behindDoc="0" locked="0" layoutInCell="1" allowOverlap="1">
            <wp:simplePos x="0" y="0"/>
            <wp:positionH relativeFrom="column">
              <wp:posOffset>386080</wp:posOffset>
            </wp:positionH>
            <wp:positionV relativeFrom="paragraph">
              <wp:posOffset>-42545</wp:posOffset>
            </wp:positionV>
            <wp:extent cx="8164830" cy="5278120"/>
            <wp:effectExtent l="19050" t="19050" r="26885" b="17588"/>
            <wp:wrapNone/>
            <wp:docPr id="68" name="图片 68" descr="D:\Documents\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Documents\Desktop\未标题-1.jpg"/>
                    <pic:cNvPicPr>
                      <a:picLocks noChangeAspect="1" noChangeArrowheads="1"/>
                    </pic:cNvPicPr>
                  </pic:nvPicPr>
                  <pic:blipFill>
                    <a:blip r:embed="rId60" cstate="print"/>
                    <a:srcRect l="1723" t="3898" r="1220" b="4348"/>
                    <a:stretch>
                      <a:fillRect/>
                    </a:stretch>
                  </pic:blipFill>
                  <pic:spPr>
                    <a:xfrm>
                      <a:off x="0" y="0"/>
                      <a:ext cx="8164615" cy="5278312"/>
                    </a:xfrm>
                    <a:prstGeom prst="rect">
                      <a:avLst/>
                    </a:prstGeom>
                    <a:noFill/>
                    <a:ln w="19050">
                      <a:solidFill>
                        <a:schemeClr val="tx1"/>
                      </a:solidFill>
                      <a:miter lim="800000"/>
                      <a:headEnd/>
                      <a:tailEnd/>
                    </a:ln>
                  </pic:spPr>
                </pic:pic>
              </a:graphicData>
            </a:graphic>
          </wp:anchor>
        </w:drawing>
      </w:r>
    </w:p>
    <w:p>
      <w:pPr>
        <w:spacing w:line="360" w:lineRule="auto"/>
        <w:outlineLvl w:val="2"/>
        <w:rPr>
          <w:rFonts w:eastAsiaTheme="minorEastAsia"/>
          <w:b/>
          <w:sz w:val="24"/>
        </w:rPr>
      </w:pPr>
      <w:r>
        <w:rPr>
          <w:rFonts w:eastAsiaTheme="minorEastAsia"/>
          <w:b/>
          <w:sz w:val="24"/>
        </w:rPr>
        <w:t>3.4.2</w:t>
      </w:r>
      <w:r>
        <w:rPr>
          <w:rFonts w:hAnsiTheme="minorEastAsia" w:eastAsiaTheme="minorEastAsia"/>
          <w:b/>
          <w:sz w:val="24"/>
        </w:rPr>
        <w:t>运营期环境影响分析及治理措施</w:t>
      </w:r>
    </w:p>
    <w:p>
      <w:pPr>
        <w:spacing w:line="360" w:lineRule="auto"/>
        <w:rPr>
          <w:rFonts w:eastAsiaTheme="minorEastAsia"/>
          <w:b/>
          <w:sz w:val="24"/>
        </w:rPr>
      </w:pPr>
      <w:r>
        <w:rPr>
          <w:rFonts w:eastAsiaTheme="minorEastAsia"/>
          <w:b/>
          <w:sz w:val="24"/>
        </w:rPr>
        <w:t>3.4.2.1</w:t>
      </w:r>
      <w:r>
        <w:rPr>
          <w:rFonts w:hAnsiTheme="minorEastAsia" w:eastAsiaTheme="minorEastAsia"/>
          <w:b/>
          <w:sz w:val="24"/>
        </w:rPr>
        <w:t>废气</w:t>
      </w:r>
    </w:p>
    <w:p>
      <w:pPr>
        <w:pStyle w:val="39"/>
        <w:ind w:firstLine="482"/>
        <w:rPr>
          <w:rFonts w:ascii="Times New Roman" w:hAnsi="Times New Roman" w:eastAsiaTheme="minorEastAsia"/>
          <w:b/>
        </w:rPr>
      </w:pPr>
      <w:r>
        <w:rPr>
          <w:rFonts w:ascii="Times New Roman" w:hAnsi="Times New Roman" w:eastAsiaTheme="minorEastAsia"/>
          <w:b/>
        </w:rPr>
        <w:t>（一）储煤设施</w:t>
      </w:r>
    </w:p>
    <w:p>
      <w:pPr>
        <w:pStyle w:val="39"/>
        <w:ind w:firstLine="482"/>
        <w:rPr>
          <w:rFonts w:ascii="Times New Roman" w:hAnsi="Times New Roman"/>
          <w:b/>
        </w:rPr>
      </w:pPr>
      <w:r>
        <w:rPr>
          <w:rFonts w:ascii="Times New Roman" w:hAnsi="Times New Roman"/>
          <w:b/>
        </w:rPr>
        <w:t>原环评：</w:t>
      </w:r>
    </w:p>
    <w:p>
      <w:pPr>
        <w:pStyle w:val="39"/>
        <w:rPr>
          <w:rFonts w:ascii="Times New Roman" w:hAnsi="Times New Roman"/>
          <w:bCs/>
        </w:rPr>
      </w:pPr>
      <w:r>
        <w:rPr>
          <w:rFonts w:ascii="Times New Roman"/>
        </w:rPr>
        <w:t>原煤采用筒仓储存。矿井共设有</w:t>
      </w:r>
      <w:r>
        <w:rPr>
          <w:rFonts w:ascii="Times New Roman" w:hAnsi="Times New Roman"/>
        </w:rPr>
        <w:t>2</w:t>
      </w:r>
      <w:r>
        <w:rPr>
          <w:rFonts w:ascii="Times New Roman"/>
        </w:rPr>
        <w:t>个</w:t>
      </w:r>
      <w:r>
        <w:rPr>
          <w:rFonts w:ascii="Times New Roman" w:hAnsi="Times New Roman"/>
        </w:rPr>
        <w:t>φ18m</w:t>
      </w:r>
      <w:r>
        <w:rPr>
          <w:rFonts w:ascii="Times New Roman"/>
        </w:rPr>
        <w:t>、</w:t>
      </w:r>
      <w:r>
        <w:rPr>
          <w:rFonts w:ascii="Times New Roman" w:hAnsi="Times New Roman"/>
        </w:rPr>
        <w:t>H=34m</w:t>
      </w:r>
      <w:r>
        <w:rPr>
          <w:rFonts w:ascii="Times New Roman"/>
        </w:rPr>
        <w:t>的圆筒仓，总容量</w:t>
      </w:r>
      <w:r>
        <w:rPr>
          <w:rFonts w:ascii="Times New Roman" w:hAnsi="Times New Roman"/>
        </w:rPr>
        <w:t>11000t</w:t>
      </w:r>
      <w:r>
        <w:rPr>
          <w:rFonts w:ascii="Times New Roman"/>
        </w:rPr>
        <w:t>，相当于矿井</w:t>
      </w:r>
      <w:r>
        <w:rPr>
          <w:rFonts w:ascii="Times New Roman" w:hAnsi="Times New Roman"/>
        </w:rPr>
        <w:t>3</w:t>
      </w:r>
      <w:r>
        <w:rPr>
          <w:rFonts w:ascii="Times New Roman"/>
        </w:rPr>
        <w:t>天的产量，符合《煤炭工业矿井设计规范》中</w:t>
      </w:r>
      <w:r>
        <w:rPr>
          <w:rFonts w:ascii="Times New Roman" w:hAnsi="Times New Roman"/>
        </w:rPr>
        <w:t>3</w:t>
      </w:r>
      <w:r>
        <w:rPr>
          <w:rFonts w:ascii="Times New Roman"/>
        </w:rPr>
        <w:t>～</w:t>
      </w:r>
      <w:r>
        <w:rPr>
          <w:rFonts w:ascii="Times New Roman" w:hAnsi="Times New Roman"/>
        </w:rPr>
        <w:t>7</w:t>
      </w:r>
      <w:r>
        <w:rPr>
          <w:rFonts w:ascii="Times New Roman"/>
        </w:rPr>
        <w:t>天的要求。</w:t>
      </w:r>
      <w:r>
        <w:rPr>
          <w:rFonts w:ascii="Times New Roman"/>
          <w:bCs/>
        </w:rPr>
        <w:t>筒仓粉尘排放量忽略不计。</w:t>
      </w:r>
    </w:p>
    <w:p>
      <w:pPr>
        <w:pStyle w:val="39"/>
        <w:rPr>
          <w:rFonts w:ascii="Times New Roman" w:hAnsi="Times New Roman"/>
        </w:rPr>
      </w:pPr>
      <w:r>
        <w:rPr>
          <w:rFonts w:ascii="Times New Roman"/>
          <w:bCs/>
        </w:rPr>
        <w:t>评价要求</w:t>
      </w:r>
      <w:r>
        <w:rPr>
          <w:rFonts w:ascii="Times New Roman"/>
        </w:rPr>
        <w:t>对筒仓顶部增加机械排风和瓦斯气监测感应头，能够强制将其吹散避免聚集并准确监测出瓦斯气的着火点浓度，避免引发爆炸。</w:t>
      </w:r>
    </w:p>
    <w:p>
      <w:pPr>
        <w:pStyle w:val="39"/>
        <w:ind w:firstLine="482"/>
        <w:rPr>
          <w:rFonts w:ascii="Times New Roman" w:hAnsi="Times New Roman" w:eastAsiaTheme="minorEastAsia"/>
          <w:b/>
        </w:rPr>
      </w:pPr>
      <w:r>
        <w:rPr>
          <w:rFonts w:ascii="Times New Roman" w:hAnsi="Times New Roman" w:eastAsiaTheme="minorEastAsia"/>
          <w:b/>
        </w:rPr>
        <w:t>变更后：</w:t>
      </w:r>
    </w:p>
    <w:p>
      <w:pPr>
        <w:pStyle w:val="39"/>
        <w:rPr>
          <w:rFonts w:ascii="Times New Roman" w:hAnsi="Times New Roman"/>
          <w:bCs/>
        </w:rPr>
      </w:pPr>
      <w:r>
        <w:rPr>
          <w:rFonts w:hint="eastAsia" w:ascii="Times New Roman"/>
        </w:rPr>
        <w:t>储煤不设筒仓，采用</w:t>
      </w:r>
      <w:r>
        <w:rPr>
          <w:rFonts w:hint="eastAsia" w:ascii="Times New Roman"/>
          <w:bCs/>
        </w:rPr>
        <w:t>储煤场，原煤和精煤分开储存，不采用</w:t>
      </w:r>
      <w:r>
        <w:rPr>
          <w:rFonts w:hint="eastAsia" w:ascii="Times New Roman"/>
        </w:rPr>
        <w:t>筒仓储存。</w:t>
      </w:r>
    </w:p>
    <w:p>
      <w:pPr>
        <w:spacing w:line="360" w:lineRule="auto"/>
        <w:ind w:firstLine="480" w:firstLineChars="200"/>
        <w:rPr>
          <w:rFonts w:eastAsiaTheme="minorEastAsia"/>
          <w:sz w:val="24"/>
        </w:rPr>
      </w:pPr>
      <w:r>
        <w:rPr>
          <w:rFonts w:hint="eastAsia" w:eastAsiaTheme="minorEastAsia"/>
          <w:sz w:val="24"/>
        </w:rPr>
        <w:t>原煤和精煤储煤棚均依托现已收购的龙宇洗煤厂，</w:t>
      </w:r>
      <w:r>
        <w:rPr>
          <w:rFonts w:hint="eastAsia" w:hAnsiTheme="minorEastAsia" w:eastAsiaTheme="minorEastAsia"/>
          <w:sz w:val="24"/>
        </w:rPr>
        <w:t>2009年9月28日该</w:t>
      </w:r>
      <w:r>
        <w:rPr>
          <w:rFonts w:hAnsiTheme="minorEastAsia" w:eastAsiaTheme="minorEastAsia"/>
          <w:sz w:val="24"/>
        </w:rPr>
        <w:t>洗煤厂经吕梁市环境保护局吕环行审</w:t>
      </w:r>
      <w:r>
        <w:rPr>
          <w:rFonts w:eastAsiaTheme="minorEastAsia"/>
          <w:sz w:val="24"/>
        </w:rPr>
        <w:t>[2009]123</w:t>
      </w:r>
      <w:r>
        <w:rPr>
          <w:rFonts w:hAnsiTheme="minorEastAsia" w:eastAsiaTheme="minorEastAsia"/>
          <w:sz w:val="24"/>
        </w:rPr>
        <w:t>号文批复</w:t>
      </w:r>
      <w:r>
        <w:rPr>
          <w:rFonts w:hint="eastAsia" w:hAnsiTheme="minorEastAsia" w:eastAsiaTheme="minorEastAsia"/>
          <w:sz w:val="24"/>
        </w:rPr>
        <w:t>；</w:t>
      </w:r>
      <w:r>
        <w:rPr>
          <w:rFonts w:hint="eastAsia" w:eastAsiaTheme="minorEastAsia"/>
          <w:sz w:val="24"/>
        </w:rPr>
        <w:t>临县环境保护局于2019年6月13日以临环行备[2019]15号对该洗煤厂进行了环保验收，本报告不再进行环境影响评价。</w:t>
      </w:r>
    </w:p>
    <w:p>
      <w:pPr>
        <w:pStyle w:val="39"/>
        <w:ind w:firstLine="482"/>
        <w:rPr>
          <w:rFonts w:ascii="Times New Roman" w:hAnsi="Times New Roman" w:eastAsiaTheme="minorEastAsia"/>
          <w:b/>
        </w:rPr>
      </w:pPr>
      <w:r>
        <w:rPr>
          <w:rFonts w:ascii="Times New Roman" w:hAnsi="Times New Roman" w:eastAsiaTheme="minorEastAsia"/>
          <w:b/>
        </w:rPr>
        <w:t>（二）锅炉烟气</w:t>
      </w:r>
    </w:p>
    <w:p>
      <w:pPr>
        <w:pStyle w:val="39"/>
        <w:ind w:firstLine="482"/>
        <w:rPr>
          <w:rFonts w:ascii="Times New Roman" w:hAnsi="Times New Roman" w:eastAsiaTheme="minorEastAsia"/>
          <w:b/>
        </w:rPr>
      </w:pPr>
      <w:r>
        <w:rPr>
          <w:rFonts w:ascii="Times New Roman" w:hAnsi="Times New Roman" w:eastAsiaTheme="minorEastAsia"/>
          <w:b/>
        </w:rPr>
        <w:t>原环评：</w:t>
      </w:r>
    </w:p>
    <w:p>
      <w:pPr>
        <w:spacing w:line="360" w:lineRule="auto"/>
        <w:ind w:firstLine="480" w:firstLineChars="200"/>
        <w:rPr>
          <w:rFonts w:hAnsiTheme="minorEastAsia" w:eastAsiaTheme="minorEastAsia"/>
          <w:sz w:val="24"/>
        </w:rPr>
      </w:pPr>
      <w:r>
        <w:rPr>
          <w:rFonts w:hint="eastAsia" w:hAnsiTheme="minorEastAsia" w:eastAsiaTheme="minorEastAsia"/>
          <w:sz w:val="24"/>
        </w:rPr>
        <w:t>工业场地设一座锅炉房集中供热，内设</w:t>
      </w:r>
      <w:r>
        <w:rPr>
          <w:rFonts w:hAnsiTheme="minorEastAsia" w:eastAsiaTheme="minorEastAsia"/>
          <w:sz w:val="24"/>
        </w:rPr>
        <w:t>2</w:t>
      </w:r>
      <w:r>
        <w:rPr>
          <w:rFonts w:hint="eastAsia" w:hAnsiTheme="minorEastAsia" w:eastAsiaTheme="minorEastAsia"/>
          <w:sz w:val="24"/>
        </w:rPr>
        <w:t>台</w:t>
      </w:r>
      <w:r>
        <w:rPr>
          <w:rFonts w:hAnsiTheme="minorEastAsia" w:eastAsiaTheme="minorEastAsia"/>
          <w:sz w:val="24"/>
        </w:rPr>
        <w:t>SZL10-1.25-A</w:t>
      </w:r>
      <w:r>
        <w:rPr>
          <w:rFonts w:hint="eastAsia" w:hAnsiTheme="minorEastAsia" w:eastAsiaTheme="minorEastAsia"/>
          <w:sz w:val="24"/>
        </w:rPr>
        <w:t>Ⅱ型蒸汽锅炉和</w:t>
      </w:r>
      <w:r>
        <w:rPr>
          <w:rFonts w:hAnsiTheme="minorEastAsia" w:eastAsiaTheme="minorEastAsia"/>
          <w:sz w:val="24"/>
        </w:rPr>
        <w:t>1</w:t>
      </w:r>
      <w:r>
        <w:rPr>
          <w:rFonts w:hint="eastAsia" w:hAnsiTheme="minorEastAsia" w:eastAsiaTheme="minorEastAsia"/>
          <w:sz w:val="24"/>
        </w:rPr>
        <w:t>台</w:t>
      </w:r>
      <w:r>
        <w:rPr>
          <w:rFonts w:hAnsiTheme="minorEastAsia" w:eastAsiaTheme="minorEastAsia"/>
          <w:sz w:val="24"/>
        </w:rPr>
        <w:t>SZL2-1.0-A</w:t>
      </w:r>
      <w:r>
        <w:rPr>
          <w:rFonts w:hint="eastAsia" w:hAnsiTheme="minorEastAsia" w:eastAsiaTheme="minorEastAsia"/>
          <w:sz w:val="24"/>
        </w:rPr>
        <w:t>Ⅱ型蒸汽锅炉。采暖期</w:t>
      </w:r>
      <w:r>
        <w:rPr>
          <w:rFonts w:hAnsiTheme="minorEastAsia" w:eastAsiaTheme="minorEastAsia"/>
          <w:sz w:val="24"/>
        </w:rPr>
        <w:t>2</w:t>
      </w:r>
      <w:r>
        <w:rPr>
          <w:rFonts w:hint="eastAsia" w:hAnsiTheme="minorEastAsia" w:eastAsiaTheme="minorEastAsia"/>
          <w:sz w:val="24"/>
        </w:rPr>
        <w:t>台</w:t>
      </w:r>
      <w:r>
        <w:rPr>
          <w:rFonts w:hAnsiTheme="minorEastAsia" w:eastAsiaTheme="minorEastAsia"/>
          <w:sz w:val="24"/>
        </w:rPr>
        <w:t>SZL10-1.25-A</w:t>
      </w:r>
      <w:r>
        <w:rPr>
          <w:rFonts w:hint="eastAsia" w:hAnsiTheme="minorEastAsia" w:eastAsiaTheme="minorEastAsia"/>
          <w:sz w:val="24"/>
        </w:rPr>
        <w:t>Ⅱ型蒸汽锅炉运行，运行</w:t>
      </w:r>
      <w:r>
        <w:rPr>
          <w:rFonts w:hAnsiTheme="minorEastAsia" w:eastAsiaTheme="minorEastAsia"/>
          <w:sz w:val="24"/>
        </w:rPr>
        <w:t>142</w:t>
      </w:r>
      <w:r>
        <w:rPr>
          <w:rFonts w:hint="eastAsia" w:hAnsiTheme="minorEastAsia" w:eastAsiaTheme="minorEastAsia"/>
          <w:sz w:val="24"/>
        </w:rPr>
        <w:t>天，每天运行</w:t>
      </w:r>
      <w:r>
        <w:rPr>
          <w:rFonts w:hAnsiTheme="minorEastAsia" w:eastAsiaTheme="minorEastAsia"/>
          <w:sz w:val="24"/>
        </w:rPr>
        <w:t>16</w:t>
      </w:r>
      <w:r>
        <w:rPr>
          <w:rFonts w:hint="eastAsia" w:hAnsiTheme="minorEastAsia" w:eastAsiaTheme="minorEastAsia"/>
          <w:sz w:val="24"/>
        </w:rPr>
        <w:t>小时；非采暖期运行</w:t>
      </w:r>
      <w:r>
        <w:rPr>
          <w:rFonts w:hAnsiTheme="minorEastAsia" w:eastAsiaTheme="minorEastAsia"/>
          <w:sz w:val="24"/>
        </w:rPr>
        <w:t>1</w:t>
      </w:r>
      <w:r>
        <w:rPr>
          <w:rFonts w:hint="eastAsia" w:hAnsiTheme="minorEastAsia" w:eastAsiaTheme="minorEastAsia"/>
          <w:sz w:val="24"/>
        </w:rPr>
        <w:t>台</w:t>
      </w:r>
      <w:r>
        <w:rPr>
          <w:rFonts w:hAnsiTheme="minorEastAsia" w:eastAsiaTheme="minorEastAsia"/>
          <w:sz w:val="24"/>
        </w:rPr>
        <w:t>SZL2-1.0-A</w:t>
      </w:r>
      <w:r>
        <w:rPr>
          <w:rFonts w:hint="eastAsia" w:hAnsiTheme="minorEastAsia" w:eastAsiaTheme="minorEastAsia"/>
          <w:sz w:val="24"/>
        </w:rPr>
        <w:t>Ⅱ型蒸汽锅炉，运行</w:t>
      </w:r>
      <w:r>
        <w:rPr>
          <w:rFonts w:hAnsiTheme="minorEastAsia" w:eastAsiaTheme="minorEastAsia"/>
          <w:sz w:val="24"/>
        </w:rPr>
        <w:t>223</w:t>
      </w:r>
      <w:r>
        <w:rPr>
          <w:rFonts w:hint="eastAsia" w:hAnsiTheme="minorEastAsia" w:eastAsiaTheme="minorEastAsia"/>
          <w:sz w:val="24"/>
        </w:rPr>
        <w:t>天，每天运行</w:t>
      </w:r>
      <w:r>
        <w:rPr>
          <w:rFonts w:hAnsiTheme="minorEastAsia" w:eastAsiaTheme="minorEastAsia"/>
          <w:sz w:val="24"/>
        </w:rPr>
        <w:t>12</w:t>
      </w:r>
      <w:r>
        <w:rPr>
          <w:rFonts w:hint="eastAsia" w:hAnsiTheme="minorEastAsia" w:eastAsiaTheme="minorEastAsia"/>
          <w:sz w:val="24"/>
        </w:rPr>
        <w:t>小时（污染物排放计算时考虑采暖期运行</w:t>
      </w:r>
      <w:r>
        <w:rPr>
          <w:rFonts w:hAnsiTheme="minorEastAsia" w:eastAsiaTheme="minorEastAsia"/>
          <w:sz w:val="24"/>
        </w:rPr>
        <w:t>142</w:t>
      </w:r>
      <w:r>
        <w:rPr>
          <w:rFonts w:hint="eastAsia" w:hAnsiTheme="minorEastAsia" w:eastAsiaTheme="minorEastAsia"/>
          <w:sz w:val="24"/>
        </w:rPr>
        <w:t>天，每天运行</w:t>
      </w:r>
      <w:r>
        <w:rPr>
          <w:rFonts w:hAnsiTheme="minorEastAsia" w:eastAsiaTheme="minorEastAsia"/>
          <w:sz w:val="24"/>
        </w:rPr>
        <w:t>16</w:t>
      </w:r>
      <w:r>
        <w:rPr>
          <w:rFonts w:hint="eastAsia" w:hAnsiTheme="minorEastAsia" w:eastAsiaTheme="minorEastAsia"/>
          <w:sz w:val="24"/>
        </w:rPr>
        <w:t>小时）。</w:t>
      </w:r>
    </w:p>
    <w:p>
      <w:pPr>
        <w:spacing w:line="360" w:lineRule="auto"/>
        <w:ind w:firstLine="480" w:firstLineChars="200"/>
        <w:rPr>
          <w:rFonts w:hAnsiTheme="minorEastAsia" w:eastAsiaTheme="minorEastAsia"/>
          <w:bCs/>
          <w:sz w:val="24"/>
        </w:rPr>
      </w:pPr>
      <w:r>
        <w:rPr>
          <w:rFonts w:hAnsiTheme="minorEastAsia" w:eastAsiaTheme="minorEastAsia"/>
          <w:sz w:val="24"/>
        </w:rPr>
        <w:t>锅炉燃用本矿</w:t>
      </w:r>
      <w:r>
        <w:rPr>
          <w:rFonts w:eastAsiaTheme="minorEastAsia"/>
          <w:sz w:val="24"/>
        </w:rPr>
        <w:t>5#</w:t>
      </w:r>
      <w:r>
        <w:rPr>
          <w:rFonts w:hAnsiTheme="minorEastAsia" w:eastAsiaTheme="minorEastAsia"/>
          <w:sz w:val="24"/>
        </w:rPr>
        <w:t>原煤</w:t>
      </w:r>
      <w:r>
        <w:rPr>
          <w:rFonts w:hint="eastAsia" w:hAnsiTheme="minorEastAsia" w:eastAsiaTheme="minorEastAsia"/>
          <w:sz w:val="24"/>
        </w:rPr>
        <w:t>，</w:t>
      </w:r>
      <w:r>
        <w:rPr>
          <w:rFonts w:hAnsiTheme="minorEastAsia" w:eastAsiaTheme="minorEastAsia"/>
          <w:bCs/>
          <w:sz w:val="24"/>
        </w:rPr>
        <w:t>1</w:t>
      </w:r>
      <w:r>
        <w:rPr>
          <w:rFonts w:hint="eastAsia" w:hAnsiTheme="minorEastAsia" w:eastAsiaTheme="minorEastAsia"/>
          <w:bCs/>
          <w:sz w:val="24"/>
        </w:rPr>
        <w:t>台</w:t>
      </w:r>
      <w:r>
        <w:rPr>
          <w:rFonts w:hAnsiTheme="minorEastAsia" w:eastAsiaTheme="minorEastAsia"/>
          <w:bCs/>
          <w:sz w:val="24"/>
        </w:rPr>
        <w:t>0.7MW</w:t>
      </w:r>
      <w:r>
        <w:rPr>
          <w:rFonts w:hint="eastAsia" w:hAnsiTheme="minorEastAsia" w:eastAsiaTheme="minorEastAsia"/>
          <w:bCs/>
          <w:sz w:val="24"/>
        </w:rPr>
        <w:t>的锅炉耗煤量为126.8kg/h，烟气量为</w:t>
      </w:r>
      <w:r>
        <w:rPr>
          <w:rFonts w:hAnsiTheme="minorEastAsia" w:eastAsiaTheme="minorEastAsia"/>
          <w:bCs/>
          <w:sz w:val="24"/>
        </w:rPr>
        <w:t>1660Nm</w:t>
      </w:r>
      <w:r>
        <w:rPr>
          <w:rFonts w:hAnsiTheme="minorEastAsia" w:eastAsiaTheme="minorEastAsia"/>
          <w:bCs/>
          <w:sz w:val="24"/>
          <w:vertAlign w:val="superscript"/>
        </w:rPr>
        <w:t>3</w:t>
      </w:r>
      <w:r>
        <w:rPr>
          <w:rFonts w:hAnsiTheme="minorEastAsia" w:eastAsiaTheme="minorEastAsia"/>
          <w:bCs/>
          <w:sz w:val="24"/>
        </w:rPr>
        <w:t>/h</w:t>
      </w:r>
      <w:r>
        <w:rPr>
          <w:rFonts w:hint="eastAsia" w:hAnsiTheme="minorEastAsia" w:eastAsiaTheme="minorEastAsia"/>
          <w:bCs/>
          <w:sz w:val="24"/>
        </w:rPr>
        <w:t>；</w:t>
      </w:r>
      <w:r>
        <w:rPr>
          <w:rFonts w:hAnsiTheme="minorEastAsia" w:eastAsiaTheme="minorEastAsia"/>
          <w:bCs/>
          <w:sz w:val="24"/>
        </w:rPr>
        <w:t>ZL10-1.25-A</w:t>
      </w:r>
      <w:r>
        <w:rPr>
          <w:rFonts w:hint="eastAsia" w:hAnsiTheme="minorEastAsia" w:eastAsiaTheme="minorEastAsia"/>
          <w:bCs/>
          <w:sz w:val="24"/>
        </w:rPr>
        <w:t>Ⅱ型和</w:t>
      </w:r>
      <w:r>
        <w:rPr>
          <w:rFonts w:hAnsiTheme="minorEastAsia" w:eastAsiaTheme="minorEastAsia"/>
          <w:bCs/>
          <w:sz w:val="24"/>
        </w:rPr>
        <w:t>SZL2-1.0-A</w:t>
      </w:r>
      <w:r>
        <w:rPr>
          <w:rFonts w:hint="eastAsia" w:hAnsiTheme="minorEastAsia" w:eastAsiaTheme="minorEastAsia"/>
          <w:bCs/>
          <w:sz w:val="24"/>
        </w:rPr>
        <w:t>Ⅱ锅炉烟尘初始浓度分别为</w:t>
      </w:r>
      <w:r>
        <w:rPr>
          <w:rFonts w:hAnsiTheme="minorEastAsia" w:eastAsiaTheme="minorEastAsia"/>
          <w:bCs/>
          <w:sz w:val="24"/>
        </w:rPr>
        <w:t>1800mg/m</w:t>
      </w:r>
      <w:r>
        <w:rPr>
          <w:rFonts w:hAnsiTheme="minorEastAsia" w:eastAsiaTheme="minorEastAsia"/>
          <w:bCs/>
          <w:sz w:val="24"/>
          <w:vertAlign w:val="superscript"/>
        </w:rPr>
        <w:t>3</w:t>
      </w:r>
      <w:r>
        <w:rPr>
          <w:rFonts w:hint="eastAsia" w:hAnsiTheme="minorEastAsia" w:eastAsiaTheme="minorEastAsia"/>
          <w:bCs/>
          <w:sz w:val="24"/>
        </w:rPr>
        <w:t>和</w:t>
      </w:r>
      <w:r>
        <w:rPr>
          <w:rFonts w:hAnsiTheme="minorEastAsia" w:eastAsiaTheme="minorEastAsia"/>
          <w:bCs/>
          <w:sz w:val="24"/>
        </w:rPr>
        <w:t>1600mg/m</w:t>
      </w:r>
      <w:r>
        <w:rPr>
          <w:rFonts w:hAnsiTheme="minorEastAsia" w:eastAsiaTheme="minorEastAsia"/>
          <w:bCs/>
          <w:sz w:val="24"/>
          <w:vertAlign w:val="superscript"/>
        </w:rPr>
        <w:t>3</w:t>
      </w:r>
      <w:r>
        <w:rPr>
          <w:rFonts w:hint="eastAsia" w:hAnsiTheme="minorEastAsia" w:eastAsiaTheme="minorEastAsia"/>
          <w:bCs/>
          <w:sz w:val="24"/>
        </w:rPr>
        <w:t>；二氧化硫产生浓度</w:t>
      </w:r>
      <w:r>
        <w:rPr>
          <w:rFonts w:hAnsiTheme="minorEastAsia" w:eastAsiaTheme="minorEastAsia"/>
          <w:bCs/>
          <w:sz w:val="24"/>
        </w:rPr>
        <w:t>880mg/Nm</w:t>
      </w:r>
      <w:r>
        <w:rPr>
          <w:rFonts w:hAnsiTheme="minorEastAsia" w:eastAsiaTheme="minorEastAsia"/>
          <w:bCs/>
          <w:sz w:val="24"/>
          <w:vertAlign w:val="superscript"/>
        </w:rPr>
        <w:t>3</w:t>
      </w:r>
      <w:r>
        <w:rPr>
          <w:rFonts w:hint="eastAsia" w:hAnsiTheme="minorEastAsia" w:eastAsiaTheme="minorEastAsia"/>
          <w:bCs/>
          <w:sz w:val="24"/>
        </w:rPr>
        <w:t>；</w:t>
      </w:r>
      <w:r>
        <w:rPr>
          <w:rFonts w:hAnsiTheme="minorEastAsia" w:eastAsiaTheme="minorEastAsia"/>
          <w:bCs/>
          <w:sz w:val="24"/>
        </w:rPr>
        <w:t>NOx</w:t>
      </w:r>
      <w:r>
        <w:rPr>
          <w:rFonts w:hint="eastAsia" w:hAnsiTheme="minorEastAsia" w:eastAsiaTheme="minorEastAsia"/>
          <w:bCs/>
          <w:sz w:val="24"/>
        </w:rPr>
        <w:t>产生浓度为</w:t>
      </w:r>
      <w:r>
        <w:rPr>
          <w:rFonts w:hAnsiTheme="minorEastAsia" w:eastAsiaTheme="minorEastAsia"/>
          <w:bCs/>
          <w:sz w:val="24"/>
        </w:rPr>
        <w:t>225mg/Nm</w:t>
      </w:r>
      <w:r>
        <w:rPr>
          <w:rFonts w:hAnsiTheme="minorEastAsia" w:eastAsiaTheme="minorEastAsia"/>
          <w:bCs/>
          <w:sz w:val="24"/>
          <w:vertAlign w:val="superscript"/>
        </w:rPr>
        <w:t>3</w:t>
      </w:r>
      <w:r>
        <w:rPr>
          <w:rFonts w:hint="eastAsia" w:hAnsiTheme="minorEastAsia" w:eastAsiaTheme="minorEastAsia"/>
          <w:bCs/>
          <w:sz w:val="24"/>
        </w:rPr>
        <w:t>。</w:t>
      </w:r>
      <w:r>
        <w:rPr>
          <w:rFonts w:hAnsiTheme="minorEastAsia" w:eastAsiaTheme="minorEastAsia"/>
          <w:bCs/>
          <w:sz w:val="24"/>
        </w:rPr>
        <w:t>在采取高效湿式脱硫除尘设施处理后，</w:t>
      </w:r>
      <w:r>
        <w:rPr>
          <w:rFonts w:hAnsiTheme="minorEastAsia" w:eastAsiaTheme="minorEastAsia"/>
          <w:sz w:val="24"/>
        </w:rPr>
        <w:t>烟尘排放浓度</w:t>
      </w:r>
      <w:r>
        <w:rPr>
          <w:rFonts w:eastAsiaTheme="minorEastAsia"/>
          <w:sz w:val="24"/>
        </w:rPr>
        <w:t>90/80mg/m</w:t>
      </w:r>
      <w:r>
        <w:rPr>
          <w:rFonts w:eastAsiaTheme="minorEastAsia"/>
          <w:sz w:val="24"/>
          <w:vertAlign w:val="superscript"/>
        </w:rPr>
        <w:t>3</w:t>
      </w:r>
      <w:r>
        <w:rPr>
          <w:rFonts w:hAnsiTheme="minorEastAsia" w:eastAsiaTheme="minorEastAsia"/>
          <w:sz w:val="24"/>
        </w:rPr>
        <w:t>，</w:t>
      </w:r>
      <w:r>
        <w:rPr>
          <w:rFonts w:eastAsiaTheme="minorEastAsia"/>
          <w:sz w:val="24"/>
        </w:rPr>
        <w:t>SO</w:t>
      </w:r>
      <w:r>
        <w:rPr>
          <w:rFonts w:eastAsiaTheme="minorEastAsia"/>
          <w:sz w:val="24"/>
          <w:vertAlign w:val="subscript"/>
        </w:rPr>
        <w:t>2</w:t>
      </w:r>
      <w:r>
        <w:rPr>
          <w:rFonts w:hAnsiTheme="minorEastAsia" w:eastAsiaTheme="minorEastAsia"/>
          <w:sz w:val="24"/>
        </w:rPr>
        <w:t>排放浓度</w:t>
      </w:r>
      <w:r>
        <w:rPr>
          <w:rFonts w:eastAsiaTheme="minorEastAsia"/>
          <w:sz w:val="24"/>
        </w:rPr>
        <w:t>211mg/m</w:t>
      </w:r>
      <w:r>
        <w:rPr>
          <w:rFonts w:eastAsiaTheme="minorEastAsia"/>
          <w:sz w:val="24"/>
          <w:vertAlign w:val="superscript"/>
        </w:rPr>
        <w:t>3</w:t>
      </w:r>
      <w:r>
        <w:rPr>
          <w:rFonts w:hAnsiTheme="minorEastAsia" w:eastAsiaTheme="minorEastAsia"/>
          <w:sz w:val="24"/>
        </w:rPr>
        <w:t>，</w:t>
      </w:r>
      <w:r>
        <w:rPr>
          <w:rFonts w:eastAsiaTheme="minorEastAsia"/>
          <w:sz w:val="24"/>
        </w:rPr>
        <w:t>NO</w:t>
      </w:r>
      <w:r>
        <w:rPr>
          <w:rFonts w:eastAsiaTheme="minorEastAsia"/>
          <w:sz w:val="24"/>
          <w:vertAlign w:val="subscript"/>
        </w:rPr>
        <w:t>x</w:t>
      </w:r>
      <w:r>
        <w:rPr>
          <w:rFonts w:hAnsiTheme="minorEastAsia" w:eastAsiaTheme="minorEastAsia"/>
          <w:sz w:val="24"/>
        </w:rPr>
        <w:t>排放浓度</w:t>
      </w:r>
      <w:r>
        <w:rPr>
          <w:rFonts w:eastAsiaTheme="minorEastAsia"/>
          <w:sz w:val="24"/>
        </w:rPr>
        <w:t>225mg/m</w:t>
      </w:r>
      <w:r>
        <w:rPr>
          <w:rFonts w:eastAsiaTheme="minorEastAsia"/>
          <w:sz w:val="24"/>
          <w:vertAlign w:val="superscript"/>
        </w:rPr>
        <w:t>3</w:t>
      </w:r>
      <w:r>
        <w:rPr>
          <w:rFonts w:hAnsiTheme="minorEastAsia" w:eastAsiaTheme="minorEastAsia"/>
          <w:sz w:val="24"/>
        </w:rPr>
        <w:t>。</w:t>
      </w:r>
      <w:r>
        <w:rPr>
          <w:rFonts w:hAnsiTheme="minorEastAsia" w:eastAsiaTheme="minorEastAsia"/>
          <w:bCs/>
          <w:sz w:val="24"/>
        </w:rPr>
        <w:t>烟尘、</w:t>
      </w:r>
      <w:r>
        <w:rPr>
          <w:rFonts w:eastAsiaTheme="minorEastAsia"/>
          <w:sz w:val="24"/>
        </w:rPr>
        <w:t>SO</w:t>
      </w:r>
      <w:r>
        <w:rPr>
          <w:rFonts w:eastAsiaTheme="minorEastAsia"/>
          <w:sz w:val="24"/>
          <w:vertAlign w:val="subscript"/>
        </w:rPr>
        <w:t>2</w:t>
      </w:r>
      <w:r>
        <w:rPr>
          <w:rFonts w:hAnsiTheme="minorEastAsia" w:eastAsiaTheme="minorEastAsia"/>
          <w:sz w:val="24"/>
        </w:rPr>
        <w:t>排放浓度均能</w:t>
      </w:r>
      <w:r>
        <w:rPr>
          <w:rFonts w:hAnsiTheme="minorEastAsia" w:eastAsiaTheme="minorEastAsia"/>
          <w:bCs/>
          <w:sz w:val="24"/>
        </w:rPr>
        <w:t>满足</w:t>
      </w:r>
      <w:r>
        <w:rPr>
          <w:rFonts w:hAnsiTheme="minorEastAsia" w:eastAsiaTheme="minorEastAsia"/>
          <w:sz w:val="24"/>
        </w:rPr>
        <w:t>《锅炉大气污染物排放标准》（</w:t>
      </w:r>
      <w:r>
        <w:rPr>
          <w:rFonts w:eastAsiaTheme="minorEastAsia"/>
          <w:sz w:val="24"/>
        </w:rPr>
        <w:t>GB13271-2001</w:t>
      </w:r>
      <w:r>
        <w:rPr>
          <w:rFonts w:hAnsiTheme="minorEastAsia" w:eastAsiaTheme="minorEastAsia"/>
          <w:sz w:val="24"/>
        </w:rPr>
        <w:t>）中二类区Ⅱ时段标准</w:t>
      </w:r>
      <w:r>
        <w:rPr>
          <w:rFonts w:hAnsiTheme="minorEastAsia" w:eastAsiaTheme="minorEastAsia"/>
          <w:bCs/>
          <w:sz w:val="24"/>
        </w:rPr>
        <w:t>；</w:t>
      </w:r>
      <w:r>
        <w:rPr>
          <w:rFonts w:eastAsiaTheme="minorEastAsia"/>
          <w:sz w:val="24"/>
        </w:rPr>
        <w:t>NO</w:t>
      </w:r>
      <w:r>
        <w:rPr>
          <w:rFonts w:eastAsiaTheme="minorEastAsia"/>
          <w:sz w:val="24"/>
          <w:vertAlign w:val="subscript"/>
        </w:rPr>
        <w:t>x</w:t>
      </w:r>
      <w:r>
        <w:rPr>
          <w:rFonts w:hAnsiTheme="minorEastAsia" w:eastAsiaTheme="minorEastAsia"/>
          <w:sz w:val="24"/>
        </w:rPr>
        <w:t>排放浓度</w:t>
      </w:r>
      <w:r>
        <w:rPr>
          <w:rFonts w:hAnsiTheme="minorEastAsia" w:eastAsiaTheme="minorEastAsia"/>
          <w:bCs/>
          <w:sz w:val="24"/>
        </w:rPr>
        <w:t>参照</w:t>
      </w:r>
      <w:r>
        <w:rPr>
          <w:rFonts w:hAnsiTheme="minorEastAsia" w:eastAsiaTheme="minorEastAsia"/>
          <w:sz w:val="24"/>
        </w:rPr>
        <w:t>《大气污染物综合排放标准》（</w:t>
      </w:r>
      <w:r>
        <w:rPr>
          <w:rFonts w:eastAsiaTheme="minorEastAsia"/>
          <w:sz w:val="24"/>
        </w:rPr>
        <w:t>GB16297-1996</w:t>
      </w:r>
      <w:r>
        <w:rPr>
          <w:rFonts w:hAnsiTheme="minorEastAsia" w:eastAsiaTheme="minorEastAsia"/>
          <w:sz w:val="24"/>
        </w:rPr>
        <w:t>）中表</w:t>
      </w:r>
      <w:r>
        <w:rPr>
          <w:rFonts w:eastAsiaTheme="minorEastAsia"/>
          <w:sz w:val="24"/>
        </w:rPr>
        <w:t>2</w:t>
      </w:r>
      <w:r>
        <w:rPr>
          <w:rFonts w:hAnsiTheme="minorEastAsia" w:eastAsiaTheme="minorEastAsia"/>
          <w:sz w:val="24"/>
        </w:rPr>
        <w:t>中相关标准。</w:t>
      </w:r>
    </w:p>
    <w:p>
      <w:pPr>
        <w:spacing w:line="360" w:lineRule="auto"/>
        <w:ind w:firstLine="480" w:firstLineChars="200"/>
        <w:rPr>
          <w:rFonts w:hAnsiTheme="minorEastAsia" w:eastAsiaTheme="minorEastAsia"/>
          <w:sz w:val="24"/>
        </w:rPr>
      </w:pPr>
      <w:r>
        <w:rPr>
          <w:rFonts w:hAnsiTheme="minorEastAsia" w:eastAsiaTheme="minorEastAsia"/>
          <w:sz w:val="24"/>
        </w:rPr>
        <w:t>锅炉房烟气治理后经</w:t>
      </w:r>
      <w:r>
        <w:rPr>
          <w:rFonts w:eastAsiaTheme="minorEastAsia"/>
          <w:sz w:val="24"/>
        </w:rPr>
        <w:t>H55×ф1.0m</w:t>
      </w:r>
      <w:r>
        <w:rPr>
          <w:rFonts w:hAnsiTheme="minorEastAsia" w:eastAsiaTheme="minorEastAsia"/>
          <w:sz w:val="24"/>
        </w:rPr>
        <w:t>高烟囱排放。</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变更后：</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工业场地新建锅炉房一座。</w:t>
      </w:r>
    </w:p>
    <w:p>
      <w:pPr>
        <w:spacing w:line="360" w:lineRule="auto"/>
        <w:ind w:firstLine="480" w:firstLineChars="200"/>
        <w:rPr>
          <w:rFonts w:hAnsiTheme="minorEastAsia" w:eastAsiaTheme="minorEastAsia"/>
          <w:color w:val="FF0000"/>
          <w:kern w:val="0"/>
          <w:sz w:val="24"/>
          <w:lang w:val="en-GB"/>
        </w:rPr>
      </w:pPr>
      <w:r>
        <w:rPr>
          <w:rFonts w:hint="eastAsia" w:hAnsiTheme="minorEastAsia" w:eastAsiaTheme="minorEastAsia"/>
          <w:kern w:val="0"/>
          <w:sz w:val="24"/>
        </w:rPr>
        <w:t>锅炉选用</w:t>
      </w:r>
      <w:r>
        <w:rPr>
          <w:rFonts w:hAnsiTheme="minorEastAsia" w:eastAsiaTheme="minorEastAsia"/>
          <w:kern w:val="0"/>
          <w:sz w:val="24"/>
        </w:rPr>
        <w:t>2</w:t>
      </w:r>
      <w:r>
        <w:rPr>
          <w:rFonts w:hint="eastAsia" w:hAnsiTheme="minorEastAsia" w:eastAsiaTheme="minorEastAsia"/>
          <w:kern w:val="0"/>
          <w:sz w:val="24"/>
        </w:rPr>
        <w:t>台超低氮</w:t>
      </w:r>
      <w:r>
        <w:rPr>
          <w:rFonts w:hAnsiTheme="minorEastAsia" w:eastAsiaTheme="minorEastAsia"/>
          <w:kern w:val="0"/>
          <w:sz w:val="24"/>
        </w:rPr>
        <w:t>LSS8-1.25</w:t>
      </w:r>
      <w:r>
        <w:rPr>
          <w:rFonts w:hint="eastAsia" w:hAnsiTheme="minorEastAsia" w:eastAsiaTheme="minorEastAsia"/>
          <w:kern w:val="0"/>
          <w:sz w:val="24"/>
        </w:rPr>
        <w:t>型燃气蒸汽锅炉，其中</w:t>
      </w:r>
      <w:r>
        <w:rPr>
          <w:rFonts w:hint="eastAsia"/>
          <w:sz w:val="24"/>
        </w:rPr>
        <w:t>采暖期2台锅炉同时运行，年运行</w:t>
      </w:r>
      <w:r>
        <w:rPr>
          <w:sz w:val="24"/>
        </w:rPr>
        <w:t>150</w:t>
      </w:r>
      <w:r>
        <w:rPr>
          <w:rFonts w:hint="eastAsia"/>
          <w:sz w:val="24"/>
        </w:rPr>
        <w:t>天，每天</w:t>
      </w:r>
      <w:r>
        <w:rPr>
          <w:sz w:val="24"/>
        </w:rPr>
        <w:t>16</w:t>
      </w:r>
      <w:r>
        <w:rPr>
          <w:rFonts w:hint="eastAsia"/>
          <w:sz w:val="24"/>
        </w:rPr>
        <w:t>小时；非采暖期运行1台锅炉，年运行180天，每天8h。每台</w:t>
      </w:r>
      <w:r>
        <w:rPr>
          <w:rFonts w:hint="eastAsia"/>
          <w:sz w:val="24"/>
          <w:lang w:bidi="en-US"/>
        </w:rPr>
        <w:t>锅炉</w:t>
      </w:r>
      <w:r>
        <w:rPr>
          <w:rFonts w:hint="eastAsia"/>
          <w:sz w:val="24"/>
        </w:rPr>
        <w:t>耗气量为656</w:t>
      </w:r>
      <w:r>
        <w:rPr>
          <w:sz w:val="24"/>
        </w:rPr>
        <w:t xml:space="preserve"> m</w:t>
      </w:r>
      <w:r>
        <w:rPr>
          <w:sz w:val="24"/>
          <w:vertAlign w:val="superscript"/>
        </w:rPr>
        <w:t>3</w:t>
      </w:r>
      <w:r>
        <w:rPr>
          <w:sz w:val="24"/>
        </w:rPr>
        <w:t>/</w:t>
      </w:r>
      <w:r>
        <w:rPr>
          <w:rFonts w:hint="eastAsia"/>
          <w:sz w:val="24"/>
        </w:rPr>
        <w:t>h，每台锅炉设置一根15</w:t>
      </w:r>
      <w:r>
        <w:rPr>
          <w:sz w:val="24"/>
        </w:rPr>
        <w:t>m</w:t>
      </w:r>
      <w:r>
        <w:rPr>
          <w:rFonts w:hint="eastAsia"/>
          <w:sz w:val="24"/>
        </w:rPr>
        <w:t>高的排气筒</w:t>
      </w:r>
      <w:r>
        <w:rPr>
          <w:rFonts w:hint="eastAsia" w:hAnsiTheme="minorEastAsia" w:eastAsiaTheme="minorEastAsia"/>
          <w:kern w:val="0"/>
          <w:sz w:val="24"/>
        </w:rPr>
        <w:t>。</w:t>
      </w:r>
    </w:p>
    <w:p>
      <w:pPr>
        <w:pStyle w:val="149"/>
        <w:spacing w:line="360" w:lineRule="auto"/>
        <w:ind w:firstLine="480"/>
        <w:rPr>
          <w:sz w:val="24"/>
        </w:rPr>
      </w:pPr>
      <w:r>
        <w:rPr>
          <w:rFonts w:hint="eastAsia" w:ascii="宋体" w:hAnsi="宋体" w:cs="宋体"/>
          <w:sz w:val="24"/>
        </w:rPr>
        <w:t>①</w:t>
      </w:r>
      <w:r>
        <w:rPr>
          <w:rFonts w:hint="eastAsia"/>
          <w:sz w:val="24"/>
        </w:rPr>
        <w:t>烟气量计算</w:t>
      </w:r>
    </w:p>
    <w:p>
      <w:pPr>
        <w:pStyle w:val="149"/>
        <w:spacing w:line="360" w:lineRule="auto"/>
        <w:ind w:firstLine="480"/>
        <w:rPr>
          <w:sz w:val="24"/>
        </w:rPr>
      </w:pPr>
      <w:r>
        <w:rPr>
          <w:rFonts w:hint="eastAsia"/>
          <w:sz w:val="24"/>
        </w:rPr>
        <w:t>根据《排污许可证申请与核发技术规范 锅炉》</w:t>
      </w:r>
      <w:r>
        <w:rPr>
          <w:sz w:val="24"/>
        </w:rPr>
        <w:t>(HJ 9</w:t>
      </w:r>
      <w:r>
        <w:rPr>
          <w:rFonts w:hint="eastAsia"/>
          <w:sz w:val="24"/>
        </w:rPr>
        <w:t>53</w:t>
      </w:r>
      <w:r>
        <w:rPr>
          <w:sz w:val="24"/>
        </w:rPr>
        <w:t>-2018)</w:t>
      </w:r>
      <w:r>
        <w:rPr>
          <w:rFonts w:hint="eastAsia"/>
          <w:sz w:val="24"/>
        </w:rPr>
        <w:t>经验公式估算法，基准烟气量计算公式如下：</w:t>
      </w:r>
    </w:p>
    <w:p>
      <w:pPr>
        <w:pStyle w:val="149"/>
        <w:ind w:firstLine="480"/>
        <w:jc w:val="left"/>
        <w:rPr>
          <w:sz w:val="24"/>
        </w:rPr>
      </w:pPr>
      <w:r>
        <w:rPr>
          <w:sz w:val="24"/>
        </w:rPr>
        <w:drawing>
          <wp:inline distT="0" distB="0" distL="0" distR="0">
            <wp:extent cx="1767205" cy="270510"/>
            <wp:effectExtent l="19050" t="0" r="4234" b="0"/>
            <wp:docPr id="1" name="图片 26" descr="C:\Users\Administrator\AppData\Local\Temp\1619342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C:\Users\Administrator\AppData\Local\Temp\1619342101(1).png"/>
                    <pic:cNvPicPr>
                      <a:picLocks noChangeAspect="1" noChangeArrowheads="1"/>
                    </pic:cNvPicPr>
                  </pic:nvPicPr>
                  <pic:blipFill>
                    <a:blip r:embed="rId61"/>
                    <a:srcRect/>
                    <a:stretch>
                      <a:fillRect/>
                    </a:stretch>
                  </pic:blipFill>
                  <pic:spPr>
                    <a:xfrm>
                      <a:off x="0" y="0"/>
                      <a:ext cx="1770025" cy="270930"/>
                    </a:xfrm>
                    <a:prstGeom prst="rect">
                      <a:avLst/>
                    </a:prstGeom>
                    <a:noFill/>
                    <a:ln w="9525">
                      <a:noFill/>
                      <a:miter lim="800000"/>
                      <a:headEnd/>
                      <a:tailEnd/>
                    </a:ln>
                  </pic:spPr>
                </pic:pic>
              </a:graphicData>
            </a:graphic>
          </wp:inline>
        </w:drawing>
      </w:r>
    </w:p>
    <w:p>
      <w:pPr>
        <w:pStyle w:val="149"/>
        <w:ind w:firstLine="480"/>
        <w:jc w:val="left"/>
        <w:rPr>
          <w:sz w:val="24"/>
        </w:rPr>
      </w:pPr>
      <w:r>
        <w:rPr>
          <w:rFonts w:hint="eastAsia"/>
          <w:sz w:val="24"/>
        </w:rPr>
        <w:t>式中：Q</w:t>
      </w:r>
      <w:r>
        <w:rPr>
          <w:rFonts w:hint="eastAsia"/>
          <w:sz w:val="24"/>
          <w:vertAlign w:val="subscript"/>
        </w:rPr>
        <w:t>net</w:t>
      </w:r>
      <w:r>
        <w:rPr>
          <w:sz w:val="24"/>
        </w:rPr>
        <w:t>——</w:t>
      </w:r>
      <w:r>
        <w:rPr>
          <w:rFonts w:hint="eastAsia"/>
          <w:sz w:val="24"/>
        </w:rPr>
        <w:t>气体燃料低位发热量，MJ</w:t>
      </w:r>
      <w:r>
        <w:rPr>
          <w:sz w:val="24"/>
        </w:rPr>
        <w:t>/m</w:t>
      </w:r>
      <w:r>
        <w:rPr>
          <w:sz w:val="24"/>
          <w:vertAlign w:val="superscript"/>
        </w:rPr>
        <w:t>3</w:t>
      </w:r>
      <w:r>
        <w:rPr>
          <w:rFonts w:hint="eastAsia"/>
          <w:sz w:val="24"/>
        </w:rPr>
        <w:t>；</w:t>
      </w:r>
    </w:p>
    <w:p>
      <w:pPr>
        <w:pStyle w:val="149"/>
        <w:ind w:firstLine="480"/>
        <w:rPr>
          <w:sz w:val="24"/>
        </w:rPr>
      </w:pPr>
      <w:r>
        <w:rPr>
          <w:rFonts w:hint="eastAsia"/>
          <w:sz w:val="24"/>
        </w:rPr>
        <w:t>本项目Q</w:t>
      </w:r>
      <w:r>
        <w:rPr>
          <w:rFonts w:hint="eastAsia"/>
          <w:sz w:val="24"/>
          <w:vertAlign w:val="subscript"/>
        </w:rPr>
        <w:t>net</w:t>
      </w:r>
      <w:r>
        <w:rPr>
          <w:rFonts w:hint="eastAsia"/>
          <w:sz w:val="24"/>
        </w:rPr>
        <w:t>取33.82 MJ</w:t>
      </w:r>
      <w:r>
        <w:rPr>
          <w:sz w:val="24"/>
        </w:rPr>
        <w:t>/m</w:t>
      </w:r>
      <w:r>
        <w:rPr>
          <w:sz w:val="24"/>
          <w:vertAlign w:val="superscript"/>
        </w:rPr>
        <w:t>3</w:t>
      </w:r>
    </w:p>
    <w:p>
      <w:pPr>
        <w:pStyle w:val="149"/>
        <w:ind w:firstLine="480"/>
        <w:rPr>
          <w:sz w:val="24"/>
        </w:rPr>
      </w:pPr>
      <w:r>
        <w:rPr>
          <w:rFonts w:hint="eastAsia"/>
          <w:sz w:val="24"/>
        </w:rPr>
        <w:t>经计算，</w:t>
      </w:r>
      <w:r>
        <w:rPr>
          <w:sz w:val="24"/>
        </w:rPr>
        <w:t>V</w:t>
      </w:r>
      <w:r>
        <w:rPr>
          <w:rFonts w:hint="eastAsia"/>
          <w:sz w:val="24"/>
          <w:vertAlign w:val="subscript"/>
        </w:rPr>
        <w:t>gy</w:t>
      </w:r>
      <w:r>
        <w:rPr>
          <w:sz w:val="24"/>
        </w:rPr>
        <w:t>=</w:t>
      </w:r>
      <w:r>
        <w:rPr>
          <w:rFonts w:hint="eastAsia"/>
          <w:sz w:val="24"/>
        </w:rPr>
        <w:t>9.98</w:t>
      </w:r>
      <w:r>
        <w:rPr>
          <w:sz w:val="24"/>
        </w:rPr>
        <w:t>m</w:t>
      </w:r>
      <w:r>
        <w:rPr>
          <w:sz w:val="24"/>
          <w:vertAlign w:val="superscript"/>
        </w:rPr>
        <w:t>3</w:t>
      </w:r>
      <w:r>
        <w:rPr>
          <w:sz w:val="24"/>
        </w:rPr>
        <w:t>/m</w:t>
      </w:r>
      <w:r>
        <w:rPr>
          <w:sz w:val="24"/>
          <w:vertAlign w:val="superscript"/>
        </w:rPr>
        <w:t>3</w:t>
      </w:r>
    </w:p>
    <w:p>
      <w:pPr>
        <w:pStyle w:val="149"/>
        <w:ind w:firstLine="480"/>
        <w:rPr>
          <w:sz w:val="24"/>
        </w:rPr>
      </w:pPr>
      <w:r>
        <w:rPr>
          <w:rFonts w:hint="eastAsia"/>
          <w:sz w:val="24"/>
        </w:rPr>
        <w:t>a、采暖期烟气量：</w:t>
      </w:r>
    </w:p>
    <w:p>
      <w:pPr>
        <w:pStyle w:val="149"/>
        <w:ind w:firstLine="480"/>
        <w:rPr>
          <w:sz w:val="24"/>
        </w:rPr>
      </w:pPr>
      <w:r>
        <w:rPr>
          <w:rFonts w:hint="eastAsia"/>
          <w:sz w:val="24"/>
        </w:rPr>
        <w:t>1#锅炉：9.98</w:t>
      </w:r>
      <w:r>
        <w:rPr>
          <w:sz w:val="24"/>
        </w:rPr>
        <w:t>m</w:t>
      </w:r>
      <w:r>
        <w:rPr>
          <w:sz w:val="24"/>
          <w:vertAlign w:val="superscript"/>
        </w:rPr>
        <w:t>3</w:t>
      </w:r>
      <w:r>
        <w:rPr>
          <w:sz w:val="24"/>
        </w:rPr>
        <w:t>/m</w:t>
      </w:r>
      <w:r>
        <w:rPr>
          <w:sz w:val="24"/>
          <w:vertAlign w:val="superscript"/>
        </w:rPr>
        <w:t>3</w:t>
      </w:r>
      <w:r>
        <w:rPr>
          <w:sz w:val="24"/>
        </w:rPr>
        <w:t>×</w:t>
      </w:r>
      <w:r>
        <w:rPr>
          <w:rFonts w:hint="eastAsia"/>
          <w:sz w:val="24"/>
        </w:rPr>
        <w:t>157.44</w:t>
      </w:r>
      <w:r>
        <w:rPr>
          <w:sz w:val="24"/>
        </w:rPr>
        <w:t>×10</w:t>
      </w:r>
      <w:r>
        <w:rPr>
          <w:sz w:val="24"/>
          <w:vertAlign w:val="superscript"/>
        </w:rPr>
        <w:t>4</w:t>
      </w:r>
      <w:r>
        <w:rPr>
          <w:sz w:val="24"/>
        </w:rPr>
        <w:t>m</w:t>
      </w:r>
      <w:r>
        <w:rPr>
          <w:sz w:val="24"/>
          <w:vertAlign w:val="superscript"/>
        </w:rPr>
        <w:t>3</w:t>
      </w:r>
      <w:r>
        <w:rPr>
          <w:sz w:val="24"/>
        </w:rPr>
        <w:t>/a =</w:t>
      </w:r>
      <w:r>
        <w:rPr>
          <w:rFonts w:hint="eastAsia"/>
          <w:sz w:val="24"/>
        </w:rPr>
        <w:t>1571.25</w:t>
      </w:r>
      <w:r>
        <w:rPr>
          <w:sz w:val="24"/>
        </w:rPr>
        <w:t>×10</w:t>
      </w:r>
      <w:r>
        <w:rPr>
          <w:sz w:val="24"/>
          <w:vertAlign w:val="superscript"/>
        </w:rPr>
        <w:t>4</w:t>
      </w:r>
      <w:r>
        <w:rPr>
          <w:sz w:val="24"/>
        </w:rPr>
        <w:t>m</w:t>
      </w:r>
      <w:r>
        <w:rPr>
          <w:sz w:val="24"/>
          <w:vertAlign w:val="superscript"/>
        </w:rPr>
        <w:t>3</w:t>
      </w:r>
      <w:r>
        <w:rPr>
          <w:sz w:val="24"/>
        </w:rPr>
        <w:t>/a</w:t>
      </w:r>
    </w:p>
    <w:p>
      <w:pPr>
        <w:pStyle w:val="149"/>
        <w:ind w:firstLine="480"/>
        <w:rPr>
          <w:sz w:val="24"/>
        </w:rPr>
      </w:pPr>
      <w:r>
        <w:rPr>
          <w:rFonts w:hint="eastAsia"/>
          <w:sz w:val="24"/>
        </w:rPr>
        <w:t>2#锅炉：9.98</w:t>
      </w:r>
      <w:r>
        <w:rPr>
          <w:sz w:val="24"/>
        </w:rPr>
        <w:t>m</w:t>
      </w:r>
      <w:r>
        <w:rPr>
          <w:sz w:val="24"/>
          <w:vertAlign w:val="superscript"/>
        </w:rPr>
        <w:t>3</w:t>
      </w:r>
      <w:r>
        <w:rPr>
          <w:sz w:val="24"/>
        </w:rPr>
        <w:t>/m</w:t>
      </w:r>
      <w:r>
        <w:rPr>
          <w:sz w:val="24"/>
          <w:vertAlign w:val="superscript"/>
        </w:rPr>
        <w:t>3</w:t>
      </w:r>
      <w:r>
        <w:rPr>
          <w:sz w:val="24"/>
        </w:rPr>
        <w:t>×</w:t>
      </w:r>
      <w:r>
        <w:rPr>
          <w:rFonts w:hint="eastAsia"/>
          <w:sz w:val="24"/>
        </w:rPr>
        <w:t>157.44</w:t>
      </w:r>
      <w:r>
        <w:rPr>
          <w:sz w:val="24"/>
        </w:rPr>
        <w:t>×10</w:t>
      </w:r>
      <w:r>
        <w:rPr>
          <w:sz w:val="24"/>
          <w:vertAlign w:val="superscript"/>
        </w:rPr>
        <w:t>4</w:t>
      </w:r>
      <w:r>
        <w:rPr>
          <w:sz w:val="24"/>
        </w:rPr>
        <w:t>m</w:t>
      </w:r>
      <w:r>
        <w:rPr>
          <w:sz w:val="24"/>
          <w:vertAlign w:val="superscript"/>
        </w:rPr>
        <w:t>3</w:t>
      </w:r>
      <w:r>
        <w:rPr>
          <w:sz w:val="24"/>
        </w:rPr>
        <w:t>/a =</w:t>
      </w:r>
      <w:r>
        <w:rPr>
          <w:rFonts w:hint="eastAsia"/>
          <w:sz w:val="24"/>
        </w:rPr>
        <w:t>1571.25</w:t>
      </w:r>
      <w:r>
        <w:rPr>
          <w:sz w:val="24"/>
        </w:rPr>
        <w:t>×10</w:t>
      </w:r>
      <w:r>
        <w:rPr>
          <w:sz w:val="24"/>
          <w:vertAlign w:val="superscript"/>
        </w:rPr>
        <w:t>4</w:t>
      </w:r>
      <w:r>
        <w:rPr>
          <w:sz w:val="24"/>
        </w:rPr>
        <w:t>m</w:t>
      </w:r>
      <w:r>
        <w:rPr>
          <w:sz w:val="24"/>
          <w:vertAlign w:val="superscript"/>
        </w:rPr>
        <w:t>3</w:t>
      </w:r>
      <w:r>
        <w:rPr>
          <w:sz w:val="24"/>
        </w:rPr>
        <w:t>/a</w:t>
      </w:r>
    </w:p>
    <w:p>
      <w:pPr>
        <w:pStyle w:val="149"/>
        <w:ind w:firstLine="480"/>
        <w:rPr>
          <w:sz w:val="24"/>
        </w:rPr>
      </w:pPr>
      <w:r>
        <w:rPr>
          <w:rFonts w:hint="eastAsia"/>
          <w:sz w:val="24"/>
        </w:rPr>
        <w:t>b、非采暖期烟气量</w:t>
      </w:r>
    </w:p>
    <w:p>
      <w:pPr>
        <w:pStyle w:val="149"/>
        <w:ind w:firstLine="480"/>
        <w:rPr>
          <w:sz w:val="24"/>
        </w:rPr>
      </w:pPr>
      <w:r>
        <w:rPr>
          <w:rFonts w:hint="eastAsia"/>
          <w:sz w:val="24"/>
        </w:rPr>
        <w:t>1#锅炉：9.98</w:t>
      </w:r>
      <w:r>
        <w:rPr>
          <w:sz w:val="24"/>
        </w:rPr>
        <w:t>m</w:t>
      </w:r>
      <w:r>
        <w:rPr>
          <w:sz w:val="24"/>
          <w:vertAlign w:val="superscript"/>
        </w:rPr>
        <w:t>3</w:t>
      </w:r>
      <w:r>
        <w:rPr>
          <w:sz w:val="24"/>
        </w:rPr>
        <w:t>/m</w:t>
      </w:r>
      <w:r>
        <w:rPr>
          <w:sz w:val="24"/>
          <w:vertAlign w:val="superscript"/>
        </w:rPr>
        <w:t>3</w:t>
      </w:r>
      <w:r>
        <w:rPr>
          <w:sz w:val="24"/>
        </w:rPr>
        <w:t>×</w:t>
      </w:r>
      <w:r>
        <w:rPr>
          <w:rFonts w:hint="eastAsia"/>
          <w:sz w:val="24"/>
        </w:rPr>
        <w:t>94.56</w:t>
      </w:r>
      <w:r>
        <w:rPr>
          <w:sz w:val="24"/>
        </w:rPr>
        <w:t>×10</w:t>
      </w:r>
      <w:r>
        <w:rPr>
          <w:sz w:val="24"/>
          <w:vertAlign w:val="superscript"/>
        </w:rPr>
        <w:t>4</w:t>
      </w:r>
      <w:r>
        <w:rPr>
          <w:sz w:val="24"/>
        </w:rPr>
        <w:t>m</w:t>
      </w:r>
      <w:r>
        <w:rPr>
          <w:sz w:val="24"/>
          <w:vertAlign w:val="superscript"/>
        </w:rPr>
        <w:t>3</w:t>
      </w:r>
      <w:r>
        <w:rPr>
          <w:sz w:val="24"/>
        </w:rPr>
        <w:t>/a =</w:t>
      </w:r>
      <w:r>
        <w:rPr>
          <w:rFonts w:hint="eastAsia"/>
          <w:sz w:val="24"/>
        </w:rPr>
        <w:t>943.71</w:t>
      </w:r>
      <w:r>
        <w:rPr>
          <w:sz w:val="24"/>
        </w:rPr>
        <w:t>×10</w:t>
      </w:r>
      <w:r>
        <w:rPr>
          <w:sz w:val="24"/>
          <w:vertAlign w:val="superscript"/>
        </w:rPr>
        <w:t>4</w:t>
      </w:r>
      <w:r>
        <w:rPr>
          <w:sz w:val="24"/>
        </w:rPr>
        <w:t>m</w:t>
      </w:r>
      <w:r>
        <w:rPr>
          <w:sz w:val="24"/>
          <w:vertAlign w:val="superscript"/>
        </w:rPr>
        <w:t>3</w:t>
      </w:r>
      <w:r>
        <w:rPr>
          <w:sz w:val="24"/>
        </w:rPr>
        <w:t>/a</w:t>
      </w:r>
    </w:p>
    <w:p>
      <w:pPr>
        <w:pStyle w:val="149"/>
        <w:ind w:firstLine="480"/>
        <w:rPr>
          <w:sz w:val="24"/>
        </w:rPr>
      </w:pPr>
      <w:r>
        <w:rPr>
          <w:rFonts w:hint="eastAsia" w:ascii="宋体" w:hAnsi="宋体" w:cs="宋体"/>
          <w:sz w:val="24"/>
        </w:rPr>
        <w:t>②烟尘（</w:t>
      </w:r>
      <w:r>
        <w:rPr>
          <w:rFonts w:hint="eastAsia"/>
          <w:sz w:val="24"/>
        </w:rPr>
        <w:t>颗粒物</w:t>
      </w:r>
      <w:r>
        <w:rPr>
          <w:rFonts w:hint="eastAsia" w:ascii="宋体" w:hAnsi="宋体" w:cs="宋体"/>
          <w:sz w:val="24"/>
        </w:rPr>
        <w:t>）</w:t>
      </w:r>
      <w:r>
        <w:rPr>
          <w:rFonts w:hint="eastAsia"/>
          <w:sz w:val="24"/>
        </w:rPr>
        <w:t>计算</w:t>
      </w:r>
    </w:p>
    <w:p>
      <w:pPr>
        <w:pStyle w:val="149"/>
        <w:ind w:firstLine="480"/>
        <w:rPr>
          <w:sz w:val="24"/>
        </w:rPr>
      </w:pPr>
      <w:r>
        <w:rPr>
          <w:rFonts w:hint="eastAsia"/>
          <w:sz w:val="24"/>
        </w:rPr>
        <w:t>a、采暖期颗粒物产生量：</w:t>
      </w:r>
    </w:p>
    <w:p>
      <w:pPr>
        <w:pStyle w:val="149"/>
        <w:ind w:firstLine="480"/>
        <w:rPr>
          <w:sz w:val="24"/>
        </w:rPr>
      </w:pPr>
      <w:r>
        <w:rPr>
          <w:rFonts w:hint="eastAsia"/>
          <w:sz w:val="24"/>
        </w:rPr>
        <w:t>1#锅炉：</w:t>
      </w:r>
      <w:r>
        <w:rPr>
          <w:sz w:val="24"/>
        </w:rPr>
        <w:t>5mg/m</w:t>
      </w:r>
      <w:r>
        <w:rPr>
          <w:sz w:val="24"/>
          <w:vertAlign w:val="superscript"/>
        </w:rPr>
        <w:t>3</w:t>
      </w:r>
      <w:r>
        <w:rPr>
          <w:sz w:val="24"/>
        </w:rPr>
        <w:t>×</w:t>
      </w:r>
      <w:r>
        <w:rPr>
          <w:rFonts w:hint="eastAsia"/>
          <w:sz w:val="24"/>
        </w:rPr>
        <w:t>1571.25</w:t>
      </w:r>
      <w:r>
        <w:rPr>
          <w:sz w:val="24"/>
        </w:rPr>
        <w:t>×10</w:t>
      </w:r>
      <w:r>
        <w:rPr>
          <w:sz w:val="24"/>
          <w:vertAlign w:val="superscript"/>
        </w:rPr>
        <w:t>4</w:t>
      </w:r>
      <w:r>
        <w:rPr>
          <w:sz w:val="24"/>
        </w:rPr>
        <w:t>m</w:t>
      </w:r>
      <w:r>
        <w:rPr>
          <w:sz w:val="24"/>
          <w:vertAlign w:val="superscript"/>
        </w:rPr>
        <w:t>3</w:t>
      </w:r>
      <w:r>
        <w:rPr>
          <w:sz w:val="24"/>
        </w:rPr>
        <w:t>/a÷10</w:t>
      </w:r>
      <w:r>
        <w:rPr>
          <w:sz w:val="24"/>
          <w:vertAlign w:val="superscript"/>
        </w:rPr>
        <w:t>9</w:t>
      </w:r>
      <w:r>
        <w:rPr>
          <w:sz w:val="24"/>
        </w:rPr>
        <w:t>mg/t=0.0</w:t>
      </w:r>
      <w:r>
        <w:rPr>
          <w:rFonts w:hint="eastAsia"/>
          <w:sz w:val="24"/>
        </w:rPr>
        <w:t>79</w:t>
      </w:r>
      <w:r>
        <w:rPr>
          <w:sz w:val="24"/>
        </w:rPr>
        <w:t>t/a</w:t>
      </w:r>
    </w:p>
    <w:p>
      <w:pPr>
        <w:pStyle w:val="149"/>
        <w:ind w:firstLine="480"/>
        <w:rPr>
          <w:sz w:val="24"/>
        </w:rPr>
      </w:pPr>
      <w:r>
        <w:rPr>
          <w:rFonts w:hint="eastAsia"/>
          <w:sz w:val="24"/>
        </w:rPr>
        <w:t>2#锅炉：</w:t>
      </w:r>
      <w:r>
        <w:rPr>
          <w:sz w:val="24"/>
        </w:rPr>
        <w:t>5mg/m</w:t>
      </w:r>
      <w:r>
        <w:rPr>
          <w:sz w:val="24"/>
          <w:vertAlign w:val="superscript"/>
        </w:rPr>
        <w:t>3</w:t>
      </w:r>
      <w:r>
        <w:rPr>
          <w:sz w:val="24"/>
        </w:rPr>
        <w:t>×</w:t>
      </w:r>
      <w:r>
        <w:rPr>
          <w:rFonts w:hint="eastAsia"/>
          <w:sz w:val="24"/>
        </w:rPr>
        <w:t>1571.25</w:t>
      </w:r>
      <w:r>
        <w:rPr>
          <w:sz w:val="24"/>
        </w:rPr>
        <w:t>×10</w:t>
      </w:r>
      <w:r>
        <w:rPr>
          <w:sz w:val="24"/>
          <w:vertAlign w:val="superscript"/>
        </w:rPr>
        <w:t>4</w:t>
      </w:r>
      <w:r>
        <w:rPr>
          <w:sz w:val="24"/>
        </w:rPr>
        <w:t>m</w:t>
      </w:r>
      <w:r>
        <w:rPr>
          <w:sz w:val="24"/>
          <w:vertAlign w:val="superscript"/>
        </w:rPr>
        <w:t>3</w:t>
      </w:r>
      <w:r>
        <w:rPr>
          <w:sz w:val="24"/>
        </w:rPr>
        <w:t>/a÷10</w:t>
      </w:r>
      <w:r>
        <w:rPr>
          <w:sz w:val="24"/>
          <w:vertAlign w:val="superscript"/>
        </w:rPr>
        <w:t>9</w:t>
      </w:r>
      <w:r>
        <w:rPr>
          <w:sz w:val="24"/>
        </w:rPr>
        <w:t>mg/t=0.0</w:t>
      </w:r>
      <w:r>
        <w:rPr>
          <w:rFonts w:hint="eastAsia"/>
          <w:sz w:val="24"/>
        </w:rPr>
        <w:t>79</w:t>
      </w:r>
      <w:r>
        <w:rPr>
          <w:sz w:val="24"/>
        </w:rPr>
        <w:t>t/a</w:t>
      </w:r>
    </w:p>
    <w:p>
      <w:pPr>
        <w:pStyle w:val="149"/>
        <w:ind w:firstLine="480"/>
        <w:rPr>
          <w:sz w:val="24"/>
        </w:rPr>
      </w:pPr>
      <w:r>
        <w:rPr>
          <w:rFonts w:hint="eastAsia"/>
          <w:sz w:val="24"/>
        </w:rPr>
        <w:t>b、非采暖期颗粒物产生量：</w:t>
      </w:r>
    </w:p>
    <w:p>
      <w:pPr>
        <w:pStyle w:val="149"/>
        <w:ind w:firstLine="480"/>
        <w:rPr>
          <w:sz w:val="24"/>
        </w:rPr>
      </w:pPr>
      <w:r>
        <w:rPr>
          <w:rFonts w:hint="eastAsia"/>
          <w:sz w:val="24"/>
        </w:rPr>
        <w:t>1#锅炉：</w:t>
      </w:r>
      <w:r>
        <w:rPr>
          <w:sz w:val="24"/>
        </w:rPr>
        <w:t>5mg/m</w:t>
      </w:r>
      <w:r>
        <w:rPr>
          <w:sz w:val="24"/>
          <w:vertAlign w:val="superscript"/>
        </w:rPr>
        <w:t>3</w:t>
      </w:r>
      <w:r>
        <w:rPr>
          <w:sz w:val="24"/>
        </w:rPr>
        <w:t>×</w:t>
      </w:r>
      <w:r>
        <w:rPr>
          <w:rFonts w:hint="eastAsia"/>
          <w:sz w:val="24"/>
        </w:rPr>
        <w:t>943.71</w:t>
      </w:r>
      <w:r>
        <w:rPr>
          <w:sz w:val="24"/>
        </w:rPr>
        <w:t>×10</w:t>
      </w:r>
      <w:r>
        <w:rPr>
          <w:sz w:val="24"/>
          <w:vertAlign w:val="superscript"/>
        </w:rPr>
        <w:t>4</w:t>
      </w:r>
      <w:r>
        <w:rPr>
          <w:sz w:val="24"/>
        </w:rPr>
        <w:t>m</w:t>
      </w:r>
      <w:r>
        <w:rPr>
          <w:sz w:val="24"/>
          <w:vertAlign w:val="superscript"/>
        </w:rPr>
        <w:t>3</w:t>
      </w:r>
      <w:r>
        <w:rPr>
          <w:sz w:val="24"/>
        </w:rPr>
        <w:t>/a÷10</w:t>
      </w:r>
      <w:r>
        <w:rPr>
          <w:sz w:val="24"/>
          <w:vertAlign w:val="superscript"/>
        </w:rPr>
        <w:t>9</w:t>
      </w:r>
      <w:r>
        <w:rPr>
          <w:sz w:val="24"/>
        </w:rPr>
        <w:t>mg/t=0.0</w:t>
      </w:r>
      <w:r>
        <w:rPr>
          <w:rFonts w:hint="eastAsia"/>
          <w:sz w:val="24"/>
        </w:rPr>
        <w:t>47</w:t>
      </w:r>
      <w:r>
        <w:rPr>
          <w:sz w:val="24"/>
        </w:rPr>
        <w:t>t/a</w:t>
      </w:r>
    </w:p>
    <w:p>
      <w:pPr>
        <w:pStyle w:val="149"/>
        <w:ind w:firstLine="480"/>
        <w:rPr>
          <w:sz w:val="24"/>
        </w:rPr>
      </w:pPr>
      <w:r>
        <w:rPr>
          <w:rFonts w:hint="eastAsia" w:ascii="宋体" w:hAnsi="宋体" w:cs="宋体"/>
          <w:sz w:val="24"/>
        </w:rPr>
        <w:t>③</w:t>
      </w:r>
      <w:r>
        <w:rPr>
          <w:rFonts w:hint="eastAsia"/>
          <w:sz w:val="24"/>
        </w:rPr>
        <w:t>二氧化硫计算</w:t>
      </w:r>
    </w:p>
    <w:p>
      <w:pPr>
        <w:pStyle w:val="149"/>
        <w:ind w:firstLine="480"/>
        <w:rPr>
          <w:sz w:val="24"/>
        </w:rPr>
      </w:pPr>
      <w:r>
        <w:rPr>
          <w:rFonts w:hint="eastAsia"/>
          <w:sz w:val="24"/>
        </w:rPr>
        <w:t>a、采暖期二氧化硫产生量：</w:t>
      </w:r>
    </w:p>
    <w:p>
      <w:pPr>
        <w:pStyle w:val="149"/>
        <w:ind w:firstLine="480"/>
        <w:rPr>
          <w:sz w:val="24"/>
        </w:rPr>
      </w:pPr>
      <w:r>
        <w:rPr>
          <w:rFonts w:hint="eastAsia"/>
          <w:sz w:val="24"/>
        </w:rPr>
        <w:t>1#锅炉：3</w:t>
      </w:r>
      <w:r>
        <w:rPr>
          <w:sz w:val="24"/>
        </w:rPr>
        <w:t>5mg/m</w:t>
      </w:r>
      <w:r>
        <w:rPr>
          <w:sz w:val="24"/>
          <w:vertAlign w:val="superscript"/>
        </w:rPr>
        <w:t>3</w:t>
      </w:r>
      <w:r>
        <w:rPr>
          <w:sz w:val="24"/>
        </w:rPr>
        <w:t>×</w:t>
      </w:r>
      <w:r>
        <w:rPr>
          <w:rFonts w:hint="eastAsia"/>
          <w:sz w:val="24"/>
        </w:rPr>
        <w:t>1571.25</w:t>
      </w:r>
      <w:r>
        <w:rPr>
          <w:sz w:val="24"/>
        </w:rPr>
        <w:t>×10</w:t>
      </w:r>
      <w:r>
        <w:rPr>
          <w:sz w:val="24"/>
          <w:vertAlign w:val="superscript"/>
        </w:rPr>
        <w:t>4</w:t>
      </w:r>
      <w:r>
        <w:rPr>
          <w:sz w:val="24"/>
        </w:rPr>
        <w:t>m</w:t>
      </w:r>
      <w:r>
        <w:rPr>
          <w:sz w:val="24"/>
          <w:vertAlign w:val="superscript"/>
        </w:rPr>
        <w:t>3</w:t>
      </w:r>
      <w:r>
        <w:rPr>
          <w:sz w:val="24"/>
        </w:rPr>
        <w:t>/a÷10</w:t>
      </w:r>
      <w:r>
        <w:rPr>
          <w:sz w:val="24"/>
          <w:vertAlign w:val="superscript"/>
        </w:rPr>
        <w:t>9</w:t>
      </w:r>
      <w:r>
        <w:rPr>
          <w:sz w:val="24"/>
        </w:rPr>
        <w:t>mg/t=0.</w:t>
      </w:r>
      <w:r>
        <w:rPr>
          <w:rFonts w:hint="eastAsia"/>
          <w:sz w:val="24"/>
        </w:rPr>
        <w:t>55</w:t>
      </w:r>
      <w:r>
        <w:rPr>
          <w:sz w:val="24"/>
        </w:rPr>
        <w:t>t/a</w:t>
      </w:r>
    </w:p>
    <w:p>
      <w:pPr>
        <w:pStyle w:val="149"/>
        <w:ind w:firstLine="480"/>
        <w:rPr>
          <w:sz w:val="24"/>
        </w:rPr>
      </w:pPr>
      <w:r>
        <w:rPr>
          <w:rFonts w:hint="eastAsia"/>
          <w:sz w:val="24"/>
        </w:rPr>
        <w:t>2#锅炉：3</w:t>
      </w:r>
      <w:r>
        <w:rPr>
          <w:sz w:val="24"/>
        </w:rPr>
        <w:t>5mg/m</w:t>
      </w:r>
      <w:r>
        <w:rPr>
          <w:sz w:val="24"/>
          <w:vertAlign w:val="superscript"/>
        </w:rPr>
        <w:t>3</w:t>
      </w:r>
      <w:r>
        <w:rPr>
          <w:sz w:val="24"/>
        </w:rPr>
        <w:t>×</w:t>
      </w:r>
      <w:r>
        <w:rPr>
          <w:rFonts w:hint="eastAsia"/>
          <w:sz w:val="24"/>
        </w:rPr>
        <w:t>1571.25</w:t>
      </w:r>
      <w:r>
        <w:rPr>
          <w:sz w:val="24"/>
        </w:rPr>
        <w:t>×10</w:t>
      </w:r>
      <w:r>
        <w:rPr>
          <w:sz w:val="24"/>
          <w:vertAlign w:val="superscript"/>
        </w:rPr>
        <w:t>4</w:t>
      </w:r>
      <w:r>
        <w:rPr>
          <w:sz w:val="24"/>
        </w:rPr>
        <w:t>m</w:t>
      </w:r>
      <w:r>
        <w:rPr>
          <w:sz w:val="24"/>
          <w:vertAlign w:val="superscript"/>
        </w:rPr>
        <w:t>3</w:t>
      </w:r>
      <w:r>
        <w:rPr>
          <w:sz w:val="24"/>
        </w:rPr>
        <w:t>/a÷10</w:t>
      </w:r>
      <w:r>
        <w:rPr>
          <w:sz w:val="24"/>
          <w:vertAlign w:val="superscript"/>
        </w:rPr>
        <w:t>9</w:t>
      </w:r>
      <w:r>
        <w:rPr>
          <w:sz w:val="24"/>
        </w:rPr>
        <w:t>mg/t=0.</w:t>
      </w:r>
      <w:r>
        <w:rPr>
          <w:rFonts w:hint="eastAsia"/>
          <w:sz w:val="24"/>
        </w:rPr>
        <w:t>55</w:t>
      </w:r>
      <w:r>
        <w:rPr>
          <w:sz w:val="24"/>
        </w:rPr>
        <w:t>t/a</w:t>
      </w:r>
    </w:p>
    <w:p>
      <w:pPr>
        <w:pStyle w:val="149"/>
        <w:ind w:firstLine="480"/>
        <w:rPr>
          <w:sz w:val="24"/>
        </w:rPr>
      </w:pPr>
      <w:r>
        <w:rPr>
          <w:rFonts w:hint="eastAsia"/>
          <w:sz w:val="24"/>
        </w:rPr>
        <w:t>b、非采暖期二氧化硫产生量：</w:t>
      </w:r>
    </w:p>
    <w:p>
      <w:pPr>
        <w:pStyle w:val="149"/>
        <w:ind w:firstLine="480"/>
        <w:rPr>
          <w:sz w:val="24"/>
        </w:rPr>
      </w:pPr>
      <w:r>
        <w:rPr>
          <w:rFonts w:hint="eastAsia"/>
          <w:sz w:val="24"/>
        </w:rPr>
        <w:t>1#锅炉：3</w:t>
      </w:r>
      <w:r>
        <w:rPr>
          <w:sz w:val="24"/>
        </w:rPr>
        <w:t>5mg/m</w:t>
      </w:r>
      <w:r>
        <w:rPr>
          <w:sz w:val="24"/>
          <w:vertAlign w:val="superscript"/>
        </w:rPr>
        <w:t>3</w:t>
      </w:r>
      <w:r>
        <w:rPr>
          <w:sz w:val="24"/>
        </w:rPr>
        <w:t>×</w:t>
      </w:r>
      <w:r>
        <w:rPr>
          <w:rFonts w:hint="eastAsia"/>
          <w:sz w:val="24"/>
        </w:rPr>
        <w:t>943.71</w:t>
      </w:r>
      <w:r>
        <w:rPr>
          <w:sz w:val="24"/>
        </w:rPr>
        <w:t>×10</w:t>
      </w:r>
      <w:r>
        <w:rPr>
          <w:sz w:val="24"/>
          <w:vertAlign w:val="superscript"/>
        </w:rPr>
        <w:t>4</w:t>
      </w:r>
      <w:r>
        <w:rPr>
          <w:sz w:val="24"/>
        </w:rPr>
        <w:t>m</w:t>
      </w:r>
      <w:r>
        <w:rPr>
          <w:sz w:val="24"/>
          <w:vertAlign w:val="superscript"/>
        </w:rPr>
        <w:t>3</w:t>
      </w:r>
      <w:r>
        <w:rPr>
          <w:sz w:val="24"/>
        </w:rPr>
        <w:t>/a÷10</w:t>
      </w:r>
      <w:r>
        <w:rPr>
          <w:sz w:val="24"/>
          <w:vertAlign w:val="superscript"/>
        </w:rPr>
        <w:t>9</w:t>
      </w:r>
      <w:r>
        <w:rPr>
          <w:sz w:val="24"/>
        </w:rPr>
        <w:t>mg/t=0.</w:t>
      </w:r>
      <w:r>
        <w:rPr>
          <w:rFonts w:hint="eastAsia"/>
          <w:sz w:val="24"/>
        </w:rPr>
        <w:t>33</w:t>
      </w:r>
      <w:r>
        <w:rPr>
          <w:sz w:val="24"/>
        </w:rPr>
        <w:t>t/a</w:t>
      </w:r>
    </w:p>
    <w:p>
      <w:pPr>
        <w:pStyle w:val="149"/>
        <w:ind w:firstLine="480"/>
        <w:rPr>
          <w:sz w:val="24"/>
        </w:rPr>
      </w:pPr>
      <w:r>
        <w:rPr>
          <w:rFonts w:hint="eastAsia" w:ascii="宋体" w:hAnsi="宋体" w:cs="宋体"/>
          <w:sz w:val="24"/>
        </w:rPr>
        <w:t>④</w:t>
      </w:r>
      <w:r>
        <w:rPr>
          <w:rFonts w:hint="eastAsia"/>
          <w:sz w:val="24"/>
        </w:rPr>
        <w:t>氮氧化物计算</w:t>
      </w:r>
    </w:p>
    <w:p>
      <w:pPr>
        <w:pStyle w:val="149"/>
        <w:ind w:firstLine="480"/>
        <w:rPr>
          <w:sz w:val="24"/>
        </w:rPr>
      </w:pPr>
      <w:r>
        <w:rPr>
          <w:rFonts w:hint="eastAsia"/>
          <w:sz w:val="24"/>
        </w:rPr>
        <w:t>a、采暖期二氧化硫产生量：</w:t>
      </w:r>
    </w:p>
    <w:p>
      <w:pPr>
        <w:pStyle w:val="149"/>
        <w:ind w:firstLine="480"/>
        <w:rPr>
          <w:sz w:val="24"/>
        </w:rPr>
      </w:pPr>
      <w:r>
        <w:rPr>
          <w:rFonts w:hint="eastAsia"/>
          <w:sz w:val="24"/>
        </w:rPr>
        <w:t>1#锅炉：50</w:t>
      </w:r>
      <w:r>
        <w:rPr>
          <w:sz w:val="24"/>
        </w:rPr>
        <w:t>mg/m</w:t>
      </w:r>
      <w:r>
        <w:rPr>
          <w:sz w:val="24"/>
          <w:vertAlign w:val="superscript"/>
        </w:rPr>
        <w:t>3</w:t>
      </w:r>
      <w:r>
        <w:rPr>
          <w:sz w:val="24"/>
        </w:rPr>
        <w:t>×</w:t>
      </w:r>
      <w:r>
        <w:rPr>
          <w:rFonts w:hint="eastAsia"/>
          <w:sz w:val="24"/>
        </w:rPr>
        <w:t>1571.25</w:t>
      </w:r>
      <w:r>
        <w:rPr>
          <w:sz w:val="24"/>
        </w:rPr>
        <w:t>×10</w:t>
      </w:r>
      <w:r>
        <w:rPr>
          <w:sz w:val="24"/>
          <w:vertAlign w:val="superscript"/>
        </w:rPr>
        <w:t>4</w:t>
      </w:r>
      <w:r>
        <w:rPr>
          <w:sz w:val="24"/>
        </w:rPr>
        <w:t>m</w:t>
      </w:r>
      <w:r>
        <w:rPr>
          <w:sz w:val="24"/>
          <w:vertAlign w:val="superscript"/>
        </w:rPr>
        <w:t>3</w:t>
      </w:r>
      <w:r>
        <w:rPr>
          <w:sz w:val="24"/>
        </w:rPr>
        <w:t>/a÷10</w:t>
      </w:r>
      <w:r>
        <w:rPr>
          <w:sz w:val="24"/>
          <w:vertAlign w:val="superscript"/>
        </w:rPr>
        <w:t>9</w:t>
      </w:r>
      <w:r>
        <w:rPr>
          <w:sz w:val="24"/>
        </w:rPr>
        <w:t>mg/t=0.</w:t>
      </w:r>
      <w:r>
        <w:rPr>
          <w:rFonts w:hint="eastAsia"/>
          <w:sz w:val="24"/>
        </w:rPr>
        <w:t>79</w:t>
      </w:r>
      <w:r>
        <w:rPr>
          <w:sz w:val="24"/>
        </w:rPr>
        <w:t>t/a</w:t>
      </w:r>
    </w:p>
    <w:p>
      <w:pPr>
        <w:pStyle w:val="149"/>
        <w:ind w:firstLine="480"/>
        <w:rPr>
          <w:sz w:val="24"/>
        </w:rPr>
      </w:pPr>
      <w:r>
        <w:rPr>
          <w:rFonts w:hint="eastAsia"/>
          <w:sz w:val="24"/>
        </w:rPr>
        <w:t>2#锅炉：50</w:t>
      </w:r>
      <w:r>
        <w:rPr>
          <w:sz w:val="24"/>
        </w:rPr>
        <w:t>mg/m</w:t>
      </w:r>
      <w:r>
        <w:rPr>
          <w:sz w:val="24"/>
          <w:vertAlign w:val="superscript"/>
        </w:rPr>
        <w:t>3</w:t>
      </w:r>
      <w:r>
        <w:rPr>
          <w:sz w:val="24"/>
        </w:rPr>
        <w:t>×</w:t>
      </w:r>
      <w:r>
        <w:rPr>
          <w:rFonts w:hint="eastAsia"/>
          <w:sz w:val="24"/>
        </w:rPr>
        <w:t>1571.25</w:t>
      </w:r>
      <w:r>
        <w:rPr>
          <w:sz w:val="24"/>
        </w:rPr>
        <w:t>×10</w:t>
      </w:r>
      <w:r>
        <w:rPr>
          <w:sz w:val="24"/>
          <w:vertAlign w:val="superscript"/>
        </w:rPr>
        <w:t>4</w:t>
      </w:r>
      <w:r>
        <w:rPr>
          <w:sz w:val="24"/>
        </w:rPr>
        <w:t>m</w:t>
      </w:r>
      <w:r>
        <w:rPr>
          <w:sz w:val="24"/>
          <w:vertAlign w:val="superscript"/>
        </w:rPr>
        <w:t>3</w:t>
      </w:r>
      <w:r>
        <w:rPr>
          <w:sz w:val="24"/>
        </w:rPr>
        <w:t>/a÷10</w:t>
      </w:r>
      <w:r>
        <w:rPr>
          <w:sz w:val="24"/>
          <w:vertAlign w:val="superscript"/>
        </w:rPr>
        <w:t>9</w:t>
      </w:r>
      <w:r>
        <w:rPr>
          <w:sz w:val="24"/>
        </w:rPr>
        <w:t>mg/t=0.</w:t>
      </w:r>
      <w:r>
        <w:rPr>
          <w:rFonts w:hint="eastAsia"/>
          <w:sz w:val="24"/>
        </w:rPr>
        <w:t>79</w:t>
      </w:r>
      <w:r>
        <w:rPr>
          <w:sz w:val="24"/>
        </w:rPr>
        <w:t>t/a</w:t>
      </w:r>
    </w:p>
    <w:p>
      <w:pPr>
        <w:pStyle w:val="149"/>
        <w:ind w:firstLine="480"/>
        <w:rPr>
          <w:sz w:val="24"/>
        </w:rPr>
      </w:pPr>
      <w:r>
        <w:rPr>
          <w:rFonts w:hint="eastAsia"/>
          <w:sz w:val="24"/>
        </w:rPr>
        <w:t>b、非采暖期二氧化硫产生量：</w:t>
      </w:r>
    </w:p>
    <w:p>
      <w:pPr>
        <w:pStyle w:val="149"/>
        <w:ind w:firstLine="480"/>
        <w:rPr>
          <w:sz w:val="24"/>
        </w:rPr>
      </w:pPr>
      <w:r>
        <w:rPr>
          <w:rFonts w:hint="eastAsia"/>
          <w:sz w:val="24"/>
        </w:rPr>
        <w:t>1#锅炉：50</w:t>
      </w:r>
      <w:r>
        <w:rPr>
          <w:sz w:val="24"/>
        </w:rPr>
        <w:t>mg/m</w:t>
      </w:r>
      <w:r>
        <w:rPr>
          <w:sz w:val="24"/>
          <w:vertAlign w:val="superscript"/>
        </w:rPr>
        <w:t>3</w:t>
      </w:r>
      <w:r>
        <w:rPr>
          <w:sz w:val="24"/>
        </w:rPr>
        <w:t>×</w:t>
      </w:r>
      <w:r>
        <w:rPr>
          <w:rFonts w:hint="eastAsia"/>
          <w:sz w:val="24"/>
        </w:rPr>
        <w:t>943.71</w:t>
      </w:r>
      <w:r>
        <w:rPr>
          <w:sz w:val="24"/>
        </w:rPr>
        <w:t>×10</w:t>
      </w:r>
      <w:r>
        <w:rPr>
          <w:sz w:val="24"/>
          <w:vertAlign w:val="superscript"/>
        </w:rPr>
        <w:t>4</w:t>
      </w:r>
      <w:r>
        <w:rPr>
          <w:sz w:val="24"/>
        </w:rPr>
        <w:t>m</w:t>
      </w:r>
      <w:r>
        <w:rPr>
          <w:sz w:val="24"/>
          <w:vertAlign w:val="superscript"/>
        </w:rPr>
        <w:t>3</w:t>
      </w:r>
      <w:r>
        <w:rPr>
          <w:sz w:val="24"/>
        </w:rPr>
        <w:t>/a÷10</w:t>
      </w:r>
      <w:r>
        <w:rPr>
          <w:sz w:val="24"/>
          <w:vertAlign w:val="superscript"/>
        </w:rPr>
        <w:t>9</w:t>
      </w:r>
      <w:r>
        <w:rPr>
          <w:sz w:val="24"/>
        </w:rPr>
        <w:t>mg/t=0.</w:t>
      </w:r>
      <w:r>
        <w:rPr>
          <w:rFonts w:hint="eastAsia"/>
          <w:sz w:val="24"/>
        </w:rPr>
        <w:t>47</w:t>
      </w:r>
      <w:r>
        <w:rPr>
          <w:sz w:val="24"/>
        </w:rPr>
        <w:t>t/a</w:t>
      </w:r>
    </w:p>
    <w:p>
      <w:pPr>
        <w:spacing w:line="500" w:lineRule="exact"/>
        <w:ind w:firstLine="480" w:firstLineChars="200"/>
        <w:rPr>
          <w:rFonts w:eastAsiaTheme="minorEastAsia"/>
        </w:rPr>
      </w:pPr>
      <w:r>
        <w:rPr>
          <w:rFonts w:hint="eastAsia"/>
          <w:sz w:val="24"/>
        </w:rPr>
        <w:t>综上，变更后锅炉污染物排放情况见表</w:t>
      </w:r>
      <w:r>
        <w:rPr>
          <w:sz w:val="24"/>
        </w:rPr>
        <w:t>3.</w:t>
      </w:r>
      <w:r>
        <w:rPr>
          <w:rFonts w:hint="eastAsia"/>
          <w:sz w:val="24"/>
        </w:rPr>
        <w:t>4</w:t>
      </w:r>
      <w:r>
        <w:rPr>
          <w:sz w:val="24"/>
        </w:rPr>
        <w:t>-2</w:t>
      </w:r>
      <w:r>
        <w:rPr>
          <w:rFonts w:hint="eastAsia"/>
          <w:sz w:val="24"/>
        </w:rPr>
        <w:t>。</w:t>
      </w:r>
    </w:p>
    <w:p>
      <w:pPr>
        <w:pStyle w:val="96"/>
        <w:adjustRightInd/>
        <w:snapToGrid/>
        <w:spacing w:before="120" w:line="360" w:lineRule="auto"/>
        <w:rPr>
          <w:rFonts w:ascii="Times New Roman" w:hAnsi="Times New Roman" w:eastAsia="宋体"/>
        </w:rPr>
      </w:pPr>
      <w:r>
        <w:rPr>
          <w:rFonts w:hint="eastAsia" w:ascii="Times New Roman" w:hAnsi="Times New Roman"/>
        </w:rPr>
        <w:t>表</w:t>
      </w:r>
      <w:r>
        <w:rPr>
          <w:rFonts w:ascii="Times New Roman" w:hAnsi="Times New Roman"/>
        </w:rPr>
        <w:t>3.</w:t>
      </w:r>
      <w:r>
        <w:rPr>
          <w:rFonts w:hint="eastAsia" w:ascii="Times New Roman" w:hAnsi="Times New Roman"/>
        </w:rPr>
        <w:t>4</w:t>
      </w:r>
      <w:r>
        <w:rPr>
          <w:rFonts w:ascii="Times New Roman" w:hAnsi="Times New Roman"/>
        </w:rPr>
        <w:t>-2</w:t>
      </w:r>
      <w:r>
        <w:rPr>
          <w:rFonts w:hint="eastAsia" w:ascii="Times New Roman" w:hAnsi="Times New Roman"/>
        </w:rPr>
        <w:t xml:space="preserve"> 变更后锅炉大气污染物排放情况</w:t>
      </w:r>
    </w:p>
    <w:tbl>
      <w:tblPr>
        <w:tblStyle w:val="24"/>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903"/>
        <w:gridCol w:w="914"/>
        <w:gridCol w:w="1144"/>
        <w:gridCol w:w="951"/>
        <w:gridCol w:w="1188"/>
        <w:gridCol w:w="985"/>
        <w:gridCol w:w="973"/>
        <w:gridCol w:w="870"/>
        <w:gridCol w:w="7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3" w:type="pct"/>
            <w:gridSpan w:val="2"/>
            <w:tcBorders>
              <w:top w:val="single" w:color="auto" w:sz="12" w:space="0"/>
              <w:left w:val="single" w:color="auto" w:sz="12"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污染源</w:t>
            </w:r>
          </w:p>
        </w:tc>
        <w:tc>
          <w:tcPr>
            <w:tcW w:w="497" w:type="pct"/>
            <w:tcBorders>
              <w:top w:val="single" w:color="auto" w:sz="12"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种类</w:t>
            </w:r>
          </w:p>
        </w:tc>
        <w:tc>
          <w:tcPr>
            <w:tcW w:w="622" w:type="pct"/>
            <w:tcBorders>
              <w:top w:val="single" w:color="auto" w:sz="12"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烟气量（</w:t>
            </w:r>
            <w:r>
              <w:rPr>
                <w:sz w:val="18"/>
                <w:szCs w:val="18"/>
              </w:rPr>
              <w:t>m</w:t>
            </w:r>
            <w:r>
              <w:rPr>
                <w:sz w:val="18"/>
                <w:szCs w:val="18"/>
                <w:vertAlign w:val="superscript"/>
              </w:rPr>
              <w:t>3</w:t>
            </w:r>
            <w:r>
              <w:rPr>
                <w:sz w:val="18"/>
                <w:szCs w:val="18"/>
              </w:rPr>
              <w:t>/a</w:t>
            </w:r>
            <w:r>
              <w:rPr>
                <w:rFonts w:hint="eastAsia"/>
                <w:sz w:val="18"/>
                <w:szCs w:val="18"/>
              </w:rPr>
              <w:t>）</w:t>
            </w:r>
          </w:p>
        </w:tc>
        <w:tc>
          <w:tcPr>
            <w:tcW w:w="517" w:type="pct"/>
            <w:tcBorders>
              <w:top w:val="single" w:color="auto" w:sz="12"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环保</w:t>
            </w:r>
          </w:p>
          <w:p>
            <w:pPr>
              <w:spacing w:line="288" w:lineRule="auto"/>
              <w:jc w:val="center"/>
              <w:rPr>
                <w:sz w:val="18"/>
                <w:szCs w:val="18"/>
              </w:rPr>
            </w:pPr>
            <w:r>
              <w:rPr>
                <w:rFonts w:hint="eastAsia"/>
                <w:sz w:val="18"/>
                <w:szCs w:val="18"/>
              </w:rPr>
              <w:t>措施</w:t>
            </w:r>
          </w:p>
        </w:tc>
        <w:tc>
          <w:tcPr>
            <w:tcW w:w="646" w:type="pct"/>
            <w:tcBorders>
              <w:top w:val="single" w:color="auto" w:sz="12"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浓度（</w:t>
            </w:r>
            <w:r>
              <w:rPr>
                <w:sz w:val="18"/>
                <w:szCs w:val="18"/>
              </w:rPr>
              <w:t>mg/Nm</w:t>
            </w:r>
            <w:r>
              <w:rPr>
                <w:sz w:val="18"/>
                <w:szCs w:val="18"/>
                <w:vertAlign w:val="superscript"/>
              </w:rPr>
              <w:t>3</w:t>
            </w:r>
            <w:r>
              <w:rPr>
                <w:rFonts w:hint="eastAsia"/>
                <w:sz w:val="18"/>
                <w:szCs w:val="18"/>
              </w:rPr>
              <w:t>）</w:t>
            </w:r>
          </w:p>
        </w:tc>
        <w:tc>
          <w:tcPr>
            <w:tcW w:w="536" w:type="pct"/>
            <w:tcBorders>
              <w:top w:val="single" w:color="auto" w:sz="12"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排放量（</w:t>
            </w:r>
            <w:r>
              <w:rPr>
                <w:sz w:val="18"/>
                <w:szCs w:val="18"/>
              </w:rPr>
              <w:t>t/a</w:t>
            </w:r>
            <w:r>
              <w:rPr>
                <w:rFonts w:hint="eastAsia"/>
                <w:sz w:val="18"/>
                <w:szCs w:val="18"/>
              </w:rPr>
              <w:t>）</w:t>
            </w:r>
          </w:p>
        </w:tc>
        <w:tc>
          <w:tcPr>
            <w:tcW w:w="529" w:type="pct"/>
            <w:tcBorders>
              <w:top w:val="single" w:color="auto" w:sz="12"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排放速率</w:t>
            </w:r>
          </w:p>
          <w:p>
            <w:pPr>
              <w:pStyle w:val="99"/>
              <w:adjustRightInd/>
              <w:spacing w:line="288" w:lineRule="auto"/>
              <w:jc w:val="center"/>
              <w:rPr>
                <w:rFonts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w:t>
            </w:r>
            <w:r>
              <w:rPr>
                <w:rFonts w:ascii="Times New Roman" w:hAnsi="Times New Roman" w:eastAsia="宋体" w:cs="Times New Roman"/>
                <w:color w:val="auto"/>
                <w:kern w:val="2"/>
                <w:sz w:val="18"/>
                <w:szCs w:val="18"/>
              </w:rPr>
              <w:t>kg/h</w:t>
            </w:r>
            <w:r>
              <w:rPr>
                <w:rFonts w:hint="eastAsia" w:ascii="Times New Roman" w:hAnsi="Times New Roman" w:eastAsia="宋体" w:cs="Times New Roman"/>
                <w:color w:val="auto"/>
                <w:kern w:val="2"/>
                <w:sz w:val="18"/>
                <w:szCs w:val="18"/>
              </w:rPr>
              <w:t>）</w:t>
            </w:r>
          </w:p>
        </w:tc>
        <w:tc>
          <w:tcPr>
            <w:tcW w:w="473" w:type="pct"/>
            <w:tcBorders>
              <w:top w:val="single" w:color="auto" w:sz="12" w:space="0"/>
              <w:left w:val="single" w:color="auto" w:sz="4" w:space="0"/>
              <w:bottom w:val="single" w:color="auto" w:sz="4" w:space="0"/>
              <w:right w:val="single" w:color="auto" w:sz="4" w:space="0"/>
            </w:tcBorders>
            <w:vAlign w:val="center"/>
          </w:tcPr>
          <w:p>
            <w:pPr>
              <w:pStyle w:val="99"/>
              <w:adjustRightInd/>
              <w:spacing w:line="288" w:lineRule="auto"/>
              <w:jc w:val="center"/>
              <w:rPr>
                <w:rFonts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烟气流速（</w:t>
            </w:r>
            <w:r>
              <w:rPr>
                <w:rFonts w:ascii="Times New Roman" w:hAnsi="Times New Roman" w:eastAsia="宋体" w:cs="Times New Roman"/>
                <w:color w:val="auto"/>
                <w:kern w:val="2"/>
                <w:sz w:val="18"/>
                <w:szCs w:val="18"/>
              </w:rPr>
              <w:t>m/s</w:t>
            </w:r>
            <w:r>
              <w:rPr>
                <w:rFonts w:hint="eastAsia" w:ascii="Times New Roman" w:hAnsi="Times New Roman" w:eastAsia="宋体" w:cs="Times New Roman"/>
                <w:color w:val="auto"/>
                <w:kern w:val="2"/>
                <w:sz w:val="18"/>
                <w:szCs w:val="18"/>
              </w:rPr>
              <w:t>）</w:t>
            </w:r>
          </w:p>
        </w:tc>
        <w:tc>
          <w:tcPr>
            <w:tcW w:w="407" w:type="pct"/>
            <w:tcBorders>
              <w:top w:val="single" w:color="auto" w:sz="12" w:space="0"/>
              <w:left w:val="single" w:color="auto" w:sz="4" w:space="0"/>
              <w:bottom w:val="single" w:color="auto" w:sz="4" w:space="0"/>
              <w:right w:val="single" w:color="auto" w:sz="12" w:space="0"/>
            </w:tcBorders>
            <w:vAlign w:val="center"/>
          </w:tcPr>
          <w:p>
            <w:pPr>
              <w:spacing w:line="288" w:lineRule="auto"/>
              <w:jc w:val="center"/>
              <w:rPr>
                <w:sz w:val="18"/>
                <w:szCs w:val="18"/>
              </w:rPr>
            </w:pPr>
            <w:r>
              <w:rPr>
                <w:rFonts w:hint="eastAsia"/>
                <w:sz w:val="18"/>
                <w:szCs w:val="18"/>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vMerge w:val="restart"/>
            <w:tcBorders>
              <w:top w:val="single" w:color="auto" w:sz="4" w:space="0"/>
              <w:left w:val="single" w:color="auto" w:sz="12" w:space="0"/>
              <w:right w:val="single" w:color="auto" w:sz="4" w:space="0"/>
            </w:tcBorders>
            <w:vAlign w:val="center"/>
          </w:tcPr>
          <w:p>
            <w:pPr>
              <w:spacing w:line="288" w:lineRule="auto"/>
              <w:jc w:val="center"/>
              <w:rPr>
                <w:sz w:val="18"/>
                <w:szCs w:val="18"/>
              </w:rPr>
            </w:pPr>
            <w:r>
              <w:rPr>
                <w:rFonts w:hint="eastAsia"/>
                <w:sz w:val="18"/>
                <w:szCs w:val="18"/>
              </w:rPr>
              <w:t>采暖季</w:t>
            </w:r>
          </w:p>
        </w:tc>
        <w:tc>
          <w:tcPr>
            <w:tcW w:w="491" w:type="pct"/>
            <w:vMerge w:val="restart"/>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r>
              <w:rPr>
                <w:rFonts w:hint="eastAsia"/>
                <w:sz w:val="18"/>
                <w:szCs w:val="18"/>
              </w:rPr>
              <w:t>燃气</w:t>
            </w:r>
          </w:p>
          <w:p>
            <w:pPr>
              <w:spacing w:line="288" w:lineRule="auto"/>
              <w:jc w:val="center"/>
              <w:rPr>
                <w:sz w:val="18"/>
                <w:szCs w:val="18"/>
              </w:rPr>
            </w:pPr>
            <w:r>
              <w:rPr>
                <w:rFonts w:hint="eastAsia"/>
                <w:sz w:val="18"/>
                <w:szCs w:val="18"/>
              </w:rPr>
              <w:t>锅炉</w:t>
            </w:r>
            <w:r>
              <w:rPr>
                <w:sz w:val="18"/>
                <w:szCs w:val="18"/>
              </w:rPr>
              <w:t>DA001</w:t>
            </w:r>
          </w:p>
        </w:tc>
        <w:tc>
          <w:tcPr>
            <w:tcW w:w="49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烟尘</w:t>
            </w:r>
          </w:p>
        </w:tc>
        <w:tc>
          <w:tcPr>
            <w:tcW w:w="622" w:type="pct"/>
            <w:vMerge w:val="restart"/>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r>
              <w:rPr>
                <w:rFonts w:hint="eastAsia"/>
                <w:sz w:val="18"/>
                <w:szCs w:val="18"/>
              </w:rPr>
              <w:t>1571.25</w:t>
            </w:r>
            <w:r>
              <w:rPr>
                <w:sz w:val="18"/>
                <w:szCs w:val="18"/>
              </w:rPr>
              <w:t>×10</w:t>
            </w:r>
            <w:r>
              <w:rPr>
                <w:sz w:val="18"/>
                <w:szCs w:val="18"/>
                <w:vertAlign w:val="superscript"/>
              </w:rPr>
              <w:t>4</w:t>
            </w:r>
          </w:p>
        </w:tc>
        <w:tc>
          <w:tcPr>
            <w:tcW w:w="517" w:type="pct"/>
            <w:vMerge w:val="restart"/>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r>
              <w:rPr>
                <w:rFonts w:hint="eastAsia"/>
                <w:sz w:val="18"/>
                <w:szCs w:val="18"/>
              </w:rPr>
              <w:t>低氮燃烧锅炉</w:t>
            </w:r>
          </w:p>
        </w:tc>
        <w:tc>
          <w:tcPr>
            <w:tcW w:w="64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sz w:val="18"/>
                <w:szCs w:val="18"/>
              </w:rPr>
              <w:t>5</w:t>
            </w:r>
          </w:p>
        </w:tc>
        <w:tc>
          <w:tcPr>
            <w:tcW w:w="53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0.079</w:t>
            </w:r>
          </w:p>
        </w:tc>
        <w:tc>
          <w:tcPr>
            <w:tcW w:w="52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0.033</w:t>
            </w:r>
          </w:p>
        </w:tc>
        <w:tc>
          <w:tcPr>
            <w:tcW w:w="473" w:type="pct"/>
            <w:vMerge w:val="restart"/>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r>
              <w:rPr>
                <w:rFonts w:hint="eastAsia"/>
                <w:sz w:val="18"/>
                <w:szCs w:val="18"/>
              </w:rPr>
              <w:t>15.86</w:t>
            </w:r>
          </w:p>
        </w:tc>
        <w:tc>
          <w:tcPr>
            <w:tcW w:w="407" w:type="pct"/>
            <w:vMerge w:val="restart"/>
            <w:tcBorders>
              <w:top w:val="single" w:color="auto" w:sz="4" w:space="0"/>
              <w:left w:val="single" w:color="auto" w:sz="4" w:space="0"/>
              <w:bottom w:val="single" w:color="auto" w:sz="12" w:space="0"/>
              <w:right w:val="single" w:color="auto" w:sz="12" w:space="0"/>
            </w:tcBorders>
            <w:vAlign w:val="center"/>
          </w:tcPr>
          <w:p>
            <w:pPr>
              <w:spacing w:line="288" w:lineRule="auto"/>
              <w:jc w:val="center"/>
              <w:rPr>
                <w:sz w:val="18"/>
                <w:szCs w:val="18"/>
              </w:rPr>
            </w:pPr>
            <w:r>
              <w:rPr>
                <w:sz w:val="18"/>
                <w:szCs w:val="18"/>
              </w:rPr>
              <w:t>H=15</w:t>
            </w:r>
          </w:p>
          <w:p>
            <w:pPr>
              <w:spacing w:line="288" w:lineRule="auto"/>
              <w:jc w:val="center"/>
              <w:rPr>
                <w:sz w:val="18"/>
                <w:szCs w:val="18"/>
              </w:rPr>
            </w:pPr>
            <w:r>
              <w:rPr>
                <w:sz w:val="18"/>
                <w:szCs w:val="18"/>
              </w:rPr>
              <w:t>D=0.</w:t>
            </w:r>
            <w:r>
              <w:rPr>
                <w:rFonts w:hint="eastAsia"/>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vMerge w:val="continue"/>
            <w:tcBorders>
              <w:left w:val="single" w:color="auto" w:sz="12" w:space="0"/>
              <w:right w:val="single" w:color="auto" w:sz="4" w:space="0"/>
            </w:tcBorders>
            <w:vAlign w:val="center"/>
          </w:tcPr>
          <w:p>
            <w:pPr>
              <w:spacing w:line="288" w:lineRule="auto"/>
              <w:jc w:val="center"/>
              <w:rPr>
                <w:sz w:val="18"/>
                <w:szCs w:val="18"/>
              </w:rPr>
            </w:pPr>
          </w:p>
        </w:tc>
        <w:tc>
          <w:tcPr>
            <w:tcW w:w="491" w:type="pct"/>
            <w:vMerge w:val="continue"/>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p>
        </w:tc>
        <w:tc>
          <w:tcPr>
            <w:tcW w:w="49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vertAlign w:val="subscript"/>
              </w:rPr>
            </w:pPr>
            <w:r>
              <w:rPr>
                <w:rFonts w:hint="eastAsia"/>
                <w:sz w:val="18"/>
                <w:szCs w:val="18"/>
              </w:rPr>
              <w:t>SO</w:t>
            </w:r>
            <w:r>
              <w:rPr>
                <w:rFonts w:hint="eastAsia"/>
                <w:sz w:val="18"/>
                <w:szCs w:val="18"/>
                <w:vertAlign w:val="subscript"/>
              </w:rPr>
              <w:t>2</w:t>
            </w:r>
          </w:p>
        </w:tc>
        <w:tc>
          <w:tcPr>
            <w:tcW w:w="622" w:type="pct"/>
            <w:vMerge w:val="continue"/>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p>
        </w:tc>
        <w:tc>
          <w:tcPr>
            <w:tcW w:w="517" w:type="pct"/>
            <w:vMerge w:val="continue"/>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p>
        </w:tc>
        <w:tc>
          <w:tcPr>
            <w:tcW w:w="64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35</w:t>
            </w:r>
          </w:p>
        </w:tc>
        <w:tc>
          <w:tcPr>
            <w:tcW w:w="53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0.55</w:t>
            </w:r>
          </w:p>
        </w:tc>
        <w:tc>
          <w:tcPr>
            <w:tcW w:w="52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0.229</w:t>
            </w:r>
          </w:p>
        </w:tc>
        <w:tc>
          <w:tcPr>
            <w:tcW w:w="473" w:type="pct"/>
            <w:vMerge w:val="continue"/>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p>
        </w:tc>
        <w:tc>
          <w:tcPr>
            <w:tcW w:w="407" w:type="pct"/>
            <w:vMerge w:val="continue"/>
            <w:tcBorders>
              <w:top w:val="single" w:color="auto" w:sz="4" w:space="0"/>
              <w:left w:val="single" w:color="auto" w:sz="4" w:space="0"/>
              <w:bottom w:val="single" w:color="auto" w:sz="12" w:space="0"/>
              <w:right w:val="single" w:color="auto" w:sz="12" w:space="0"/>
            </w:tcBorders>
            <w:vAlign w:val="center"/>
          </w:tcPr>
          <w:p>
            <w:pPr>
              <w:spacing w:line="288" w:lineRule="auto"/>
              <w:jc w:val="cente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vMerge w:val="continue"/>
            <w:tcBorders>
              <w:left w:val="single" w:color="auto" w:sz="12" w:space="0"/>
              <w:right w:val="single" w:color="auto" w:sz="4" w:space="0"/>
            </w:tcBorders>
            <w:vAlign w:val="center"/>
          </w:tcPr>
          <w:p>
            <w:pPr>
              <w:widowControl/>
              <w:spacing w:line="288" w:lineRule="auto"/>
              <w:jc w:val="center"/>
              <w:rPr>
                <w:sz w:val="18"/>
                <w:szCs w:val="18"/>
              </w:rPr>
            </w:pPr>
          </w:p>
        </w:tc>
        <w:tc>
          <w:tcPr>
            <w:tcW w:w="4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sz w:val="18"/>
                <w:szCs w:val="18"/>
              </w:rPr>
            </w:pPr>
          </w:p>
        </w:tc>
        <w:tc>
          <w:tcPr>
            <w:tcW w:w="49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sz w:val="18"/>
                <w:szCs w:val="18"/>
              </w:rPr>
              <w:t>NOx</w:t>
            </w:r>
          </w:p>
        </w:tc>
        <w:tc>
          <w:tcPr>
            <w:tcW w:w="622"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sz w:val="18"/>
                <w:szCs w:val="18"/>
              </w:rPr>
            </w:pPr>
          </w:p>
        </w:tc>
        <w:tc>
          <w:tcPr>
            <w:tcW w:w="51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sz w:val="18"/>
                <w:szCs w:val="18"/>
              </w:rPr>
            </w:pPr>
          </w:p>
        </w:tc>
        <w:tc>
          <w:tcPr>
            <w:tcW w:w="64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sz w:val="18"/>
                <w:szCs w:val="18"/>
              </w:rPr>
              <w:t>50</w:t>
            </w:r>
          </w:p>
        </w:tc>
        <w:tc>
          <w:tcPr>
            <w:tcW w:w="53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sz w:val="18"/>
                <w:szCs w:val="18"/>
              </w:rPr>
              <w:t>0.</w:t>
            </w:r>
            <w:r>
              <w:rPr>
                <w:rFonts w:hint="eastAsia"/>
                <w:sz w:val="18"/>
                <w:szCs w:val="18"/>
              </w:rPr>
              <w:t>79</w:t>
            </w:r>
          </w:p>
        </w:tc>
        <w:tc>
          <w:tcPr>
            <w:tcW w:w="52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0.326</w:t>
            </w:r>
          </w:p>
        </w:tc>
        <w:tc>
          <w:tcPr>
            <w:tcW w:w="47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sz w:val="18"/>
                <w:szCs w:val="18"/>
              </w:rPr>
            </w:pPr>
          </w:p>
        </w:tc>
        <w:tc>
          <w:tcPr>
            <w:tcW w:w="407" w:type="pct"/>
            <w:vMerge w:val="continue"/>
            <w:tcBorders>
              <w:top w:val="single" w:color="auto" w:sz="4" w:space="0"/>
              <w:left w:val="single" w:color="auto" w:sz="4" w:space="0"/>
              <w:bottom w:val="single" w:color="auto" w:sz="4" w:space="0"/>
              <w:right w:val="single" w:color="auto" w:sz="12" w:space="0"/>
            </w:tcBorders>
            <w:vAlign w:val="center"/>
          </w:tcPr>
          <w:p>
            <w:pPr>
              <w:widowControl/>
              <w:spacing w:line="288" w:lineRule="auto"/>
              <w:jc w:val="cente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vMerge w:val="continue"/>
            <w:tcBorders>
              <w:left w:val="single" w:color="auto" w:sz="12" w:space="0"/>
              <w:right w:val="single" w:color="auto" w:sz="4" w:space="0"/>
            </w:tcBorders>
            <w:vAlign w:val="center"/>
          </w:tcPr>
          <w:p>
            <w:pPr>
              <w:widowControl/>
              <w:spacing w:line="288" w:lineRule="auto"/>
              <w:jc w:val="center"/>
              <w:rPr>
                <w:sz w:val="18"/>
                <w:szCs w:val="18"/>
              </w:rPr>
            </w:pPr>
          </w:p>
        </w:tc>
        <w:tc>
          <w:tcPr>
            <w:tcW w:w="491" w:type="pct"/>
            <w:vMerge w:val="restart"/>
            <w:tcBorders>
              <w:top w:val="single" w:color="auto" w:sz="4" w:space="0"/>
              <w:left w:val="single" w:color="auto" w:sz="4" w:space="0"/>
              <w:right w:val="single" w:color="auto" w:sz="4" w:space="0"/>
            </w:tcBorders>
            <w:vAlign w:val="center"/>
          </w:tcPr>
          <w:p>
            <w:pPr>
              <w:spacing w:line="288" w:lineRule="auto"/>
              <w:jc w:val="center"/>
              <w:rPr>
                <w:sz w:val="18"/>
                <w:szCs w:val="18"/>
              </w:rPr>
            </w:pPr>
            <w:r>
              <w:rPr>
                <w:rFonts w:hint="eastAsia"/>
                <w:sz w:val="18"/>
                <w:szCs w:val="18"/>
              </w:rPr>
              <w:t>燃气锅炉</w:t>
            </w:r>
            <w:r>
              <w:rPr>
                <w:sz w:val="18"/>
                <w:szCs w:val="18"/>
              </w:rPr>
              <w:t>DA00</w:t>
            </w:r>
            <w:r>
              <w:rPr>
                <w:rFonts w:hint="eastAsia"/>
                <w:sz w:val="18"/>
                <w:szCs w:val="18"/>
              </w:rPr>
              <w:t>2</w:t>
            </w:r>
          </w:p>
        </w:tc>
        <w:tc>
          <w:tcPr>
            <w:tcW w:w="49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烟尘</w:t>
            </w:r>
          </w:p>
        </w:tc>
        <w:tc>
          <w:tcPr>
            <w:tcW w:w="622" w:type="pct"/>
            <w:vMerge w:val="restart"/>
            <w:tcBorders>
              <w:top w:val="single" w:color="auto" w:sz="4" w:space="0"/>
              <w:left w:val="single" w:color="auto" w:sz="4" w:space="0"/>
              <w:right w:val="single" w:color="auto" w:sz="4" w:space="0"/>
            </w:tcBorders>
            <w:vAlign w:val="center"/>
          </w:tcPr>
          <w:p>
            <w:pPr>
              <w:widowControl/>
              <w:spacing w:line="288" w:lineRule="auto"/>
              <w:jc w:val="center"/>
              <w:rPr>
                <w:sz w:val="18"/>
                <w:szCs w:val="18"/>
              </w:rPr>
            </w:pPr>
            <w:r>
              <w:rPr>
                <w:rFonts w:hint="eastAsia"/>
                <w:sz w:val="18"/>
                <w:szCs w:val="18"/>
              </w:rPr>
              <w:t>1571.25</w:t>
            </w:r>
            <w:r>
              <w:rPr>
                <w:sz w:val="18"/>
                <w:szCs w:val="18"/>
              </w:rPr>
              <w:t>×10</w:t>
            </w:r>
            <w:r>
              <w:rPr>
                <w:sz w:val="18"/>
                <w:szCs w:val="18"/>
                <w:vertAlign w:val="superscript"/>
              </w:rPr>
              <w:t>4</w:t>
            </w:r>
          </w:p>
        </w:tc>
        <w:tc>
          <w:tcPr>
            <w:tcW w:w="517" w:type="pct"/>
            <w:vMerge w:val="restart"/>
            <w:tcBorders>
              <w:top w:val="single" w:color="auto" w:sz="4" w:space="0"/>
              <w:left w:val="single" w:color="auto" w:sz="4" w:space="0"/>
              <w:right w:val="single" w:color="auto" w:sz="4" w:space="0"/>
            </w:tcBorders>
            <w:vAlign w:val="center"/>
          </w:tcPr>
          <w:p>
            <w:pPr>
              <w:widowControl/>
              <w:spacing w:line="288" w:lineRule="auto"/>
              <w:jc w:val="center"/>
              <w:rPr>
                <w:sz w:val="18"/>
                <w:szCs w:val="18"/>
              </w:rPr>
            </w:pPr>
            <w:r>
              <w:rPr>
                <w:rFonts w:hint="eastAsia"/>
                <w:sz w:val="18"/>
                <w:szCs w:val="18"/>
              </w:rPr>
              <w:t>低氮燃烧锅炉</w:t>
            </w:r>
          </w:p>
        </w:tc>
        <w:tc>
          <w:tcPr>
            <w:tcW w:w="64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sz w:val="18"/>
                <w:szCs w:val="18"/>
              </w:rPr>
              <w:t>5</w:t>
            </w:r>
          </w:p>
        </w:tc>
        <w:tc>
          <w:tcPr>
            <w:tcW w:w="53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0.079</w:t>
            </w:r>
          </w:p>
        </w:tc>
        <w:tc>
          <w:tcPr>
            <w:tcW w:w="52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0.033</w:t>
            </w:r>
          </w:p>
        </w:tc>
        <w:tc>
          <w:tcPr>
            <w:tcW w:w="473" w:type="pct"/>
            <w:vMerge w:val="restart"/>
            <w:tcBorders>
              <w:top w:val="single" w:color="auto" w:sz="4" w:space="0"/>
              <w:left w:val="single" w:color="auto" w:sz="4" w:space="0"/>
              <w:right w:val="single" w:color="auto" w:sz="4" w:space="0"/>
            </w:tcBorders>
            <w:vAlign w:val="center"/>
          </w:tcPr>
          <w:p>
            <w:pPr>
              <w:widowControl/>
              <w:spacing w:line="288" w:lineRule="auto"/>
              <w:jc w:val="center"/>
              <w:rPr>
                <w:sz w:val="18"/>
                <w:szCs w:val="18"/>
              </w:rPr>
            </w:pPr>
            <w:r>
              <w:rPr>
                <w:rFonts w:hint="eastAsia"/>
                <w:sz w:val="18"/>
                <w:szCs w:val="18"/>
              </w:rPr>
              <w:t>9.52</w:t>
            </w:r>
          </w:p>
        </w:tc>
        <w:tc>
          <w:tcPr>
            <w:tcW w:w="407" w:type="pct"/>
            <w:vMerge w:val="restart"/>
            <w:tcBorders>
              <w:top w:val="single" w:color="auto" w:sz="4" w:space="0"/>
              <w:left w:val="single" w:color="auto" w:sz="4" w:space="0"/>
              <w:right w:val="single" w:color="auto" w:sz="12" w:space="0"/>
            </w:tcBorders>
            <w:vAlign w:val="center"/>
          </w:tcPr>
          <w:p>
            <w:pPr>
              <w:spacing w:line="288" w:lineRule="auto"/>
              <w:jc w:val="center"/>
              <w:rPr>
                <w:sz w:val="18"/>
                <w:szCs w:val="18"/>
              </w:rPr>
            </w:pPr>
            <w:r>
              <w:rPr>
                <w:sz w:val="18"/>
                <w:szCs w:val="18"/>
              </w:rPr>
              <w:t>H=15</w:t>
            </w:r>
          </w:p>
          <w:p>
            <w:pPr>
              <w:widowControl/>
              <w:spacing w:line="288" w:lineRule="auto"/>
              <w:jc w:val="center"/>
              <w:rPr>
                <w:sz w:val="18"/>
                <w:szCs w:val="18"/>
              </w:rPr>
            </w:pPr>
            <w:r>
              <w:rPr>
                <w:sz w:val="18"/>
                <w:szCs w:val="18"/>
              </w:rPr>
              <w:t>D=0.</w:t>
            </w:r>
            <w:r>
              <w:rPr>
                <w:rFonts w:hint="eastAsia"/>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vMerge w:val="continue"/>
            <w:tcBorders>
              <w:left w:val="single" w:color="auto" w:sz="12" w:space="0"/>
              <w:right w:val="single" w:color="auto" w:sz="4" w:space="0"/>
            </w:tcBorders>
            <w:vAlign w:val="center"/>
          </w:tcPr>
          <w:p>
            <w:pPr>
              <w:widowControl/>
              <w:spacing w:line="288" w:lineRule="auto"/>
              <w:jc w:val="center"/>
              <w:rPr>
                <w:sz w:val="18"/>
                <w:szCs w:val="18"/>
              </w:rPr>
            </w:pPr>
          </w:p>
        </w:tc>
        <w:tc>
          <w:tcPr>
            <w:tcW w:w="491" w:type="pct"/>
            <w:vMerge w:val="continue"/>
            <w:tcBorders>
              <w:left w:val="single" w:color="auto" w:sz="4" w:space="0"/>
              <w:right w:val="single" w:color="auto" w:sz="4" w:space="0"/>
            </w:tcBorders>
            <w:vAlign w:val="center"/>
          </w:tcPr>
          <w:p>
            <w:pPr>
              <w:spacing w:line="288" w:lineRule="auto"/>
              <w:jc w:val="center"/>
              <w:rPr>
                <w:sz w:val="18"/>
                <w:szCs w:val="18"/>
              </w:rPr>
            </w:pPr>
          </w:p>
        </w:tc>
        <w:tc>
          <w:tcPr>
            <w:tcW w:w="49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vertAlign w:val="subscript"/>
              </w:rPr>
            </w:pPr>
            <w:r>
              <w:rPr>
                <w:rFonts w:hint="eastAsia"/>
                <w:sz w:val="18"/>
                <w:szCs w:val="18"/>
              </w:rPr>
              <w:t>SO</w:t>
            </w:r>
            <w:r>
              <w:rPr>
                <w:rFonts w:hint="eastAsia"/>
                <w:sz w:val="18"/>
                <w:szCs w:val="18"/>
                <w:vertAlign w:val="subscript"/>
              </w:rPr>
              <w:t>2</w:t>
            </w:r>
          </w:p>
        </w:tc>
        <w:tc>
          <w:tcPr>
            <w:tcW w:w="622" w:type="pct"/>
            <w:vMerge w:val="continue"/>
            <w:tcBorders>
              <w:left w:val="single" w:color="auto" w:sz="4" w:space="0"/>
              <w:right w:val="single" w:color="auto" w:sz="4" w:space="0"/>
            </w:tcBorders>
            <w:vAlign w:val="center"/>
          </w:tcPr>
          <w:p>
            <w:pPr>
              <w:widowControl/>
              <w:spacing w:line="288" w:lineRule="auto"/>
              <w:jc w:val="center"/>
              <w:rPr>
                <w:sz w:val="18"/>
                <w:szCs w:val="18"/>
              </w:rPr>
            </w:pPr>
          </w:p>
        </w:tc>
        <w:tc>
          <w:tcPr>
            <w:tcW w:w="517" w:type="pct"/>
            <w:vMerge w:val="continue"/>
            <w:tcBorders>
              <w:left w:val="single" w:color="auto" w:sz="4" w:space="0"/>
              <w:right w:val="single" w:color="auto" w:sz="4" w:space="0"/>
            </w:tcBorders>
            <w:vAlign w:val="center"/>
          </w:tcPr>
          <w:p>
            <w:pPr>
              <w:widowControl/>
              <w:spacing w:line="288" w:lineRule="auto"/>
              <w:jc w:val="center"/>
              <w:rPr>
                <w:sz w:val="18"/>
                <w:szCs w:val="18"/>
              </w:rPr>
            </w:pPr>
          </w:p>
        </w:tc>
        <w:tc>
          <w:tcPr>
            <w:tcW w:w="64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35</w:t>
            </w:r>
          </w:p>
        </w:tc>
        <w:tc>
          <w:tcPr>
            <w:tcW w:w="53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0.55</w:t>
            </w:r>
          </w:p>
        </w:tc>
        <w:tc>
          <w:tcPr>
            <w:tcW w:w="52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0.229</w:t>
            </w:r>
          </w:p>
        </w:tc>
        <w:tc>
          <w:tcPr>
            <w:tcW w:w="473" w:type="pct"/>
            <w:vMerge w:val="continue"/>
            <w:tcBorders>
              <w:left w:val="single" w:color="auto" w:sz="4" w:space="0"/>
              <w:right w:val="single" w:color="auto" w:sz="4" w:space="0"/>
            </w:tcBorders>
            <w:vAlign w:val="center"/>
          </w:tcPr>
          <w:p>
            <w:pPr>
              <w:widowControl/>
              <w:spacing w:line="288" w:lineRule="auto"/>
              <w:jc w:val="center"/>
              <w:rPr>
                <w:sz w:val="18"/>
                <w:szCs w:val="18"/>
              </w:rPr>
            </w:pPr>
          </w:p>
        </w:tc>
        <w:tc>
          <w:tcPr>
            <w:tcW w:w="407" w:type="pct"/>
            <w:vMerge w:val="continue"/>
            <w:tcBorders>
              <w:left w:val="single" w:color="auto" w:sz="4" w:space="0"/>
              <w:right w:val="single" w:color="auto" w:sz="12" w:space="0"/>
            </w:tcBorders>
            <w:vAlign w:val="center"/>
          </w:tcPr>
          <w:p>
            <w:pPr>
              <w:widowControl/>
              <w:spacing w:line="288" w:lineRule="auto"/>
              <w:jc w:val="cente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vMerge w:val="continue"/>
            <w:tcBorders>
              <w:left w:val="single" w:color="auto" w:sz="12" w:space="0"/>
              <w:bottom w:val="single" w:color="auto" w:sz="4" w:space="0"/>
              <w:right w:val="single" w:color="auto" w:sz="4" w:space="0"/>
            </w:tcBorders>
            <w:vAlign w:val="center"/>
          </w:tcPr>
          <w:p>
            <w:pPr>
              <w:widowControl/>
              <w:spacing w:line="288" w:lineRule="auto"/>
              <w:jc w:val="center"/>
              <w:rPr>
                <w:sz w:val="18"/>
                <w:szCs w:val="18"/>
              </w:rPr>
            </w:pPr>
          </w:p>
        </w:tc>
        <w:tc>
          <w:tcPr>
            <w:tcW w:w="491" w:type="pct"/>
            <w:vMerge w:val="continue"/>
            <w:tcBorders>
              <w:left w:val="single" w:color="auto" w:sz="4" w:space="0"/>
              <w:bottom w:val="single" w:color="auto" w:sz="4" w:space="0"/>
              <w:right w:val="single" w:color="auto" w:sz="4" w:space="0"/>
            </w:tcBorders>
            <w:vAlign w:val="center"/>
          </w:tcPr>
          <w:p>
            <w:pPr>
              <w:spacing w:line="288" w:lineRule="auto"/>
              <w:jc w:val="center"/>
              <w:rPr>
                <w:sz w:val="18"/>
                <w:szCs w:val="18"/>
              </w:rPr>
            </w:pPr>
          </w:p>
        </w:tc>
        <w:tc>
          <w:tcPr>
            <w:tcW w:w="49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sz w:val="18"/>
                <w:szCs w:val="18"/>
              </w:rPr>
              <w:t>NOx</w:t>
            </w:r>
          </w:p>
        </w:tc>
        <w:tc>
          <w:tcPr>
            <w:tcW w:w="622" w:type="pct"/>
            <w:vMerge w:val="continue"/>
            <w:tcBorders>
              <w:left w:val="single" w:color="auto" w:sz="4" w:space="0"/>
              <w:bottom w:val="single" w:color="auto" w:sz="4" w:space="0"/>
              <w:right w:val="single" w:color="auto" w:sz="4" w:space="0"/>
            </w:tcBorders>
            <w:vAlign w:val="center"/>
          </w:tcPr>
          <w:p>
            <w:pPr>
              <w:widowControl/>
              <w:spacing w:line="288" w:lineRule="auto"/>
              <w:jc w:val="center"/>
              <w:rPr>
                <w:sz w:val="18"/>
                <w:szCs w:val="18"/>
              </w:rPr>
            </w:pPr>
          </w:p>
        </w:tc>
        <w:tc>
          <w:tcPr>
            <w:tcW w:w="517" w:type="pct"/>
            <w:vMerge w:val="continue"/>
            <w:tcBorders>
              <w:left w:val="single" w:color="auto" w:sz="4" w:space="0"/>
              <w:bottom w:val="single" w:color="auto" w:sz="4" w:space="0"/>
              <w:right w:val="single" w:color="auto" w:sz="4" w:space="0"/>
            </w:tcBorders>
            <w:vAlign w:val="center"/>
          </w:tcPr>
          <w:p>
            <w:pPr>
              <w:widowControl/>
              <w:spacing w:line="288" w:lineRule="auto"/>
              <w:jc w:val="center"/>
              <w:rPr>
                <w:sz w:val="18"/>
                <w:szCs w:val="18"/>
              </w:rPr>
            </w:pPr>
          </w:p>
        </w:tc>
        <w:tc>
          <w:tcPr>
            <w:tcW w:w="64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sz w:val="18"/>
                <w:szCs w:val="18"/>
              </w:rPr>
              <w:t>50</w:t>
            </w:r>
          </w:p>
        </w:tc>
        <w:tc>
          <w:tcPr>
            <w:tcW w:w="53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0.79</w:t>
            </w:r>
          </w:p>
        </w:tc>
        <w:tc>
          <w:tcPr>
            <w:tcW w:w="52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0.330</w:t>
            </w:r>
          </w:p>
        </w:tc>
        <w:tc>
          <w:tcPr>
            <w:tcW w:w="473" w:type="pct"/>
            <w:vMerge w:val="continue"/>
            <w:tcBorders>
              <w:left w:val="single" w:color="auto" w:sz="4" w:space="0"/>
              <w:bottom w:val="single" w:color="auto" w:sz="4" w:space="0"/>
              <w:right w:val="single" w:color="auto" w:sz="4" w:space="0"/>
            </w:tcBorders>
            <w:vAlign w:val="center"/>
          </w:tcPr>
          <w:p>
            <w:pPr>
              <w:widowControl/>
              <w:spacing w:line="288" w:lineRule="auto"/>
              <w:jc w:val="center"/>
              <w:rPr>
                <w:sz w:val="18"/>
                <w:szCs w:val="18"/>
              </w:rPr>
            </w:pPr>
          </w:p>
        </w:tc>
        <w:tc>
          <w:tcPr>
            <w:tcW w:w="407" w:type="pct"/>
            <w:vMerge w:val="continue"/>
            <w:tcBorders>
              <w:left w:val="single" w:color="auto" w:sz="4" w:space="0"/>
              <w:bottom w:val="single" w:color="auto" w:sz="4" w:space="0"/>
              <w:right w:val="single" w:color="auto" w:sz="12" w:space="0"/>
            </w:tcBorders>
            <w:vAlign w:val="center"/>
          </w:tcPr>
          <w:p>
            <w:pPr>
              <w:widowControl/>
              <w:spacing w:line="288" w:lineRule="auto"/>
              <w:jc w:val="cente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vMerge w:val="restart"/>
            <w:tcBorders>
              <w:top w:val="single" w:color="auto" w:sz="4" w:space="0"/>
              <w:left w:val="single" w:color="auto" w:sz="12" w:space="0"/>
              <w:right w:val="single" w:color="auto" w:sz="4" w:space="0"/>
            </w:tcBorders>
            <w:vAlign w:val="center"/>
          </w:tcPr>
          <w:p>
            <w:pPr>
              <w:widowControl/>
              <w:spacing w:line="288" w:lineRule="auto"/>
              <w:jc w:val="center"/>
              <w:rPr>
                <w:sz w:val="18"/>
                <w:szCs w:val="18"/>
              </w:rPr>
            </w:pPr>
            <w:r>
              <w:rPr>
                <w:rFonts w:hint="eastAsia"/>
                <w:sz w:val="18"/>
                <w:szCs w:val="18"/>
              </w:rPr>
              <w:t>非采暖季</w:t>
            </w:r>
          </w:p>
        </w:tc>
        <w:tc>
          <w:tcPr>
            <w:tcW w:w="491" w:type="pct"/>
            <w:vMerge w:val="restart"/>
            <w:tcBorders>
              <w:top w:val="single" w:color="auto" w:sz="4" w:space="0"/>
              <w:left w:val="single" w:color="auto" w:sz="4" w:space="0"/>
              <w:right w:val="single" w:color="auto" w:sz="4" w:space="0"/>
            </w:tcBorders>
            <w:vAlign w:val="center"/>
          </w:tcPr>
          <w:p>
            <w:pPr>
              <w:spacing w:line="288" w:lineRule="auto"/>
              <w:jc w:val="center"/>
              <w:rPr>
                <w:sz w:val="18"/>
                <w:szCs w:val="18"/>
              </w:rPr>
            </w:pPr>
            <w:r>
              <w:rPr>
                <w:rFonts w:hint="eastAsia"/>
                <w:sz w:val="18"/>
                <w:szCs w:val="18"/>
              </w:rPr>
              <w:t>燃气锅炉</w:t>
            </w:r>
            <w:r>
              <w:rPr>
                <w:sz w:val="18"/>
                <w:szCs w:val="18"/>
              </w:rPr>
              <w:t>DA001</w:t>
            </w:r>
          </w:p>
        </w:tc>
        <w:tc>
          <w:tcPr>
            <w:tcW w:w="49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烟尘</w:t>
            </w:r>
          </w:p>
        </w:tc>
        <w:tc>
          <w:tcPr>
            <w:tcW w:w="622" w:type="pct"/>
            <w:vMerge w:val="restart"/>
            <w:tcBorders>
              <w:top w:val="single" w:color="auto" w:sz="4" w:space="0"/>
              <w:left w:val="single" w:color="auto" w:sz="4" w:space="0"/>
              <w:right w:val="single" w:color="auto" w:sz="4" w:space="0"/>
            </w:tcBorders>
            <w:vAlign w:val="center"/>
          </w:tcPr>
          <w:p>
            <w:pPr>
              <w:widowControl/>
              <w:spacing w:line="288" w:lineRule="auto"/>
              <w:jc w:val="center"/>
              <w:rPr>
                <w:sz w:val="18"/>
                <w:szCs w:val="18"/>
              </w:rPr>
            </w:pPr>
            <w:r>
              <w:rPr>
                <w:rFonts w:hint="eastAsia"/>
                <w:sz w:val="18"/>
                <w:szCs w:val="18"/>
              </w:rPr>
              <w:t>943.71</w:t>
            </w:r>
            <w:r>
              <w:rPr>
                <w:sz w:val="18"/>
                <w:szCs w:val="18"/>
              </w:rPr>
              <w:t>×10</w:t>
            </w:r>
            <w:r>
              <w:rPr>
                <w:sz w:val="18"/>
                <w:szCs w:val="18"/>
                <w:vertAlign w:val="superscript"/>
              </w:rPr>
              <w:t>4</w:t>
            </w:r>
          </w:p>
        </w:tc>
        <w:tc>
          <w:tcPr>
            <w:tcW w:w="517" w:type="pct"/>
            <w:vMerge w:val="restart"/>
            <w:tcBorders>
              <w:top w:val="single" w:color="auto" w:sz="4" w:space="0"/>
              <w:left w:val="single" w:color="auto" w:sz="4" w:space="0"/>
              <w:right w:val="single" w:color="auto" w:sz="4" w:space="0"/>
            </w:tcBorders>
            <w:vAlign w:val="center"/>
          </w:tcPr>
          <w:p>
            <w:pPr>
              <w:widowControl/>
              <w:spacing w:line="288" w:lineRule="auto"/>
              <w:jc w:val="center"/>
              <w:rPr>
                <w:sz w:val="18"/>
                <w:szCs w:val="18"/>
              </w:rPr>
            </w:pPr>
            <w:r>
              <w:rPr>
                <w:rFonts w:hint="eastAsia"/>
                <w:sz w:val="18"/>
                <w:szCs w:val="18"/>
              </w:rPr>
              <w:t>低氮燃烧锅炉</w:t>
            </w:r>
          </w:p>
        </w:tc>
        <w:tc>
          <w:tcPr>
            <w:tcW w:w="64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sz w:val="18"/>
                <w:szCs w:val="18"/>
              </w:rPr>
              <w:t>5</w:t>
            </w:r>
          </w:p>
        </w:tc>
        <w:tc>
          <w:tcPr>
            <w:tcW w:w="53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0.047</w:t>
            </w:r>
          </w:p>
        </w:tc>
        <w:tc>
          <w:tcPr>
            <w:tcW w:w="52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0.033</w:t>
            </w:r>
          </w:p>
        </w:tc>
        <w:tc>
          <w:tcPr>
            <w:tcW w:w="473" w:type="pct"/>
            <w:vMerge w:val="restart"/>
            <w:tcBorders>
              <w:top w:val="single" w:color="auto" w:sz="4" w:space="0"/>
              <w:left w:val="single" w:color="auto" w:sz="4" w:space="0"/>
              <w:right w:val="single" w:color="auto" w:sz="4" w:space="0"/>
            </w:tcBorders>
            <w:vAlign w:val="center"/>
          </w:tcPr>
          <w:p>
            <w:pPr>
              <w:widowControl/>
              <w:spacing w:line="288" w:lineRule="auto"/>
              <w:jc w:val="center"/>
              <w:rPr>
                <w:sz w:val="18"/>
                <w:szCs w:val="18"/>
              </w:rPr>
            </w:pPr>
            <w:r>
              <w:rPr>
                <w:rFonts w:hint="eastAsia"/>
                <w:sz w:val="18"/>
                <w:szCs w:val="18"/>
              </w:rPr>
              <w:t>15.86</w:t>
            </w:r>
          </w:p>
        </w:tc>
        <w:tc>
          <w:tcPr>
            <w:tcW w:w="407" w:type="pct"/>
            <w:vMerge w:val="restart"/>
            <w:tcBorders>
              <w:top w:val="single" w:color="auto" w:sz="4" w:space="0"/>
              <w:left w:val="single" w:color="auto" w:sz="4" w:space="0"/>
              <w:right w:val="single" w:color="auto" w:sz="12" w:space="0"/>
            </w:tcBorders>
            <w:vAlign w:val="center"/>
          </w:tcPr>
          <w:p>
            <w:pPr>
              <w:spacing w:line="288" w:lineRule="auto"/>
              <w:jc w:val="center"/>
              <w:rPr>
                <w:sz w:val="18"/>
                <w:szCs w:val="18"/>
              </w:rPr>
            </w:pPr>
            <w:r>
              <w:rPr>
                <w:sz w:val="18"/>
                <w:szCs w:val="18"/>
              </w:rPr>
              <w:t>H=15</w:t>
            </w:r>
          </w:p>
          <w:p>
            <w:pPr>
              <w:widowControl/>
              <w:spacing w:line="288" w:lineRule="auto"/>
              <w:jc w:val="center"/>
              <w:rPr>
                <w:sz w:val="18"/>
                <w:szCs w:val="18"/>
              </w:rPr>
            </w:pPr>
            <w:r>
              <w:rPr>
                <w:sz w:val="18"/>
                <w:szCs w:val="18"/>
              </w:rPr>
              <w:t>D=0.</w:t>
            </w:r>
            <w:r>
              <w:rPr>
                <w:rFonts w:hint="eastAsia"/>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vMerge w:val="continue"/>
            <w:tcBorders>
              <w:left w:val="single" w:color="auto" w:sz="12" w:space="0"/>
              <w:right w:val="single" w:color="auto" w:sz="4" w:space="0"/>
            </w:tcBorders>
            <w:vAlign w:val="center"/>
          </w:tcPr>
          <w:p>
            <w:pPr>
              <w:widowControl/>
              <w:spacing w:line="288" w:lineRule="auto"/>
              <w:jc w:val="center"/>
              <w:rPr>
                <w:sz w:val="18"/>
                <w:szCs w:val="18"/>
              </w:rPr>
            </w:pPr>
          </w:p>
        </w:tc>
        <w:tc>
          <w:tcPr>
            <w:tcW w:w="491" w:type="pct"/>
            <w:vMerge w:val="continue"/>
            <w:tcBorders>
              <w:left w:val="single" w:color="auto" w:sz="4" w:space="0"/>
              <w:right w:val="single" w:color="auto" w:sz="4" w:space="0"/>
            </w:tcBorders>
            <w:vAlign w:val="center"/>
          </w:tcPr>
          <w:p>
            <w:pPr>
              <w:spacing w:line="288" w:lineRule="auto"/>
              <w:jc w:val="center"/>
              <w:rPr>
                <w:sz w:val="18"/>
                <w:szCs w:val="18"/>
              </w:rPr>
            </w:pPr>
          </w:p>
        </w:tc>
        <w:tc>
          <w:tcPr>
            <w:tcW w:w="49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vertAlign w:val="subscript"/>
              </w:rPr>
            </w:pPr>
            <w:r>
              <w:rPr>
                <w:rFonts w:hint="eastAsia"/>
                <w:sz w:val="18"/>
                <w:szCs w:val="18"/>
              </w:rPr>
              <w:t>SO</w:t>
            </w:r>
            <w:r>
              <w:rPr>
                <w:rFonts w:hint="eastAsia"/>
                <w:sz w:val="18"/>
                <w:szCs w:val="18"/>
                <w:vertAlign w:val="subscript"/>
              </w:rPr>
              <w:t>2</w:t>
            </w:r>
          </w:p>
        </w:tc>
        <w:tc>
          <w:tcPr>
            <w:tcW w:w="622" w:type="pct"/>
            <w:vMerge w:val="continue"/>
            <w:tcBorders>
              <w:left w:val="single" w:color="auto" w:sz="4" w:space="0"/>
              <w:right w:val="single" w:color="auto" w:sz="4" w:space="0"/>
            </w:tcBorders>
            <w:vAlign w:val="center"/>
          </w:tcPr>
          <w:p>
            <w:pPr>
              <w:widowControl/>
              <w:spacing w:line="288" w:lineRule="auto"/>
              <w:jc w:val="center"/>
              <w:rPr>
                <w:sz w:val="18"/>
                <w:szCs w:val="18"/>
              </w:rPr>
            </w:pPr>
          </w:p>
        </w:tc>
        <w:tc>
          <w:tcPr>
            <w:tcW w:w="517" w:type="pct"/>
            <w:vMerge w:val="continue"/>
            <w:tcBorders>
              <w:left w:val="single" w:color="auto" w:sz="4" w:space="0"/>
              <w:right w:val="single" w:color="auto" w:sz="4" w:space="0"/>
            </w:tcBorders>
            <w:vAlign w:val="center"/>
          </w:tcPr>
          <w:p>
            <w:pPr>
              <w:widowControl/>
              <w:spacing w:line="288" w:lineRule="auto"/>
              <w:jc w:val="center"/>
              <w:rPr>
                <w:sz w:val="18"/>
                <w:szCs w:val="18"/>
              </w:rPr>
            </w:pPr>
          </w:p>
        </w:tc>
        <w:tc>
          <w:tcPr>
            <w:tcW w:w="64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35</w:t>
            </w:r>
          </w:p>
        </w:tc>
        <w:tc>
          <w:tcPr>
            <w:tcW w:w="53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0.33</w:t>
            </w:r>
          </w:p>
        </w:tc>
        <w:tc>
          <w:tcPr>
            <w:tcW w:w="529"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sz w:val="18"/>
                <w:szCs w:val="18"/>
              </w:rPr>
            </w:pPr>
            <w:r>
              <w:rPr>
                <w:rFonts w:hint="eastAsia"/>
                <w:sz w:val="18"/>
                <w:szCs w:val="18"/>
              </w:rPr>
              <w:t>0.229</w:t>
            </w:r>
          </w:p>
        </w:tc>
        <w:tc>
          <w:tcPr>
            <w:tcW w:w="473" w:type="pct"/>
            <w:vMerge w:val="continue"/>
            <w:tcBorders>
              <w:left w:val="single" w:color="auto" w:sz="4" w:space="0"/>
              <w:right w:val="single" w:color="auto" w:sz="4" w:space="0"/>
            </w:tcBorders>
            <w:vAlign w:val="center"/>
          </w:tcPr>
          <w:p>
            <w:pPr>
              <w:widowControl/>
              <w:spacing w:line="288" w:lineRule="auto"/>
              <w:jc w:val="center"/>
              <w:rPr>
                <w:sz w:val="18"/>
                <w:szCs w:val="18"/>
                <w:highlight w:val="yellow"/>
              </w:rPr>
            </w:pPr>
          </w:p>
        </w:tc>
        <w:tc>
          <w:tcPr>
            <w:tcW w:w="407" w:type="pct"/>
            <w:vMerge w:val="continue"/>
            <w:tcBorders>
              <w:left w:val="single" w:color="auto" w:sz="4" w:space="0"/>
              <w:right w:val="single" w:color="auto" w:sz="12" w:space="0"/>
            </w:tcBorders>
            <w:vAlign w:val="center"/>
          </w:tcPr>
          <w:p>
            <w:pPr>
              <w:widowControl/>
              <w:spacing w:line="288" w:lineRule="auto"/>
              <w:jc w:val="center"/>
              <w:rPr>
                <w:sz w:val="18"/>
                <w:szCs w:val="18"/>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vMerge w:val="continue"/>
            <w:tcBorders>
              <w:left w:val="single" w:color="auto" w:sz="12" w:space="0"/>
              <w:bottom w:val="single" w:color="auto" w:sz="12" w:space="0"/>
              <w:right w:val="single" w:color="auto" w:sz="4" w:space="0"/>
            </w:tcBorders>
            <w:vAlign w:val="center"/>
          </w:tcPr>
          <w:p>
            <w:pPr>
              <w:widowControl/>
              <w:spacing w:line="288" w:lineRule="auto"/>
              <w:jc w:val="center"/>
              <w:rPr>
                <w:sz w:val="18"/>
                <w:szCs w:val="18"/>
              </w:rPr>
            </w:pPr>
          </w:p>
        </w:tc>
        <w:tc>
          <w:tcPr>
            <w:tcW w:w="491" w:type="pct"/>
            <w:vMerge w:val="continue"/>
            <w:tcBorders>
              <w:left w:val="single" w:color="auto" w:sz="4" w:space="0"/>
              <w:bottom w:val="single" w:color="auto" w:sz="12" w:space="0"/>
              <w:right w:val="single" w:color="auto" w:sz="4" w:space="0"/>
            </w:tcBorders>
            <w:vAlign w:val="center"/>
          </w:tcPr>
          <w:p>
            <w:pPr>
              <w:spacing w:line="288" w:lineRule="auto"/>
              <w:jc w:val="center"/>
              <w:rPr>
                <w:sz w:val="18"/>
                <w:szCs w:val="18"/>
              </w:rPr>
            </w:pPr>
          </w:p>
        </w:tc>
        <w:tc>
          <w:tcPr>
            <w:tcW w:w="497" w:type="pct"/>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r>
              <w:rPr>
                <w:sz w:val="18"/>
                <w:szCs w:val="18"/>
              </w:rPr>
              <w:t>NOx</w:t>
            </w:r>
          </w:p>
        </w:tc>
        <w:tc>
          <w:tcPr>
            <w:tcW w:w="622" w:type="pct"/>
            <w:vMerge w:val="continue"/>
            <w:tcBorders>
              <w:left w:val="single" w:color="auto" w:sz="4" w:space="0"/>
              <w:bottom w:val="single" w:color="auto" w:sz="12" w:space="0"/>
              <w:right w:val="single" w:color="auto" w:sz="4" w:space="0"/>
            </w:tcBorders>
            <w:vAlign w:val="center"/>
          </w:tcPr>
          <w:p>
            <w:pPr>
              <w:widowControl/>
              <w:spacing w:line="288" w:lineRule="auto"/>
              <w:jc w:val="center"/>
              <w:rPr>
                <w:sz w:val="18"/>
                <w:szCs w:val="18"/>
              </w:rPr>
            </w:pPr>
          </w:p>
        </w:tc>
        <w:tc>
          <w:tcPr>
            <w:tcW w:w="517" w:type="pct"/>
            <w:vMerge w:val="continue"/>
            <w:tcBorders>
              <w:left w:val="single" w:color="auto" w:sz="4" w:space="0"/>
              <w:bottom w:val="single" w:color="auto" w:sz="12" w:space="0"/>
              <w:right w:val="single" w:color="auto" w:sz="4" w:space="0"/>
            </w:tcBorders>
            <w:vAlign w:val="center"/>
          </w:tcPr>
          <w:p>
            <w:pPr>
              <w:widowControl/>
              <w:spacing w:line="288" w:lineRule="auto"/>
              <w:jc w:val="center"/>
              <w:rPr>
                <w:sz w:val="18"/>
                <w:szCs w:val="18"/>
              </w:rPr>
            </w:pPr>
          </w:p>
        </w:tc>
        <w:tc>
          <w:tcPr>
            <w:tcW w:w="646" w:type="pct"/>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r>
              <w:rPr>
                <w:sz w:val="18"/>
                <w:szCs w:val="18"/>
              </w:rPr>
              <w:t>50</w:t>
            </w:r>
          </w:p>
        </w:tc>
        <w:tc>
          <w:tcPr>
            <w:tcW w:w="536" w:type="pct"/>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r>
              <w:rPr>
                <w:rFonts w:hint="eastAsia"/>
                <w:sz w:val="18"/>
                <w:szCs w:val="18"/>
              </w:rPr>
              <w:t>0.47</w:t>
            </w:r>
          </w:p>
        </w:tc>
        <w:tc>
          <w:tcPr>
            <w:tcW w:w="529" w:type="pct"/>
            <w:tcBorders>
              <w:top w:val="single" w:color="auto" w:sz="4" w:space="0"/>
              <w:left w:val="single" w:color="auto" w:sz="4" w:space="0"/>
              <w:bottom w:val="single" w:color="auto" w:sz="12" w:space="0"/>
              <w:right w:val="single" w:color="auto" w:sz="4" w:space="0"/>
            </w:tcBorders>
            <w:vAlign w:val="center"/>
          </w:tcPr>
          <w:p>
            <w:pPr>
              <w:spacing w:line="288" w:lineRule="auto"/>
              <w:jc w:val="center"/>
              <w:rPr>
                <w:sz w:val="18"/>
                <w:szCs w:val="18"/>
              </w:rPr>
            </w:pPr>
            <w:r>
              <w:rPr>
                <w:rFonts w:hint="eastAsia"/>
                <w:sz w:val="18"/>
                <w:szCs w:val="18"/>
              </w:rPr>
              <w:t>0.326</w:t>
            </w:r>
          </w:p>
        </w:tc>
        <w:tc>
          <w:tcPr>
            <w:tcW w:w="473" w:type="pct"/>
            <w:vMerge w:val="continue"/>
            <w:tcBorders>
              <w:left w:val="single" w:color="auto" w:sz="4" w:space="0"/>
              <w:bottom w:val="single" w:color="auto" w:sz="12" w:space="0"/>
              <w:right w:val="single" w:color="auto" w:sz="4" w:space="0"/>
            </w:tcBorders>
            <w:vAlign w:val="center"/>
          </w:tcPr>
          <w:p>
            <w:pPr>
              <w:widowControl/>
              <w:spacing w:line="288" w:lineRule="auto"/>
              <w:jc w:val="center"/>
              <w:rPr>
                <w:sz w:val="18"/>
                <w:szCs w:val="18"/>
                <w:highlight w:val="yellow"/>
              </w:rPr>
            </w:pPr>
          </w:p>
        </w:tc>
        <w:tc>
          <w:tcPr>
            <w:tcW w:w="407" w:type="pct"/>
            <w:vMerge w:val="continue"/>
            <w:tcBorders>
              <w:left w:val="single" w:color="auto" w:sz="4" w:space="0"/>
              <w:bottom w:val="single" w:color="auto" w:sz="12" w:space="0"/>
              <w:right w:val="single" w:color="auto" w:sz="12" w:space="0"/>
            </w:tcBorders>
            <w:vAlign w:val="center"/>
          </w:tcPr>
          <w:p>
            <w:pPr>
              <w:widowControl/>
              <w:spacing w:line="288" w:lineRule="auto"/>
              <w:jc w:val="center"/>
              <w:rPr>
                <w:sz w:val="18"/>
                <w:szCs w:val="18"/>
                <w:highlight w:val="yellow"/>
              </w:rPr>
            </w:pPr>
          </w:p>
        </w:tc>
      </w:tr>
    </w:tbl>
    <w:p>
      <w:pPr>
        <w:pStyle w:val="149"/>
        <w:spacing w:line="360" w:lineRule="auto"/>
        <w:ind w:firstLine="480"/>
      </w:pPr>
      <w:r>
        <w:rPr>
          <w:rFonts w:hint="eastAsia"/>
          <w:sz w:val="24"/>
        </w:rPr>
        <w:t>经计算，本项目燃气锅炉烟气中烟尘、二氧化硫、氮氧化物的排放浓度均能满足《锅炉大气污染物排放标准》（</w:t>
      </w:r>
      <w:r>
        <w:rPr>
          <w:sz w:val="24"/>
        </w:rPr>
        <w:t>DB14/1929-2019</w:t>
      </w:r>
      <w:r>
        <w:rPr>
          <w:rFonts w:hint="eastAsia"/>
          <w:sz w:val="24"/>
        </w:rPr>
        <w:t>）表</w:t>
      </w:r>
      <w:r>
        <w:rPr>
          <w:sz w:val="24"/>
        </w:rPr>
        <w:t>3</w:t>
      </w:r>
      <w:r>
        <w:rPr>
          <w:rFonts w:hint="eastAsia"/>
          <w:sz w:val="24"/>
        </w:rPr>
        <w:t>中燃气锅炉大气污染物排放浓度限值的要求。</w:t>
      </w:r>
    </w:p>
    <w:p>
      <w:pPr>
        <w:pStyle w:val="39"/>
        <w:ind w:firstLine="482"/>
        <w:rPr>
          <w:rFonts w:ascii="Times New Roman" w:hAnsi="Times New Roman" w:eastAsiaTheme="minorEastAsia"/>
          <w:b/>
        </w:rPr>
      </w:pPr>
      <w:r>
        <w:rPr>
          <w:rFonts w:ascii="Times New Roman" w:hAnsi="Times New Roman" w:eastAsiaTheme="minorEastAsia"/>
          <w:b/>
        </w:rPr>
        <w:t>（</w:t>
      </w:r>
      <w:r>
        <w:rPr>
          <w:rFonts w:hint="eastAsia" w:ascii="Times New Roman" w:hAnsi="Times New Roman" w:eastAsiaTheme="minorEastAsia"/>
          <w:b/>
        </w:rPr>
        <w:t>三</w:t>
      </w:r>
      <w:r>
        <w:rPr>
          <w:rFonts w:ascii="Times New Roman" w:hAnsi="Times New Roman" w:eastAsiaTheme="minorEastAsia"/>
          <w:b/>
        </w:rPr>
        <w:t>）原煤破碎、筛分车间</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原环评：</w:t>
      </w:r>
    </w:p>
    <w:p>
      <w:pPr>
        <w:spacing w:line="360" w:lineRule="auto"/>
        <w:ind w:firstLine="480" w:firstLineChars="200"/>
        <w:rPr>
          <w:rFonts w:hAnsiTheme="minorEastAsia" w:eastAsiaTheme="minorEastAsia"/>
          <w:sz w:val="24"/>
        </w:rPr>
      </w:pPr>
      <w:r>
        <w:rPr>
          <w:rFonts w:hint="eastAsia" w:hAnsiTheme="minorEastAsia" w:eastAsiaTheme="minorEastAsia"/>
          <w:bCs/>
          <w:sz w:val="24"/>
        </w:rPr>
        <w:t>原煤转载</w:t>
      </w:r>
      <w:r>
        <w:rPr>
          <w:rFonts w:hint="eastAsia" w:hAnsiTheme="minorEastAsia" w:eastAsiaTheme="minorEastAsia"/>
          <w:sz w:val="24"/>
        </w:rPr>
        <w:t>、</w:t>
      </w:r>
      <w:r>
        <w:rPr>
          <w:rFonts w:hint="eastAsia" w:hAnsiTheme="minorEastAsia" w:eastAsiaTheme="minorEastAsia"/>
          <w:bCs/>
          <w:sz w:val="24"/>
        </w:rPr>
        <w:t>运输过程容易产生煤尘地方尽量采取密闭防尘措施，</w:t>
      </w:r>
      <w:r>
        <w:rPr>
          <w:rFonts w:hint="eastAsia" w:hAnsiTheme="minorEastAsia" w:eastAsiaTheme="minorEastAsia"/>
          <w:sz w:val="24"/>
        </w:rPr>
        <w:t>筛分</w:t>
      </w:r>
      <w:r>
        <w:rPr>
          <w:rFonts w:hint="eastAsia" w:hAnsiTheme="minorEastAsia" w:eastAsiaTheme="minorEastAsia"/>
          <w:bCs/>
          <w:sz w:val="24"/>
        </w:rPr>
        <w:t>车间设置集尘罩及布袋除尘器</w:t>
      </w:r>
      <w:r>
        <w:rPr>
          <w:rFonts w:hint="eastAsia" w:hAnsiTheme="minorEastAsia" w:eastAsiaTheme="minorEastAsia"/>
          <w:sz w:val="24"/>
        </w:rPr>
        <w:t>等除尘设备，</w:t>
      </w:r>
      <w:r>
        <w:rPr>
          <w:rFonts w:hint="eastAsia" w:hAnsiTheme="minorEastAsia" w:eastAsiaTheme="minorEastAsia"/>
          <w:bCs/>
          <w:sz w:val="24"/>
        </w:rPr>
        <w:t>集尘率90%，除尘效率99%，</w:t>
      </w:r>
      <w:r>
        <w:rPr>
          <w:rFonts w:hint="eastAsia" w:hAnsiTheme="minorEastAsia" w:eastAsiaTheme="minorEastAsia"/>
          <w:sz w:val="24"/>
        </w:rPr>
        <w:t>除尘器风量9720Nm</w:t>
      </w:r>
      <w:r>
        <w:rPr>
          <w:rFonts w:hint="eastAsia" w:hAnsiTheme="minorEastAsia" w:eastAsiaTheme="minorEastAsia"/>
          <w:sz w:val="24"/>
          <w:vertAlign w:val="superscript"/>
        </w:rPr>
        <w:t>3</w:t>
      </w:r>
      <w:r>
        <w:rPr>
          <w:rFonts w:hint="eastAsia" w:hAnsiTheme="minorEastAsia" w:eastAsiaTheme="minorEastAsia"/>
          <w:sz w:val="24"/>
        </w:rPr>
        <w:t>/h，颗粒物初始浓度4000mg/m</w:t>
      </w:r>
      <w:r>
        <w:rPr>
          <w:rFonts w:hint="eastAsia" w:hAnsiTheme="minorEastAsia" w:eastAsiaTheme="minorEastAsia"/>
          <w:sz w:val="24"/>
          <w:vertAlign w:val="superscript"/>
        </w:rPr>
        <w:t>3</w:t>
      </w:r>
      <w:r>
        <w:rPr>
          <w:rFonts w:hint="eastAsia" w:hAnsiTheme="minorEastAsia" w:eastAsiaTheme="minorEastAsia"/>
          <w:sz w:val="24"/>
        </w:rPr>
        <w:t>。经计算粉尘最终排放浓度40mg/m</w:t>
      </w:r>
      <w:r>
        <w:rPr>
          <w:rFonts w:hint="eastAsia" w:hAnsiTheme="minorEastAsia" w:eastAsiaTheme="minorEastAsia"/>
          <w:sz w:val="24"/>
          <w:vertAlign w:val="superscript"/>
        </w:rPr>
        <w:t>3</w:t>
      </w:r>
      <w:r>
        <w:rPr>
          <w:rFonts w:hint="eastAsia" w:hAnsiTheme="minorEastAsia" w:eastAsiaTheme="minorEastAsia"/>
          <w:sz w:val="24"/>
        </w:rPr>
        <w:t>，有组织排放量2.05t/a；无组织排放量22.81t/a。</w:t>
      </w:r>
    </w:p>
    <w:p>
      <w:pPr>
        <w:spacing w:line="360" w:lineRule="auto"/>
        <w:ind w:firstLine="480" w:firstLineChars="200"/>
        <w:rPr>
          <w:rFonts w:hAnsiTheme="minorEastAsia" w:eastAsiaTheme="minorEastAsia"/>
          <w:sz w:val="24"/>
        </w:rPr>
      </w:pPr>
      <w:r>
        <w:rPr>
          <w:rFonts w:hint="eastAsia" w:hAnsiTheme="minorEastAsia" w:eastAsiaTheme="minorEastAsia"/>
          <w:sz w:val="24"/>
        </w:rPr>
        <w:t>以上粉尘排放浓度符合《煤炭工业污染物排放标准》（</w:t>
      </w:r>
      <w:r>
        <w:rPr>
          <w:rFonts w:hAnsiTheme="minorEastAsia" w:eastAsiaTheme="minorEastAsia"/>
          <w:sz w:val="24"/>
        </w:rPr>
        <w:t>GB20426</w:t>
      </w:r>
      <w:r>
        <w:rPr>
          <w:rFonts w:hint="eastAsia" w:hAnsiTheme="minorEastAsia" w:eastAsiaTheme="minorEastAsia"/>
          <w:sz w:val="24"/>
        </w:rPr>
        <w:t>－</w:t>
      </w:r>
      <w:r>
        <w:rPr>
          <w:rFonts w:hAnsiTheme="minorEastAsia" w:eastAsiaTheme="minorEastAsia"/>
          <w:sz w:val="24"/>
        </w:rPr>
        <w:t>2006</w:t>
      </w:r>
      <w:r>
        <w:rPr>
          <w:rFonts w:hint="eastAsia" w:hAnsiTheme="minorEastAsia" w:eastAsiaTheme="minorEastAsia"/>
          <w:sz w:val="24"/>
        </w:rPr>
        <w:t>）表</w:t>
      </w:r>
      <w:r>
        <w:rPr>
          <w:rFonts w:hAnsiTheme="minorEastAsia" w:eastAsiaTheme="minorEastAsia"/>
          <w:sz w:val="24"/>
        </w:rPr>
        <w:t>4</w:t>
      </w:r>
      <w:r>
        <w:rPr>
          <w:rFonts w:hint="eastAsia" w:hAnsiTheme="minorEastAsia" w:eastAsiaTheme="minorEastAsia"/>
          <w:sz w:val="24"/>
        </w:rPr>
        <w:t>中的排放限值要求。</w:t>
      </w:r>
    </w:p>
    <w:p>
      <w:pPr>
        <w:spacing w:line="360" w:lineRule="auto"/>
        <w:ind w:firstLine="482" w:firstLineChars="200"/>
        <w:rPr>
          <w:rFonts w:eastAsiaTheme="minorEastAsia"/>
          <w:b/>
          <w:sz w:val="24"/>
        </w:rPr>
      </w:pPr>
      <w:r>
        <w:rPr>
          <w:rFonts w:hint="eastAsia" w:eastAsiaTheme="minorEastAsia"/>
          <w:b/>
          <w:sz w:val="24"/>
        </w:rPr>
        <w:t>变更后：</w:t>
      </w:r>
    </w:p>
    <w:p>
      <w:pPr>
        <w:spacing w:line="360" w:lineRule="auto"/>
        <w:ind w:firstLine="480" w:firstLineChars="200"/>
        <w:rPr>
          <w:rFonts w:eastAsiaTheme="minorEastAsia"/>
          <w:sz w:val="24"/>
        </w:rPr>
      </w:pPr>
      <w:r>
        <w:rPr>
          <w:rFonts w:hint="eastAsia" w:eastAsiaTheme="minorEastAsia"/>
          <w:sz w:val="24"/>
        </w:rPr>
        <w:t>原煤破碎、筛分依托现已收购的龙宇洗煤厂，</w:t>
      </w:r>
      <w:r>
        <w:rPr>
          <w:rFonts w:hint="eastAsia" w:hAnsiTheme="minorEastAsia" w:eastAsiaTheme="minorEastAsia"/>
          <w:sz w:val="24"/>
        </w:rPr>
        <w:t>2009年9月28日该</w:t>
      </w:r>
      <w:r>
        <w:rPr>
          <w:rFonts w:hAnsiTheme="minorEastAsia" w:eastAsiaTheme="minorEastAsia"/>
          <w:sz w:val="24"/>
        </w:rPr>
        <w:t>洗煤厂经吕梁市环境保护局吕环行审</w:t>
      </w:r>
      <w:r>
        <w:rPr>
          <w:rFonts w:eastAsiaTheme="minorEastAsia"/>
          <w:sz w:val="24"/>
        </w:rPr>
        <w:t>[2009]123</w:t>
      </w:r>
      <w:r>
        <w:rPr>
          <w:rFonts w:hAnsiTheme="minorEastAsia" w:eastAsiaTheme="minorEastAsia"/>
          <w:sz w:val="24"/>
        </w:rPr>
        <w:t>号文批复</w:t>
      </w:r>
      <w:r>
        <w:rPr>
          <w:rFonts w:hint="eastAsia" w:hAnsiTheme="minorEastAsia" w:eastAsiaTheme="minorEastAsia"/>
          <w:sz w:val="24"/>
        </w:rPr>
        <w:t>；</w:t>
      </w:r>
      <w:r>
        <w:rPr>
          <w:rFonts w:hint="eastAsia" w:eastAsiaTheme="minorEastAsia"/>
          <w:sz w:val="24"/>
        </w:rPr>
        <w:t>临县环境保护局于2019年6月13日以临环行备[2019]15号对该洗煤厂进行了环保验收，本报告不再进行环境影响评价。</w:t>
      </w:r>
    </w:p>
    <w:p>
      <w:pPr>
        <w:pStyle w:val="39"/>
        <w:ind w:firstLine="482"/>
        <w:rPr>
          <w:rFonts w:ascii="Times New Roman" w:hAnsi="Times New Roman" w:eastAsiaTheme="minorEastAsia"/>
          <w:b/>
        </w:rPr>
      </w:pPr>
      <w:r>
        <w:rPr>
          <w:rFonts w:hint="eastAsia" w:ascii="Times New Roman" w:hAnsi="Times New Roman" w:eastAsiaTheme="minorEastAsia"/>
          <w:b/>
        </w:rPr>
        <w:t>（四）</w:t>
      </w:r>
      <w:r>
        <w:rPr>
          <w:rFonts w:ascii="Times New Roman" w:hAnsi="Times New Roman" w:eastAsiaTheme="minorEastAsia"/>
          <w:b/>
        </w:rPr>
        <w:t>道路扬尘</w:t>
      </w:r>
    </w:p>
    <w:p>
      <w:pPr>
        <w:pStyle w:val="7"/>
        <w:spacing w:line="360" w:lineRule="auto"/>
        <w:ind w:firstLine="482" w:firstLineChars="200"/>
        <w:rPr>
          <w:rFonts w:hAnsiTheme="minorEastAsia" w:eastAsiaTheme="minorEastAsia"/>
          <w:b/>
          <w:sz w:val="24"/>
          <w:szCs w:val="24"/>
        </w:rPr>
      </w:pPr>
      <w:r>
        <w:rPr>
          <w:rFonts w:hint="eastAsia" w:hAnsiTheme="minorEastAsia" w:eastAsiaTheme="minorEastAsia"/>
          <w:b/>
          <w:sz w:val="24"/>
          <w:szCs w:val="24"/>
        </w:rPr>
        <w:t>原环评：</w:t>
      </w:r>
    </w:p>
    <w:p>
      <w:pPr>
        <w:pStyle w:val="7"/>
        <w:spacing w:line="360" w:lineRule="auto"/>
        <w:rPr>
          <w:rFonts w:hAnsiTheme="minorEastAsia" w:eastAsiaTheme="minorEastAsia"/>
          <w:sz w:val="24"/>
        </w:rPr>
      </w:pPr>
      <w:r>
        <w:rPr>
          <w:rFonts w:hint="eastAsia" w:hAnsiTheme="minorEastAsia" w:eastAsiaTheme="minorEastAsia"/>
          <w:sz w:val="24"/>
        </w:rPr>
        <w:t>原煤、产品及矸石运送会产生公路运输扬尘，计算公式如下：</w:t>
      </w:r>
    </w:p>
    <w:p>
      <w:pPr>
        <w:pStyle w:val="7"/>
        <w:spacing w:line="360" w:lineRule="auto"/>
        <w:rPr>
          <w:rFonts w:hAnsiTheme="minorEastAsia" w:eastAsiaTheme="minorEastAsia"/>
          <w:sz w:val="24"/>
        </w:rPr>
      </w:pPr>
      <w:r>
        <w:rPr>
          <w:rFonts w:hAnsiTheme="minorEastAsia" w:eastAsiaTheme="minorEastAsia"/>
          <w:sz w:val="24"/>
        </w:rPr>
        <w:object>
          <v:shape id="_x0000_i1030" o:spt="75" type="#_x0000_t75" style="height:31.5pt;width:166.5pt;" o:ole="t" fillcolor="#CCE8CF" filled="f" o:preferrelative="t" stroked="f" coordsize="21600,21600">
            <v:path/>
            <v:fill on="f" focussize="0,0"/>
            <v:stroke on="f" joinstyle="miter"/>
            <v:imagedata r:id="rId63" o:title=""/>
            <o:lock v:ext="edit" aspectratio="t"/>
            <w10:wrap type="none"/>
            <w10:anchorlock/>
          </v:shape>
          <o:OLEObject Type="Embed" ProgID="Equation.3" ShapeID="_x0000_i1030" DrawAspect="Content" ObjectID="_1468075730" r:id="rId62">
            <o:LockedField>false</o:LockedField>
          </o:OLEObject>
        </w:object>
      </w:r>
    </w:p>
    <w:p>
      <w:pPr>
        <w:pStyle w:val="7"/>
        <w:spacing w:line="360" w:lineRule="auto"/>
        <w:rPr>
          <w:rFonts w:hAnsiTheme="minorEastAsia" w:eastAsiaTheme="minorEastAsia"/>
          <w:b/>
          <w:sz w:val="24"/>
        </w:rPr>
      </w:pPr>
      <w:r>
        <w:rPr>
          <w:rFonts w:hAnsiTheme="minorEastAsia" w:eastAsiaTheme="minorEastAsia"/>
          <w:b/>
          <w:sz w:val="24"/>
        </w:rPr>
        <w:object>
          <v:shape id="_x0000_i1031" o:spt="75" type="#_x0000_t75" style="height:19.5pt;width:94.5pt;" o:ole="t" fillcolor="#CCE8CF" filled="f" o:preferrelative="t" stroked="f" coordsize="21600,21600">
            <v:path/>
            <v:fill on="f" focussize="0,0"/>
            <v:stroke on="f" joinstyle="miter"/>
            <v:imagedata r:id="rId65" o:title=""/>
            <o:lock v:ext="edit" aspectratio="t"/>
            <w10:wrap type="none"/>
            <w10:anchorlock/>
          </v:shape>
          <o:OLEObject Type="Embed" ProgID="Equation.3" ShapeID="_x0000_i1031" DrawAspect="Content" ObjectID="_1468075731" r:id="rId64">
            <o:LockedField>false</o:LockedField>
          </o:OLEObject>
        </w:object>
      </w:r>
    </w:p>
    <w:p>
      <w:pPr>
        <w:pStyle w:val="7"/>
        <w:spacing w:line="360" w:lineRule="auto"/>
        <w:rPr>
          <w:rFonts w:hAnsiTheme="minorEastAsia" w:eastAsiaTheme="minorEastAsia"/>
          <w:sz w:val="24"/>
        </w:rPr>
      </w:pPr>
      <w:r>
        <w:rPr>
          <w:rFonts w:hint="eastAsia" w:hAnsiTheme="minorEastAsia" w:eastAsiaTheme="minorEastAsia"/>
          <w:sz w:val="24"/>
        </w:rPr>
        <w:t>式中：</w:t>
      </w:r>
      <w:r>
        <w:rPr>
          <w:rFonts w:hAnsiTheme="minorEastAsia" w:eastAsiaTheme="minorEastAsia"/>
          <w:sz w:val="24"/>
        </w:rPr>
        <w:object>
          <v:shape id="_x0000_i1032" o:spt="75" type="#_x0000_t75" style="height:19.5pt;width:16.5pt;" o:ole="t" fillcolor="#CCE8CF" filled="f" o:preferrelative="t" stroked="f" coordsize="21600,21600">
            <v:path/>
            <v:fill on="f" focussize="0,0"/>
            <v:stroke on="f" joinstyle="miter"/>
            <v:imagedata r:id="rId67" o:title=""/>
            <o:lock v:ext="edit" aspectratio="t"/>
            <w10:wrap type="none"/>
            <w10:anchorlock/>
          </v:shape>
          <o:OLEObject Type="Embed" ProgID="Equation.3" ShapeID="_x0000_i1032" DrawAspect="Content" ObjectID="_1468075732" r:id="rId66">
            <o:LockedField>false</o:LockedField>
          </o:OLEObject>
        </w:object>
      </w:r>
      <w:r>
        <w:rPr>
          <w:rFonts w:hAnsiTheme="minorEastAsia" w:eastAsiaTheme="minorEastAsia"/>
          <w:sz w:val="24"/>
        </w:rPr>
        <w:t>——</w:t>
      </w:r>
      <w:r>
        <w:rPr>
          <w:rFonts w:hint="eastAsia" w:hAnsiTheme="minorEastAsia" w:eastAsiaTheme="minorEastAsia"/>
          <w:sz w:val="24"/>
        </w:rPr>
        <w:t>道路扬尘量</w:t>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int="eastAsia" w:hAnsiTheme="minorEastAsia" w:eastAsiaTheme="minorEastAsia"/>
          <w:sz w:val="24"/>
        </w:rPr>
        <w:t>（</w:t>
      </w:r>
      <w:r>
        <w:rPr>
          <w:rFonts w:hAnsiTheme="minorEastAsia" w:eastAsiaTheme="minorEastAsia"/>
          <w:sz w:val="24"/>
        </w:rPr>
        <w:t>kg/km·</w:t>
      </w:r>
      <w:r>
        <w:rPr>
          <w:rFonts w:hint="eastAsia" w:hAnsiTheme="minorEastAsia" w:eastAsiaTheme="minorEastAsia"/>
          <w:sz w:val="24"/>
        </w:rPr>
        <w:t>辆）</w:t>
      </w:r>
    </w:p>
    <w:p>
      <w:pPr>
        <w:pStyle w:val="7"/>
        <w:spacing w:line="360" w:lineRule="auto"/>
        <w:ind w:firstLine="1080" w:firstLineChars="450"/>
        <w:rPr>
          <w:rFonts w:hAnsiTheme="minorEastAsia" w:eastAsiaTheme="minorEastAsia"/>
          <w:sz w:val="24"/>
        </w:rPr>
      </w:pPr>
      <w:r>
        <w:rPr>
          <w:rFonts w:hAnsiTheme="minorEastAsia" w:eastAsiaTheme="minorEastAsia"/>
          <w:sz w:val="24"/>
        </w:rPr>
        <w:object>
          <v:shape id="_x0000_i1033" o:spt="75" type="#_x0000_t75" style="height:19.5pt;width:16.5pt;" o:ole="t" fillcolor="#CCE8CF" filled="f" o:preferrelative="t" stroked="f" coordsize="21600,21600">
            <v:path/>
            <v:fill on="f" focussize="0,0"/>
            <v:stroke on="f" joinstyle="miter"/>
            <v:imagedata r:id="rId69" o:title=""/>
            <o:lock v:ext="edit" aspectratio="t"/>
            <w10:wrap type="none"/>
            <w10:anchorlock/>
          </v:shape>
          <o:OLEObject Type="Embed" ProgID="Equation.3" ShapeID="_x0000_i1033" DrawAspect="Content" ObjectID="_1468075733" r:id="rId68">
            <o:LockedField>false</o:LockedField>
          </o:OLEObject>
        </w:object>
      </w:r>
      <w:r>
        <w:rPr>
          <w:rFonts w:hAnsiTheme="minorEastAsia" w:eastAsiaTheme="minorEastAsia"/>
          <w:sz w:val="24"/>
        </w:rPr>
        <w:t>——</w:t>
      </w:r>
      <w:r>
        <w:rPr>
          <w:rFonts w:hint="eastAsia" w:hAnsiTheme="minorEastAsia" w:eastAsiaTheme="minorEastAsia"/>
          <w:sz w:val="24"/>
        </w:rPr>
        <w:t>总扬尘量</w:t>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int="eastAsia" w:hAnsiTheme="minorEastAsia" w:eastAsiaTheme="minorEastAsia"/>
          <w:sz w:val="24"/>
        </w:rPr>
        <w:t xml:space="preserve">   （</w:t>
      </w:r>
      <w:r>
        <w:rPr>
          <w:rFonts w:hAnsiTheme="minorEastAsia" w:eastAsiaTheme="minorEastAsia"/>
          <w:sz w:val="24"/>
        </w:rPr>
        <w:t>kg/a</w:t>
      </w:r>
      <w:r>
        <w:rPr>
          <w:rFonts w:hint="eastAsia" w:hAnsiTheme="minorEastAsia" w:eastAsiaTheme="minorEastAsia"/>
          <w:sz w:val="24"/>
        </w:rPr>
        <w:t>）</w:t>
      </w:r>
    </w:p>
    <w:p>
      <w:pPr>
        <w:pStyle w:val="7"/>
        <w:spacing w:line="360" w:lineRule="auto"/>
        <w:ind w:firstLine="1080" w:firstLineChars="450"/>
        <w:rPr>
          <w:rFonts w:hAnsiTheme="minorEastAsia" w:eastAsiaTheme="minorEastAsia"/>
          <w:sz w:val="24"/>
        </w:rPr>
      </w:pPr>
      <w:r>
        <w:rPr>
          <w:rFonts w:hAnsiTheme="minorEastAsia" w:eastAsiaTheme="minorEastAsia"/>
          <w:sz w:val="24"/>
        </w:rPr>
        <w:t>V——</w:t>
      </w:r>
      <w:r>
        <w:rPr>
          <w:rFonts w:hint="eastAsia" w:hAnsiTheme="minorEastAsia" w:eastAsiaTheme="minorEastAsia"/>
          <w:sz w:val="24"/>
        </w:rPr>
        <w:t>车辆速度</w:t>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int="eastAsia" w:hAnsiTheme="minorEastAsia" w:eastAsiaTheme="minorEastAsia"/>
          <w:sz w:val="24"/>
        </w:rPr>
        <w:t>（</w:t>
      </w:r>
      <w:r>
        <w:rPr>
          <w:rFonts w:hAnsiTheme="minorEastAsia" w:eastAsiaTheme="minorEastAsia"/>
          <w:sz w:val="24"/>
        </w:rPr>
        <w:t>20km/h</w:t>
      </w:r>
      <w:r>
        <w:rPr>
          <w:rFonts w:hint="eastAsia" w:hAnsiTheme="minorEastAsia" w:eastAsiaTheme="minorEastAsia"/>
          <w:sz w:val="24"/>
        </w:rPr>
        <w:t>）</w:t>
      </w:r>
    </w:p>
    <w:p>
      <w:pPr>
        <w:pStyle w:val="7"/>
        <w:spacing w:line="360" w:lineRule="auto"/>
        <w:ind w:firstLine="1080" w:firstLineChars="450"/>
        <w:rPr>
          <w:rFonts w:hAnsiTheme="minorEastAsia" w:eastAsiaTheme="minorEastAsia"/>
          <w:sz w:val="24"/>
        </w:rPr>
      </w:pPr>
      <w:r>
        <w:rPr>
          <w:rFonts w:hAnsiTheme="minorEastAsia" w:eastAsiaTheme="minorEastAsia"/>
          <w:sz w:val="24"/>
        </w:rPr>
        <w:t>M——</w:t>
      </w:r>
      <w:r>
        <w:rPr>
          <w:rFonts w:hint="eastAsia" w:hAnsiTheme="minorEastAsia" w:eastAsiaTheme="minorEastAsia"/>
          <w:sz w:val="24"/>
        </w:rPr>
        <w:t>车辆载重</w:t>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int="eastAsia" w:hAnsiTheme="minorEastAsia" w:eastAsiaTheme="minorEastAsia"/>
          <w:sz w:val="24"/>
        </w:rPr>
        <w:t>（</w:t>
      </w:r>
      <w:r>
        <w:rPr>
          <w:rFonts w:hAnsiTheme="minorEastAsia" w:eastAsiaTheme="minorEastAsia"/>
          <w:sz w:val="24"/>
        </w:rPr>
        <w:t>40T/</w:t>
      </w:r>
      <w:r>
        <w:rPr>
          <w:rFonts w:hint="eastAsia" w:hAnsiTheme="minorEastAsia" w:eastAsiaTheme="minorEastAsia"/>
          <w:sz w:val="24"/>
        </w:rPr>
        <w:t>辆）</w:t>
      </w:r>
    </w:p>
    <w:p>
      <w:pPr>
        <w:pStyle w:val="7"/>
        <w:spacing w:line="360" w:lineRule="auto"/>
        <w:ind w:firstLine="1080" w:firstLineChars="450"/>
        <w:rPr>
          <w:rFonts w:hAnsiTheme="minorEastAsia" w:eastAsiaTheme="minorEastAsia"/>
          <w:sz w:val="24"/>
        </w:rPr>
      </w:pPr>
      <w:r>
        <w:rPr>
          <w:rFonts w:hAnsiTheme="minorEastAsia" w:eastAsiaTheme="minorEastAsia"/>
          <w:sz w:val="24"/>
        </w:rPr>
        <w:t>P——</w:t>
      </w:r>
      <w:r>
        <w:rPr>
          <w:rFonts w:hint="eastAsia" w:hAnsiTheme="minorEastAsia" w:eastAsiaTheme="minorEastAsia"/>
          <w:sz w:val="24"/>
        </w:rPr>
        <w:t>路面灰尘覆盖量</w:t>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int="eastAsia" w:hAnsiTheme="minorEastAsia" w:eastAsiaTheme="minorEastAsia"/>
          <w:sz w:val="24"/>
        </w:rPr>
        <w:t>（</w:t>
      </w:r>
      <w:r>
        <w:rPr>
          <w:rFonts w:hAnsiTheme="minorEastAsia" w:eastAsiaTheme="minorEastAsia"/>
          <w:sz w:val="24"/>
        </w:rPr>
        <w:t>0.05kg/m</w:t>
      </w:r>
      <w:r>
        <w:rPr>
          <w:rFonts w:hAnsiTheme="minorEastAsia" w:eastAsiaTheme="minorEastAsia"/>
          <w:sz w:val="24"/>
          <w:vertAlign w:val="superscript"/>
        </w:rPr>
        <w:t>2</w:t>
      </w:r>
      <w:r>
        <w:rPr>
          <w:rFonts w:hint="eastAsia" w:hAnsiTheme="minorEastAsia" w:eastAsiaTheme="minorEastAsia"/>
          <w:sz w:val="24"/>
        </w:rPr>
        <w:t>）</w:t>
      </w:r>
    </w:p>
    <w:p>
      <w:pPr>
        <w:pStyle w:val="7"/>
        <w:spacing w:line="360" w:lineRule="auto"/>
        <w:ind w:firstLine="1080" w:firstLineChars="450"/>
        <w:rPr>
          <w:rFonts w:hAnsiTheme="minorEastAsia" w:eastAsiaTheme="minorEastAsia"/>
          <w:sz w:val="24"/>
        </w:rPr>
      </w:pPr>
      <w:r>
        <w:rPr>
          <w:rFonts w:hAnsiTheme="minorEastAsia" w:eastAsiaTheme="minorEastAsia"/>
          <w:sz w:val="24"/>
        </w:rPr>
        <w:t>L——</w:t>
      </w:r>
      <w:r>
        <w:rPr>
          <w:rFonts w:hint="eastAsia" w:hAnsiTheme="minorEastAsia" w:eastAsiaTheme="minorEastAsia"/>
          <w:sz w:val="24"/>
        </w:rPr>
        <w:t>运距</w:t>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int="eastAsia" w:hAnsiTheme="minorEastAsia" w:eastAsiaTheme="minorEastAsia"/>
          <w:sz w:val="24"/>
        </w:rPr>
        <w:t>（</w:t>
      </w:r>
      <w:r>
        <w:rPr>
          <w:rFonts w:hAnsiTheme="minorEastAsia" w:eastAsiaTheme="minorEastAsia"/>
          <w:sz w:val="24"/>
        </w:rPr>
        <w:t>1.662km</w:t>
      </w:r>
      <w:r>
        <w:rPr>
          <w:rFonts w:hint="eastAsia" w:hAnsiTheme="minorEastAsia" w:eastAsiaTheme="minorEastAsia"/>
          <w:sz w:val="24"/>
        </w:rPr>
        <w:t>）</w:t>
      </w:r>
    </w:p>
    <w:p>
      <w:pPr>
        <w:pStyle w:val="7"/>
        <w:spacing w:line="360" w:lineRule="auto"/>
        <w:ind w:firstLine="1080" w:firstLineChars="450"/>
        <w:rPr>
          <w:rFonts w:hAnsiTheme="minorEastAsia" w:eastAsiaTheme="minorEastAsia"/>
          <w:sz w:val="24"/>
        </w:rPr>
      </w:pPr>
      <w:r>
        <w:rPr>
          <w:rFonts w:hAnsiTheme="minorEastAsia" w:eastAsiaTheme="minorEastAsia"/>
          <w:sz w:val="24"/>
        </w:rPr>
        <w:t>Q——</w:t>
      </w:r>
      <w:r>
        <w:rPr>
          <w:rFonts w:hint="eastAsia" w:hAnsiTheme="minorEastAsia" w:eastAsiaTheme="minorEastAsia"/>
          <w:sz w:val="24"/>
        </w:rPr>
        <w:t>运输量</w:t>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AnsiTheme="minorEastAsia" w:eastAsiaTheme="minorEastAsia"/>
          <w:sz w:val="24"/>
        </w:rPr>
        <w:tab/>
      </w:r>
      <w:r>
        <w:rPr>
          <w:rFonts w:hint="eastAsia" w:hAnsiTheme="minorEastAsia" w:eastAsiaTheme="minorEastAsia"/>
          <w:sz w:val="24"/>
        </w:rPr>
        <w:t>（</w:t>
      </w:r>
      <w:r>
        <w:rPr>
          <w:rFonts w:hAnsiTheme="minorEastAsia" w:eastAsiaTheme="minorEastAsia"/>
          <w:sz w:val="24"/>
        </w:rPr>
        <w:t>120×10</w:t>
      </w:r>
      <w:r>
        <w:rPr>
          <w:rFonts w:hAnsiTheme="minorEastAsia" w:eastAsiaTheme="minorEastAsia"/>
          <w:sz w:val="24"/>
          <w:vertAlign w:val="superscript"/>
        </w:rPr>
        <w:t>4</w:t>
      </w:r>
      <w:r>
        <w:rPr>
          <w:rFonts w:hAnsiTheme="minorEastAsia" w:eastAsiaTheme="minorEastAsia"/>
          <w:sz w:val="24"/>
        </w:rPr>
        <w:t>t/a</w:t>
      </w:r>
      <w:r>
        <w:rPr>
          <w:rFonts w:hint="eastAsia" w:hAnsiTheme="minorEastAsia" w:eastAsiaTheme="minorEastAsia"/>
          <w:sz w:val="24"/>
        </w:rPr>
        <w:t>）；</w:t>
      </w:r>
    </w:p>
    <w:p>
      <w:pPr>
        <w:pStyle w:val="7"/>
        <w:spacing w:line="360" w:lineRule="auto"/>
        <w:rPr>
          <w:rFonts w:hAnsiTheme="minorEastAsia" w:eastAsiaTheme="minorEastAsia"/>
          <w:sz w:val="24"/>
        </w:rPr>
      </w:pPr>
      <w:r>
        <w:rPr>
          <w:rFonts w:hint="eastAsia" w:hAnsiTheme="minorEastAsia" w:eastAsiaTheme="minorEastAsia"/>
          <w:sz w:val="24"/>
        </w:rPr>
        <w:t>道路扬尘量每辆每公里</w:t>
      </w:r>
      <w:r>
        <w:rPr>
          <w:rFonts w:hAnsiTheme="minorEastAsia" w:eastAsiaTheme="minorEastAsia"/>
          <w:sz w:val="24"/>
        </w:rPr>
        <w:t>1.49kg</w:t>
      </w:r>
      <w:r>
        <w:rPr>
          <w:rFonts w:hint="eastAsia" w:hAnsiTheme="minorEastAsia" w:eastAsiaTheme="minorEastAsia"/>
          <w:sz w:val="24"/>
        </w:rPr>
        <w:t>，每年扬尘产生量</w:t>
      </w:r>
      <w:r>
        <w:rPr>
          <w:rFonts w:hAnsiTheme="minorEastAsia" w:eastAsiaTheme="minorEastAsia"/>
          <w:sz w:val="24"/>
        </w:rPr>
        <w:t>221.38t</w:t>
      </w:r>
      <w:r>
        <w:rPr>
          <w:rFonts w:hint="eastAsia" w:hAnsiTheme="minorEastAsia" w:eastAsiaTheme="minorEastAsia"/>
          <w:sz w:val="24"/>
        </w:rPr>
        <w:t>。</w:t>
      </w:r>
      <w:r>
        <w:rPr>
          <w:rFonts w:hAnsiTheme="minorEastAsia" w:eastAsiaTheme="minorEastAsia"/>
          <w:sz w:val="24"/>
          <w:szCs w:val="24"/>
        </w:rPr>
        <w:t>为了减少运煤车产生的道路扬尘，首先应将运煤汽车改为全封闭厢式车，对出厂运煤汽车车轮进行清洗等方法，其次对运输道路路面进行水泥面硬化修整，出现损坏及时修复，定期洒水清扫，</w:t>
      </w:r>
      <w:r>
        <w:rPr>
          <w:rFonts w:hAnsiTheme="minorEastAsia" w:eastAsiaTheme="minorEastAsia"/>
          <w:spacing w:val="-4"/>
          <w:sz w:val="24"/>
        </w:rPr>
        <w:t>另外，在运输道路两侧植树绿化</w:t>
      </w:r>
      <w:r>
        <w:rPr>
          <w:rFonts w:hint="eastAsia" w:hAnsiTheme="minorEastAsia" w:eastAsiaTheme="minorEastAsia"/>
          <w:spacing w:val="-4"/>
          <w:sz w:val="24"/>
        </w:rPr>
        <w:t>，</w:t>
      </w:r>
      <w:r>
        <w:rPr>
          <w:rFonts w:hAnsiTheme="minorEastAsia" w:eastAsiaTheme="minorEastAsia"/>
          <w:spacing w:val="-4"/>
          <w:sz w:val="24"/>
        </w:rPr>
        <w:t>可选用适宜当地生长且对有害气体抗吸性及滞留力强的树种，如毛白杨、松柏、紫槐等，既可减少粉尘污染，又可美化环境。在采取以上措施后，可以减少汽车运输尘量</w:t>
      </w:r>
      <w:r>
        <w:rPr>
          <w:rFonts w:eastAsiaTheme="minorEastAsia"/>
          <w:spacing w:val="-4"/>
          <w:sz w:val="24"/>
        </w:rPr>
        <w:t>80%</w:t>
      </w:r>
      <w:r>
        <w:rPr>
          <w:rFonts w:hint="eastAsia" w:hAnsiTheme="minorEastAsia" w:eastAsiaTheme="minorEastAsia"/>
          <w:spacing w:val="-4"/>
          <w:sz w:val="24"/>
        </w:rPr>
        <w:t>，</w:t>
      </w:r>
      <w:r>
        <w:rPr>
          <w:rFonts w:hint="eastAsia" w:hAnsiTheme="minorEastAsia" w:eastAsiaTheme="minorEastAsia"/>
          <w:sz w:val="24"/>
        </w:rPr>
        <w:t>经治理后道路扬尘</w:t>
      </w:r>
      <w:r>
        <w:rPr>
          <w:rFonts w:hAnsiTheme="minorEastAsia" w:eastAsiaTheme="minorEastAsia"/>
          <w:sz w:val="24"/>
        </w:rPr>
        <w:t>44.28t/a</w:t>
      </w:r>
      <w:r>
        <w:rPr>
          <w:rFonts w:hint="eastAsia" w:hAnsiTheme="minorEastAsia" w:eastAsiaTheme="minorEastAsia"/>
          <w:sz w:val="24"/>
        </w:rPr>
        <w:t>。</w:t>
      </w:r>
    </w:p>
    <w:p>
      <w:pPr>
        <w:spacing w:line="360" w:lineRule="auto"/>
        <w:ind w:firstLine="482" w:firstLineChars="200"/>
        <w:rPr>
          <w:rFonts w:eastAsiaTheme="minorEastAsia"/>
          <w:b/>
          <w:sz w:val="24"/>
        </w:rPr>
      </w:pPr>
      <w:r>
        <w:rPr>
          <w:rFonts w:hint="eastAsia" w:eastAsiaTheme="minorEastAsia"/>
          <w:b/>
          <w:sz w:val="24"/>
        </w:rPr>
        <w:t>变更后：</w:t>
      </w:r>
    </w:p>
    <w:p>
      <w:pPr>
        <w:spacing w:line="360" w:lineRule="auto"/>
        <w:ind w:firstLine="480" w:firstLineChars="200"/>
        <w:rPr>
          <w:rFonts w:hAnsiTheme="minorEastAsia" w:eastAsiaTheme="minorEastAsia"/>
          <w:sz w:val="24"/>
        </w:rPr>
      </w:pPr>
      <w:r>
        <w:rPr>
          <w:rFonts w:hint="eastAsia" w:hAnsiTheme="minorEastAsia" w:eastAsiaTheme="minorEastAsia"/>
          <w:sz w:val="24"/>
        </w:rPr>
        <w:t>同原环评，无变更。</w:t>
      </w:r>
    </w:p>
    <w:p>
      <w:pPr>
        <w:pStyle w:val="39"/>
        <w:ind w:firstLine="482"/>
        <w:rPr>
          <w:rFonts w:ascii="Times New Roman" w:hAnsi="Times New Roman" w:eastAsiaTheme="minorEastAsia"/>
          <w:b/>
        </w:rPr>
      </w:pPr>
      <w:r>
        <w:rPr>
          <w:rFonts w:hint="eastAsia" w:ascii="Times New Roman" w:hAnsi="Times New Roman" w:eastAsiaTheme="minorEastAsia"/>
          <w:b/>
        </w:rPr>
        <w:t>（五）矸石堆场扬尘</w:t>
      </w:r>
    </w:p>
    <w:p>
      <w:pPr>
        <w:pStyle w:val="7"/>
        <w:spacing w:line="360" w:lineRule="auto"/>
        <w:ind w:firstLine="482" w:firstLineChars="200"/>
        <w:rPr>
          <w:rFonts w:hAnsiTheme="minorEastAsia" w:eastAsiaTheme="minorEastAsia"/>
          <w:b/>
          <w:sz w:val="24"/>
          <w:szCs w:val="24"/>
        </w:rPr>
      </w:pPr>
      <w:r>
        <w:rPr>
          <w:rFonts w:hint="eastAsia" w:hAnsiTheme="minorEastAsia" w:eastAsiaTheme="minorEastAsia"/>
          <w:b/>
          <w:sz w:val="24"/>
          <w:szCs w:val="24"/>
        </w:rPr>
        <w:t>原环评：</w:t>
      </w:r>
    </w:p>
    <w:p>
      <w:pPr>
        <w:spacing w:line="360" w:lineRule="auto"/>
        <w:ind w:firstLine="480" w:firstLineChars="200"/>
        <w:rPr>
          <w:rFonts w:eastAsiaTheme="minorEastAsia"/>
          <w:sz w:val="24"/>
        </w:rPr>
      </w:pPr>
      <w:r>
        <w:rPr>
          <w:rFonts w:hAnsiTheme="minorEastAsia" w:eastAsiaTheme="minorEastAsia"/>
          <w:sz w:val="24"/>
        </w:rPr>
        <w:t>矸石场堆存作业过程中的起尘量如下：</w:t>
      </w:r>
    </w:p>
    <w:p>
      <w:pPr>
        <w:pStyle w:val="13"/>
        <w:spacing w:line="360" w:lineRule="auto"/>
        <w:jc w:val="center"/>
        <w:rPr>
          <w:rFonts w:ascii="Times New Roman" w:hAnsi="Times New Roman" w:eastAsiaTheme="minorEastAsia"/>
          <w:bCs/>
          <w:sz w:val="24"/>
          <w:szCs w:val="24"/>
          <w:lang w:val="es-ES"/>
        </w:rPr>
      </w:pPr>
      <w:r>
        <w:rPr>
          <w:rFonts w:ascii="Times New Roman" w:hAnsi="Times New Roman" w:eastAsiaTheme="minorEastAsia"/>
          <w:sz w:val="24"/>
          <w:szCs w:val="24"/>
          <w:lang w:val="es-ES"/>
        </w:rPr>
        <w:t>Q=11.7U</w:t>
      </w:r>
      <w:r>
        <w:rPr>
          <w:rFonts w:ascii="Times New Roman" w:hAnsi="Times New Roman" w:eastAsiaTheme="minorEastAsia"/>
          <w:sz w:val="24"/>
          <w:szCs w:val="24"/>
          <w:vertAlign w:val="superscript"/>
          <w:lang w:val="es-ES"/>
        </w:rPr>
        <w:t>2.45</w:t>
      </w:r>
      <w:r>
        <w:rPr>
          <w:rFonts w:ascii="Times New Roman" w:hAnsi="Times New Roman" w:eastAsiaTheme="minorEastAsia"/>
          <w:sz w:val="24"/>
          <w:szCs w:val="24"/>
          <w:lang w:val="es-ES"/>
        </w:rPr>
        <w:t>·S</w:t>
      </w:r>
      <w:r>
        <w:rPr>
          <w:rFonts w:ascii="Times New Roman" w:hAnsi="Times New Roman" w:eastAsiaTheme="minorEastAsia"/>
          <w:sz w:val="24"/>
          <w:szCs w:val="24"/>
          <w:vertAlign w:val="superscript"/>
          <w:lang w:val="es-ES"/>
        </w:rPr>
        <w:t>0.345</w:t>
      </w:r>
      <w:r>
        <w:rPr>
          <w:rFonts w:ascii="Times New Roman" w:hAnsi="Times New Roman" w:eastAsiaTheme="minorEastAsia"/>
          <w:sz w:val="24"/>
          <w:szCs w:val="24"/>
          <w:lang w:val="es-ES"/>
        </w:rPr>
        <w:t>·e</w:t>
      </w:r>
      <w:r>
        <w:rPr>
          <w:rFonts w:ascii="Times New Roman" w:hAnsi="Times New Roman" w:eastAsiaTheme="minorEastAsia"/>
          <w:sz w:val="24"/>
          <w:szCs w:val="24"/>
          <w:vertAlign w:val="superscript"/>
          <w:lang w:val="es-ES"/>
        </w:rPr>
        <w:t>-0.5</w:t>
      </w:r>
      <w:r>
        <w:rPr>
          <w:rFonts w:ascii="Times New Roman" w:hAnsi="Times New Roman" w:eastAsiaTheme="minorEastAsia"/>
          <w:sz w:val="24"/>
          <w:szCs w:val="24"/>
          <w:vertAlign w:val="superscript"/>
        </w:rPr>
        <w:t>ω</w:t>
      </w:r>
      <w:r>
        <w:rPr>
          <w:rFonts w:ascii="Times New Roman" w:hAnsi="Times New Roman" w:eastAsiaTheme="minorEastAsia"/>
          <w:sz w:val="24"/>
          <w:szCs w:val="24"/>
          <w:lang w:val="es-ES"/>
        </w:rPr>
        <w:t>·e</w:t>
      </w:r>
      <w:r>
        <w:rPr>
          <w:rFonts w:ascii="Times New Roman" w:hAnsi="Times New Roman" w:eastAsiaTheme="minorEastAsia"/>
          <w:sz w:val="24"/>
          <w:szCs w:val="24"/>
          <w:vertAlign w:val="superscript"/>
          <w:lang w:val="es-ES"/>
        </w:rPr>
        <w:t>W-0.07</w:t>
      </w:r>
    </w:p>
    <w:p>
      <w:pPr>
        <w:pStyle w:val="13"/>
        <w:spacing w:line="360" w:lineRule="auto"/>
        <w:ind w:firstLine="475" w:firstLineChars="198"/>
        <w:rPr>
          <w:rFonts w:ascii="Times New Roman" w:hAnsi="Times New Roman" w:eastAsiaTheme="minorEastAsia"/>
          <w:bCs/>
          <w:sz w:val="24"/>
          <w:szCs w:val="24"/>
        </w:rPr>
      </w:pPr>
      <w:r>
        <w:rPr>
          <w:rFonts w:ascii="Times New Roman" w:hAnsiTheme="minorEastAsia" w:eastAsiaTheme="minorEastAsia"/>
          <w:bCs/>
          <w:sz w:val="24"/>
          <w:szCs w:val="24"/>
        </w:rPr>
        <w:t>式中：</w:t>
      </w:r>
      <w:r>
        <w:rPr>
          <w:rFonts w:ascii="Times New Roman" w:hAnsi="Times New Roman" w:eastAsiaTheme="minorEastAsia"/>
          <w:bCs/>
          <w:sz w:val="24"/>
          <w:szCs w:val="24"/>
        </w:rPr>
        <w:t>Q—</w:t>
      </w:r>
      <w:r>
        <w:rPr>
          <w:rFonts w:ascii="Times New Roman" w:hAnsiTheme="minorEastAsia" w:eastAsiaTheme="minorEastAsia"/>
          <w:bCs/>
          <w:sz w:val="24"/>
          <w:szCs w:val="24"/>
        </w:rPr>
        <w:t>物料起尘，（</w:t>
      </w:r>
      <w:r>
        <w:rPr>
          <w:rFonts w:ascii="Times New Roman" w:hAnsi="Times New Roman" w:eastAsiaTheme="minorEastAsia"/>
          <w:bCs/>
          <w:sz w:val="24"/>
          <w:szCs w:val="24"/>
        </w:rPr>
        <w:t>mg/s</w:t>
      </w:r>
      <w:r>
        <w:rPr>
          <w:rFonts w:hint="eastAsia" w:ascii="Times New Roman" w:hAnsi="Times New Roman" w:eastAsiaTheme="minorEastAsia"/>
          <w:bCs/>
          <w:sz w:val="24"/>
          <w:szCs w:val="24"/>
        </w:rPr>
        <w:t>）</w:t>
      </w:r>
      <w:r>
        <w:rPr>
          <w:rFonts w:hint="eastAsia" w:ascii="Times New Roman" w:hAnsiTheme="minorEastAsia" w:eastAsiaTheme="minorEastAsia"/>
          <w:bCs/>
          <w:sz w:val="24"/>
          <w:szCs w:val="24"/>
        </w:rPr>
        <w:t>；</w:t>
      </w:r>
    </w:p>
    <w:p>
      <w:pPr>
        <w:pStyle w:val="13"/>
        <w:spacing w:line="360" w:lineRule="auto"/>
        <w:ind w:firstLine="1200" w:firstLineChars="500"/>
        <w:rPr>
          <w:rFonts w:ascii="Times New Roman" w:hAnsi="Times New Roman" w:eastAsiaTheme="minorEastAsia"/>
          <w:bCs/>
          <w:sz w:val="24"/>
          <w:szCs w:val="24"/>
        </w:rPr>
      </w:pPr>
      <w:r>
        <w:rPr>
          <w:rFonts w:ascii="Times New Roman" w:hAnsi="Times New Roman" w:eastAsiaTheme="minorEastAsia"/>
          <w:bCs/>
          <w:sz w:val="24"/>
          <w:szCs w:val="24"/>
        </w:rPr>
        <w:t>U—</w:t>
      </w:r>
      <w:r>
        <w:rPr>
          <w:rFonts w:ascii="Times New Roman" w:hAnsiTheme="minorEastAsia" w:eastAsiaTheme="minorEastAsia"/>
          <w:bCs/>
          <w:sz w:val="24"/>
          <w:szCs w:val="24"/>
        </w:rPr>
        <w:t>风速（</w:t>
      </w:r>
      <w:r>
        <w:rPr>
          <w:rFonts w:ascii="Times New Roman" w:hAnsi="Times New Roman" w:eastAsiaTheme="minorEastAsia"/>
          <w:bCs/>
          <w:sz w:val="24"/>
          <w:szCs w:val="24"/>
        </w:rPr>
        <w:t>5m/s</w:t>
      </w:r>
      <w:r>
        <w:rPr>
          <w:rFonts w:ascii="Times New Roman" w:hAnsiTheme="minorEastAsia" w:eastAsiaTheme="minorEastAsia"/>
          <w:bCs/>
          <w:sz w:val="24"/>
          <w:szCs w:val="24"/>
        </w:rPr>
        <w:t>）</w:t>
      </w:r>
      <w:r>
        <w:rPr>
          <w:rFonts w:hint="eastAsia" w:ascii="Times New Roman" w:hAnsi="Times New Roman" w:eastAsiaTheme="minorEastAsia"/>
          <w:bCs/>
          <w:sz w:val="24"/>
          <w:szCs w:val="24"/>
        </w:rPr>
        <w:t>；</w:t>
      </w:r>
    </w:p>
    <w:p>
      <w:pPr>
        <w:pStyle w:val="13"/>
        <w:spacing w:line="360" w:lineRule="auto"/>
        <w:ind w:firstLine="1200" w:firstLineChars="500"/>
        <w:rPr>
          <w:rFonts w:ascii="Times New Roman" w:hAnsi="Times New Roman" w:eastAsiaTheme="minorEastAsia"/>
          <w:bCs/>
          <w:sz w:val="24"/>
          <w:szCs w:val="24"/>
        </w:rPr>
      </w:pPr>
      <w:r>
        <w:rPr>
          <w:rFonts w:ascii="Times New Roman" w:hAnsi="Times New Roman" w:eastAsiaTheme="minorEastAsia"/>
          <w:bCs/>
          <w:sz w:val="24"/>
          <w:szCs w:val="24"/>
        </w:rPr>
        <w:t>S—</w:t>
      </w:r>
      <w:r>
        <w:rPr>
          <w:rFonts w:ascii="Times New Roman" w:hAnsiTheme="minorEastAsia" w:eastAsiaTheme="minorEastAsia"/>
          <w:bCs/>
          <w:sz w:val="24"/>
          <w:szCs w:val="24"/>
        </w:rPr>
        <w:t>堆场面积（</w:t>
      </w:r>
      <w:r>
        <w:rPr>
          <w:rFonts w:ascii="Times New Roman" w:hAnsi="Times New Roman" w:eastAsiaTheme="minorEastAsia"/>
          <w:bCs/>
          <w:sz w:val="24"/>
          <w:szCs w:val="24"/>
        </w:rPr>
        <w:t>m</w:t>
      </w:r>
      <w:r>
        <w:rPr>
          <w:rFonts w:ascii="Times New Roman" w:hAnsi="Times New Roman" w:eastAsiaTheme="minorEastAsia"/>
          <w:bCs/>
          <w:sz w:val="24"/>
          <w:szCs w:val="24"/>
          <w:vertAlign w:val="superscript"/>
        </w:rPr>
        <w:t>2</w:t>
      </w:r>
      <w:r>
        <w:rPr>
          <w:rFonts w:ascii="Times New Roman" w:hAnsiTheme="minorEastAsia" w:eastAsiaTheme="minorEastAsia"/>
          <w:bCs/>
          <w:sz w:val="24"/>
          <w:szCs w:val="24"/>
        </w:rPr>
        <w:t>）</w:t>
      </w:r>
      <w:r>
        <w:rPr>
          <w:rFonts w:hint="eastAsia" w:ascii="Times New Roman" w:hAnsiTheme="minorEastAsia" w:eastAsiaTheme="minorEastAsia"/>
          <w:bCs/>
          <w:sz w:val="24"/>
          <w:szCs w:val="24"/>
        </w:rPr>
        <w:t>；</w:t>
      </w:r>
    </w:p>
    <w:p>
      <w:pPr>
        <w:pStyle w:val="13"/>
        <w:spacing w:line="360" w:lineRule="auto"/>
        <w:ind w:firstLine="1200" w:firstLineChars="500"/>
        <w:rPr>
          <w:rFonts w:ascii="Times New Roman" w:hAnsi="Times New Roman" w:eastAsiaTheme="minorEastAsia"/>
          <w:bCs/>
          <w:sz w:val="24"/>
          <w:szCs w:val="24"/>
        </w:rPr>
      </w:pPr>
      <w:r>
        <w:rPr>
          <w:rFonts w:ascii="Times New Roman" w:hAnsi="Times New Roman" w:eastAsiaTheme="minorEastAsia"/>
          <w:bCs/>
          <w:sz w:val="24"/>
          <w:szCs w:val="24"/>
        </w:rPr>
        <w:t>ω—</w:t>
      </w:r>
      <w:r>
        <w:rPr>
          <w:rFonts w:ascii="Times New Roman" w:hAnsiTheme="minorEastAsia" w:eastAsiaTheme="minorEastAsia"/>
          <w:bCs/>
          <w:sz w:val="24"/>
          <w:szCs w:val="24"/>
        </w:rPr>
        <w:t>空气相对湿度（</w:t>
      </w:r>
      <w:r>
        <w:rPr>
          <w:rFonts w:ascii="Times New Roman" w:hAnsi="Times New Roman" w:eastAsiaTheme="minorEastAsia"/>
          <w:bCs/>
          <w:sz w:val="24"/>
          <w:szCs w:val="24"/>
        </w:rPr>
        <w:t>60%</w:t>
      </w:r>
      <w:r>
        <w:rPr>
          <w:rFonts w:ascii="Times New Roman" w:hAnsiTheme="minorEastAsia" w:eastAsiaTheme="minorEastAsia"/>
          <w:bCs/>
          <w:sz w:val="24"/>
          <w:szCs w:val="24"/>
        </w:rPr>
        <w:t>）</w:t>
      </w:r>
      <w:r>
        <w:rPr>
          <w:rFonts w:hint="eastAsia" w:ascii="Times New Roman" w:hAnsiTheme="minorEastAsia" w:eastAsiaTheme="minorEastAsia"/>
          <w:bCs/>
          <w:sz w:val="24"/>
          <w:szCs w:val="24"/>
        </w:rPr>
        <w:t>；</w:t>
      </w:r>
    </w:p>
    <w:p>
      <w:pPr>
        <w:pStyle w:val="13"/>
        <w:spacing w:line="360" w:lineRule="auto"/>
        <w:ind w:firstLine="1200" w:firstLineChars="500"/>
        <w:rPr>
          <w:rFonts w:ascii="Times New Roman" w:hAnsi="Times New Roman" w:eastAsiaTheme="minorEastAsia"/>
          <w:bCs/>
          <w:sz w:val="24"/>
          <w:szCs w:val="24"/>
        </w:rPr>
      </w:pPr>
      <w:r>
        <w:rPr>
          <w:rFonts w:ascii="Times New Roman" w:hAnsi="Times New Roman" w:eastAsiaTheme="minorEastAsia"/>
          <w:bCs/>
          <w:sz w:val="24"/>
          <w:szCs w:val="24"/>
        </w:rPr>
        <w:t>W—</w:t>
      </w:r>
      <w:r>
        <w:rPr>
          <w:rFonts w:ascii="Times New Roman" w:hAnsiTheme="minorEastAsia" w:eastAsiaTheme="minorEastAsia"/>
          <w:bCs/>
          <w:sz w:val="24"/>
          <w:szCs w:val="24"/>
        </w:rPr>
        <w:t>物料湿度（</w:t>
      </w:r>
      <w:r>
        <w:rPr>
          <w:rFonts w:ascii="Times New Roman" w:hAnsi="Times New Roman" w:eastAsiaTheme="minorEastAsia"/>
          <w:bCs/>
          <w:sz w:val="24"/>
          <w:szCs w:val="24"/>
        </w:rPr>
        <w:t>6%</w:t>
      </w:r>
      <w:r>
        <w:rPr>
          <w:rFonts w:ascii="Times New Roman" w:hAnsiTheme="minorEastAsia" w:eastAsiaTheme="minorEastAsia"/>
          <w:bCs/>
          <w:sz w:val="24"/>
          <w:szCs w:val="24"/>
        </w:rPr>
        <w:t>）</w:t>
      </w:r>
      <w:r>
        <w:rPr>
          <w:rFonts w:hint="eastAsia" w:ascii="Times New Roman" w:hAnsiTheme="minorEastAsia" w:eastAsiaTheme="minorEastAsia"/>
          <w:bCs/>
          <w:sz w:val="24"/>
          <w:szCs w:val="24"/>
        </w:rPr>
        <w:t>。</w:t>
      </w:r>
    </w:p>
    <w:p>
      <w:pPr>
        <w:spacing w:line="360" w:lineRule="auto"/>
        <w:ind w:firstLine="480" w:firstLineChars="200"/>
        <w:rPr>
          <w:rFonts w:eastAsiaTheme="minorEastAsia"/>
          <w:sz w:val="24"/>
        </w:rPr>
      </w:pPr>
      <w:r>
        <w:rPr>
          <w:rFonts w:hAnsiTheme="minorEastAsia" w:eastAsiaTheme="minorEastAsia"/>
          <w:sz w:val="24"/>
        </w:rPr>
        <w:t>经计算矸石在倾倒、压实、覆土等过程中扬尘产生量为</w:t>
      </w:r>
      <w:r>
        <w:rPr>
          <w:rFonts w:eastAsiaTheme="minorEastAsia"/>
          <w:sz w:val="24"/>
        </w:rPr>
        <w:t>434.52t/a</w:t>
      </w:r>
      <w:r>
        <w:rPr>
          <w:rFonts w:hAnsiTheme="minorEastAsia" w:eastAsiaTheme="minorEastAsia"/>
          <w:sz w:val="24"/>
        </w:rPr>
        <w:t>，采取定时洒水降尘，避免大风天气作业等降尘措施抑尘效率可达到</w:t>
      </w:r>
      <w:r>
        <w:rPr>
          <w:rFonts w:eastAsiaTheme="minorEastAsia"/>
          <w:sz w:val="24"/>
        </w:rPr>
        <w:t>80%</w:t>
      </w:r>
      <w:r>
        <w:rPr>
          <w:rFonts w:hAnsiTheme="minorEastAsia" w:eastAsiaTheme="minorEastAsia"/>
          <w:sz w:val="24"/>
        </w:rPr>
        <w:t>，经以上措施后，估算产生的扬尘为</w:t>
      </w:r>
      <w:r>
        <w:rPr>
          <w:rFonts w:eastAsiaTheme="minorEastAsia"/>
          <w:sz w:val="24"/>
        </w:rPr>
        <w:t>86.9t/a</w:t>
      </w:r>
      <w:r>
        <w:rPr>
          <w:rFonts w:hAnsiTheme="minorEastAsia" w:eastAsiaTheme="minorEastAsia"/>
          <w:sz w:val="24"/>
        </w:rPr>
        <w:t>。</w:t>
      </w:r>
    </w:p>
    <w:p>
      <w:pPr>
        <w:spacing w:line="360" w:lineRule="auto"/>
        <w:ind w:firstLine="482" w:firstLineChars="200"/>
        <w:rPr>
          <w:rFonts w:eastAsiaTheme="minorEastAsia"/>
          <w:b/>
          <w:sz w:val="24"/>
        </w:rPr>
      </w:pPr>
      <w:r>
        <w:rPr>
          <w:rFonts w:hint="eastAsia" w:eastAsiaTheme="minorEastAsia"/>
          <w:b/>
          <w:sz w:val="24"/>
        </w:rPr>
        <w:t>变更后：</w:t>
      </w:r>
    </w:p>
    <w:p>
      <w:pPr>
        <w:spacing w:line="360" w:lineRule="auto"/>
        <w:ind w:firstLine="480" w:firstLineChars="200"/>
        <w:rPr>
          <w:rFonts w:hAnsiTheme="minorEastAsia" w:eastAsiaTheme="minorEastAsia"/>
          <w:sz w:val="24"/>
        </w:rPr>
      </w:pPr>
      <w:r>
        <w:rPr>
          <w:rFonts w:hint="eastAsia" w:hAnsiTheme="minorEastAsia" w:eastAsiaTheme="minorEastAsia"/>
          <w:sz w:val="24"/>
        </w:rPr>
        <w:t>同原环评，无变更。</w:t>
      </w:r>
    </w:p>
    <w:p>
      <w:pPr>
        <w:spacing w:line="360" w:lineRule="auto"/>
        <w:rPr>
          <w:rFonts w:eastAsiaTheme="minorEastAsia"/>
          <w:b/>
          <w:sz w:val="24"/>
        </w:rPr>
      </w:pPr>
      <w:r>
        <w:rPr>
          <w:rFonts w:eastAsiaTheme="minorEastAsia"/>
          <w:b/>
          <w:sz w:val="24"/>
        </w:rPr>
        <w:t>3.4.2.</w:t>
      </w:r>
      <w:r>
        <w:rPr>
          <w:rFonts w:hint="eastAsia" w:eastAsiaTheme="minorEastAsia"/>
          <w:b/>
          <w:sz w:val="24"/>
        </w:rPr>
        <w:t>2</w:t>
      </w:r>
      <w:r>
        <w:rPr>
          <w:rFonts w:eastAsiaTheme="minorEastAsia"/>
          <w:b/>
          <w:sz w:val="24"/>
        </w:rPr>
        <w:t>废水</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原环评：</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）矿井水</w:t>
      </w:r>
    </w:p>
    <w:p>
      <w:pPr>
        <w:spacing w:line="360" w:lineRule="auto"/>
        <w:ind w:firstLine="480" w:firstLineChars="200"/>
        <w:rPr>
          <w:rFonts w:eastAsiaTheme="minorEastAsia"/>
          <w:sz w:val="24"/>
        </w:rPr>
      </w:pPr>
      <w:r>
        <w:rPr>
          <w:rFonts w:hint="eastAsia" w:hAnsiTheme="minorEastAsia" w:eastAsiaTheme="minorEastAsia"/>
          <w:sz w:val="24"/>
        </w:rPr>
        <w:t>工业场地建设一座矿井水处理站，采用</w:t>
      </w:r>
      <w:r>
        <w:rPr>
          <w:rFonts w:eastAsiaTheme="minorEastAsia"/>
          <w:sz w:val="24"/>
        </w:rPr>
        <w:t>3</w:t>
      </w:r>
      <w:r>
        <w:rPr>
          <w:rFonts w:hAnsiTheme="minorEastAsia" w:eastAsiaTheme="minorEastAsia"/>
          <w:sz w:val="24"/>
        </w:rPr>
        <w:t>台</w:t>
      </w:r>
      <w:r>
        <w:rPr>
          <w:rFonts w:eastAsiaTheme="minorEastAsia"/>
          <w:sz w:val="24"/>
        </w:rPr>
        <w:t>J-30</w:t>
      </w:r>
      <w:r>
        <w:rPr>
          <w:rFonts w:hAnsiTheme="minorEastAsia" w:eastAsiaTheme="minorEastAsia"/>
          <w:sz w:val="24"/>
        </w:rPr>
        <w:t>型全自动高效一体化净水器，单台处理能力为</w:t>
      </w:r>
      <w:r>
        <w:rPr>
          <w:rFonts w:eastAsiaTheme="minorEastAsia"/>
          <w:sz w:val="24"/>
        </w:rPr>
        <w:t>30m</w:t>
      </w:r>
      <w:r>
        <w:rPr>
          <w:rFonts w:eastAsiaTheme="minorEastAsia"/>
          <w:sz w:val="24"/>
          <w:vertAlign w:val="superscript"/>
        </w:rPr>
        <w:t>3</w:t>
      </w:r>
      <w:r>
        <w:rPr>
          <w:rFonts w:eastAsiaTheme="minorEastAsia"/>
          <w:sz w:val="24"/>
        </w:rPr>
        <w:t>/h</w:t>
      </w:r>
      <w:r>
        <w:rPr>
          <w:rFonts w:hAnsiTheme="minorEastAsia" w:eastAsiaTheme="minorEastAsia"/>
          <w:sz w:val="24"/>
        </w:rPr>
        <w:t>，采用调节、混凝、沉淀、过滤、消毒等工艺对矿井水处理</w:t>
      </w:r>
      <w:r>
        <w:rPr>
          <w:rFonts w:hint="eastAsia" w:eastAsiaTheme="minorEastAsia"/>
          <w:sz w:val="24"/>
        </w:rPr>
        <w:t>，</w:t>
      </w:r>
      <w:r>
        <w:rPr>
          <w:rFonts w:eastAsiaTheme="minorEastAsia"/>
          <w:sz w:val="24"/>
        </w:rPr>
        <w:t xml:space="preserve"> COD</w:t>
      </w:r>
      <w:r>
        <w:rPr>
          <w:rFonts w:hAnsiTheme="minorEastAsia" w:eastAsiaTheme="minorEastAsia"/>
          <w:sz w:val="24"/>
        </w:rPr>
        <w:t>去除率可达</w:t>
      </w:r>
      <w:r>
        <w:rPr>
          <w:rFonts w:eastAsiaTheme="minorEastAsia"/>
          <w:sz w:val="24"/>
        </w:rPr>
        <w:t>80%</w:t>
      </w:r>
      <w:r>
        <w:rPr>
          <w:rFonts w:hAnsiTheme="minorEastAsia" w:eastAsiaTheme="minorEastAsia"/>
          <w:sz w:val="24"/>
        </w:rPr>
        <w:t>，</w:t>
      </w:r>
      <w:r>
        <w:rPr>
          <w:rFonts w:eastAsiaTheme="minorEastAsia"/>
          <w:sz w:val="24"/>
        </w:rPr>
        <w:t>SS</w:t>
      </w:r>
      <w:r>
        <w:rPr>
          <w:rFonts w:hAnsiTheme="minorEastAsia" w:eastAsiaTheme="minorEastAsia"/>
          <w:sz w:val="24"/>
        </w:rPr>
        <w:t>去除率可达</w:t>
      </w:r>
      <w:r>
        <w:rPr>
          <w:rFonts w:eastAsiaTheme="minorEastAsia"/>
          <w:sz w:val="24"/>
        </w:rPr>
        <w:t>95%</w:t>
      </w:r>
      <w:r>
        <w:rPr>
          <w:rFonts w:hAnsiTheme="minorEastAsia" w:eastAsiaTheme="minorEastAsia"/>
          <w:sz w:val="24"/>
        </w:rPr>
        <w:t>，符合《煤矿井下消防、洒水设计规范》（</w:t>
      </w:r>
      <w:r>
        <w:rPr>
          <w:rFonts w:eastAsiaTheme="minorEastAsia"/>
          <w:sz w:val="24"/>
        </w:rPr>
        <w:t>GB50383</w:t>
      </w:r>
      <w:r>
        <w:rPr>
          <w:rFonts w:hAnsiTheme="minorEastAsia" w:eastAsiaTheme="minorEastAsia"/>
          <w:sz w:val="24"/>
        </w:rPr>
        <w:t>－</w:t>
      </w:r>
      <w:r>
        <w:rPr>
          <w:rFonts w:eastAsiaTheme="minorEastAsia"/>
          <w:sz w:val="24"/>
        </w:rPr>
        <w:t>2006</w:t>
      </w:r>
      <w:r>
        <w:rPr>
          <w:rFonts w:hAnsiTheme="minorEastAsia" w:eastAsiaTheme="minorEastAsia"/>
          <w:sz w:val="24"/>
        </w:rPr>
        <w:t>）中水质要求。处理后的矿井水回用于井下洒水。</w:t>
      </w:r>
    </w:p>
    <w:p>
      <w:pPr>
        <w:spacing w:line="360" w:lineRule="auto"/>
        <w:ind w:firstLine="480" w:firstLineChars="200"/>
        <w:rPr>
          <w:rFonts w:eastAsiaTheme="minorEastAsia"/>
          <w:sz w:val="24"/>
        </w:rPr>
      </w:pPr>
      <w:r>
        <w:rPr>
          <w:rFonts w:eastAsiaTheme="minorEastAsia"/>
          <w:sz w:val="24"/>
        </w:rPr>
        <w:t>2</w:t>
      </w:r>
      <w:r>
        <w:rPr>
          <w:rFonts w:hAnsiTheme="minorEastAsia" w:eastAsiaTheme="minorEastAsia"/>
          <w:sz w:val="24"/>
        </w:rPr>
        <w:t>）生活污水</w:t>
      </w:r>
    </w:p>
    <w:p>
      <w:pPr>
        <w:tabs>
          <w:tab w:val="left" w:pos="1050"/>
        </w:tabs>
        <w:spacing w:line="360" w:lineRule="auto"/>
        <w:ind w:firstLine="470" w:firstLineChars="196"/>
        <w:rPr>
          <w:rFonts w:hAnsiTheme="minorEastAsia" w:eastAsiaTheme="minorEastAsia"/>
          <w:sz w:val="24"/>
        </w:rPr>
      </w:pPr>
      <w:r>
        <w:rPr>
          <w:rFonts w:hint="eastAsia" w:hAnsiTheme="minorEastAsia" w:eastAsiaTheme="minorEastAsia"/>
          <w:sz w:val="24"/>
        </w:rPr>
        <w:t>工业场地采用</w:t>
      </w:r>
      <w:r>
        <w:rPr>
          <w:rFonts w:hAnsiTheme="minorEastAsia" w:eastAsiaTheme="minorEastAsia"/>
          <w:sz w:val="24"/>
        </w:rPr>
        <w:t>1</w:t>
      </w:r>
      <w:r>
        <w:rPr>
          <w:rFonts w:hint="eastAsia" w:hAnsiTheme="minorEastAsia" w:eastAsiaTheme="minorEastAsia"/>
          <w:sz w:val="24"/>
        </w:rPr>
        <w:t>套</w:t>
      </w:r>
      <w:r>
        <w:rPr>
          <w:rFonts w:eastAsiaTheme="minorEastAsia"/>
          <w:sz w:val="24"/>
        </w:rPr>
        <w:t>WSZ-15F</w:t>
      </w:r>
      <w:r>
        <w:rPr>
          <w:rFonts w:hAnsiTheme="minorEastAsia" w:eastAsiaTheme="minorEastAsia"/>
          <w:sz w:val="24"/>
        </w:rPr>
        <w:t>型地埋式生活污水处理装置处理</w:t>
      </w:r>
      <w:r>
        <w:rPr>
          <w:rFonts w:hint="eastAsia" w:hAnsiTheme="minorEastAsia" w:eastAsiaTheme="minorEastAsia"/>
          <w:sz w:val="24"/>
        </w:rPr>
        <w:t>，</w:t>
      </w:r>
      <w:r>
        <w:rPr>
          <w:rFonts w:hAnsiTheme="minorEastAsia" w:eastAsiaTheme="minorEastAsia"/>
          <w:sz w:val="24"/>
        </w:rPr>
        <w:t>处理能力为</w:t>
      </w:r>
      <w:r>
        <w:rPr>
          <w:rFonts w:eastAsiaTheme="minorEastAsia"/>
          <w:sz w:val="24"/>
        </w:rPr>
        <w:t>15m</w:t>
      </w:r>
      <w:r>
        <w:rPr>
          <w:rFonts w:eastAsiaTheme="minorEastAsia"/>
          <w:sz w:val="24"/>
          <w:vertAlign w:val="superscript"/>
        </w:rPr>
        <w:t>3</w:t>
      </w:r>
      <w:r>
        <w:rPr>
          <w:rFonts w:eastAsiaTheme="minorEastAsia"/>
          <w:sz w:val="24"/>
        </w:rPr>
        <w:t>/h</w:t>
      </w:r>
      <w:r>
        <w:rPr>
          <w:rFonts w:hAnsiTheme="minorEastAsia" w:eastAsiaTheme="minorEastAsia"/>
          <w:sz w:val="24"/>
        </w:rPr>
        <w:t>，</w:t>
      </w:r>
      <w:r>
        <w:rPr>
          <w:rFonts w:hint="eastAsia" w:hAnsiTheme="minorEastAsia" w:eastAsiaTheme="minorEastAsia"/>
          <w:sz w:val="24"/>
        </w:rPr>
        <w:t>采用生物膜法：缺氧</w:t>
      </w:r>
      <w:r>
        <w:rPr>
          <w:rFonts w:hAnsiTheme="minorEastAsia" w:eastAsiaTheme="minorEastAsia"/>
          <w:sz w:val="24"/>
        </w:rPr>
        <w:t>----</w:t>
      </w:r>
      <w:r>
        <w:rPr>
          <w:rFonts w:hint="eastAsia" w:hAnsiTheme="minorEastAsia" w:eastAsiaTheme="minorEastAsia"/>
          <w:sz w:val="24"/>
        </w:rPr>
        <w:t>好氧</w:t>
      </w:r>
      <w:r>
        <w:rPr>
          <w:rFonts w:hAnsiTheme="minorEastAsia" w:eastAsiaTheme="minorEastAsia"/>
          <w:sz w:val="24"/>
        </w:rPr>
        <w:t>(A/O)+</w:t>
      </w:r>
      <w:r>
        <w:rPr>
          <w:rFonts w:hint="eastAsia" w:hAnsiTheme="minorEastAsia" w:eastAsiaTheme="minorEastAsia"/>
          <w:sz w:val="24"/>
        </w:rPr>
        <w:t>活性炭吸附处理工艺。</w:t>
      </w:r>
      <w:r>
        <w:rPr>
          <w:rFonts w:hAnsiTheme="minorEastAsia" w:eastAsiaTheme="minorEastAsia"/>
          <w:sz w:val="24"/>
        </w:rPr>
        <w:t>处理后生活污水</w:t>
      </w:r>
      <w:r>
        <w:rPr>
          <w:rFonts w:eastAsiaTheme="minorEastAsia"/>
          <w:sz w:val="24"/>
        </w:rPr>
        <w:t>COD</w:t>
      </w:r>
      <w:r>
        <w:rPr>
          <w:rFonts w:hAnsiTheme="minorEastAsia" w:eastAsiaTheme="minorEastAsia"/>
          <w:sz w:val="24"/>
        </w:rPr>
        <w:t>去除率可达</w:t>
      </w:r>
      <w:r>
        <w:rPr>
          <w:rFonts w:eastAsiaTheme="minorEastAsia"/>
          <w:sz w:val="24"/>
        </w:rPr>
        <w:t>80%</w:t>
      </w:r>
      <w:r>
        <w:rPr>
          <w:rFonts w:hAnsiTheme="minorEastAsia" w:eastAsiaTheme="minorEastAsia"/>
          <w:sz w:val="24"/>
        </w:rPr>
        <w:t>，</w:t>
      </w:r>
      <w:r>
        <w:rPr>
          <w:rFonts w:eastAsiaTheme="minorEastAsia"/>
          <w:sz w:val="24"/>
        </w:rPr>
        <w:t>BOD</w:t>
      </w:r>
      <w:r>
        <w:rPr>
          <w:rFonts w:eastAsiaTheme="minorEastAsia"/>
          <w:sz w:val="24"/>
          <w:vertAlign w:val="subscript"/>
        </w:rPr>
        <w:t>5</w:t>
      </w:r>
      <w:r>
        <w:rPr>
          <w:rFonts w:hAnsiTheme="minorEastAsia" w:eastAsiaTheme="minorEastAsia"/>
          <w:sz w:val="24"/>
        </w:rPr>
        <w:t>去除率可达</w:t>
      </w:r>
      <w:r>
        <w:rPr>
          <w:rFonts w:eastAsiaTheme="minorEastAsia"/>
          <w:sz w:val="24"/>
        </w:rPr>
        <w:t>85%</w:t>
      </w:r>
      <w:r>
        <w:rPr>
          <w:rFonts w:hAnsiTheme="minorEastAsia" w:eastAsiaTheme="minorEastAsia"/>
          <w:sz w:val="24"/>
        </w:rPr>
        <w:t>，</w:t>
      </w:r>
      <w:r>
        <w:rPr>
          <w:rFonts w:eastAsiaTheme="minorEastAsia"/>
          <w:sz w:val="24"/>
        </w:rPr>
        <w:t>SS</w:t>
      </w:r>
      <w:r>
        <w:rPr>
          <w:rFonts w:hAnsiTheme="minorEastAsia" w:eastAsiaTheme="minorEastAsia"/>
          <w:sz w:val="24"/>
        </w:rPr>
        <w:t>去除率可达</w:t>
      </w:r>
      <w:r>
        <w:rPr>
          <w:rFonts w:eastAsiaTheme="minorEastAsia"/>
          <w:sz w:val="24"/>
        </w:rPr>
        <w:t>80%</w:t>
      </w:r>
      <w:r>
        <w:rPr>
          <w:rFonts w:hAnsiTheme="minorEastAsia" w:eastAsiaTheme="minorEastAsia"/>
          <w:sz w:val="24"/>
        </w:rPr>
        <w:t>，氨氮去除率</w:t>
      </w:r>
      <w:r>
        <w:rPr>
          <w:rFonts w:eastAsiaTheme="minorEastAsia"/>
          <w:sz w:val="24"/>
        </w:rPr>
        <w:t>50%</w:t>
      </w:r>
      <w:r>
        <w:rPr>
          <w:rFonts w:hAnsiTheme="minorEastAsia" w:eastAsiaTheme="minorEastAsia"/>
          <w:sz w:val="24"/>
        </w:rPr>
        <w:t>。处理后的生活污水全部回用，无外排</w:t>
      </w:r>
      <w:r>
        <w:rPr>
          <w:rFonts w:hAnsiTheme="minorEastAsia" w:eastAsiaTheme="minorEastAsia"/>
          <w:bCs/>
          <w:spacing w:val="2"/>
          <w:sz w:val="24"/>
        </w:rPr>
        <w:t>。</w:t>
      </w:r>
    </w:p>
    <w:p>
      <w:pPr>
        <w:pStyle w:val="13"/>
        <w:spacing w:line="360" w:lineRule="auto"/>
        <w:ind w:firstLine="456" w:firstLineChars="200"/>
        <w:rPr>
          <w:rFonts w:ascii="Times New Roman" w:hAnsi="Times New Roman" w:eastAsiaTheme="minorEastAsia"/>
          <w:bCs/>
          <w:spacing w:val="-6"/>
          <w:sz w:val="24"/>
          <w:szCs w:val="24"/>
        </w:rPr>
      </w:pPr>
      <w:r>
        <w:rPr>
          <w:rFonts w:ascii="Times New Roman" w:hAnsi="Times New Roman" w:eastAsiaTheme="minorEastAsia"/>
          <w:bCs/>
          <w:spacing w:val="-6"/>
          <w:sz w:val="24"/>
          <w:szCs w:val="24"/>
        </w:rPr>
        <w:t>3</w:t>
      </w:r>
      <w:r>
        <w:rPr>
          <w:rFonts w:ascii="Times New Roman" w:hAnsiTheme="minorEastAsia" w:eastAsiaTheme="minorEastAsia"/>
          <w:bCs/>
          <w:spacing w:val="-6"/>
          <w:sz w:val="24"/>
          <w:szCs w:val="24"/>
        </w:rPr>
        <w:t>）</w:t>
      </w:r>
      <w:r>
        <w:rPr>
          <w:rFonts w:ascii="Times New Roman" w:hAnsiTheme="minorEastAsia" w:eastAsiaTheme="minorEastAsia"/>
          <w:bCs/>
          <w:sz w:val="24"/>
          <w:szCs w:val="24"/>
        </w:rPr>
        <w:t>初期雨水</w:t>
      </w:r>
    </w:p>
    <w:p>
      <w:pPr>
        <w:spacing w:line="360" w:lineRule="auto"/>
        <w:ind w:firstLine="480" w:firstLineChars="200"/>
        <w:rPr>
          <w:rFonts w:eastAsiaTheme="minorEastAsia"/>
          <w:sz w:val="24"/>
        </w:rPr>
      </w:pPr>
      <w:r>
        <w:rPr>
          <w:rFonts w:hAnsiTheme="minorEastAsia" w:eastAsiaTheme="minorEastAsia"/>
          <w:sz w:val="24"/>
        </w:rPr>
        <w:t>本项目厂内降雨初期会产生初期雨水，对于初期雨水量，评价按下列公式计算：</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暴雨强度</w:t>
      </w:r>
      <w:r>
        <w:rPr>
          <w:rFonts w:ascii="Times New Roman" w:hAnsi="Times New Roman" w:eastAsiaTheme="minorEastAsia"/>
          <w:sz w:val="24"/>
          <w:szCs w:val="24"/>
        </w:rPr>
        <w:t>q</w:t>
      </w:r>
      <w:r>
        <w:rPr>
          <w:rFonts w:ascii="Times New Roman" w:hAnsiTheme="minorEastAsia" w:eastAsiaTheme="minorEastAsia"/>
          <w:sz w:val="24"/>
          <w:szCs w:val="24"/>
        </w:rPr>
        <w:t>采用吕梁市离石区暴雨强度公式：</w:t>
      </w:r>
    </w:p>
    <w:p>
      <w:pPr>
        <w:pStyle w:val="13"/>
        <w:spacing w:line="360" w:lineRule="auto"/>
        <w:ind w:firstLine="480" w:firstLineChars="200"/>
        <w:jc w:val="center"/>
        <w:rPr>
          <w:rFonts w:ascii="Times New Roman" w:hAnsi="Times New Roman" w:eastAsiaTheme="minorEastAsia"/>
          <w:sz w:val="24"/>
          <w:szCs w:val="24"/>
        </w:rPr>
      </w:pPr>
      <w:r>
        <w:rPr>
          <w:rFonts w:ascii="Times New Roman" w:hAnsi="Times New Roman" w:eastAsiaTheme="minorEastAsia"/>
          <w:position w:val="-28"/>
          <w:sz w:val="24"/>
          <w:szCs w:val="24"/>
        </w:rPr>
        <w:object>
          <v:shape id="_x0000_i1034" o:spt="75" type="#_x0000_t75" style="height:34.5pt;width:113.25pt;" o:ole="t" filled="f" o:preferrelative="t" stroked="f" coordsize="21600,21600">
            <v:path/>
            <v:fill on="f" focussize="0,0"/>
            <v:stroke on="f" joinstyle="miter"/>
            <v:imagedata r:id="rId71" o:title=""/>
            <o:lock v:ext="edit" aspectratio="t"/>
            <w10:wrap type="none"/>
            <w10:anchorlock/>
          </v:shape>
          <o:OLEObject Type="Embed" ProgID="Equation.3" ShapeID="_x0000_i1034" DrawAspect="Content" ObjectID="_1468075734" r:id="rId70">
            <o:LockedField>false</o:LockedField>
          </o:OLEObject>
        </w:objec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式中：</w:t>
      </w:r>
      <w:r>
        <w:rPr>
          <w:rFonts w:ascii="Times New Roman" w:hAnsi="Times New Roman" w:eastAsiaTheme="minorEastAsia"/>
          <w:sz w:val="24"/>
          <w:szCs w:val="24"/>
        </w:rPr>
        <w:t>p—</w:t>
      </w:r>
      <w:r>
        <w:rPr>
          <w:rFonts w:ascii="Times New Roman" w:hAnsiTheme="minorEastAsia" w:eastAsiaTheme="minorEastAsia"/>
          <w:sz w:val="24"/>
          <w:szCs w:val="24"/>
        </w:rPr>
        <w:t>重现期取</w:t>
      </w:r>
      <w:r>
        <w:rPr>
          <w:rFonts w:ascii="Times New Roman" w:hAnsi="Times New Roman" w:eastAsiaTheme="minorEastAsia"/>
          <w:sz w:val="24"/>
          <w:szCs w:val="24"/>
        </w:rPr>
        <w:t>2</w:t>
      </w:r>
      <w:r>
        <w:rPr>
          <w:rFonts w:ascii="Times New Roman" w:hAnsiTheme="minorEastAsia" w:eastAsiaTheme="minorEastAsia"/>
          <w:sz w:val="24"/>
          <w:szCs w:val="24"/>
        </w:rPr>
        <w:t>年；</w:t>
      </w:r>
    </w:p>
    <w:p>
      <w:pPr>
        <w:pStyle w:val="13"/>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t—</w:t>
      </w:r>
      <w:r>
        <w:rPr>
          <w:rFonts w:ascii="Times New Roman" w:hAnsiTheme="minorEastAsia" w:eastAsiaTheme="minorEastAsia"/>
          <w:sz w:val="24"/>
          <w:szCs w:val="24"/>
        </w:rPr>
        <w:t>降雨历时取</w:t>
      </w:r>
      <w:r>
        <w:rPr>
          <w:rFonts w:ascii="Times New Roman" w:hAnsi="Times New Roman" w:eastAsiaTheme="minorEastAsia"/>
          <w:sz w:val="24"/>
          <w:szCs w:val="24"/>
        </w:rPr>
        <w:t>15min</w:t>
      </w:r>
      <w:r>
        <w:rPr>
          <w:rFonts w:ascii="Times New Roman" w:hAnsiTheme="minorEastAsia" w:eastAsiaTheme="minorEastAsia"/>
          <w:sz w:val="24"/>
          <w:szCs w:val="24"/>
        </w:rPr>
        <w:t>；</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初期雨水量计算按：</w:t>
      </w:r>
      <w:r>
        <w:rPr>
          <w:rFonts w:ascii="Times New Roman" w:hAnsi="Times New Roman" w:eastAsiaTheme="minorEastAsia"/>
          <w:sz w:val="24"/>
          <w:szCs w:val="24"/>
        </w:rPr>
        <w:t>Q=Φ×q×F×t</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式中：</w:t>
      </w:r>
      <w:r>
        <w:rPr>
          <w:rFonts w:ascii="Times New Roman" w:hAnsi="Times New Roman" w:eastAsiaTheme="minorEastAsia"/>
          <w:sz w:val="24"/>
          <w:szCs w:val="24"/>
        </w:rPr>
        <w:t>Φ—</w:t>
      </w:r>
      <w:r>
        <w:rPr>
          <w:rFonts w:ascii="Times New Roman" w:hAnsiTheme="minorEastAsia" w:eastAsiaTheme="minorEastAsia"/>
          <w:sz w:val="24"/>
          <w:szCs w:val="24"/>
        </w:rPr>
        <w:t>径流系数，取</w:t>
      </w:r>
      <w:r>
        <w:rPr>
          <w:rFonts w:ascii="Times New Roman" w:hAnsi="Times New Roman" w:eastAsiaTheme="minorEastAsia"/>
          <w:sz w:val="24"/>
          <w:szCs w:val="24"/>
        </w:rPr>
        <w:t>0.7</w:t>
      </w:r>
      <w:r>
        <w:rPr>
          <w:rFonts w:ascii="Times New Roman" w:hAnsiTheme="minorEastAsia" w:eastAsiaTheme="minorEastAsia"/>
          <w:sz w:val="24"/>
          <w:szCs w:val="24"/>
        </w:rPr>
        <w:t>；</w:t>
      </w:r>
    </w:p>
    <w:p>
      <w:pPr>
        <w:pStyle w:val="13"/>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q—</w:t>
      </w:r>
      <w:r>
        <w:rPr>
          <w:rFonts w:ascii="Times New Roman" w:hAnsiTheme="minorEastAsia" w:eastAsiaTheme="minorEastAsia"/>
          <w:sz w:val="24"/>
          <w:szCs w:val="24"/>
        </w:rPr>
        <w:t>暴雨强度（</w:t>
      </w:r>
      <w:r>
        <w:rPr>
          <w:rFonts w:ascii="Times New Roman" w:hAnsi="Times New Roman" w:eastAsiaTheme="minorEastAsia"/>
          <w:sz w:val="24"/>
          <w:szCs w:val="24"/>
        </w:rPr>
        <w:t>153.16L/s·</w:t>
      </w:r>
      <w:r>
        <w:rPr>
          <w:rFonts w:ascii="Times New Roman" w:hAnsiTheme="minorEastAsia" w:eastAsiaTheme="minorEastAsia"/>
          <w:sz w:val="24"/>
          <w:szCs w:val="24"/>
        </w:rPr>
        <w:t>公顷）；</w:t>
      </w:r>
    </w:p>
    <w:p>
      <w:pPr>
        <w:pStyle w:val="13"/>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F—</w:t>
      </w:r>
      <w:r>
        <w:rPr>
          <w:rFonts w:ascii="Times New Roman" w:hAnsiTheme="minorEastAsia" w:eastAsiaTheme="minorEastAsia"/>
          <w:sz w:val="24"/>
          <w:szCs w:val="24"/>
        </w:rPr>
        <w:t>汇水面积（</w:t>
      </w:r>
      <w:r>
        <w:rPr>
          <w:rFonts w:ascii="Times New Roman" w:hAnsi="Times New Roman" w:eastAsiaTheme="minorEastAsia"/>
          <w:sz w:val="24"/>
          <w:szCs w:val="24"/>
        </w:rPr>
        <w:t>4.5</w:t>
      </w:r>
      <w:r>
        <w:rPr>
          <w:rFonts w:ascii="Times New Roman" w:hAnsiTheme="minorEastAsia" w:eastAsiaTheme="minorEastAsia"/>
          <w:sz w:val="24"/>
          <w:szCs w:val="24"/>
        </w:rPr>
        <w:t>公顷）；</w:t>
      </w:r>
    </w:p>
    <w:p>
      <w:pPr>
        <w:pStyle w:val="13"/>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t—</w:t>
      </w:r>
      <w:r>
        <w:rPr>
          <w:rFonts w:ascii="Times New Roman" w:hAnsiTheme="minorEastAsia" w:eastAsiaTheme="minorEastAsia"/>
          <w:sz w:val="24"/>
          <w:szCs w:val="24"/>
        </w:rPr>
        <w:t>降雨历时取</w:t>
      </w:r>
      <w:r>
        <w:rPr>
          <w:rFonts w:ascii="Times New Roman" w:hAnsi="Times New Roman" w:eastAsiaTheme="minorEastAsia"/>
          <w:sz w:val="24"/>
          <w:szCs w:val="24"/>
        </w:rPr>
        <w:t>15min</w:t>
      </w:r>
      <w:r>
        <w:rPr>
          <w:rFonts w:ascii="Times New Roman" w:hAnsiTheme="minorEastAsia" w:eastAsiaTheme="minorEastAsia"/>
          <w:sz w:val="24"/>
          <w:szCs w:val="24"/>
        </w:rPr>
        <w:t>；</w:t>
      </w:r>
    </w:p>
    <w:p>
      <w:pPr>
        <w:spacing w:line="360" w:lineRule="auto"/>
        <w:ind w:firstLine="200"/>
        <w:rPr>
          <w:rFonts w:eastAsiaTheme="minorEastAsia"/>
          <w:sz w:val="24"/>
        </w:rPr>
      </w:pPr>
      <w:r>
        <w:rPr>
          <w:rFonts w:hAnsiTheme="minorEastAsia" w:eastAsiaTheme="minorEastAsia"/>
          <w:sz w:val="24"/>
        </w:rPr>
        <w:t>经计算，初期雨水量为</w:t>
      </w:r>
      <w:r>
        <w:rPr>
          <w:rFonts w:eastAsiaTheme="minorEastAsia"/>
          <w:sz w:val="24"/>
        </w:rPr>
        <w:t>435m</w:t>
      </w:r>
      <w:r>
        <w:rPr>
          <w:rFonts w:eastAsiaTheme="minorEastAsia"/>
          <w:sz w:val="24"/>
          <w:vertAlign w:val="superscript"/>
        </w:rPr>
        <w:t>3</w:t>
      </w:r>
      <w:r>
        <w:rPr>
          <w:rFonts w:hAnsiTheme="minorEastAsia" w:eastAsiaTheme="minorEastAsia"/>
          <w:sz w:val="24"/>
        </w:rPr>
        <w:t>。工业场地中部偏东侧设一座</w:t>
      </w:r>
      <w:r>
        <w:rPr>
          <w:rFonts w:eastAsiaTheme="minorEastAsia"/>
          <w:sz w:val="24"/>
        </w:rPr>
        <w:t>500m</w:t>
      </w:r>
      <w:r>
        <w:rPr>
          <w:rFonts w:eastAsiaTheme="minorEastAsia"/>
          <w:sz w:val="24"/>
          <w:vertAlign w:val="superscript"/>
        </w:rPr>
        <w:t>3</w:t>
      </w:r>
      <w:r>
        <w:rPr>
          <w:rFonts w:hAnsiTheme="minorEastAsia" w:eastAsiaTheme="minorEastAsia"/>
          <w:sz w:val="24"/>
        </w:rPr>
        <w:t>的初期雨水收集池。</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变更后：</w:t>
      </w:r>
    </w:p>
    <w:p>
      <w:pPr>
        <w:spacing w:line="360" w:lineRule="auto"/>
        <w:ind w:firstLine="480" w:firstLineChars="200"/>
        <w:rPr>
          <w:rFonts w:hAnsiTheme="minorEastAsia" w:eastAsiaTheme="minorEastAsia"/>
          <w:sz w:val="24"/>
        </w:rPr>
      </w:pPr>
      <w:r>
        <w:rPr>
          <w:rFonts w:hint="eastAsia" w:hAnsiTheme="minorEastAsia" w:eastAsiaTheme="minorEastAsia"/>
          <w:sz w:val="24"/>
        </w:rPr>
        <w:t>1）矿井水</w:t>
      </w:r>
    </w:p>
    <w:p>
      <w:pPr>
        <w:spacing w:line="360" w:lineRule="auto"/>
        <w:ind w:firstLine="480" w:firstLineChars="200"/>
        <w:rPr>
          <w:rFonts w:hAnsiTheme="minorEastAsia" w:eastAsiaTheme="minorEastAsia"/>
          <w:sz w:val="24"/>
        </w:rPr>
      </w:pPr>
      <w:r>
        <w:rPr>
          <w:rFonts w:hint="eastAsia" w:hAnsiTheme="minorEastAsia" w:eastAsiaTheme="minorEastAsia"/>
          <w:sz w:val="24"/>
        </w:rPr>
        <w:t>工业场地设置一座矿井水处理站，设计处理规模为6120m</w:t>
      </w:r>
      <w:r>
        <w:rPr>
          <w:rFonts w:hint="eastAsia" w:hAnsiTheme="minorEastAsia" w:eastAsiaTheme="minorEastAsia"/>
          <w:sz w:val="24"/>
          <w:vertAlign w:val="superscript"/>
        </w:rPr>
        <w:t>3</w:t>
      </w:r>
      <w:r>
        <w:rPr>
          <w:rFonts w:hint="eastAsia" w:hAnsiTheme="minorEastAsia" w:eastAsiaTheme="minorEastAsia"/>
          <w:sz w:val="24"/>
        </w:rPr>
        <w:t>/d 。矿井水处理采用“高效旋流过滤、压力式超滤”处理工艺。开采4、5号煤层时，处理达标后的矿井水全部回用于井下生产用水；开采8、9号煤层时，处理达标后的矿井水部分回用于井下生产用水，采暖季多余部分回用于洗车平台用水，非采暖季多余部分回用于锅炉补充用水，处理后的矿井水全部回用，不外排。</w:t>
      </w:r>
    </w:p>
    <w:p>
      <w:pPr>
        <w:spacing w:line="360" w:lineRule="auto"/>
        <w:ind w:firstLine="480" w:firstLineChars="200"/>
        <w:rPr>
          <w:rFonts w:hAnsiTheme="minorEastAsia" w:eastAsiaTheme="minorEastAsia"/>
          <w:sz w:val="24"/>
        </w:rPr>
      </w:pPr>
      <w:r>
        <w:rPr>
          <w:rFonts w:hint="eastAsia" w:hAnsiTheme="minorEastAsia" w:eastAsiaTheme="minorEastAsia"/>
          <w:sz w:val="24"/>
        </w:rPr>
        <w:t>2）生活污水</w:t>
      </w:r>
    </w:p>
    <w:p>
      <w:pPr>
        <w:spacing w:line="360" w:lineRule="auto"/>
        <w:ind w:firstLine="480" w:firstLineChars="200"/>
        <w:jc w:val="left"/>
        <w:rPr>
          <w:rFonts w:hAnsiTheme="minorEastAsia" w:eastAsiaTheme="minorEastAsia"/>
          <w:bCs/>
          <w:sz w:val="24"/>
        </w:rPr>
      </w:pPr>
      <w:r>
        <w:rPr>
          <w:rFonts w:hint="eastAsia" w:hAnsiTheme="minorEastAsia" w:eastAsiaTheme="minorEastAsia"/>
          <w:sz w:val="24"/>
        </w:rPr>
        <w:t>本项目在工业场地设置有一座生活污水处理站，处理规模</w:t>
      </w:r>
      <w:r>
        <w:rPr>
          <w:rFonts w:hAnsiTheme="minorEastAsia" w:eastAsiaTheme="minorEastAsia"/>
          <w:sz w:val="24"/>
        </w:rPr>
        <w:t>450m</w:t>
      </w:r>
      <w:r>
        <w:rPr>
          <w:rFonts w:hAnsiTheme="minorEastAsia" w:eastAsiaTheme="minorEastAsia"/>
          <w:sz w:val="24"/>
          <w:vertAlign w:val="superscript"/>
        </w:rPr>
        <w:t>3</w:t>
      </w:r>
      <w:r>
        <w:rPr>
          <w:rFonts w:hAnsiTheme="minorEastAsia" w:eastAsiaTheme="minorEastAsia"/>
          <w:sz w:val="24"/>
        </w:rPr>
        <w:t>/d</w:t>
      </w:r>
      <w:r>
        <w:rPr>
          <w:rFonts w:hint="eastAsia" w:hAnsiTheme="minorEastAsia" w:eastAsiaTheme="minorEastAsia"/>
          <w:sz w:val="24"/>
        </w:rPr>
        <w:t>。处理工艺采用厌氧、缺氧、好氧同步脱碳除磷生物处理法</w:t>
      </w:r>
      <w:r>
        <w:rPr>
          <w:rFonts w:hAnsiTheme="minorEastAsia" w:eastAsiaTheme="minorEastAsia"/>
          <w:sz w:val="24"/>
        </w:rPr>
        <w:t>+</w:t>
      </w:r>
      <w:r>
        <w:rPr>
          <w:rFonts w:hint="eastAsia" w:hAnsiTheme="minorEastAsia" w:eastAsiaTheme="minorEastAsia"/>
          <w:sz w:val="24"/>
        </w:rPr>
        <w:t>臭氧氧化、活性炭过滤厌（具体如下：矿井生产生活污水经厂区排水管网收集自流进入污水处理站进行处理。生产</w:t>
      </w:r>
      <w:r>
        <w:rPr>
          <w:rFonts w:hAnsiTheme="minorEastAsia" w:eastAsiaTheme="minorEastAsia"/>
          <w:sz w:val="24"/>
        </w:rPr>
        <w:pict>
          <v:line id="_x0000_s56102" o:spid="_x0000_s56102" o:spt="20" style="position:absolute;left:0pt;flip:x;margin-left:-108pt;margin-top:54.6pt;height:15.6pt;width:9pt;z-index:251705344;mso-width-relative:page;mso-height-relative:page;" coordsize="21600,21600">
            <v:path arrowok="t"/>
            <v:fill focussize="0,0"/>
            <v:stroke/>
            <v:imagedata o:title=""/>
            <o:lock v:ext="edit"/>
          </v:line>
        </w:pict>
      </w:r>
      <w:r>
        <w:rPr>
          <w:rFonts w:hint="eastAsia" w:hAnsiTheme="minorEastAsia" w:eastAsiaTheme="minorEastAsia"/>
          <w:sz w:val="24"/>
        </w:rPr>
        <w:t>生活污水经格栅井由污水泵提升进入初沉池，在初沉池内大部分</w:t>
      </w:r>
      <w:r>
        <w:rPr>
          <w:rFonts w:hAnsiTheme="minorEastAsia" w:eastAsiaTheme="minorEastAsia"/>
          <w:sz w:val="24"/>
        </w:rPr>
        <w:t>SS</w:t>
      </w:r>
      <w:r>
        <w:rPr>
          <w:rFonts w:hint="eastAsia" w:hAnsiTheme="minorEastAsia" w:eastAsiaTheme="minorEastAsia"/>
          <w:sz w:val="24"/>
        </w:rPr>
        <w:t>得到去除后进入同步脱氮除磷生物处理一体化设备，通过生物氧化、硝化、反硝化、除磷作用，污水中的绝大部分</w:t>
      </w:r>
      <w:r>
        <w:rPr>
          <w:rFonts w:hAnsiTheme="minorEastAsia" w:eastAsiaTheme="minorEastAsia"/>
          <w:sz w:val="24"/>
        </w:rPr>
        <w:t>BOD</w:t>
      </w:r>
      <w:r>
        <w:rPr>
          <w:rFonts w:hint="eastAsia" w:hAnsiTheme="minorEastAsia" w:eastAsiaTheme="minorEastAsia"/>
          <w:sz w:val="24"/>
        </w:rPr>
        <w:t>、</w:t>
      </w:r>
      <w:r>
        <w:rPr>
          <w:rFonts w:hAnsiTheme="minorEastAsia" w:eastAsiaTheme="minorEastAsia"/>
          <w:sz w:val="24"/>
        </w:rPr>
        <w:t>COD</w:t>
      </w:r>
      <w:r>
        <w:rPr>
          <w:rFonts w:hint="eastAsia" w:hAnsiTheme="minorEastAsia" w:eastAsiaTheme="minorEastAsia"/>
          <w:sz w:val="24"/>
        </w:rPr>
        <w:t>、氮、磷在此得到去除，生物处理池出水进入二沉池，在二沉池内可沉淀物得到沉淀去除，出水进入臭氧接触氧化池、活性炭滤池深度处理设备，其有机物、氨氮、磷得到进一步去除，出水经消毒后全部回用于选煤厂生产补水。）。生产生活污水经处理后污染物浓度</w:t>
      </w:r>
      <w:r>
        <w:rPr>
          <w:rFonts w:hAnsiTheme="minorEastAsia" w:eastAsiaTheme="minorEastAsia"/>
          <w:sz w:val="24"/>
        </w:rPr>
        <w:t>CODcr</w:t>
      </w:r>
      <w:r>
        <w:rPr>
          <w:rFonts w:hint="eastAsia" w:hAnsiTheme="minorEastAsia" w:eastAsiaTheme="minorEastAsia"/>
          <w:sz w:val="24"/>
        </w:rPr>
        <w:t>≤</w:t>
      </w:r>
      <w:r>
        <w:rPr>
          <w:rFonts w:hAnsiTheme="minorEastAsia" w:eastAsiaTheme="minorEastAsia"/>
          <w:sz w:val="24"/>
        </w:rPr>
        <w:t>40mg/L</w:t>
      </w:r>
      <w:r>
        <w:rPr>
          <w:rFonts w:hint="eastAsia" w:hAnsiTheme="minorEastAsia" w:eastAsiaTheme="minorEastAsia"/>
          <w:sz w:val="24"/>
        </w:rPr>
        <w:t>、</w:t>
      </w:r>
      <w:r>
        <w:rPr>
          <w:rFonts w:hAnsiTheme="minorEastAsia" w:eastAsiaTheme="minorEastAsia"/>
          <w:sz w:val="24"/>
        </w:rPr>
        <w:t>BOD</w:t>
      </w:r>
      <w:r>
        <w:rPr>
          <w:rFonts w:hAnsiTheme="minorEastAsia" w:eastAsiaTheme="minorEastAsia"/>
          <w:sz w:val="24"/>
          <w:vertAlign w:val="subscript"/>
        </w:rPr>
        <w:t xml:space="preserve">5 </w:t>
      </w:r>
      <w:r>
        <w:rPr>
          <w:rFonts w:hint="eastAsia" w:hAnsiTheme="minorEastAsia" w:eastAsiaTheme="minorEastAsia"/>
          <w:sz w:val="24"/>
        </w:rPr>
        <w:t>≤</w:t>
      </w:r>
      <w:r>
        <w:rPr>
          <w:rFonts w:hAnsiTheme="minorEastAsia" w:eastAsiaTheme="minorEastAsia"/>
          <w:sz w:val="24"/>
        </w:rPr>
        <w:t>10mg/L</w:t>
      </w:r>
      <w:r>
        <w:rPr>
          <w:rFonts w:hint="eastAsia" w:hAnsiTheme="minorEastAsia" w:eastAsiaTheme="minorEastAsia"/>
          <w:sz w:val="24"/>
        </w:rPr>
        <w:t>、</w:t>
      </w:r>
      <w:r>
        <w:rPr>
          <w:rFonts w:hAnsiTheme="minorEastAsia" w:eastAsiaTheme="minorEastAsia"/>
          <w:sz w:val="24"/>
        </w:rPr>
        <w:t>SS</w:t>
      </w:r>
      <w:r>
        <w:rPr>
          <w:rFonts w:hint="eastAsia" w:hAnsiTheme="minorEastAsia" w:eastAsiaTheme="minorEastAsia"/>
          <w:sz w:val="24"/>
        </w:rPr>
        <w:t>≤</w:t>
      </w:r>
      <w:r>
        <w:rPr>
          <w:rFonts w:hAnsiTheme="minorEastAsia" w:eastAsiaTheme="minorEastAsia"/>
          <w:sz w:val="24"/>
        </w:rPr>
        <w:t>10mg/L</w:t>
      </w:r>
      <w:r>
        <w:rPr>
          <w:rFonts w:hint="eastAsia" w:hAnsiTheme="minorEastAsia" w:eastAsiaTheme="minorEastAsia"/>
          <w:sz w:val="24"/>
        </w:rPr>
        <w:t>、</w:t>
      </w:r>
      <w:r>
        <w:rPr>
          <w:rFonts w:hAnsiTheme="minorEastAsia" w:eastAsiaTheme="minorEastAsia"/>
          <w:sz w:val="24"/>
        </w:rPr>
        <w:t>NH</w:t>
      </w:r>
      <w:r>
        <w:rPr>
          <w:rFonts w:hAnsiTheme="minorEastAsia" w:eastAsiaTheme="minorEastAsia"/>
          <w:sz w:val="24"/>
          <w:vertAlign w:val="subscript"/>
        </w:rPr>
        <w:t>3</w:t>
      </w:r>
      <w:r>
        <w:rPr>
          <w:rFonts w:hAnsiTheme="minorEastAsia" w:eastAsiaTheme="minorEastAsia"/>
          <w:sz w:val="24"/>
        </w:rPr>
        <w:t>-N</w:t>
      </w:r>
      <w:r>
        <w:rPr>
          <w:rFonts w:hint="eastAsia" w:hAnsiTheme="minorEastAsia" w:eastAsiaTheme="minorEastAsia"/>
          <w:sz w:val="24"/>
        </w:rPr>
        <w:t>≤</w:t>
      </w:r>
      <w:r>
        <w:rPr>
          <w:rFonts w:hAnsiTheme="minorEastAsia" w:eastAsiaTheme="minorEastAsia"/>
          <w:sz w:val="24"/>
        </w:rPr>
        <w:t>2mg/L</w:t>
      </w:r>
      <w:r>
        <w:rPr>
          <w:rFonts w:hint="eastAsia" w:hAnsiTheme="minorEastAsia" w:eastAsiaTheme="minorEastAsia"/>
          <w:sz w:val="24"/>
        </w:rPr>
        <w:t>、</w:t>
      </w:r>
      <w:r>
        <w:rPr>
          <w:rFonts w:hAnsiTheme="minorEastAsia" w:eastAsiaTheme="minorEastAsia"/>
          <w:sz w:val="24"/>
        </w:rPr>
        <w:t>TP≤0.4mg/L</w:t>
      </w:r>
      <w:r>
        <w:rPr>
          <w:rFonts w:hint="eastAsia" w:hAnsiTheme="minorEastAsia" w:eastAsiaTheme="minorEastAsia"/>
          <w:sz w:val="24"/>
        </w:rPr>
        <w:t>和</w:t>
      </w:r>
      <w:r>
        <w:rPr>
          <w:rFonts w:hAnsiTheme="minorEastAsia" w:eastAsiaTheme="minorEastAsia"/>
          <w:sz w:val="24"/>
        </w:rPr>
        <w:t xml:space="preserve">PH </w:t>
      </w:r>
      <w:r>
        <w:rPr>
          <w:rFonts w:hint="eastAsia" w:hAnsiTheme="minorEastAsia" w:eastAsiaTheme="minorEastAsia"/>
          <w:sz w:val="24"/>
        </w:rPr>
        <w:t>：</w:t>
      </w:r>
      <w:r>
        <w:rPr>
          <w:rFonts w:hAnsiTheme="minorEastAsia" w:eastAsiaTheme="minorEastAsia"/>
          <w:sz w:val="24"/>
        </w:rPr>
        <w:t>6</w:t>
      </w:r>
      <w:r>
        <w:rPr>
          <w:rFonts w:hint="eastAsia" w:hAnsiTheme="minorEastAsia" w:eastAsiaTheme="minorEastAsia"/>
          <w:sz w:val="24"/>
        </w:rPr>
        <w:t>～</w:t>
      </w:r>
      <w:r>
        <w:rPr>
          <w:rFonts w:hAnsiTheme="minorEastAsia" w:eastAsiaTheme="minorEastAsia"/>
          <w:sz w:val="24"/>
        </w:rPr>
        <w:t>9</w:t>
      </w:r>
      <w:r>
        <w:rPr>
          <w:rFonts w:hint="eastAsia" w:hAnsiTheme="minorEastAsia" w:eastAsiaTheme="minorEastAsia"/>
          <w:sz w:val="24"/>
        </w:rPr>
        <w:t>。</w:t>
      </w:r>
      <w:r>
        <w:rPr>
          <w:rFonts w:hint="eastAsia" w:hAnsiTheme="minorEastAsia" w:eastAsiaTheme="minorEastAsia"/>
          <w:bCs/>
          <w:sz w:val="24"/>
        </w:rPr>
        <w:t>经处理后的生活污水回用于储煤场洒水、厂区道路洒水、绿化洒水、洗车平台用水，其余送至龙宇洗煤厂作为洗煤厂补充水，生活污水全部回用，不外排。</w:t>
      </w:r>
    </w:p>
    <w:p>
      <w:pPr>
        <w:spacing w:line="360" w:lineRule="auto"/>
        <w:ind w:firstLine="480" w:firstLineChars="200"/>
        <w:rPr>
          <w:rFonts w:hAnsiTheme="minorEastAsia" w:eastAsiaTheme="minorEastAsia"/>
          <w:sz w:val="24"/>
        </w:rPr>
      </w:pPr>
      <w:r>
        <w:rPr>
          <w:rFonts w:hint="eastAsia" w:hAnsiTheme="minorEastAsia" w:eastAsiaTheme="minorEastAsia"/>
          <w:sz w:val="24"/>
        </w:rPr>
        <w:t>3）初期雨水</w:t>
      </w:r>
    </w:p>
    <w:p>
      <w:pPr>
        <w:spacing w:line="360" w:lineRule="auto"/>
        <w:ind w:firstLine="480" w:firstLineChars="200"/>
        <w:rPr>
          <w:rFonts w:hAnsiTheme="minorEastAsia" w:eastAsiaTheme="minorEastAsia"/>
          <w:sz w:val="24"/>
        </w:rPr>
      </w:pPr>
      <w:r>
        <w:rPr>
          <w:rFonts w:hint="eastAsia" w:hAnsiTheme="minorEastAsia" w:eastAsiaTheme="minorEastAsia"/>
          <w:sz w:val="24"/>
        </w:rPr>
        <w:t>初期雨水收集池尺寸同原环评，无变更。</w:t>
      </w:r>
    </w:p>
    <w:p>
      <w:pPr>
        <w:spacing w:line="360" w:lineRule="auto"/>
        <w:rPr>
          <w:rFonts w:eastAsiaTheme="minorEastAsia"/>
          <w:b/>
          <w:bCs/>
          <w:sz w:val="24"/>
        </w:rPr>
      </w:pPr>
      <w:r>
        <w:rPr>
          <w:rFonts w:eastAsiaTheme="minorEastAsia"/>
          <w:b/>
          <w:bCs/>
          <w:sz w:val="24"/>
        </w:rPr>
        <w:t>3.4.2.</w:t>
      </w:r>
      <w:r>
        <w:rPr>
          <w:rFonts w:hint="eastAsia" w:eastAsiaTheme="minorEastAsia"/>
          <w:b/>
          <w:bCs/>
          <w:sz w:val="24"/>
        </w:rPr>
        <w:t>3</w:t>
      </w:r>
      <w:r>
        <w:rPr>
          <w:rFonts w:hAnsiTheme="minorEastAsia" w:eastAsiaTheme="minorEastAsia"/>
          <w:b/>
          <w:bCs/>
          <w:sz w:val="24"/>
        </w:rPr>
        <w:t>固体废物</w:t>
      </w:r>
    </w:p>
    <w:p>
      <w:pPr>
        <w:spacing w:line="360" w:lineRule="auto"/>
        <w:ind w:firstLine="482" w:firstLineChars="200"/>
        <w:jc w:val="left"/>
        <w:rPr>
          <w:rFonts w:hAnsiTheme="minorEastAsia" w:eastAsiaTheme="minorEastAsia"/>
          <w:b/>
          <w:sz w:val="24"/>
        </w:rPr>
      </w:pPr>
      <w:r>
        <w:rPr>
          <w:rFonts w:hint="eastAsia" w:hAnsiTheme="minorEastAsia" w:eastAsiaTheme="minorEastAsia"/>
          <w:b/>
          <w:sz w:val="24"/>
        </w:rPr>
        <w:t>原环评：</w:t>
      </w:r>
    </w:p>
    <w:p>
      <w:pPr>
        <w:spacing w:line="360" w:lineRule="auto"/>
        <w:ind w:firstLine="480" w:firstLineChars="200"/>
        <w:rPr>
          <w:rFonts w:eastAsiaTheme="minorEastAsia"/>
          <w:sz w:val="24"/>
        </w:rPr>
      </w:pPr>
      <w:r>
        <w:rPr>
          <w:rFonts w:hAnsiTheme="minorEastAsia" w:eastAsiaTheme="minorEastAsia"/>
          <w:sz w:val="24"/>
        </w:rPr>
        <w:t>本矿固体废物主要有开采过程中产生的掘进矸和筛分车间排矸，另外还有炉渣、脱硫渣、矿井水处理站的煤泥、生活污水处理站的污泥以及生活垃圾。</w:t>
      </w:r>
    </w:p>
    <w:p>
      <w:pPr>
        <w:spacing w:line="360" w:lineRule="auto"/>
        <w:ind w:firstLine="480" w:firstLineChars="200"/>
        <w:rPr>
          <w:rFonts w:eastAsiaTheme="minorEastAsia"/>
          <w:sz w:val="24"/>
        </w:rPr>
      </w:pPr>
      <w:r>
        <w:rPr>
          <w:rFonts w:hint="eastAsia" w:eastAsiaTheme="minorEastAsia"/>
          <w:sz w:val="24"/>
        </w:rPr>
        <w:t>（1）</w:t>
      </w:r>
      <w:r>
        <w:rPr>
          <w:rFonts w:hAnsiTheme="minorEastAsia" w:eastAsiaTheme="minorEastAsia"/>
          <w:sz w:val="24"/>
        </w:rPr>
        <w:t>矸石</w:t>
      </w:r>
    </w:p>
    <w:p>
      <w:pPr>
        <w:spacing w:line="360" w:lineRule="auto"/>
        <w:ind w:firstLine="480" w:firstLineChars="200"/>
        <w:rPr>
          <w:rFonts w:hAnsiTheme="minorEastAsia" w:eastAsiaTheme="minorEastAsia"/>
          <w:sz w:val="24"/>
        </w:rPr>
      </w:pPr>
      <w:r>
        <w:rPr>
          <w:rFonts w:hAnsiTheme="minorEastAsia" w:eastAsiaTheme="minorEastAsia"/>
          <w:sz w:val="24"/>
        </w:rPr>
        <w:t>本工程矸石产生量为</w:t>
      </w:r>
      <w:r>
        <w:rPr>
          <w:rFonts w:eastAsiaTheme="minorEastAsia"/>
          <w:sz w:val="24"/>
        </w:rPr>
        <w:t>12</w:t>
      </w:r>
      <w:r>
        <w:rPr>
          <w:rFonts w:hAnsiTheme="minorEastAsia" w:eastAsiaTheme="minorEastAsia"/>
          <w:sz w:val="24"/>
        </w:rPr>
        <w:t>万</w:t>
      </w:r>
      <w:r>
        <w:rPr>
          <w:rFonts w:eastAsiaTheme="minorEastAsia"/>
          <w:sz w:val="24"/>
        </w:rPr>
        <w:t>t/a</w:t>
      </w:r>
      <w:r>
        <w:rPr>
          <w:rFonts w:hAnsiTheme="minorEastAsia" w:eastAsiaTheme="minorEastAsia"/>
          <w:sz w:val="24"/>
        </w:rPr>
        <w:t>。筛分矸石和掘进矸石由矿车运至排矸场。</w:t>
      </w:r>
    </w:p>
    <w:p>
      <w:pPr>
        <w:spacing w:line="360" w:lineRule="auto"/>
        <w:ind w:firstLine="480" w:firstLineChars="200"/>
        <w:rPr>
          <w:rFonts w:eastAsiaTheme="minorEastAsia"/>
          <w:sz w:val="24"/>
        </w:rPr>
      </w:pPr>
      <w:r>
        <w:rPr>
          <w:rFonts w:hint="eastAsia" w:eastAsiaTheme="minorEastAsia"/>
          <w:sz w:val="24"/>
        </w:rPr>
        <w:t>（2）</w:t>
      </w:r>
      <w:r>
        <w:rPr>
          <w:rFonts w:hAnsiTheme="minorEastAsia" w:eastAsiaTheme="minorEastAsia"/>
          <w:sz w:val="24"/>
        </w:rPr>
        <w:t>煤泥和污泥</w:t>
      </w:r>
    </w:p>
    <w:p>
      <w:pPr>
        <w:spacing w:line="360" w:lineRule="auto"/>
        <w:ind w:firstLine="480" w:firstLineChars="200"/>
        <w:rPr>
          <w:rFonts w:eastAsiaTheme="minorEastAsia"/>
          <w:sz w:val="24"/>
        </w:rPr>
      </w:pPr>
      <w:r>
        <w:rPr>
          <w:rFonts w:hAnsiTheme="minorEastAsia" w:eastAsiaTheme="minorEastAsia"/>
          <w:sz w:val="24"/>
        </w:rPr>
        <w:t>煤泥主要来自矿井水处理站和初期雨水收集池，产生量约</w:t>
      </w:r>
      <w:r>
        <w:rPr>
          <w:rFonts w:eastAsiaTheme="minorEastAsia"/>
          <w:sz w:val="24"/>
        </w:rPr>
        <w:t>260.32t/a</w:t>
      </w:r>
      <w:r>
        <w:rPr>
          <w:rFonts w:hAnsiTheme="minorEastAsia" w:eastAsiaTheme="minorEastAsia"/>
          <w:sz w:val="24"/>
        </w:rPr>
        <w:t>，晾干后与原煤一起销售。污泥主要来自生活污水处理站，产生量约</w:t>
      </w:r>
      <w:r>
        <w:rPr>
          <w:rFonts w:eastAsiaTheme="minorEastAsia"/>
          <w:sz w:val="24"/>
        </w:rPr>
        <w:t>14.44t/a</w:t>
      </w:r>
      <w:r>
        <w:rPr>
          <w:rFonts w:hAnsiTheme="minorEastAsia" w:eastAsiaTheme="minorEastAsia"/>
          <w:sz w:val="24"/>
        </w:rPr>
        <w:t>，和生活垃圾一同由环卫部门统一处理。</w:t>
      </w:r>
    </w:p>
    <w:p>
      <w:pPr>
        <w:spacing w:line="360" w:lineRule="auto"/>
        <w:ind w:firstLine="480" w:firstLineChars="200"/>
        <w:rPr>
          <w:rFonts w:eastAsiaTheme="minorEastAsia"/>
          <w:sz w:val="24"/>
        </w:rPr>
      </w:pPr>
      <w:r>
        <w:rPr>
          <w:rFonts w:hint="eastAsia" w:eastAsiaTheme="minorEastAsia"/>
          <w:sz w:val="24"/>
        </w:rPr>
        <w:t>（3）</w:t>
      </w:r>
      <w:r>
        <w:rPr>
          <w:rFonts w:hAnsiTheme="minorEastAsia" w:eastAsiaTheme="minorEastAsia"/>
          <w:sz w:val="24"/>
        </w:rPr>
        <w:t>炉渣和脱硫渣</w:t>
      </w:r>
    </w:p>
    <w:p>
      <w:pPr>
        <w:spacing w:line="360" w:lineRule="auto"/>
        <w:ind w:firstLine="480" w:firstLineChars="200"/>
        <w:rPr>
          <w:rFonts w:eastAsiaTheme="minorEastAsia"/>
          <w:sz w:val="24"/>
        </w:rPr>
      </w:pPr>
      <w:r>
        <w:rPr>
          <w:rFonts w:hAnsiTheme="minorEastAsia" w:eastAsiaTheme="minorEastAsia"/>
          <w:sz w:val="24"/>
        </w:rPr>
        <w:t>炉渣产生量</w:t>
      </w:r>
      <w:r>
        <w:rPr>
          <w:rFonts w:eastAsiaTheme="minorEastAsia"/>
          <w:sz w:val="24"/>
        </w:rPr>
        <w:t>2139.37t/a</w:t>
      </w:r>
      <w:r>
        <w:rPr>
          <w:rFonts w:hAnsiTheme="minorEastAsia" w:eastAsiaTheme="minorEastAsia"/>
          <w:sz w:val="24"/>
        </w:rPr>
        <w:t>，脱硫渣产生量</w:t>
      </w:r>
      <w:r>
        <w:rPr>
          <w:rFonts w:eastAsiaTheme="minorEastAsia"/>
          <w:sz w:val="24"/>
        </w:rPr>
        <w:t>366.54t/a</w:t>
      </w:r>
      <w:r>
        <w:rPr>
          <w:rFonts w:hAnsiTheme="minorEastAsia" w:eastAsiaTheme="minorEastAsia"/>
          <w:sz w:val="24"/>
        </w:rPr>
        <w:t>，全部运至矸石沟填埋。</w:t>
      </w:r>
    </w:p>
    <w:p>
      <w:pPr>
        <w:spacing w:line="360" w:lineRule="auto"/>
        <w:ind w:firstLine="480" w:firstLineChars="200"/>
        <w:rPr>
          <w:rFonts w:eastAsiaTheme="minorEastAsia"/>
          <w:sz w:val="24"/>
        </w:rPr>
      </w:pPr>
      <w:r>
        <w:rPr>
          <w:rFonts w:hint="eastAsia" w:eastAsiaTheme="minorEastAsia"/>
          <w:sz w:val="24"/>
        </w:rPr>
        <w:t>（4）</w:t>
      </w:r>
      <w:r>
        <w:rPr>
          <w:rFonts w:hAnsiTheme="minorEastAsia" w:eastAsiaTheme="minorEastAsia"/>
          <w:sz w:val="24"/>
        </w:rPr>
        <w:t>生活垃圾</w:t>
      </w:r>
    </w:p>
    <w:p>
      <w:pPr>
        <w:spacing w:line="360" w:lineRule="auto"/>
        <w:ind w:firstLine="480" w:firstLineChars="200"/>
        <w:rPr>
          <w:rFonts w:eastAsiaTheme="minorEastAsia"/>
          <w:sz w:val="24"/>
        </w:rPr>
      </w:pPr>
      <w:r>
        <w:rPr>
          <w:rFonts w:hAnsiTheme="minorEastAsia" w:eastAsiaTheme="minorEastAsia"/>
          <w:sz w:val="24"/>
        </w:rPr>
        <w:t>本项目生活垃圾产生量</w:t>
      </w:r>
      <w:r>
        <w:rPr>
          <w:rFonts w:eastAsiaTheme="minorEastAsia"/>
          <w:sz w:val="24"/>
        </w:rPr>
        <w:t>114.43t/a</w:t>
      </w:r>
      <w:r>
        <w:rPr>
          <w:rFonts w:hAnsiTheme="minorEastAsia" w:eastAsiaTheme="minorEastAsia"/>
          <w:sz w:val="24"/>
        </w:rPr>
        <w:t>（按照当地生活水平，生活垃圾产生量以每人每天</w:t>
      </w:r>
      <w:r>
        <w:rPr>
          <w:rFonts w:eastAsiaTheme="minorEastAsia"/>
          <w:sz w:val="24"/>
        </w:rPr>
        <w:t>0.5kg</w:t>
      </w:r>
      <w:r>
        <w:rPr>
          <w:rFonts w:hAnsiTheme="minorEastAsia" w:eastAsiaTheme="minorEastAsia"/>
          <w:sz w:val="24"/>
        </w:rPr>
        <w:t>计）。环评要求在工业场地内设置封闭式垃圾箱，集中收集后由当地环卫部门统一处理。</w:t>
      </w:r>
    </w:p>
    <w:p>
      <w:pPr>
        <w:spacing w:line="360" w:lineRule="auto"/>
        <w:ind w:firstLine="482" w:firstLineChars="200"/>
        <w:jc w:val="left"/>
        <w:rPr>
          <w:rFonts w:hAnsiTheme="minorEastAsia" w:eastAsiaTheme="minorEastAsia"/>
          <w:b/>
          <w:sz w:val="24"/>
        </w:rPr>
      </w:pPr>
      <w:r>
        <w:rPr>
          <w:rFonts w:hint="eastAsia" w:hAnsiTheme="minorEastAsia" w:eastAsiaTheme="minorEastAsia"/>
          <w:b/>
          <w:sz w:val="24"/>
        </w:rPr>
        <w:t>变更后：</w:t>
      </w:r>
    </w:p>
    <w:p>
      <w:pPr>
        <w:spacing w:line="360" w:lineRule="auto"/>
        <w:ind w:firstLine="480" w:firstLineChars="200"/>
        <w:jc w:val="left"/>
        <w:rPr>
          <w:rFonts w:eastAsiaTheme="minorEastAsia"/>
          <w:sz w:val="24"/>
        </w:rPr>
      </w:pPr>
      <w:r>
        <w:rPr>
          <w:rFonts w:hAnsiTheme="minorEastAsia" w:eastAsiaTheme="minorEastAsia"/>
          <w:sz w:val="24"/>
        </w:rPr>
        <w:t>煤矿生产固体废物主要有煤矸石、生活垃圾、除尘灰、各工业场地生活污水处理站污泥和废机油等，产生、处置情况见表</w:t>
      </w:r>
      <w:r>
        <w:rPr>
          <w:rFonts w:eastAsiaTheme="minorEastAsia"/>
          <w:sz w:val="24"/>
        </w:rPr>
        <w:t>3.4-</w:t>
      </w:r>
      <w:r>
        <w:rPr>
          <w:rFonts w:hint="eastAsia" w:eastAsiaTheme="minorEastAsia"/>
          <w:sz w:val="24"/>
        </w:rPr>
        <w:t>3</w:t>
      </w:r>
      <w:r>
        <w:rPr>
          <w:rFonts w:hAnsiTheme="minorEastAsia" w:eastAsiaTheme="minorEastAsia"/>
          <w:sz w:val="24"/>
        </w:rPr>
        <w:t>。</w:t>
      </w:r>
    </w:p>
    <w:p>
      <w:pPr>
        <w:pStyle w:val="20"/>
        <w:spacing w:after="0" w:line="360" w:lineRule="auto"/>
        <w:ind w:left="0" w:leftChars="0" w:firstLine="480" w:firstLineChars="200"/>
        <w:jc w:val="left"/>
        <w:rPr>
          <w:rFonts w:eastAsiaTheme="minorEastAsia"/>
          <w:sz w:val="24"/>
          <w:szCs w:val="24"/>
        </w:rPr>
      </w:pP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）煤矸石</w:t>
      </w:r>
    </w:p>
    <w:p>
      <w:pPr>
        <w:spacing w:line="360" w:lineRule="auto"/>
        <w:ind w:firstLine="480" w:firstLineChars="200"/>
        <w:rPr>
          <w:rFonts w:hAnsiTheme="minorEastAsia" w:eastAsiaTheme="minorEastAsia"/>
          <w:sz w:val="24"/>
        </w:rPr>
      </w:pPr>
      <w:r>
        <w:rPr>
          <w:rFonts w:hint="eastAsia" w:hAnsiTheme="minorEastAsia" w:eastAsiaTheme="minorEastAsia"/>
          <w:sz w:val="24"/>
        </w:rPr>
        <w:t>矸石产生量同原环评，无变化。</w:t>
      </w:r>
      <w:r>
        <w:rPr>
          <w:rFonts w:hint="eastAsia" w:hAnsi="宋体"/>
          <w:kern w:val="0"/>
          <w:sz w:val="24"/>
        </w:rPr>
        <w:t>产生的煤矸石全部</w:t>
      </w:r>
      <w:r>
        <w:rPr>
          <w:rFonts w:hint="eastAsia" w:hAnsiTheme="minorEastAsia" w:eastAsiaTheme="minorEastAsia"/>
          <w:sz w:val="24"/>
        </w:rPr>
        <w:t>送往山西华光发电有限责任公司综合利用</w:t>
      </w:r>
      <w:r>
        <w:rPr>
          <w:rFonts w:hint="eastAsia" w:hAnsi="宋体"/>
          <w:kern w:val="0"/>
          <w:sz w:val="24"/>
        </w:rPr>
        <w:t>，</w:t>
      </w:r>
      <w:r>
        <w:rPr>
          <w:rFonts w:hint="eastAsia" w:hAnsiTheme="minorEastAsia" w:eastAsiaTheme="minorEastAsia"/>
          <w:sz w:val="24"/>
        </w:rPr>
        <w:t>综合利用不畅的情况下，临时</w:t>
      </w:r>
      <w:r>
        <w:rPr>
          <w:rFonts w:hAnsiTheme="minorEastAsia" w:eastAsiaTheme="minorEastAsia"/>
          <w:sz w:val="24"/>
        </w:rPr>
        <w:t>运至</w:t>
      </w:r>
      <w:r>
        <w:rPr>
          <w:rFonts w:hint="eastAsia" w:hAnsiTheme="minorEastAsia" w:eastAsiaTheme="minorEastAsia"/>
          <w:sz w:val="24"/>
        </w:rPr>
        <w:t>原环评批复的临时矸石堆场填埋处理</w:t>
      </w:r>
      <w:r>
        <w:rPr>
          <w:rFonts w:hAnsiTheme="minorEastAsia" w:eastAsiaTheme="minorEastAsia"/>
          <w:sz w:val="24"/>
        </w:rPr>
        <w:t>。</w:t>
      </w:r>
    </w:p>
    <w:p>
      <w:pPr>
        <w:pStyle w:val="20"/>
        <w:spacing w:after="0" w:line="360" w:lineRule="auto"/>
        <w:ind w:left="0" w:leftChars="0" w:firstLine="480" w:firstLineChars="200"/>
        <w:jc w:val="left"/>
        <w:rPr>
          <w:rFonts w:eastAsiaTheme="minorEastAsia"/>
          <w:sz w:val="24"/>
          <w:szCs w:val="24"/>
        </w:rPr>
      </w:pPr>
      <w:r>
        <w:rPr>
          <w:rFonts w:hAnsiTheme="minorEastAsia" w:eastAsiaTheme="minorEastAsia"/>
          <w:sz w:val="24"/>
          <w:szCs w:val="24"/>
        </w:rPr>
        <w:t>（</w:t>
      </w:r>
      <w:r>
        <w:rPr>
          <w:rFonts w:hint="eastAsia" w:eastAsiaTheme="minorEastAsia"/>
          <w:sz w:val="24"/>
          <w:szCs w:val="24"/>
        </w:rPr>
        <w:t>2</w:t>
      </w:r>
      <w:r>
        <w:rPr>
          <w:rFonts w:hAnsiTheme="minorEastAsia" w:eastAsiaTheme="minorEastAsia"/>
          <w:sz w:val="24"/>
          <w:szCs w:val="24"/>
        </w:rPr>
        <w:t>）</w:t>
      </w:r>
      <w:r>
        <w:rPr>
          <w:rFonts w:hint="eastAsia" w:hAnsiTheme="minorEastAsia" w:eastAsiaTheme="minorEastAsia"/>
          <w:sz w:val="24"/>
          <w:szCs w:val="24"/>
        </w:rPr>
        <w:t>煤泥和</w:t>
      </w:r>
      <w:r>
        <w:rPr>
          <w:rFonts w:hAnsiTheme="minorEastAsia" w:eastAsiaTheme="minorEastAsia"/>
          <w:sz w:val="24"/>
          <w:szCs w:val="24"/>
        </w:rPr>
        <w:t>污泥</w:t>
      </w:r>
    </w:p>
    <w:p>
      <w:pPr>
        <w:pStyle w:val="20"/>
        <w:spacing w:after="0" w:line="360" w:lineRule="auto"/>
        <w:ind w:left="0" w:leftChars="0" w:firstLine="480" w:firstLineChars="200"/>
        <w:jc w:val="left"/>
        <w:rPr>
          <w:rFonts w:hAnsiTheme="minorEastAsia" w:eastAsiaTheme="minorEastAsia"/>
          <w:sz w:val="24"/>
          <w:szCs w:val="24"/>
        </w:rPr>
      </w:pPr>
      <w:r>
        <w:rPr>
          <w:rFonts w:hint="eastAsia" w:hAnsiTheme="minorEastAsia" w:eastAsiaTheme="minorEastAsia"/>
          <w:sz w:val="24"/>
          <w:szCs w:val="24"/>
        </w:rPr>
        <w:t>同原环评，无变更。</w:t>
      </w:r>
    </w:p>
    <w:p>
      <w:pPr>
        <w:pStyle w:val="20"/>
        <w:spacing w:after="0" w:line="360" w:lineRule="auto"/>
        <w:ind w:left="0" w:leftChars="0" w:firstLine="480" w:firstLineChars="200"/>
        <w:jc w:val="left"/>
        <w:rPr>
          <w:rFonts w:eastAsiaTheme="minorEastAsia"/>
          <w:sz w:val="24"/>
          <w:szCs w:val="24"/>
        </w:rPr>
      </w:pP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）生活垃圾</w:t>
      </w:r>
    </w:p>
    <w:p>
      <w:pPr>
        <w:pStyle w:val="20"/>
        <w:spacing w:after="0" w:line="360" w:lineRule="auto"/>
        <w:ind w:left="0" w:leftChars="0" w:firstLine="480" w:firstLineChars="200"/>
        <w:jc w:val="left"/>
        <w:rPr>
          <w:rFonts w:eastAsiaTheme="minorEastAsia"/>
          <w:sz w:val="24"/>
          <w:szCs w:val="24"/>
        </w:rPr>
      </w:pPr>
      <w:r>
        <w:rPr>
          <w:rFonts w:hint="eastAsia" w:hAnsiTheme="minorEastAsia" w:eastAsiaTheme="minorEastAsia"/>
          <w:sz w:val="24"/>
          <w:szCs w:val="24"/>
        </w:rPr>
        <w:t>同原环评，无变更。</w:t>
      </w:r>
    </w:p>
    <w:p>
      <w:pPr>
        <w:spacing w:line="360" w:lineRule="auto"/>
        <w:ind w:firstLine="480" w:firstLineChars="200"/>
        <w:rPr>
          <w:rFonts w:eastAsiaTheme="minorEastAsia"/>
          <w:sz w:val="24"/>
        </w:rPr>
      </w:pPr>
      <w:r>
        <w:rPr>
          <w:rFonts w:hint="eastAsia" w:hAnsiTheme="minorEastAsia" w:eastAsiaTheme="minorEastAsia"/>
          <w:sz w:val="24"/>
        </w:rPr>
        <w:t>由于本项目人员未增加，故生活垃圾产生量仍为114.43</w:t>
      </w:r>
      <w:r>
        <w:rPr>
          <w:rFonts w:eastAsiaTheme="minorEastAsia"/>
          <w:sz w:val="24"/>
        </w:rPr>
        <w:t>t/a</w:t>
      </w:r>
      <w:r>
        <w:rPr>
          <w:rFonts w:hint="eastAsia" w:eastAsiaTheme="minorEastAsia"/>
          <w:sz w:val="24"/>
        </w:rPr>
        <w:t>，</w:t>
      </w:r>
      <w:r>
        <w:rPr>
          <w:rFonts w:hAnsiTheme="minorEastAsia" w:eastAsiaTheme="minorEastAsia"/>
          <w:sz w:val="24"/>
        </w:rPr>
        <w:t>在工业场地内设置封闭式垃圾箱，</w:t>
      </w:r>
      <w:r>
        <w:rPr>
          <w:rFonts w:hint="eastAsia" w:hAnsiTheme="minorEastAsia" w:eastAsiaTheme="minorEastAsia"/>
          <w:sz w:val="24"/>
        </w:rPr>
        <w:t>生活垃圾经</w:t>
      </w:r>
      <w:r>
        <w:rPr>
          <w:rFonts w:hAnsiTheme="minorEastAsia" w:eastAsiaTheme="minorEastAsia"/>
          <w:sz w:val="24"/>
        </w:rPr>
        <w:t>集中收集后由当地环卫部门统一处理。</w:t>
      </w:r>
    </w:p>
    <w:p>
      <w:pPr>
        <w:pStyle w:val="20"/>
        <w:spacing w:after="0" w:line="360" w:lineRule="auto"/>
        <w:ind w:left="0" w:leftChars="0" w:firstLine="480" w:firstLineChars="200"/>
        <w:jc w:val="left"/>
        <w:rPr>
          <w:rFonts w:eastAsiaTheme="minorEastAsia"/>
          <w:sz w:val="24"/>
          <w:szCs w:val="24"/>
        </w:rPr>
      </w:pPr>
      <w:r>
        <w:rPr>
          <w:rFonts w:hAnsiTheme="minorEastAsia" w:eastAsiaTheme="minorEastAsia"/>
          <w:sz w:val="24"/>
          <w:szCs w:val="24"/>
        </w:rPr>
        <w:t>（</w:t>
      </w:r>
      <w:r>
        <w:rPr>
          <w:rFonts w:hint="eastAsia" w:eastAsiaTheme="minorEastAsia"/>
          <w:sz w:val="24"/>
          <w:szCs w:val="24"/>
        </w:rPr>
        <w:t>4</w:t>
      </w:r>
      <w:r>
        <w:rPr>
          <w:rFonts w:hAnsiTheme="minorEastAsia" w:eastAsiaTheme="minorEastAsia"/>
          <w:sz w:val="24"/>
          <w:szCs w:val="24"/>
        </w:rPr>
        <w:t>）废机油</w:t>
      </w:r>
    </w:p>
    <w:p>
      <w:pPr>
        <w:pStyle w:val="13"/>
        <w:spacing w:line="360" w:lineRule="auto"/>
        <w:ind w:firstLine="480"/>
        <w:rPr>
          <w:rFonts w:ascii="Times New Roman" w:hAnsi="Times New Roman" w:eastAsiaTheme="minorEastAsia"/>
          <w:sz w:val="24"/>
        </w:rPr>
      </w:pPr>
      <w:r>
        <w:rPr>
          <w:rFonts w:ascii="Times New Roman" w:hAnsiTheme="minorEastAsia" w:eastAsiaTheme="minorEastAsia"/>
          <w:sz w:val="24"/>
        </w:rPr>
        <w:t>本项目废机油产生量为</w:t>
      </w:r>
      <w:r>
        <w:rPr>
          <w:rFonts w:hint="eastAsia" w:ascii="Times New Roman" w:hAnsi="Times New Roman" w:eastAsiaTheme="minorEastAsia"/>
          <w:sz w:val="24"/>
        </w:rPr>
        <w:t>15</w:t>
      </w:r>
      <w:r>
        <w:rPr>
          <w:rFonts w:ascii="Times New Roman" w:hAnsi="Times New Roman" w:eastAsiaTheme="minorEastAsia"/>
          <w:sz w:val="24"/>
        </w:rPr>
        <w:t>t/a</w:t>
      </w:r>
      <w:r>
        <w:rPr>
          <w:rFonts w:ascii="Times New Roman" w:hAnsiTheme="minorEastAsia" w:eastAsiaTheme="minorEastAsia"/>
          <w:sz w:val="24"/>
        </w:rPr>
        <w:t>。项目产生的废机油、废油桶属于危险废物，经统一收集后，分类暂存于危废暂存库</w:t>
      </w:r>
      <w:r>
        <w:rPr>
          <w:rFonts w:hint="eastAsia" w:ascii="Times New Roman" w:hAnsiTheme="minorEastAsia" w:eastAsiaTheme="minorEastAsia"/>
          <w:sz w:val="24"/>
        </w:rPr>
        <w:t>，</w:t>
      </w:r>
      <w:r>
        <w:rPr>
          <w:rFonts w:hint="eastAsia" w:ascii="Times New Roman" w:hAnsiTheme="minorEastAsia" w:eastAsiaTheme="minorEastAsia"/>
          <w:bCs/>
          <w:sz w:val="24"/>
        </w:rPr>
        <w:t>交</w:t>
      </w:r>
      <w:r>
        <w:rPr>
          <w:rFonts w:ascii="Times New Roman" w:hAnsiTheme="minorEastAsia" w:eastAsiaTheme="minorEastAsia"/>
          <w:bCs/>
          <w:sz w:val="24"/>
        </w:rPr>
        <w:t>送有资质单位处置</w:t>
      </w:r>
      <w:r>
        <w:rPr>
          <w:rFonts w:ascii="Times New Roman" w:hAnsiTheme="minorEastAsia" w:eastAsiaTheme="minorEastAsia"/>
          <w:sz w:val="24"/>
        </w:rPr>
        <w:t>。</w:t>
      </w:r>
    </w:p>
    <w:p>
      <w:pPr>
        <w:pStyle w:val="20"/>
        <w:spacing w:after="0" w:line="360" w:lineRule="auto"/>
        <w:ind w:left="0" w:leftChars="0"/>
        <w:jc w:val="center"/>
        <w:rPr>
          <w:rFonts w:eastAsiaTheme="minorEastAsia"/>
          <w:b/>
          <w:sz w:val="21"/>
          <w:szCs w:val="21"/>
        </w:rPr>
      </w:pPr>
      <w:r>
        <w:rPr>
          <w:rFonts w:hAnsiTheme="minorEastAsia" w:eastAsiaTheme="minorEastAsia"/>
          <w:b/>
          <w:sz w:val="21"/>
          <w:szCs w:val="21"/>
        </w:rPr>
        <w:t>表</w:t>
      </w:r>
      <w:r>
        <w:rPr>
          <w:rFonts w:eastAsiaTheme="minorEastAsia"/>
          <w:b/>
          <w:sz w:val="21"/>
          <w:szCs w:val="21"/>
        </w:rPr>
        <w:t>3.4-</w:t>
      </w:r>
      <w:r>
        <w:rPr>
          <w:rFonts w:hint="eastAsia" w:eastAsiaTheme="minorEastAsia"/>
          <w:b/>
          <w:sz w:val="21"/>
          <w:szCs w:val="21"/>
        </w:rPr>
        <w:t>3</w:t>
      </w:r>
      <w:r>
        <w:rPr>
          <w:rFonts w:eastAsiaTheme="minorEastAsia"/>
          <w:b/>
          <w:sz w:val="21"/>
          <w:szCs w:val="21"/>
        </w:rPr>
        <w:t xml:space="preserve">  </w:t>
      </w:r>
      <w:r>
        <w:rPr>
          <w:rFonts w:hAnsiTheme="minorEastAsia" w:eastAsiaTheme="minorEastAsia"/>
          <w:b/>
          <w:sz w:val="21"/>
          <w:szCs w:val="21"/>
        </w:rPr>
        <w:t>固体废物产生及处置情况一览表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72"/>
        <w:gridCol w:w="2130"/>
        <w:gridCol w:w="2126"/>
        <w:gridCol w:w="435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2" w:type="pct"/>
            <w:vAlign w:val="center"/>
          </w:tcPr>
          <w:p>
            <w:pPr>
              <w:jc w:val="center"/>
              <w:rPr>
                <w:rFonts w:eastAsiaTheme="minorEastAsia"/>
                <w:szCs w:val="21"/>
              </w:rPr>
            </w:pPr>
            <w:r>
              <w:rPr>
                <w:rFonts w:hAnsiTheme="minorEastAsia" w:eastAsiaTheme="minorEastAsia"/>
                <w:szCs w:val="21"/>
              </w:rPr>
              <w:t>序号</w:t>
            </w:r>
          </w:p>
        </w:tc>
        <w:tc>
          <w:tcPr>
            <w:tcW w:w="1147" w:type="pct"/>
            <w:vAlign w:val="center"/>
          </w:tcPr>
          <w:p>
            <w:pPr>
              <w:jc w:val="center"/>
              <w:rPr>
                <w:rFonts w:eastAsiaTheme="minorEastAsia"/>
                <w:szCs w:val="21"/>
              </w:rPr>
            </w:pPr>
            <w:r>
              <w:rPr>
                <w:rFonts w:hAnsiTheme="minorEastAsia" w:eastAsiaTheme="minorEastAsia"/>
                <w:szCs w:val="21"/>
              </w:rPr>
              <w:t>项</w:t>
            </w:r>
            <w:r>
              <w:rPr>
                <w:rFonts w:eastAsiaTheme="minorEastAsia"/>
                <w:szCs w:val="21"/>
              </w:rPr>
              <w:t xml:space="preserve">    </w:t>
            </w:r>
            <w:r>
              <w:rPr>
                <w:rFonts w:hAnsiTheme="minorEastAsia" w:eastAsiaTheme="minorEastAsia"/>
                <w:szCs w:val="21"/>
              </w:rPr>
              <w:t>目</w:t>
            </w:r>
          </w:p>
        </w:tc>
        <w:tc>
          <w:tcPr>
            <w:tcW w:w="1145" w:type="pct"/>
            <w:vAlign w:val="center"/>
          </w:tcPr>
          <w:p>
            <w:pPr>
              <w:jc w:val="center"/>
              <w:rPr>
                <w:rFonts w:eastAsiaTheme="minorEastAsia"/>
                <w:szCs w:val="21"/>
              </w:rPr>
            </w:pPr>
            <w:r>
              <w:rPr>
                <w:rFonts w:hAnsiTheme="minorEastAsia" w:eastAsiaTheme="minorEastAsia"/>
                <w:szCs w:val="21"/>
              </w:rPr>
              <w:t>排放量（</w:t>
            </w:r>
            <w:r>
              <w:rPr>
                <w:rFonts w:eastAsiaTheme="minorEastAsia"/>
                <w:szCs w:val="21"/>
              </w:rPr>
              <w:t>t/a</w:t>
            </w:r>
            <w:r>
              <w:rPr>
                <w:rFonts w:hAnsiTheme="minorEastAsia" w:eastAsiaTheme="minorEastAsia"/>
                <w:szCs w:val="21"/>
              </w:rPr>
              <w:t>）</w:t>
            </w:r>
          </w:p>
        </w:tc>
        <w:tc>
          <w:tcPr>
            <w:tcW w:w="2346" w:type="pct"/>
            <w:vAlign w:val="center"/>
          </w:tcPr>
          <w:p>
            <w:pPr>
              <w:jc w:val="center"/>
              <w:rPr>
                <w:rFonts w:eastAsiaTheme="minorEastAsia"/>
                <w:szCs w:val="21"/>
              </w:rPr>
            </w:pPr>
            <w:r>
              <w:rPr>
                <w:rFonts w:hAnsiTheme="minorEastAsia" w:eastAsiaTheme="minorEastAsia"/>
                <w:szCs w:val="21"/>
              </w:rPr>
              <w:t>处置情况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62" w:type="pct"/>
            <w:vAlign w:val="center"/>
          </w:tcPr>
          <w:p>
            <w:pPr>
              <w:jc w:val="center"/>
              <w:rPr>
                <w:rFonts w:eastAsiaTheme="minorEastAsia"/>
                <w:szCs w:val="21"/>
              </w:rPr>
            </w:pPr>
            <w:r>
              <w:rPr>
                <w:rFonts w:eastAsiaTheme="minorEastAsia"/>
                <w:szCs w:val="21"/>
              </w:rPr>
              <w:t>1</w:t>
            </w:r>
          </w:p>
        </w:tc>
        <w:tc>
          <w:tcPr>
            <w:tcW w:w="1147" w:type="pct"/>
            <w:vAlign w:val="center"/>
          </w:tcPr>
          <w:p>
            <w:pPr>
              <w:jc w:val="center"/>
              <w:rPr>
                <w:rFonts w:eastAsiaTheme="minorEastAsia"/>
                <w:szCs w:val="21"/>
              </w:rPr>
            </w:pPr>
            <w:r>
              <w:rPr>
                <w:rFonts w:hAnsiTheme="minorEastAsia" w:eastAsiaTheme="minorEastAsia"/>
                <w:szCs w:val="21"/>
              </w:rPr>
              <w:t>煤矸石</w:t>
            </w:r>
          </w:p>
        </w:tc>
        <w:tc>
          <w:tcPr>
            <w:tcW w:w="1145" w:type="pct"/>
            <w:vAlign w:val="center"/>
          </w:tcPr>
          <w:p>
            <w:pPr>
              <w:jc w:val="center"/>
              <w:rPr>
                <w:rFonts w:eastAsiaTheme="minorEastAsia"/>
                <w:szCs w:val="21"/>
              </w:rPr>
            </w:pPr>
            <w:r>
              <w:rPr>
                <w:rFonts w:hint="eastAsia" w:eastAsiaTheme="minorEastAsia"/>
                <w:szCs w:val="21"/>
              </w:rPr>
              <w:t>1200</w:t>
            </w:r>
            <w:r>
              <w:rPr>
                <w:rFonts w:eastAsiaTheme="minorEastAsia"/>
                <w:szCs w:val="21"/>
              </w:rPr>
              <w:t>00</w:t>
            </w:r>
          </w:p>
        </w:tc>
        <w:tc>
          <w:tcPr>
            <w:tcW w:w="2346" w:type="pct"/>
            <w:vAlign w:val="center"/>
          </w:tcPr>
          <w:p>
            <w:pPr>
              <w:jc w:val="center"/>
              <w:rPr>
                <w:rFonts w:eastAsiaTheme="minorEastAsia"/>
                <w:szCs w:val="21"/>
              </w:rPr>
            </w:pPr>
            <w:r>
              <w:rPr>
                <w:rFonts w:hint="eastAsia" w:hAnsiTheme="minorEastAsia" w:eastAsiaTheme="minorEastAsia"/>
                <w:szCs w:val="21"/>
              </w:rPr>
              <w:t>全部送往山西华光发电有限责任公司综合利用，综合利用不畅的情况下，临时</w:t>
            </w:r>
            <w:r>
              <w:rPr>
                <w:rFonts w:hAnsiTheme="minorEastAsia" w:eastAsiaTheme="minorEastAsia"/>
                <w:szCs w:val="21"/>
              </w:rPr>
              <w:t>运至</w:t>
            </w:r>
            <w:r>
              <w:rPr>
                <w:rFonts w:hint="eastAsia" w:hAnsiTheme="minorEastAsia" w:eastAsiaTheme="minorEastAsia"/>
                <w:szCs w:val="21"/>
              </w:rPr>
              <w:t>原环评批复的临时矸石堆场填埋处理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92" w:hRule="atLeast"/>
          <w:jc w:val="center"/>
        </w:trPr>
        <w:tc>
          <w:tcPr>
            <w:tcW w:w="362" w:type="pct"/>
            <w:vAlign w:val="center"/>
          </w:tcPr>
          <w:p>
            <w:pPr>
              <w:jc w:val="center"/>
              <w:rPr>
                <w:rFonts w:eastAsiaTheme="minorEastAsia"/>
                <w:szCs w:val="21"/>
              </w:rPr>
            </w:pPr>
            <w:r>
              <w:rPr>
                <w:rFonts w:hint="eastAsia" w:eastAsiaTheme="minorEastAsia"/>
                <w:szCs w:val="21"/>
              </w:rPr>
              <w:t>2</w:t>
            </w:r>
          </w:p>
        </w:tc>
        <w:tc>
          <w:tcPr>
            <w:tcW w:w="1147" w:type="pct"/>
            <w:vAlign w:val="center"/>
          </w:tcPr>
          <w:p>
            <w:pPr>
              <w:jc w:val="center"/>
              <w:rPr>
                <w:rFonts w:eastAsiaTheme="minorEastAsia"/>
                <w:szCs w:val="21"/>
              </w:rPr>
            </w:pPr>
            <w:r>
              <w:rPr>
                <w:rFonts w:hAnsiTheme="minorEastAsia" w:eastAsiaTheme="minorEastAsia"/>
                <w:szCs w:val="21"/>
              </w:rPr>
              <w:t>生活垃圾</w:t>
            </w:r>
          </w:p>
        </w:tc>
        <w:tc>
          <w:tcPr>
            <w:tcW w:w="1145" w:type="pct"/>
            <w:vAlign w:val="center"/>
          </w:tcPr>
          <w:p>
            <w:pPr>
              <w:pStyle w:val="108"/>
              <w:rPr>
                <w:rFonts w:ascii="Times New Roman" w:eastAsiaTheme="minorEastAsia"/>
                <w:szCs w:val="21"/>
              </w:rPr>
            </w:pPr>
            <w:r>
              <w:rPr>
                <w:rFonts w:hint="eastAsia" w:ascii="Times New Roman" w:eastAsiaTheme="minorEastAsia"/>
                <w:szCs w:val="21"/>
              </w:rPr>
              <w:t>114.43</w:t>
            </w:r>
          </w:p>
        </w:tc>
        <w:tc>
          <w:tcPr>
            <w:tcW w:w="2346" w:type="pct"/>
            <w:vAlign w:val="center"/>
          </w:tcPr>
          <w:p>
            <w:pPr>
              <w:jc w:val="center"/>
              <w:rPr>
                <w:rFonts w:eastAsiaTheme="minorEastAsia"/>
                <w:szCs w:val="21"/>
              </w:rPr>
            </w:pPr>
            <w:r>
              <w:rPr>
                <w:rFonts w:hAnsiTheme="minorEastAsia" w:eastAsiaTheme="minorEastAsia"/>
                <w:szCs w:val="21"/>
              </w:rPr>
              <w:t>统一收集后</w:t>
            </w:r>
            <w:r>
              <w:rPr>
                <w:rFonts w:hint="eastAsia" w:hAnsiTheme="minorEastAsia" w:eastAsiaTheme="minorEastAsia"/>
                <w:szCs w:val="21"/>
              </w:rPr>
              <w:t>交由环卫部门处理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362" w:type="pct"/>
            <w:vAlign w:val="center"/>
          </w:tcPr>
          <w:p>
            <w:pPr>
              <w:jc w:val="center"/>
              <w:rPr>
                <w:rFonts w:eastAsiaTheme="minorEastAsia"/>
                <w:szCs w:val="21"/>
              </w:rPr>
            </w:pPr>
            <w:r>
              <w:rPr>
                <w:rFonts w:hint="eastAsia" w:eastAsiaTheme="minorEastAsia"/>
                <w:szCs w:val="21"/>
              </w:rPr>
              <w:t>3</w:t>
            </w:r>
          </w:p>
        </w:tc>
        <w:tc>
          <w:tcPr>
            <w:tcW w:w="1147" w:type="pct"/>
            <w:vAlign w:val="center"/>
          </w:tcPr>
          <w:p>
            <w:pPr>
              <w:pStyle w:val="108"/>
              <w:rPr>
                <w:rFonts w:ascii="Times New Roman" w:eastAsiaTheme="minorEastAsia"/>
                <w:szCs w:val="21"/>
              </w:rPr>
            </w:pPr>
            <w:r>
              <w:rPr>
                <w:rFonts w:ascii="Times New Roman" w:hAnsiTheme="minorEastAsia" w:eastAsiaTheme="minorEastAsia"/>
                <w:szCs w:val="21"/>
              </w:rPr>
              <w:t>矿井水水处理站污泥</w:t>
            </w:r>
          </w:p>
        </w:tc>
        <w:tc>
          <w:tcPr>
            <w:tcW w:w="1145" w:type="pct"/>
            <w:vAlign w:val="center"/>
          </w:tcPr>
          <w:p>
            <w:pPr>
              <w:pStyle w:val="108"/>
              <w:rPr>
                <w:rFonts w:ascii="Times New Roman" w:eastAsiaTheme="minorEastAsia"/>
                <w:szCs w:val="21"/>
              </w:rPr>
            </w:pPr>
            <w:r>
              <w:rPr>
                <w:rFonts w:hint="eastAsia" w:ascii="Times New Roman" w:eastAsiaTheme="minorEastAsia"/>
                <w:szCs w:val="21"/>
              </w:rPr>
              <w:t>260.32</w:t>
            </w:r>
          </w:p>
        </w:tc>
        <w:tc>
          <w:tcPr>
            <w:tcW w:w="2346" w:type="pct"/>
            <w:vAlign w:val="center"/>
          </w:tcPr>
          <w:p>
            <w:pPr>
              <w:jc w:val="center"/>
              <w:rPr>
                <w:rFonts w:eastAsiaTheme="minorEastAsia"/>
                <w:szCs w:val="21"/>
              </w:rPr>
            </w:pPr>
            <w:r>
              <w:rPr>
                <w:rFonts w:hAnsiTheme="minorEastAsia" w:eastAsiaTheme="minorEastAsia"/>
                <w:szCs w:val="21"/>
              </w:rPr>
              <w:t>污泥经浓缩后送至选煤厂煤泥浓缩池一并处理，最后混入末煤产品销售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362" w:type="pct"/>
            <w:vAlign w:val="center"/>
          </w:tcPr>
          <w:p>
            <w:pPr>
              <w:jc w:val="center"/>
              <w:rPr>
                <w:rFonts w:eastAsiaTheme="minorEastAsia"/>
                <w:szCs w:val="21"/>
              </w:rPr>
            </w:pPr>
            <w:r>
              <w:rPr>
                <w:rFonts w:hint="eastAsia" w:eastAsiaTheme="minorEastAsia"/>
                <w:szCs w:val="21"/>
              </w:rPr>
              <w:t>4</w:t>
            </w:r>
          </w:p>
        </w:tc>
        <w:tc>
          <w:tcPr>
            <w:tcW w:w="1147" w:type="pct"/>
            <w:vAlign w:val="center"/>
          </w:tcPr>
          <w:p>
            <w:pPr>
              <w:pStyle w:val="108"/>
              <w:rPr>
                <w:rFonts w:ascii="Times New Roman" w:eastAsiaTheme="minorEastAsia"/>
                <w:szCs w:val="21"/>
              </w:rPr>
            </w:pPr>
            <w:r>
              <w:rPr>
                <w:rFonts w:ascii="Times New Roman" w:hAnsiTheme="minorEastAsia" w:eastAsiaTheme="minorEastAsia"/>
                <w:szCs w:val="21"/>
              </w:rPr>
              <w:t>生活污水处理站污泥</w:t>
            </w:r>
          </w:p>
        </w:tc>
        <w:tc>
          <w:tcPr>
            <w:tcW w:w="1145" w:type="pct"/>
            <w:vAlign w:val="center"/>
          </w:tcPr>
          <w:p>
            <w:pPr>
              <w:pStyle w:val="108"/>
              <w:rPr>
                <w:rFonts w:ascii="Times New Roman" w:eastAsiaTheme="minorEastAsia"/>
                <w:szCs w:val="21"/>
              </w:rPr>
            </w:pPr>
            <w:r>
              <w:rPr>
                <w:rFonts w:hint="eastAsia" w:ascii="Times New Roman" w:eastAsiaTheme="minorEastAsia"/>
                <w:kern w:val="0"/>
                <w:szCs w:val="21"/>
              </w:rPr>
              <w:t>14.44</w:t>
            </w:r>
          </w:p>
        </w:tc>
        <w:tc>
          <w:tcPr>
            <w:tcW w:w="2346" w:type="pct"/>
            <w:vAlign w:val="center"/>
          </w:tcPr>
          <w:p>
            <w:pPr>
              <w:jc w:val="center"/>
              <w:rPr>
                <w:rFonts w:eastAsiaTheme="minorEastAsia"/>
                <w:szCs w:val="21"/>
              </w:rPr>
            </w:pPr>
            <w:r>
              <w:rPr>
                <w:rFonts w:hint="eastAsia" w:hAnsiTheme="minorEastAsia" w:eastAsiaTheme="minorEastAsia"/>
                <w:szCs w:val="21"/>
              </w:rPr>
              <w:t>运送至矸石临时堆场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362" w:type="pct"/>
            <w:vAlign w:val="center"/>
          </w:tcPr>
          <w:p>
            <w:pPr>
              <w:jc w:val="center"/>
              <w:rPr>
                <w:rFonts w:eastAsiaTheme="minorEastAsia"/>
                <w:szCs w:val="21"/>
              </w:rPr>
            </w:pPr>
            <w:r>
              <w:rPr>
                <w:rFonts w:hint="eastAsia" w:eastAsiaTheme="minorEastAsia"/>
                <w:szCs w:val="21"/>
              </w:rPr>
              <w:t>5</w:t>
            </w:r>
          </w:p>
        </w:tc>
        <w:tc>
          <w:tcPr>
            <w:tcW w:w="1147" w:type="pct"/>
            <w:vAlign w:val="center"/>
          </w:tcPr>
          <w:p>
            <w:pPr>
              <w:pStyle w:val="108"/>
              <w:rPr>
                <w:rFonts w:ascii="Times New Roman" w:eastAsiaTheme="minorEastAsia"/>
                <w:szCs w:val="21"/>
              </w:rPr>
            </w:pPr>
            <w:r>
              <w:rPr>
                <w:rFonts w:ascii="Times New Roman" w:hAnsiTheme="minorEastAsia" w:eastAsiaTheme="minorEastAsia"/>
                <w:szCs w:val="21"/>
              </w:rPr>
              <w:t>废机油</w:t>
            </w:r>
          </w:p>
        </w:tc>
        <w:tc>
          <w:tcPr>
            <w:tcW w:w="1145" w:type="pct"/>
            <w:vAlign w:val="center"/>
          </w:tcPr>
          <w:p>
            <w:pPr>
              <w:pStyle w:val="108"/>
              <w:rPr>
                <w:rFonts w:ascii="Times New Roman" w:eastAsiaTheme="minorEastAsia"/>
                <w:szCs w:val="21"/>
              </w:rPr>
            </w:pPr>
            <w:r>
              <w:rPr>
                <w:rFonts w:hint="eastAsia" w:ascii="Times New Roman" w:eastAsiaTheme="minorEastAsia"/>
                <w:szCs w:val="21"/>
              </w:rPr>
              <w:t>15</w:t>
            </w:r>
          </w:p>
        </w:tc>
        <w:tc>
          <w:tcPr>
            <w:tcW w:w="2346" w:type="pct"/>
            <w:vAlign w:val="center"/>
          </w:tcPr>
          <w:p>
            <w:pPr>
              <w:jc w:val="center"/>
              <w:rPr>
                <w:rFonts w:eastAsiaTheme="minorEastAsia"/>
                <w:szCs w:val="21"/>
              </w:rPr>
            </w:pPr>
            <w:r>
              <w:rPr>
                <w:rFonts w:hAnsiTheme="minorEastAsia" w:eastAsiaTheme="minorEastAsia"/>
                <w:bCs/>
                <w:spacing w:val="4"/>
                <w:szCs w:val="21"/>
              </w:rPr>
              <w:t>本矿现将废矿物油集中收集于铁皮桶内，存放于危废暂存间，</w:t>
            </w:r>
            <w:r>
              <w:rPr>
                <w:rFonts w:hint="eastAsia" w:hAnsiTheme="minorEastAsia" w:eastAsiaTheme="minorEastAsia"/>
                <w:bCs/>
                <w:spacing w:val="4"/>
                <w:szCs w:val="21"/>
              </w:rPr>
              <w:t>交</w:t>
            </w:r>
            <w:r>
              <w:rPr>
                <w:rFonts w:hAnsiTheme="minorEastAsia" w:eastAsiaTheme="minorEastAsia"/>
                <w:bCs/>
                <w:spacing w:val="4"/>
                <w:szCs w:val="21"/>
              </w:rPr>
              <w:t>有资质单位处置。</w:t>
            </w:r>
          </w:p>
        </w:tc>
      </w:tr>
    </w:tbl>
    <w:p>
      <w:pPr>
        <w:spacing w:line="360" w:lineRule="auto"/>
        <w:rPr>
          <w:rFonts w:eastAsiaTheme="minorEastAsia"/>
          <w:b/>
          <w:bCs/>
          <w:sz w:val="24"/>
        </w:rPr>
      </w:pPr>
      <w:r>
        <w:rPr>
          <w:rFonts w:eastAsiaTheme="minorEastAsia"/>
          <w:b/>
          <w:bCs/>
          <w:sz w:val="24"/>
        </w:rPr>
        <w:t>3.4.2.</w:t>
      </w:r>
      <w:r>
        <w:rPr>
          <w:rFonts w:hint="eastAsia" w:eastAsiaTheme="minorEastAsia"/>
          <w:b/>
          <w:bCs/>
          <w:sz w:val="24"/>
        </w:rPr>
        <w:t>4</w:t>
      </w:r>
      <w:r>
        <w:rPr>
          <w:rFonts w:hint="eastAsia" w:hAnsiTheme="minorEastAsia" w:eastAsiaTheme="minorEastAsia"/>
          <w:b/>
          <w:bCs/>
          <w:sz w:val="24"/>
        </w:rPr>
        <w:t>噪声</w:t>
      </w:r>
    </w:p>
    <w:p>
      <w:pPr>
        <w:pStyle w:val="39"/>
        <w:ind w:firstLine="482"/>
        <w:rPr>
          <w:rFonts w:ascii="Times New Roman" w:hAnsiTheme="minorEastAsia" w:eastAsiaTheme="minorEastAsia"/>
        </w:rPr>
      </w:pPr>
      <w:r>
        <w:rPr>
          <w:rFonts w:hint="eastAsia" w:ascii="Times New Roman" w:hAnsiTheme="minorEastAsia" w:eastAsiaTheme="minorEastAsia"/>
          <w:b/>
        </w:rPr>
        <w:t>原环评：</w:t>
      </w:r>
    </w:p>
    <w:p>
      <w:pPr>
        <w:spacing w:line="360" w:lineRule="auto"/>
        <w:ind w:firstLine="480" w:firstLineChars="200"/>
        <w:rPr>
          <w:rFonts w:eastAsiaTheme="minorEastAsia"/>
          <w:sz w:val="24"/>
        </w:rPr>
      </w:pPr>
      <w:r>
        <w:rPr>
          <w:rFonts w:hAnsiTheme="minorEastAsia" w:eastAsiaTheme="minorEastAsia"/>
          <w:sz w:val="24"/>
        </w:rPr>
        <w:t>工业场地矿井高噪设备有：井下通风机、坑木加工房、提升机、锅炉房鼓引风机、空压机等。主要高声压级设备声压级见表</w:t>
      </w:r>
      <w:r>
        <w:rPr>
          <w:rFonts w:hint="eastAsia" w:eastAsiaTheme="minorEastAsia"/>
          <w:sz w:val="24"/>
        </w:rPr>
        <w:t>3.4-4</w:t>
      </w:r>
      <w:r>
        <w:rPr>
          <w:rFonts w:hAnsiTheme="minorEastAsia" w:eastAsiaTheme="minorEastAsia"/>
          <w:sz w:val="24"/>
        </w:rPr>
        <w:t>。</w:t>
      </w:r>
    </w:p>
    <w:p>
      <w:pPr>
        <w:spacing w:line="360" w:lineRule="auto"/>
        <w:jc w:val="center"/>
        <w:rPr>
          <w:rFonts w:eastAsiaTheme="minorEastAsia"/>
          <w:b/>
          <w:szCs w:val="21"/>
        </w:rPr>
      </w:pPr>
      <w:r>
        <w:rPr>
          <w:rFonts w:hAnsiTheme="minorEastAsia" w:eastAsiaTheme="minorEastAsia"/>
          <w:b/>
          <w:szCs w:val="21"/>
        </w:rPr>
        <w:t>表</w:t>
      </w:r>
      <w:r>
        <w:rPr>
          <w:rFonts w:hint="eastAsia" w:eastAsiaTheme="minorEastAsia"/>
          <w:b/>
          <w:szCs w:val="21"/>
        </w:rPr>
        <w:t>3.4-4</w:t>
      </w:r>
      <w:r>
        <w:rPr>
          <w:rFonts w:eastAsiaTheme="minorEastAsia"/>
          <w:b/>
          <w:szCs w:val="21"/>
        </w:rPr>
        <w:t xml:space="preserve">   </w:t>
      </w:r>
      <w:r>
        <w:rPr>
          <w:rFonts w:hAnsiTheme="minorEastAsia" w:eastAsiaTheme="minorEastAsia"/>
          <w:b/>
          <w:szCs w:val="21"/>
        </w:rPr>
        <w:t>工业场地矿井主要设备声压级</w:t>
      </w:r>
      <w:r>
        <w:rPr>
          <w:rFonts w:eastAsiaTheme="minorEastAsia"/>
          <w:b/>
          <w:szCs w:val="21"/>
        </w:rPr>
        <w:t>dB</w:t>
      </w:r>
      <w:r>
        <w:rPr>
          <w:rFonts w:hAnsiTheme="minorEastAsia" w:eastAsiaTheme="minorEastAsia"/>
          <w:b/>
          <w:szCs w:val="21"/>
        </w:rPr>
        <w:t>（</w:t>
      </w:r>
      <w:r>
        <w:rPr>
          <w:rFonts w:eastAsiaTheme="minorEastAsia"/>
          <w:b/>
          <w:szCs w:val="21"/>
        </w:rPr>
        <w:t>A</w:t>
      </w:r>
      <w:r>
        <w:rPr>
          <w:rFonts w:hAnsiTheme="minorEastAsia" w:eastAsiaTheme="minorEastAsia"/>
          <w:b/>
          <w:szCs w:val="21"/>
        </w:rPr>
        <w:t>）</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9"/>
        <w:gridCol w:w="1683"/>
        <w:gridCol w:w="1716"/>
        <w:gridCol w:w="1972"/>
        <w:gridCol w:w="1723"/>
        <w:gridCol w:w="13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74" w:type="pct"/>
            <w:gridSpan w:val="2"/>
            <w:vAlign w:val="center"/>
          </w:tcPr>
          <w:p>
            <w:pPr>
              <w:spacing w:line="320" w:lineRule="exact"/>
              <w:jc w:val="center"/>
              <w:rPr>
                <w:rFonts w:eastAsiaTheme="minorEastAsia"/>
                <w:szCs w:val="21"/>
              </w:rPr>
            </w:pPr>
            <w:r>
              <w:rPr>
                <w:rFonts w:hAnsiTheme="minorEastAsia" w:eastAsiaTheme="minorEastAsia"/>
                <w:szCs w:val="21"/>
              </w:rPr>
              <w:t>噪声源位置</w:t>
            </w:r>
          </w:p>
        </w:tc>
        <w:tc>
          <w:tcPr>
            <w:tcW w:w="924" w:type="pct"/>
            <w:vAlign w:val="center"/>
          </w:tcPr>
          <w:p>
            <w:pPr>
              <w:spacing w:line="320" w:lineRule="exact"/>
              <w:jc w:val="center"/>
              <w:rPr>
                <w:rFonts w:eastAsiaTheme="minorEastAsia"/>
                <w:szCs w:val="21"/>
              </w:rPr>
            </w:pPr>
            <w:r>
              <w:rPr>
                <w:rFonts w:hAnsiTheme="minorEastAsia" w:eastAsiaTheme="minorEastAsia"/>
                <w:szCs w:val="21"/>
              </w:rPr>
              <w:t>主要噪声设备</w:t>
            </w:r>
          </w:p>
        </w:tc>
        <w:tc>
          <w:tcPr>
            <w:tcW w:w="1062" w:type="pct"/>
            <w:vAlign w:val="center"/>
          </w:tcPr>
          <w:p>
            <w:pPr>
              <w:spacing w:line="320" w:lineRule="exact"/>
              <w:jc w:val="center"/>
              <w:rPr>
                <w:rFonts w:eastAsiaTheme="minorEastAsia"/>
                <w:szCs w:val="21"/>
              </w:rPr>
            </w:pPr>
            <w:r>
              <w:rPr>
                <w:rFonts w:hAnsiTheme="minorEastAsia" w:eastAsiaTheme="minorEastAsia"/>
                <w:szCs w:val="21"/>
              </w:rPr>
              <w:t>噪声级</w:t>
            </w:r>
            <w:r>
              <w:rPr>
                <w:rFonts w:eastAsiaTheme="minorEastAsia"/>
                <w:szCs w:val="21"/>
              </w:rPr>
              <w:t>dB</w:t>
            </w:r>
            <w:r>
              <w:rPr>
                <w:rFonts w:hAnsiTheme="minorEastAsia" w:eastAsiaTheme="minorEastAsia"/>
                <w:szCs w:val="21"/>
              </w:rPr>
              <w:t>（</w:t>
            </w:r>
            <w:r>
              <w:rPr>
                <w:rFonts w:eastAsiaTheme="minorEastAsia"/>
                <w:szCs w:val="21"/>
              </w:rPr>
              <w:t>A</w:t>
            </w:r>
            <w:r>
              <w:rPr>
                <w:rFonts w:hAnsiTheme="minorEastAsia" w:eastAsiaTheme="minorEastAsia"/>
                <w:szCs w:val="21"/>
              </w:rPr>
              <w:t>）</w:t>
            </w:r>
          </w:p>
        </w:tc>
        <w:tc>
          <w:tcPr>
            <w:tcW w:w="928" w:type="pct"/>
            <w:vAlign w:val="center"/>
          </w:tcPr>
          <w:p>
            <w:pPr>
              <w:spacing w:line="320" w:lineRule="exact"/>
              <w:jc w:val="center"/>
              <w:rPr>
                <w:rFonts w:eastAsiaTheme="minorEastAsia"/>
                <w:szCs w:val="21"/>
              </w:rPr>
            </w:pPr>
            <w:r>
              <w:rPr>
                <w:rFonts w:hAnsiTheme="minorEastAsia" w:eastAsiaTheme="minorEastAsia"/>
                <w:szCs w:val="21"/>
              </w:rPr>
              <w:t>声源主要特性</w:t>
            </w:r>
          </w:p>
        </w:tc>
        <w:tc>
          <w:tcPr>
            <w:tcW w:w="712" w:type="pct"/>
            <w:vAlign w:val="center"/>
          </w:tcPr>
          <w:p>
            <w:pPr>
              <w:spacing w:line="320" w:lineRule="exact"/>
              <w:jc w:val="center"/>
              <w:rPr>
                <w:rFonts w:eastAsiaTheme="minorEastAsia"/>
                <w:szCs w:val="21"/>
              </w:rPr>
            </w:pPr>
            <w:r>
              <w:rPr>
                <w:rFonts w:hAnsiTheme="minorEastAsia" w:eastAsiaTheme="minorEastAsia"/>
                <w:szCs w:val="21"/>
              </w:rPr>
              <w:t>工作性质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Merge w:val="restart"/>
            <w:vAlign w:val="center"/>
          </w:tcPr>
          <w:p>
            <w:pPr>
              <w:spacing w:line="320" w:lineRule="exact"/>
              <w:jc w:val="center"/>
              <w:rPr>
                <w:rFonts w:eastAsiaTheme="minorEastAsia"/>
                <w:szCs w:val="21"/>
              </w:rPr>
            </w:pPr>
            <w:r>
              <w:rPr>
                <w:rFonts w:hAnsiTheme="minorEastAsia" w:eastAsiaTheme="minorEastAsia"/>
                <w:szCs w:val="21"/>
              </w:rPr>
              <w:t>工业</w:t>
            </w:r>
          </w:p>
          <w:p>
            <w:pPr>
              <w:spacing w:line="320" w:lineRule="exact"/>
              <w:jc w:val="center"/>
              <w:rPr>
                <w:rFonts w:eastAsiaTheme="minorEastAsia"/>
                <w:szCs w:val="21"/>
              </w:rPr>
            </w:pPr>
            <w:r>
              <w:rPr>
                <w:rFonts w:hAnsiTheme="minorEastAsia" w:eastAsiaTheme="minorEastAsia"/>
                <w:szCs w:val="21"/>
              </w:rPr>
              <w:t>场地</w:t>
            </w:r>
          </w:p>
        </w:tc>
        <w:tc>
          <w:tcPr>
            <w:tcW w:w="906" w:type="pct"/>
            <w:vAlign w:val="center"/>
          </w:tcPr>
          <w:p>
            <w:pPr>
              <w:jc w:val="center"/>
              <w:rPr>
                <w:rFonts w:eastAsiaTheme="minorEastAsia"/>
                <w:szCs w:val="21"/>
              </w:rPr>
            </w:pPr>
            <w:r>
              <w:rPr>
                <w:rFonts w:hAnsiTheme="minorEastAsia" w:eastAsiaTheme="minorEastAsia"/>
                <w:szCs w:val="21"/>
              </w:rPr>
              <w:t>绞车房</w:t>
            </w:r>
          </w:p>
        </w:tc>
        <w:tc>
          <w:tcPr>
            <w:tcW w:w="924" w:type="pct"/>
            <w:vAlign w:val="center"/>
          </w:tcPr>
          <w:p>
            <w:pPr>
              <w:jc w:val="center"/>
              <w:rPr>
                <w:rFonts w:eastAsiaTheme="minorEastAsia"/>
                <w:szCs w:val="21"/>
              </w:rPr>
            </w:pPr>
            <w:r>
              <w:rPr>
                <w:rFonts w:hAnsiTheme="minorEastAsia" w:eastAsiaTheme="minorEastAsia"/>
                <w:szCs w:val="21"/>
              </w:rPr>
              <w:t>驱动机</w:t>
            </w:r>
          </w:p>
        </w:tc>
        <w:tc>
          <w:tcPr>
            <w:tcW w:w="1062" w:type="pct"/>
            <w:vAlign w:val="center"/>
          </w:tcPr>
          <w:p>
            <w:pPr>
              <w:spacing w:line="320" w:lineRule="exact"/>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85</w:t>
            </w:r>
          </w:p>
        </w:tc>
        <w:tc>
          <w:tcPr>
            <w:tcW w:w="928" w:type="pct"/>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vAlign w:val="center"/>
          </w:tcPr>
          <w:p>
            <w:pPr>
              <w:spacing w:line="320" w:lineRule="exact"/>
              <w:jc w:val="center"/>
              <w:rPr>
                <w:rFonts w:eastAsiaTheme="minorEastAsia"/>
                <w:szCs w:val="21"/>
              </w:rPr>
            </w:pPr>
            <w:r>
              <w:rPr>
                <w:rFonts w:hAnsiTheme="minorEastAsia" w:eastAsiaTheme="minorEastAsia"/>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Merge w:val="continue"/>
            <w:vAlign w:val="center"/>
          </w:tcPr>
          <w:p>
            <w:pPr>
              <w:widowControl/>
              <w:jc w:val="left"/>
              <w:rPr>
                <w:rFonts w:eastAsiaTheme="minorEastAsia"/>
                <w:szCs w:val="21"/>
              </w:rPr>
            </w:pPr>
          </w:p>
        </w:tc>
        <w:tc>
          <w:tcPr>
            <w:tcW w:w="906" w:type="pct"/>
            <w:vAlign w:val="center"/>
          </w:tcPr>
          <w:p>
            <w:pPr>
              <w:spacing w:line="320" w:lineRule="exact"/>
              <w:jc w:val="center"/>
              <w:rPr>
                <w:rFonts w:eastAsiaTheme="minorEastAsia"/>
                <w:szCs w:val="21"/>
              </w:rPr>
            </w:pPr>
            <w:r>
              <w:rPr>
                <w:rFonts w:hAnsiTheme="minorEastAsia" w:eastAsiaTheme="minorEastAsia"/>
                <w:szCs w:val="21"/>
              </w:rPr>
              <w:t>筛分车间</w:t>
            </w:r>
          </w:p>
        </w:tc>
        <w:tc>
          <w:tcPr>
            <w:tcW w:w="924" w:type="pct"/>
            <w:vAlign w:val="center"/>
          </w:tcPr>
          <w:p>
            <w:pPr>
              <w:spacing w:line="320" w:lineRule="exact"/>
              <w:jc w:val="center"/>
              <w:rPr>
                <w:rFonts w:eastAsiaTheme="minorEastAsia"/>
                <w:szCs w:val="21"/>
              </w:rPr>
            </w:pPr>
            <w:r>
              <w:rPr>
                <w:rFonts w:hAnsiTheme="minorEastAsia" w:eastAsiaTheme="minorEastAsia"/>
                <w:szCs w:val="21"/>
              </w:rPr>
              <w:t>振动筛</w:t>
            </w:r>
          </w:p>
        </w:tc>
        <w:tc>
          <w:tcPr>
            <w:tcW w:w="1062" w:type="pct"/>
            <w:vAlign w:val="center"/>
          </w:tcPr>
          <w:p>
            <w:pPr>
              <w:spacing w:line="320" w:lineRule="exact"/>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80</w:t>
            </w:r>
          </w:p>
        </w:tc>
        <w:tc>
          <w:tcPr>
            <w:tcW w:w="928" w:type="pct"/>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vAlign w:val="center"/>
          </w:tcPr>
          <w:p>
            <w:pPr>
              <w:spacing w:line="320" w:lineRule="exact"/>
              <w:jc w:val="center"/>
              <w:rPr>
                <w:rFonts w:eastAsiaTheme="minorEastAsia"/>
                <w:szCs w:val="21"/>
              </w:rPr>
            </w:pPr>
            <w:r>
              <w:rPr>
                <w:rFonts w:hAnsiTheme="minorEastAsia" w:eastAsiaTheme="minorEastAsia"/>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5" w:hRule="atLeast"/>
          <w:jc w:val="center"/>
        </w:trPr>
        <w:tc>
          <w:tcPr>
            <w:tcW w:w="468" w:type="pct"/>
            <w:vMerge w:val="continue"/>
            <w:vAlign w:val="center"/>
          </w:tcPr>
          <w:p>
            <w:pPr>
              <w:widowControl/>
              <w:jc w:val="left"/>
              <w:rPr>
                <w:rFonts w:eastAsiaTheme="minorEastAsia"/>
                <w:szCs w:val="21"/>
              </w:rPr>
            </w:pPr>
          </w:p>
        </w:tc>
        <w:tc>
          <w:tcPr>
            <w:tcW w:w="906" w:type="pct"/>
            <w:vAlign w:val="center"/>
          </w:tcPr>
          <w:p>
            <w:pPr>
              <w:spacing w:line="320" w:lineRule="exact"/>
              <w:jc w:val="center"/>
              <w:rPr>
                <w:rFonts w:eastAsiaTheme="minorEastAsia"/>
                <w:szCs w:val="21"/>
              </w:rPr>
            </w:pPr>
            <w:r>
              <w:rPr>
                <w:rFonts w:hAnsiTheme="minorEastAsia" w:eastAsiaTheme="minorEastAsia"/>
                <w:szCs w:val="21"/>
              </w:rPr>
              <w:t>机修车间</w:t>
            </w:r>
          </w:p>
        </w:tc>
        <w:tc>
          <w:tcPr>
            <w:tcW w:w="924" w:type="pct"/>
            <w:vAlign w:val="center"/>
          </w:tcPr>
          <w:p>
            <w:pPr>
              <w:spacing w:line="320" w:lineRule="exact"/>
              <w:jc w:val="center"/>
              <w:rPr>
                <w:rFonts w:eastAsiaTheme="minorEastAsia"/>
                <w:szCs w:val="21"/>
              </w:rPr>
            </w:pPr>
            <w:r>
              <w:rPr>
                <w:rFonts w:hAnsiTheme="minorEastAsia" w:eastAsiaTheme="minorEastAsia"/>
                <w:szCs w:val="21"/>
              </w:rPr>
              <w:t>机加工设备</w:t>
            </w:r>
          </w:p>
        </w:tc>
        <w:tc>
          <w:tcPr>
            <w:tcW w:w="1062" w:type="pct"/>
            <w:vAlign w:val="center"/>
          </w:tcPr>
          <w:p>
            <w:pPr>
              <w:spacing w:line="320" w:lineRule="exact"/>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928" w:type="pct"/>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vAlign w:val="center"/>
          </w:tcPr>
          <w:p>
            <w:pPr>
              <w:spacing w:line="320" w:lineRule="exact"/>
              <w:jc w:val="center"/>
              <w:rPr>
                <w:rFonts w:eastAsiaTheme="minorEastAsia"/>
                <w:szCs w:val="21"/>
              </w:rPr>
            </w:pPr>
            <w:r>
              <w:rPr>
                <w:rFonts w:hAnsiTheme="minorEastAsia" w:eastAsiaTheme="minorEastAsia"/>
                <w:szCs w:val="21"/>
              </w:rPr>
              <w:t>间断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Merge w:val="continue"/>
            <w:vAlign w:val="center"/>
          </w:tcPr>
          <w:p>
            <w:pPr>
              <w:widowControl/>
              <w:jc w:val="left"/>
              <w:rPr>
                <w:rFonts w:eastAsiaTheme="minorEastAsia"/>
                <w:szCs w:val="21"/>
              </w:rPr>
            </w:pPr>
          </w:p>
        </w:tc>
        <w:tc>
          <w:tcPr>
            <w:tcW w:w="906" w:type="pct"/>
            <w:vAlign w:val="center"/>
          </w:tcPr>
          <w:p>
            <w:pPr>
              <w:spacing w:line="320" w:lineRule="exact"/>
              <w:jc w:val="center"/>
              <w:rPr>
                <w:rFonts w:eastAsiaTheme="minorEastAsia"/>
                <w:szCs w:val="21"/>
              </w:rPr>
            </w:pPr>
            <w:r>
              <w:rPr>
                <w:rFonts w:hAnsiTheme="minorEastAsia" w:eastAsiaTheme="minorEastAsia"/>
                <w:szCs w:val="21"/>
              </w:rPr>
              <w:t>空压机房</w:t>
            </w:r>
          </w:p>
        </w:tc>
        <w:tc>
          <w:tcPr>
            <w:tcW w:w="924" w:type="pct"/>
            <w:vAlign w:val="center"/>
          </w:tcPr>
          <w:p>
            <w:pPr>
              <w:spacing w:line="320" w:lineRule="exact"/>
              <w:jc w:val="center"/>
              <w:rPr>
                <w:rFonts w:eastAsiaTheme="minorEastAsia"/>
                <w:szCs w:val="21"/>
              </w:rPr>
            </w:pPr>
            <w:r>
              <w:rPr>
                <w:rFonts w:hAnsiTheme="minorEastAsia" w:eastAsiaTheme="minorEastAsia"/>
                <w:szCs w:val="21"/>
              </w:rPr>
              <w:t>空压机</w:t>
            </w:r>
          </w:p>
        </w:tc>
        <w:tc>
          <w:tcPr>
            <w:tcW w:w="1062" w:type="pct"/>
            <w:vAlign w:val="center"/>
          </w:tcPr>
          <w:p>
            <w:pPr>
              <w:spacing w:line="320" w:lineRule="exact"/>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928" w:type="pct"/>
            <w:vAlign w:val="center"/>
          </w:tcPr>
          <w:p>
            <w:pPr>
              <w:spacing w:line="320" w:lineRule="exact"/>
              <w:jc w:val="center"/>
              <w:rPr>
                <w:rFonts w:eastAsiaTheme="minorEastAsia"/>
                <w:szCs w:val="21"/>
              </w:rPr>
            </w:pPr>
            <w:r>
              <w:rPr>
                <w:rFonts w:hAnsiTheme="minorEastAsia" w:eastAsiaTheme="minorEastAsia"/>
                <w:szCs w:val="21"/>
              </w:rPr>
              <w:t>空气动力性</w:t>
            </w:r>
          </w:p>
        </w:tc>
        <w:tc>
          <w:tcPr>
            <w:tcW w:w="712" w:type="pct"/>
            <w:vAlign w:val="center"/>
          </w:tcPr>
          <w:p>
            <w:pPr>
              <w:spacing w:line="320" w:lineRule="exact"/>
              <w:jc w:val="center"/>
              <w:rPr>
                <w:rFonts w:eastAsiaTheme="minorEastAsia"/>
                <w:szCs w:val="21"/>
              </w:rPr>
            </w:pPr>
            <w:r>
              <w:rPr>
                <w:rFonts w:hAnsiTheme="minorEastAsia" w:eastAsiaTheme="minorEastAsia"/>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Merge w:val="continue"/>
            <w:vAlign w:val="center"/>
          </w:tcPr>
          <w:p>
            <w:pPr>
              <w:widowControl/>
              <w:jc w:val="left"/>
              <w:rPr>
                <w:rFonts w:eastAsiaTheme="minorEastAsia"/>
                <w:szCs w:val="21"/>
              </w:rPr>
            </w:pPr>
          </w:p>
        </w:tc>
        <w:tc>
          <w:tcPr>
            <w:tcW w:w="906" w:type="pct"/>
            <w:vAlign w:val="center"/>
          </w:tcPr>
          <w:p>
            <w:pPr>
              <w:spacing w:line="320" w:lineRule="exact"/>
              <w:jc w:val="center"/>
              <w:rPr>
                <w:rFonts w:eastAsiaTheme="minorEastAsia"/>
                <w:szCs w:val="21"/>
              </w:rPr>
            </w:pPr>
            <w:r>
              <w:rPr>
                <w:rFonts w:hAnsiTheme="minorEastAsia" w:eastAsiaTheme="minorEastAsia"/>
                <w:szCs w:val="21"/>
              </w:rPr>
              <w:t>坑木加工房</w:t>
            </w:r>
          </w:p>
        </w:tc>
        <w:tc>
          <w:tcPr>
            <w:tcW w:w="924" w:type="pct"/>
            <w:vAlign w:val="center"/>
          </w:tcPr>
          <w:p>
            <w:pPr>
              <w:spacing w:line="320" w:lineRule="exact"/>
              <w:jc w:val="center"/>
              <w:rPr>
                <w:rFonts w:eastAsiaTheme="minorEastAsia"/>
                <w:szCs w:val="21"/>
              </w:rPr>
            </w:pPr>
            <w:r>
              <w:rPr>
                <w:rFonts w:hAnsiTheme="minorEastAsia" w:eastAsiaTheme="minorEastAsia"/>
                <w:szCs w:val="21"/>
              </w:rPr>
              <w:t>电锯</w:t>
            </w:r>
          </w:p>
        </w:tc>
        <w:tc>
          <w:tcPr>
            <w:tcW w:w="1062" w:type="pct"/>
            <w:vAlign w:val="center"/>
          </w:tcPr>
          <w:p>
            <w:pPr>
              <w:spacing w:line="320" w:lineRule="exact"/>
              <w:jc w:val="center"/>
              <w:rPr>
                <w:rFonts w:eastAsiaTheme="minorEastAsia"/>
                <w:szCs w:val="21"/>
              </w:rPr>
            </w:pPr>
            <w:r>
              <w:rPr>
                <w:rFonts w:eastAsiaTheme="minorEastAsia"/>
                <w:szCs w:val="21"/>
              </w:rPr>
              <w:t>90</w:t>
            </w:r>
            <w:r>
              <w:rPr>
                <w:rFonts w:hAnsiTheme="minorEastAsia" w:eastAsiaTheme="minorEastAsia"/>
                <w:szCs w:val="21"/>
              </w:rPr>
              <w:t>～</w:t>
            </w:r>
            <w:r>
              <w:rPr>
                <w:rFonts w:eastAsiaTheme="minorEastAsia"/>
                <w:szCs w:val="21"/>
              </w:rPr>
              <w:t>100</w:t>
            </w:r>
          </w:p>
        </w:tc>
        <w:tc>
          <w:tcPr>
            <w:tcW w:w="928" w:type="pct"/>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vAlign w:val="center"/>
          </w:tcPr>
          <w:p>
            <w:pPr>
              <w:spacing w:line="320" w:lineRule="exact"/>
              <w:jc w:val="center"/>
              <w:rPr>
                <w:rFonts w:eastAsiaTheme="minorEastAsia"/>
                <w:szCs w:val="21"/>
              </w:rPr>
            </w:pPr>
            <w:r>
              <w:rPr>
                <w:rFonts w:hAnsiTheme="minorEastAsia" w:eastAsiaTheme="minorEastAsia"/>
                <w:szCs w:val="21"/>
              </w:rPr>
              <w:t>间断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Merge w:val="continue"/>
            <w:vAlign w:val="center"/>
          </w:tcPr>
          <w:p>
            <w:pPr>
              <w:widowControl/>
              <w:jc w:val="left"/>
              <w:rPr>
                <w:rFonts w:eastAsiaTheme="minorEastAsia"/>
                <w:szCs w:val="21"/>
              </w:rPr>
            </w:pPr>
          </w:p>
        </w:tc>
        <w:tc>
          <w:tcPr>
            <w:tcW w:w="906" w:type="pct"/>
            <w:vAlign w:val="center"/>
          </w:tcPr>
          <w:p>
            <w:pPr>
              <w:spacing w:line="320" w:lineRule="exact"/>
              <w:jc w:val="center"/>
              <w:rPr>
                <w:rFonts w:eastAsiaTheme="minorEastAsia"/>
                <w:szCs w:val="21"/>
              </w:rPr>
            </w:pPr>
            <w:r>
              <w:rPr>
                <w:rFonts w:hAnsiTheme="minorEastAsia" w:eastAsiaTheme="minorEastAsia"/>
                <w:szCs w:val="21"/>
              </w:rPr>
              <w:t>水处理站</w:t>
            </w:r>
          </w:p>
        </w:tc>
        <w:tc>
          <w:tcPr>
            <w:tcW w:w="924" w:type="pct"/>
            <w:vAlign w:val="center"/>
          </w:tcPr>
          <w:p>
            <w:pPr>
              <w:spacing w:line="320" w:lineRule="exact"/>
              <w:jc w:val="center"/>
              <w:rPr>
                <w:rFonts w:eastAsiaTheme="minorEastAsia"/>
                <w:szCs w:val="21"/>
              </w:rPr>
            </w:pPr>
            <w:r>
              <w:rPr>
                <w:rFonts w:hAnsiTheme="minorEastAsia" w:eastAsiaTheme="minorEastAsia"/>
                <w:szCs w:val="21"/>
              </w:rPr>
              <w:t>水泵等</w:t>
            </w:r>
          </w:p>
        </w:tc>
        <w:tc>
          <w:tcPr>
            <w:tcW w:w="1062" w:type="pct"/>
            <w:vAlign w:val="center"/>
          </w:tcPr>
          <w:p>
            <w:pPr>
              <w:spacing w:line="320" w:lineRule="exact"/>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85</w:t>
            </w:r>
          </w:p>
        </w:tc>
        <w:tc>
          <w:tcPr>
            <w:tcW w:w="928" w:type="pct"/>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vAlign w:val="center"/>
          </w:tcPr>
          <w:p>
            <w:pPr>
              <w:spacing w:line="320" w:lineRule="exact"/>
              <w:jc w:val="center"/>
              <w:rPr>
                <w:rFonts w:eastAsiaTheme="minorEastAsia"/>
                <w:szCs w:val="21"/>
              </w:rPr>
            </w:pPr>
            <w:r>
              <w:rPr>
                <w:rFonts w:hAnsiTheme="minorEastAsia" w:eastAsiaTheme="minorEastAsia"/>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Merge w:val="continue"/>
            <w:vAlign w:val="center"/>
          </w:tcPr>
          <w:p>
            <w:pPr>
              <w:widowControl/>
              <w:jc w:val="left"/>
              <w:rPr>
                <w:rFonts w:eastAsiaTheme="minorEastAsia"/>
                <w:szCs w:val="21"/>
              </w:rPr>
            </w:pPr>
          </w:p>
        </w:tc>
        <w:tc>
          <w:tcPr>
            <w:tcW w:w="906" w:type="pct"/>
            <w:vAlign w:val="center"/>
          </w:tcPr>
          <w:p>
            <w:pPr>
              <w:jc w:val="center"/>
              <w:rPr>
                <w:rFonts w:eastAsiaTheme="minorEastAsia"/>
                <w:szCs w:val="21"/>
              </w:rPr>
            </w:pPr>
            <w:r>
              <w:rPr>
                <w:rFonts w:hAnsiTheme="minorEastAsia" w:eastAsiaTheme="minorEastAsia"/>
                <w:szCs w:val="21"/>
              </w:rPr>
              <w:t>灌浆站</w:t>
            </w:r>
          </w:p>
        </w:tc>
        <w:tc>
          <w:tcPr>
            <w:tcW w:w="924" w:type="pct"/>
            <w:vAlign w:val="center"/>
          </w:tcPr>
          <w:p>
            <w:pPr>
              <w:jc w:val="center"/>
              <w:rPr>
                <w:rFonts w:eastAsiaTheme="minorEastAsia"/>
                <w:szCs w:val="21"/>
              </w:rPr>
            </w:pPr>
            <w:r>
              <w:rPr>
                <w:rFonts w:hAnsiTheme="minorEastAsia" w:eastAsiaTheme="minorEastAsia"/>
                <w:szCs w:val="21"/>
              </w:rPr>
              <w:t>制浆机、水泵</w:t>
            </w:r>
          </w:p>
        </w:tc>
        <w:tc>
          <w:tcPr>
            <w:tcW w:w="1062" w:type="pct"/>
            <w:vAlign w:val="center"/>
          </w:tcPr>
          <w:p>
            <w:pPr>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88</w:t>
            </w:r>
          </w:p>
        </w:tc>
        <w:tc>
          <w:tcPr>
            <w:tcW w:w="928" w:type="pct"/>
            <w:vAlign w:val="center"/>
          </w:tcPr>
          <w:p>
            <w:pPr>
              <w:jc w:val="center"/>
              <w:rPr>
                <w:rFonts w:eastAsiaTheme="minorEastAsia"/>
                <w:szCs w:val="21"/>
              </w:rPr>
            </w:pPr>
            <w:r>
              <w:rPr>
                <w:rFonts w:hAnsiTheme="minorEastAsia" w:eastAsiaTheme="minorEastAsia"/>
                <w:szCs w:val="21"/>
              </w:rPr>
              <w:t>机械性</w:t>
            </w:r>
          </w:p>
        </w:tc>
        <w:tc>
          <w:tcPr>
            <w:tcW w:w="712" w:type="pct"/>
            <w:vAlign w:val="center"/>
          </w:tcPr>
          <w:p>
            <w:pPr>
              <w:jc w:val="center"/>
              <w:rPr>
                <w:rFonts w:eastAsiaTheme="minorEastAsia"/>
                <w:szCs w:val="21"/>
              </w:rPr>
            </w:pPr>
            <w:r>
              <w:rPr>
                <w:rFonts w:hAnsiTheme="minorEastAsia" w:eastAsiaTheme="minorEastAsia"/>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Merge w:val="continue"/>
            <w:vAlign w:val="center"/>
          </w:tcPr>
          <w:p>
            <w:pPr>
              <w:widowControl/>
              <w:jc w:val="left"/>
              <w:rPr>
                <w:rFonts w:eastAsiaTheme="minorEastAsia"/>
                <w:szCs w:val="21"/>
              </w:rPr>
            </w:pPr>
          </w:p>
        </w:tc>
        <w:tc>
          <w:tcPr>
            <w:tcW w:w="906" w:type="pct"/>
            <w:vAlign w:val="center"/>
          </w:tcPr>
          <w:p>
            <w:pPr>
              <w:pStyle w:val="14"/>
              <w:spacing w:after="0" w:line="400" w:lineRule="exact"/>
              <w:ind w:left="0" w:leftChars="0"/>
              <w:jc w:val="center"/>
              <w:rPr>
                <w:rFonts w:eastAsiaTheme="minorEastAsia"/>
                <w:szCs w:val="21"/>
              </w:rPr>
            </w:pPr>
            <w:r>
              <w:rPr>
                <w:rFonts w:hAnsiTheme="minorEastAsia" w:eastAsiaTheme="minorEastAsia"/>
                <w:szCs w:val="21"/>
              </w:rPr>
              <w:t>空气加热室</w:t>
            </w:r>
          </w:p>
        </w:tc>
        <w:tc>
          <w:tcPr>
            <w:tcW w:w="924" w:type="pct"/>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风机</w:t>
            </w:r>
          </w:p>
        </w:tc>
        <w:tc>
          <w:tcPr>
            <w:tcW w:w="1062" w:type="pct"/>
            <w:vAlign w:val="center"/>
          </w:tcPr>
          <w:p>
            <w:pPr>
              <w:pStyle w:val="14"/>
              <w:spacing w:after="0" w:line="320" w:lineRule="exact"/>
              <w:ind w:left="0" w:leftChars="0"/>
              <w:jc w:val="center"/>
              <w:rPr>
                <w:rFonts w:eastAsiaTheme="minorEastAsia"/>
                <w:szCs w:val="21"/>
              </w:rPr>
            </w:pPr>
            <w:r>
              <w:rPr>
                <w:rFonts w:eastAsiaTheme="minorEastAsia"/>
                <w:szCs w:val="21"/>
              </w:rPr>
              <w:t>65</w:t>
            </w:r>
            <w:r>
              <w:rPr>
                <w:rFonts w:hAnsiTheme="minorEastAsia" w:eastAsiaTheme="minorEastAsia"/>
                <w:szCs w:val="21"/>
              </w:rPr>
              <w:t>～</w:t>
            </w:r>
            <w:r>
              <w:rPr>
                <w:rFonts w:eastAsiaTheme="minorEastAsia"/>
                <w:szCs w:val="21"/>
              </w:rPr>
              <w:t>70</w:t>
            </w:r>
          </w:p>
        </w:tc>
        <w:tc>
          <w:tcPr>
            <w:tcW w:w="928" w:type="pct"/>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空气动力性</w:t>
            </w:r>
          </w:p>
        </w:tc>
        <w:tc>
          <w:tcPr>
            <w:tcW w:w="712" w:type="pct"/>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Merge w:val="continue"/>
            <w:vAlign w:val="center"/>
          </w:tcPr>
          <w:p>
            <w:pPr>
              <w:widowControl/>
              <w:jc w:val="left"/>
              <w:rPr>
                <w:rFonts w:eastAsiaTheme="minorEastAsia"/>
                <w:szCs w:val="21"/>
              </w:rPr>
            </w:pPr>
          </w:p>
        </w:tc>
        <w:tc>
          <w:tcPr>
            <w:tcW w:w="906" w:type="pct"/>
            <w:vAlign w:val="center"/>
          </w:tcPr>
          <w:p>
            <w:pPr>
              <w:jc w:val="center"/>
              <w:rPr>
                <w:rFonts w:eastAsiaTheme="minorEastAsia"/>
                <w:szCs w:val="21"/>
              </w:rPr>
            </w:pPr>
            <w:r>
              <w:rPr>
                <w:rFonts w:hAnsiTheme="minorEastAsia" w:eastAsiaTheme="minorEastAsia"/>
                <w:szCs w:val="21"/>
              </w:rPr>
              <w:t>锅炉房</w:t>
            </w:r>
          </w:p>
        </w:tc>
        <w:tc>
          <w:tcPr>
            <w:tcW w:w="924" w:type="pct"/>
            <w:vAlign w:val="center"/>
          </w:tcPr>
          <w:p>
            <w:pPr>
              <w:jc w:val="center"/>
              <w:rPr>
                <w:rFonts w:eastAsiaTheme="minorEastAsia"/>
                <w:szCs w:val="21"/>
              </w:rPr>
            </w:pPr>
            <w:r>
              <w:rPr>
                <w:rFonts w:hAnsiTheme="minorEastAsia" w:eastAsiaTheme="minorEastAsia"/>
                <w:szCs w:val="21"/>
              </w:rPr>
              <w:t>鼓引风机</w:t>
            </w:r>
          </w:p>
        </w:tc>
        <w:tc>
          <w:tcPr>
            <w:tcW w:w="1062" w:type="pct"/>
            <w:vAlign w:val="center"/>
          </w:tcPr>
          <w:p>
            <w:pPr>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928" w:type="pct"/>
            <w:vAlign w:val="center"/>
          </w:tcPr>
          <w:p>
            <w:pPr>
              <w:jc w:val="center"/>
              <w:rPr>
                <w:rFonts w:eastAsiaTheme="minorEastAsia"/>
                <w:szCs w:val="21"/>
              </w:rPr>
            </w:pPr>
            <w:r>
              <w:rPr>
                <w:rFonts w:hAnsiTheme="minorEastAsia" w:eastAsiaTheme="minorEastAsia"/>
                <w:szCs w:val="21"/>
              </w:rPr>
              <w:t>空气动力性</w:t>
            </w:r>
          </w:p>
        </w:tc>
        <w:tc>
          <w:tcPr>
            <w:tcW w:w="712" w:type="pct"/>
            <w:vAlign w:val="center"/>
          </w:tcPr>
          <w:p>
            <w:pPr>
              <w:jc w:val="center"/>
              <w:rPr>
                <w:rFonts w:eastAsiaTheme="minorEastAsia"/>
                <w:szCs w:val="21"/>
              </w:rPr>
            </w:pPr>
            <w:r>
              <w:rPr>
                <w:rFonts w:hAnsiTheme="minorEastAsia" w:eastAsiaTheme="minorEastAsia"/>
                <w:szCs w:val="21"/>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Merge w:val="continue"/>
            <w:vAlign w:val="center"/>
          </w:tcPr>
          <w:p>
            <w:pPr>
              <w:widowControl/>
              <w:jc w:val="left"/>
              <w:rPr>
                <w:rFonts w:eastAsiaTheme="minorEastAsia"/>
                <w:szCs w:val="21"/>
              </w:rPr>
            </w:pPr>
          </w:p>
        </w:tc>
        <w:tc>
          <w:tcPr>
            <w:tcW w:w="906" w:type="pct"/>
            <w:vAlign w:val="center"/>
          </w:tcPr>
          <w:p>
            <w:pPr>
              <w:spacing w:line="320" w:lineRule="exact"/>
              <w:jc w:val="center"/>
              <w:rPr>
                <w:rFonts w:eastAsiaTheme="minorEastAsia"/>
                <w:szCs w:val="21"/>
              </w:rPr>
            </w:pPr>
            <w:r>
              <w:rPr>
                <w:rFonts w:hAnsiTheme="minorEastAsia" w:eastAsiaTheme="minorEastAsia"/>
                <w:szCs w:val="21"/>
              </w:rPr>
              <w:t>运输车辆</w:t>
            </w:r>
          </w:p>
        </w:tc>
        <w:tc>
          <w:tcPr>
            <w:tcW w:w="924" w:type="pct"/>
            <w:vAlign w:val="center"/>
          </w:tcPr>
          <w:p>
            <w:pPr>
              <w:spacing w:line="320" w:lineRule="exact"/>
              <w:jc w:val="center"/>
              <w:rPr>
                <w:rFonts w:eastAsiaTheme="minorEastAsia"/>
                <w:szCs w:val="21"/>
              </w:rPr>
            </w:pPr>
            <w:r>
              <w:rPr>
                <w:rFonts w:hAnsiTheme="minorEastAsia" w:eastAsiaTheme="minorEastAsia"/>
                <w:szCs w:val="21"/>
              </w:rPr>
              <w:t>汽车</w:t>
            </w:r>
          </w:p>
        </w:tc>
        <w:tc>
          <w:tcPr>
            <w:tcW w:w="1062" w:type="pct"/>
            <w:vAlign w:val="center"/>
          </w:tcPr>
          <w:p>
            <w:pPr>
              <w:spacing w:line="320" w:lineRule="exact"/>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75</w:t>
            </w:r>
          </w:p>
        </w:tc>
        <w:tc>
          <w:tcPr>
            <w:tcW w:w="928" w:type="pct"/>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vAlign w:val="center"/>
          </w:tcPr>
          <w:p>
            <w:pPr>
              <w:spacing w:line="320" w:lineRule="exact"/>
              <w:jc w:val="center"/>
              <w:rPr>
                <w:rFonts w:eastAsiaTheme="minorEastAsia"/>
                <w:szCs w:val="21"/>
              </w:rPr>
            </w:pPr>
            <w:r>
              <w:rPr>
                <w:rFonts w:hAnsiTheme="minorEastAsia" w:eastAsiaTheme="minorEastAsia"/>
                <w:szCs w:val="21"/>
              </w:rPr>
              <w:t>间断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68" w:type="pct"/>
            <w:vAlign w:val="center"/>
          </w:tcPr>
          <w:p>
            <w:pPr>
              <w:spacing w:line="320" w:lineRule="exact"/>
              <w:jc w:val="center"/>
              <w:rPr>
                <w:rFonts w:eastAsiaTheme="minorEastAsia"/>
                <w:szCs w:val="21"/>
              </w:rPr>
            </w:pPr>
            <w:r>
              <w:rPr>
                <w:rFonts w:hAnsiTheme="minorEastAsia" w:eastAsiaTheme="minorEastAsia"/>
                <w:szCs w:val="21"/>
              </w:rPr>
              <w:t>风井场地</w:t>
            </w:r>
          </w:p>
        </w:tc>
        <w:tc>
          <w:tcPr>
            <w:tcW w:w="906" w:type="pct"/>
            <w:vAlign w:val="center"/>
          </w:tcPr>
          <w:p>
            <w:pPr>
              <w:spacing w:line="320" w:lineRule="exact"/>
              <w:jc w:val="center"/>
              <w:rPr>
                <w:rFonts w:eastAsiaTheme="minorEastAsia"/>
                <w:szCs w:val="21"/>
              </w:rPr>
            </w:pPr>
            <w:r>
              <w:rPr>
                <w:rFonts w:hAnsiTheme="minorEastAsia" w:eastAsiaTheme="minorEastAsia"/>
                <w:szCs w:val="21"/>
              </w:rPr>
              <w:t>风机房</w:t>
            </w:r>
          </w:p>
        </w:tc>
        <w:tc>
          <w:tcPr>
            <w:tcW w:w="924" w:type="pct"/>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通风机</w:t>
            </w:r>
          </w:p>
        </w:tc>
        <w:tc>
          <w:tcPr>
            <w:tcW w:w="1062" w:type="pct"/>
            <w:vAlign w:val="center"/>
          </w:tcPr>
          <w:p>
            <w:pPr>
              <w:spacing w:line="320" w:lineRule="exact"/>
              <w:jc w:val="center"/>
              <w:rPr>
                <w:rFonts w:eastAsiaTheme="minorEastAsia"/>
                <w:szCs w:val="21"/>
              </w:rPr>
            </w:pPr>
            <w:r>
              <w:rPr>
                <w:rFonts w:eastAsiaTheme="minorEastAsia"/>
                <w:szCs w:val="21"/>
              </w:rPr>
              <w:t>90</w:t>
            </w:r>
            <w:r>
              <w:rPr>
                <w:rFonts w:hAnsiTheme="minorEastAsia" w:eastAsiaTheme="minorEastAsia"/>
                <w:szCs w:val="21"/>
              </w:rPr>
              <w:t>～</w:t>
            </w:r>
            <w:r>
              <w:rPr>
                <w:rFonts w:eastAsiaTheme="minorEastAsia"/>
                <w:szCs w:val="21"/>
              </w:rPr>
              <w:t>95</w:t>
            </w:r>
          </w:p>
        </w:tc>
        <w:tc>
          <w:tcPr>
            <w:tcW w:w="928" w:type="pct"/>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空气动力性</w:t>
            </w:r>
          </w:p>
        </w:tc>
        <w:tc>
          <w:tcPr>
            <w:tcW w:w="712" w:type="pct"/>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连续</w:t>
            </w:r>
          </w:p>
        </w:tc>
      </w:tr>
    </w:tbl>
    <w:p>
      <w:pPr>
        <w:pStyle w:val="39"/>
        <w:ind w:firstLine="482"/>
        <w:rPr>
          <w:rFonts w:ascii="Times New Roman" w:hAnsiTheme="minorEastAsia" w:eastAsiaTheme="minorEastAsia"/>
        </w:rPr>
      </w:pPr>
      <w:r>
        <w:rPr>
          <w:rFonts w:hint="eastAsia" w:ascii="Times New Roman" w:hAnsiTheme="minorEastAsia" w:eastAsiaTheme="minorEastAsia"/>
          <w:b/>
        </w:rPr>
        <w:t>变更后</w:t>
      </w:r>
      <w:r>
        <w:rPr>
          <w:rFonts w:hint="eastAsia" w:ascii="Times New Roman" w:hAnsiTheme="minorEastAsia" w:eastAsiaTheme="minorEastAsia"/>
        </w:rPr>
        <w:t>：</w:t>
      </w:r>
    </w:p>
    <w:p>
      <w:pPr>
        <w:spacing w:line="360" w:lineRule="auto"/>
        <w:ind w:firstLine="480" w:firstLineChars="200"/>
        <w:rPr>
          <w:rFonts w:hAnsiTheme="minorEastAsia" w:eastAsiaTheme="minorEastAsia"/>
          <w:sz w:val="24"/>
        </w:rPr>
      </w:pPr>
      <w:r>
        <w:rPr>
          <w:rFonts w:hint="eastAsia" w:hAnsiTheme="minorEastAsia" w:eastAsiaTheme="minorEastAsia"/>
          <w:sz w:val="24"/>
        </w:rPr>
        <w:t>工业场地平面布局发生了调整，防火灌浆站移至风井场地</w:t>
      </w:r>
      <w:r>
        <w:rPr>
          <w:rFonts w:hint="eastAsia"/>
        </w:rPr>
        <w:t>，</w:t>
      </w:r>
      <w:r>
        <w:rPr>
          <w:rFonts w:hint="eastAsia" w:hAnsiTheme="minorEastAsia" w:eastAsiaTheme="minorEastAsia"/>
          <w:sz w:val="24"/>
        </w:rPr>
        <w:t>声源源强同原环评一致。</w:t>
      </w:r>
    </w:p>
    <w:p>
      <w:pPr>
        <w:spacing w:line="360" w:lineRule="auto"/>
        <w:jc w:val="center"/>
        <w:rPr>
          <w:rFonts w:eastAsiaTheme="minorEastAsia"/>
          <w:b/>
          <w:szCs w:val="21"/>
        </w:rPr>
      </w:pPr>
      <w:r>
        <w:rPr>
          <w:rFonts w:hAnsiTheme="minorEastAsia" w:eastAsiaTheme="minorEastAsia"/>
          <w:b/>
          <w:szCs w:val="21"/>
        </w:rPr>
        <w:t>表</w:t>
      </w:r>
      <w:r>
        <w:rPr>
          <w:rFonts w:hint="eastAsia" w:eastAsiaTheme="minorEastAsia"/>
          <w:b/>
          <w:szCs w:val="21"/>
        </w:rPr>
        <w:t>3.4-4</w:t>
      </w:r>
      <w:r>
        <w:rPr>
          <w:rFonts w:eastAsiaTheme="minorEastAsia"/>
          <w:b/>
          <w:szCs w:val="21"/>
        </w:rPr>
        <w:t xml:space="preserve">   </w:t>
      </w:r>
      <w:r>
        <w:rPr>
          <w:rFonts w:hAnsiTheme="minorEastAsia" w:eastAsiaTheme="minorEastAsia"/>
          <w:b/>
          <w:szCs w:val="21"/>
        </w:rPr>
        <w:t>工业场地矿井主要设备声压级</w:t>
      </w:r>
      <w:r>
        <w:rPr>
          <w:rFonts w:eastAsiaTheme="minorEastAsia"/>
          <w:b/>
          <w:szCs w:val="21"/>
        </w:rPr>
        <w:t>dB</w:t>
      </w:r>
      <w:r>
        <w:rPr>
          <w:rFonts w:hAnsiTheme="minorEastAsia" w:eastAsiaTheme="minorEastAsia"/>
          <w:b/>
          <w:szCs w:val="21"/>
        </w:rPr>
        <w:t>（</w:t>
      </w:r>
      <w:r>
        <w:rPr>
          <w:rFonts w:eastAsiaTheme="minorEastAsia"/>
          <w:b/>
          <w:szCs w:val="21"/>
        </w:rPr>
        <w:t>A</w:t>
      </w:r>
      <w:r>
        <w:rPr>
          <w:rFonts w:hAnsiTheme="minorEastAsia" w:eastAsiaTheme="minorEastAsia"/>
          <w:b/>
          <w:szCs w:val="21"/>
        </w:rPr>
        <w:t>）</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83"/>
        <w:gridCol w:w="1716"/>
        <w:gridCol w:w="1972"/>
        <w:gridCol w:w="172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74"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噪声源位置</w:t>
            </w:r>
          </w:p>
        </w:tc>
        <w:tc>
          <w:tcPr>
            <w:tcW w:w="924"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主要噪声设备</w:t>
            </w:r>
          </w:p>
        </w:tc>
        <w:tc>
          <w:tcPr>
            <w:tcW w:w="106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噪声级</w:t>
            </w:r>
            <w:r>
              <w:rPr>
                <w:rFonts w:eastAsiaTheme="minorEastAsia"/>
                <w:szCs w:val="21"/>
              </w:rPr>
              <w:t>dB</w:t>
            </w:r>
            <w:r>
              <w:rPr>
                <w:rFonts w:hAnsiTheme="minorEastAsia" w:eastAsiaTheme="minorEastAsia"/>
                <w:szCs w:val="21"/>
              </w:rPr>
              <w:t>（</w:t>
            </w:r>
            <w:r>
              <w:rPr>
                <w:rFonts w:eastAsiaTheme="minorEastAsia"/>
                <w:szCs w:val="21"/>
              </w:rPr>
              <w:t>A</w:t>
            </w:r>
            <w:r>
              <w:rPr>
                <w:rFonts w:hAnsiTheme="minorEastAsia" w:eastAsiaTheme="minorEastAsia"/>
                <w:szCs w:val="21"/>
              </w:rPr>
              <w:t>）</w:t>
            </w:r>
          </w:p>
        </w:tc>
        <w:tc>
          <w:tcPr>
            <w:tcW w:w="9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声源主要特性</w:t>
            </w:r>
          </w:p>
        </w:tc>
        <w:tc>
          <w:tcPr>
            <w:tcW w:w="71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工作性质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工业</w:t>
            </w:r>
          </w:p>
          <w:p>
            <w:pPr>
              <w:spacing w:line="320" w:lineRule="exact"/>
              <w:jc w:val="center"/>
              <w:rPr>
                <w:rFonts w:eastAsiaTheme="minorEastAsia"/>
                <w:szCs w:val="21"/>
              </w:rPr>
            </w:pPr>
            <w:r>
              <w:rPr>
                <w:rFonts w:hAnsiTheme="minorEastAsia" w:eastAsiaTheme="minorEastAsia"/>
                <w:szCs w:val="21"/>
              </w:rPr>
              <w:t>场地</w:t>
            </w:r>
          </w:p>
        </w:tc>
        <w:tc>
          <w:tcPr>
            <w:tcW w:w="90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绞车房</w:t>
            </w:r>
          </w:p>
        </w:tc>
        <w:tc>
          <w:tcPr>
            <w:tcW w:w="92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驱动机</w:t>
            </w:r>
          </w:p>
        </w:tc>
        <w:tc>
          <w:tcPr>
            <w:tcW w:w="106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85</w:t>
            </w:r>
          </w:p>
        </w:tc>
        <w:tc>
          <w:tcPr>
            <w:tcW w:w="9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906"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筛分车间</w:t>
            </w:r>
          </w:p>
        </w:tc>
        <w:tc>
          <w:tcPr>
            <w:tcW w:w="924"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振动筛</w:t>
            </w:r>
          </w:p>
        </w:tc>
        <w:tc>
          <w:tcPr>
            <w:tcW w:w="106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80</w:t>
            </w:r>
          </w:p>
        </w:tc>
        <w:tc>
          <w:tcPr>
            <w:tcW w:w="9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906"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机修车间</w:t>
            </w:r>
          </w:p>
        </w:tc>
        <w:tc>
          <w:tcPr>
            <w:tcW w:w="924"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机加工设备</w:t>
            </w:r>
          </w:p>
        </w:tc>
        <w:tc>
          <w:tcPr>
            <w:tcW w:w="106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9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906"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空压机房</w:t>
            </w:r>
          </w:p>
        </w:tc>
        <w:tc>
          <w:tcPr>
            <w:tcW w:w="924"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空压机</w:t>
            </w:r>
          </w:p>
        </w:tc>
        <w:tc>
          <w:tcPr>
            <w:tcW w:w="106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9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空气动力性</w:t>
            </w:r>
          </w:p>
        </w:tc>
        <w:tc>
          <w:tcPr>
            <w:tcW w:w="71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906"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坑木加工房</w:t>
            </w:r>
          </w:p>
        </w:tc>
        <w:tc>
          <w:tcPr>
            <w:tcW w:w="924"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电锯</w:t>
            </w:r>
          </w:p>
        </w:tc>
        <w:tc>
          <w:tcPr>
            <w:tcW w:w="106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eastAsiaTheme="minorEastAsia"/>
                <w:szCs w:val="21"/>
              </w:rPr>
              <w:t>90</w:t>
            </w:r>
            <w:r>
              <w:rPr>
                <w:rFonts w:hAnsiTheme="minorEastAsia" w:eastAsiaTheme="minorEastAsia"/>
                <w:szCs w:val="21"/>
              </w:rPr>
              <w:t>～</w:t>
            </w:r>
            <w:r>
              <w:rPr>
                <w:rFonts w:eastAsiaTheme="minorEastAsia"/>
                <w:szCs w:val="21"/>
              </w:rPr>
              <w:t>100</w:t>
            </w:r>
          </w:p>
        </w:tc>
        <w:tc>
          <w:tcPr>
            <w:tcW w:w="9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906"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水处理站</w:t>
            </w:r>
          </w:p>
        </w:tc>
        <w:tc>
          <w:tcPr>
            <w:tcW w:w="924"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水泵等</w:t>
            </w:r>
          </w:p>
        </w:tc>
        <w:tc>
          <w:tcPr>
            <w:tcW w:w="106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85</w:t>
            </w:r>
          </w:p>
        </w:tc>
        <w:tc>
          <w:tcPr>
            <w:tcW w:w="9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906" w:type="pct"/>
            <w:tcBorders>
              <w:top w:val="single" w:color="auto" w:sz="4" w:space="0"/>
              <w:left w:val="single" w:color="auto" w:sz="4" w:space="0"/>
              <w:bottom w:val="single" w:color="auto" w:sz="4" w:space="0"/>
              <w:right w:val="single" w:color="auto" w:sz="4" w:space="0"/>
            </w:tcBorders>
            <w:vAlign w:val="center"/>
          </w:tcPr>
          <w:p>
            <w:pPr>
              <w:pStyle w:val="14"/>
              <w:spacing w:after="0" w:line="400" w:lineRule="exact"/>
              <w:ind w:left="0" w:leftChars="0"/>
              <w:jc w:val="center"/>
              <w:rPr>
                <w:rFonts w:eastAsiaTheme="minorEastAsia"/>
                <w:szCs w:val="21"/>
              </w:rPr>
            </w:pPr>
            <w:r>
              <w:rPr>
                <w:rFonts w:hAnsiTheme="minorEastAsia" w:eastAsiaTheme="minorEastAsia"/>
                <w:szCs w:val="21"/>
              </w:rPr>
              <w:t>空气加热室</w:t>
            </w:r>
          </w:p>
        </w:tc>
        <w:tc>
          <w:tcPr>
            <w:tcW w:w="924" w:type="pct"/>
            <w:tcBorders>
              <w:top w:val="single" w:color="auto" w:sz="4" w:space="0"/>
              <w:left w:val="single" w:color="auto" w:sz="4" w:space="0"/>
              <w:bottom w:val="single" w:color="auto" w:sz="4" w:space="0"/>
              <w:right w:val="single" w:color="auto" w:sz="4" w:space="0"/>
            </w:tcBorders>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风机</w:t>
            </w:r>
          </w:p>
        </w:tc>
        <w:tc>
          <w:tcPr>
            <w:tcW w:w="1062" w:type="pct"/>
            <w:tcBorders>
              <w:top w:val="single" w:color="auto" w:sz="4" w:space="0"/>
              <w:left w:val="single" w:color="auto" w:sz="4" w:space="0"/>
              <w:bottom w:val="single" w:color="auto" w:sz="4" w:space="0"/>
              <w:right w:val="single" w:color="auto" w:sz="4" w:space="0"/>
            </w:tcBorders>
            <w:vAlign w:val="center"/>
          </w:tcPr>
          <w:p>
            <w:pPr>
              <w:pStyle w:val="14"/>
              <w:spacing w:after="0" w:line="320" w:lineRule="exact"/>
              <w:ind w:left="0" w:leftChars="0"/>
              <w:jc w:val="center"/>
              <w:rPr>
                <w:rFonts w:eastAsiaTheme="minorEastAsia"/>
                <w:szCs w:val="21"/>
              </w:rPr>
            </w:pPr>
            <w:r>
              <w:rPr>
                <w:rFonts w:eastAsiaTheme="minorEastAsia"/>
                <w:szCs w:val="21"/>
              </w:rPr>
              <w:t>65</w:t>
            </w:r>
            <w:r>
              <w:rPr>
                <w:rFonts w:hAnsiTheme="minorEastAsia" w:eastAsiaTheme="minorEastAsia"/>
                <w:szCs w:val="21"/>
              </w:rPr>
              <w:t>～</w:t>
            </w:r>
            <w:r>
              <w:rPr>
                <w:rFonts w:eastAsiaTheme="minorEastAsia"/>
                <w:szCs w:val="21"/>
              </w:rPr>
              <w:t>70</w:t>
            </w:r>
          </w:p>
        </w:tc>
        <w:tc>
          <w:tcPr>
            <w:tcW w:w="928" w:type="pct"/>
            <w:tcBorders>
              <w:top w:val="single" w:color="auto" w:sz="4" w:space="0"/>
              <w:left w:val="single" w:color="auto" w:sz="4" w:space="0"/>
              <w:bottom w:val="single" w:color="auto" w:sz="4" w:space="0"/>
              <w:right w:val="single" w:color="auto" w:sz="4" w:space="0"/>
            </w:tcBorders>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空气动力性</w:t>
            </w:r>
          </w:p>
        </w:tc>
        <w:tc>
          <w:tcPr>
            <w:tcW w:w="712" w:type="pct"/>
            <w:tcBorders>
              <w:top w:val="single" w:color="auto" w:sz="4" w:space="0"/>
              <w:left w:val="single" w:color="auto" w:sz="4" w:space="0"/>
              <w:bottom w:val="single" w:color="auto" w:sz="4" w:space="0"/>
              <w:right w:val="single" w:color="auto" w:sz="4" w:space="0"/>
            </w:tcBorders>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90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锅炉房</w:t>
            </w:r>
          </w:p>
        </w:tc>
        <w:tc>
          <w:tcPr>
            <w:tcW w:w="92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鼓引风机</w:t>
            </w:r>
          </w:p>
        </w:tc>
        <w:tc>
          <w:tcPr>
            <w:tcW w:w="106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928"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空气动力性</w:t>
            </w:r>
          </w:p>
        </w:tc>
        <w:tc>
          <w:tcPr>
            <w:tcW w:w="71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906"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运输车辆</w:t>
            </w:r>
          </w:p>
        </w:tc>
        <w:tc>
          <w:tcPr>
            <w:tcW w:w="924"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汽车</w:t>
            </w:r>
          </w:p>
        </w:tc>
        <w:tc>
          <w:tcPr>
            <w:tcW w:w="106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75</w:t>
            </w:r>
          </w:p>
        </w:tc>
        <w:tc>
          <w:tcPr>
            <w:tcW w:w="9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机械性</w:t>
            </w:r>
          </w:p>
        </w:tc>
        <w:tc>
          <w:tcPr>
            <w:tcW w:w="71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restart"/>
            <w:tcBorders>
              <w:top w:val="single" w:color="auto" w:sz="4" w:space="0"/>
              <w:left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风井场地</w:t>
            </w:r>
          </w:p>
        </w:tc>
        <w:tc>
          <w:tcPr>
            <w:tcW w:w="906"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hAnsiTheme="minorEastAsia" w:eastAsiaTheme="minorEastAsia"/>
                <w:szCs w:val="21"/>
              </w:rPr>
              <w:t>风机房</w:t>
            </w:r>
          </w:p>
        </w:tc>
        <w:tc>
          <w:tcPr>
            <w:tcW w:w="924" w:type="pct"/>
            <w:tcBorders>
              <w:top w:val="single" w:color="auto" w:sz="4" w:space="0"/>
              <w:left w:val="single" w:color="auto" w:sz="4" w:space="0"/>
              <w:bottom w:val="single" w:color="auto" w:sz="4" w:space="0"/>
              <w:right w:val="single" w:color="auto" w:sz="4" w:space="0"/>
            </w:tcBorders>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通风机</w:t>
            </w:r>
          </w:p>
        </w:tc>
        <w:tc>
          <w:tcPr>
            <w:tcW w:w="1062"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eastAsiaTheme="minorEastAsia"/>
                <w:szCs w:val="21"/>
              </w:rPr>
              <w:t>90</w:t>
            </w:r>
            <w:r>
              <w:rPr>
                <w:rFonts w:hAnsiTheme="minorEastAsia" w:eastAsiaTheme="minorEastAsia"/>
                <w:szCs w:val="21"/>
              </w:rPr>
              <w:t>～</w:t>
            </w:r>
            <w:r>
              <w:rPr>
                <w:rFonts w:eastAsiaTheme="minorEastAsia"/>
                <w:szCs w:val="21"/>
              </w:rPr>
              <w:t>95</w:t>
            </w:r>
          </w:p>
        </w:tc>
        <w:tc>
          <w:tcPr>
            <w:tcW w:w="928" w:type="pct"/>
            <w:tcBorders>
              <w:top w:val="single" w:color="auto" w:sz="4" w:space="0"/>
              <w:left w:val="single" w:color="auto" w:sz="4" w:space="0"/>
              <w:bottom w:val="single" w:color="auto" w:sz="4" w:space="0"/>
              <w:right w:val="single" w:color="auto" w:sz="4" w:space="0"/>
            </w:tcBorders>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空气动力性</w:t>
            </w:r>
          </w:p>
        </w:tc>
        <w:tc>
          <w:tcPr>
            <w:tcW w:w="712" w:type="pct"/>
            <w:tcBorders>
              <w:top w:val="single" w:color="auto" w:sz="4" w:space="0"/>
              <w:left w:val="single" w:color="auto" w:sz="4" w:space="0"/>
              <w:bottom w:val="single" w:color="auto" w:sz="4" w:space="0"/>
              <w:right w:val="single" w:color="auto" w:sz="4" w:space="0"/>
            </w:tcBorders>
            <w:vAlign w:val="center"/>
          </w:tcPr>
          <w:p>
            <w:pPr>
              <w:pStyle w:val="14"/>
              <w:spacing w:after="0" w:line="320" w:lineRule="exact"/>
              <w:ind w:left="0" w:leftChars="0"/>
              <w:jc w:val="center"/>
              <w:rPr>
                <w:rFonts w:eastAsiaTheme="minorEastAsia"/>
                <w:szCs w:val="21"/>
              </w:rPr>
            </w:pPr>
            <w:r>
              <w:rPr>
                <w:rFonts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8" w:type="pct"/>
            <w:vMerge w:val="continue"/>
            <w:tcBorders>
              <w:left w:val="single" w:color="auto" w:sz="4" w:space="0"/>
              <w:bottom w:val="single" w:color="auto" w:sz="4" w:space="0"/>
              <w:right w:val="single" w:color="auto" w:sz="4" w:space="0"/>
            </w:tcBorders>
            <w:vAlign w:val="center"/>
          </w:tcPr>
          <w:p>
            <w:pPr>
              <w:spacing w:line="320" w:lineRule="exact"/>
              <w:jc w:val="center"/>
              <w:rPr>
                <w:rFonts w:hAnsiTheme="minorEastAsia" w:eastAsiaTheme="minorEastAsia"/>
                <w:szCs w:val="21"/>
              </w:rPr>
            </w:pPr>
          </w:p>
        </w:tc>
        <w:tc>
          <w:tcPr>
            <w:tcW w:w="90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灌浆站</w:t>
            </w:r>
          </w:p>
        </w:tc>
        <w:tc>
          <w:tcPr>
            <w:tcW w:w="92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制浆机、水泵</w:t>
            </w:r>
          </w:p>
        </w:tc>
        <w:tc>
          <w:tcPr>
            <w:tcW w:w="106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88</w:t>
            </w:r>
          </w:p>
        </w:tc>
        <w:tc>
          <w:tcPr>
            <w:tcW w:w="928"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机械性</w:t>
            </w:r>
          </w:p>
        </w:tc>
        <w:tc>
          <w:tcPr>
            <w:tcW w:w="71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连续</w:t>
            </w:r>
          </w:p>
        </w:tc>
      </w:tr>
    </w:tbl>
    <w:p>
      <w:pPr>
        <w:spacing w:line="360" w:lineRule="auto"/>
        <w:rPr>
          <w:rFonts w:eastAsiaTheme="minorEastAsia"/>
          <w:b/>
          <w:sz w:val="24"/>
        </w:rPr>
      </w:pPr>
      <w:r>
        <w:rPr>
          <w:rFonts w:eastAsiaTheme="minorEastAsia"/>
          <w:b/>
          <w:sz w:val="24"/>
        </w:rPr>
        <w:t>3.4.2.1</w:t>
      </w:r>
      <w:r>
        <w:rPr>
          <w:rFonts w:hAnsiTheme="minorEastAsia" w:eastAsiaTheme="minorEastAsia"/>
          <w:b/>
          <w:sz w:val="24"/>
        </w:rPr>
        <w:t>运营期地表塌陷与生态影响</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原环评：</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煤炭开采最显著的特征是地表塌陷及其对生态的影响。主要表现在对地表形态、土地资源及农田、地面建筑、地下水、地表水、水土流失、滑坡及井田内的植被破坏等方面的影响。评价要求建设单位在开采时严格执行以下防治措施。</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1</w:t>
      </w:r>
      <w:r>
        <w:rPr>
          <w:rFonts w:ascii="Times New Roman" w:hAnsiTheme="minorEastAsia" w:eastAsiaTheme="minorEastAsia"/>
          <w:sz w:val="24"/>
          <w:szCs w:val="24"/>
        </w:rPr>
        <w:t>）按照地表沉陷的预测结果，根据裂缝宽度大小，对较小裂缝经耕地平整及恢复原状，对较大裂缝采取充填、平整的顺序，视耕地恢复原状，以减少雨水侵蚀，减轻水土流失，对于农田出现沉陷的地方，垫土整平，对于荒沟出现沉陷的地方，可用矸石充填后覆土，整平修复。当沉陷深度较浅时，可将矸石平推。随着沉陷深度增加，不断增加矸石堆积厚度，直至采空区沉陷稳定为止。在平整覆土</w:t>
      </w:r>
      <w:r>
        <w:rPr>
          <w:rFonts w:ascii="Times New Roman" w:hAnsi="Times New Roman" w:eastAsiaTheme="minorEastAsia"/>
          <w:sz w:val="24"/>
          <w:szCs w:val="24"/>
        </w:rPr>
        <w:t>0.8m</w:t>
      </w:r>
      <w:r>
        <w:rPr>
          <w:rFonts w:ascii="Times New Roman" w:hAnsiTheme="minorEastAsia" w:eastAsiaTheme="minorEastAsia"/>
          <w:sz w:val="24"/>
          <w:szCs w:val="24"/>
        </w:rPr>
        <w:t>左右，用于绿化或农作物种植。</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w:t>
      </w:r>
      <w:r>
        <w:rPr>
          <w:rFonts w:ascii="Times New Roman" w:hAnsiTheme="minorEastAsia" w:eastAsiaTheme="minorEastAsia"/>
          <w:sz w:val="24"/>
          <w:szCs w:val="24"/>
        </w:rPr>
        <w:t>）按照规范要求，对井田范围内需留设煤柱单位均留设保安煤柱。</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3</w:t>
      </w:r>
      <w:r>
        <w:rPr>
          <w:rFonts w:ascii="Times New Roman" w:hAnsiTheme="minorEastAsia" w:eastAsiaTheme="minorEastAsia"/>
          <w:sz w:val="24"/>
          <w:szCs w:val="24"/>
        </w:rPr>
        <w:t>）建立地表沉陷预测制度，运营期间对塌陷范围内的公路、村庄等设专人巡视，及时采取恢复措施。</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4</w:t>
      </w:r>
      <w:r>
        <w:rPr>
          <w:rFonts w:ascii="Times New Roman" w:hAnsiTheme="minorEastAsia" w:eastAsiaTheme="minorEastAsia"/>
          <w:sz w:val="24"/>
          <w:szCs w:val="24"/>
        </w:rPr>
        <w:t>）绿化是环境保护、水土保持和恢复生态环境的重要措施之一。环评要求从矿井工业场地总平面布置的具体情况出发，充分利用建筑物四周的空闲地带、道路两侧空地选择抗尘树种，在车间、厂房附近种植高大遮阴树和灌木丛，并配植少量的花卉、草皮等植物，在路旁种植小乔木、灌木和绿篱。</w:t>
      </w:r>
    </w:p>
    <w:p>
      <w:pPr>
        <w:spacing w:line="360" w:lineRule="auto"/>
        <w:ind w:firstLine="480" w:firstLineChars="200"/>
        <w:rPr>
          <w:rFonts w:eastAsiaTheme="minorEastAsia"/>
          <w:bCs/>
          <w:sz w:val="24"/>
        </w:rPr>
      </w:pPr>
      <w:r>
        <w:rPr>
          <w:rFonts w:eastAsiaTheme="minorEastAsia"/>
          <w:sz w:val="24"/>
        </w:rPr>
        <w:t>5</w:t>
      </w:r>
      <w:r>
        <w:rPr>
          <w:rFonts w:hAnsiTheme="minorEastAsia" w:eastAsiaTheme="minorEastAsia"/>
          <w:sz w:val="24"/>
        </w:rPr>
        <w:t>）对本次兼并重组整合工程关闭的废弃工业场地进行生态恢复。</w:t>
      </w:r>
      <w:r>
        <w:rPr>
          <w:rFonts w:hAnsiTheme="minorEastAsia" w:eastAsiaTheme="minorEastAsia"/>
          <w:bCs/>
          <w:sz w:val="24"/>
        </w:rPr>
        <w:t>对关闭井口采取封堵井口的措施，以免老空水及雨季地表水灌入对周围矿井造成影响，避免有害气体逸出到居民区或无关人员入井对人体造成伤害。对井口所处工业场地进行清理、绿化，恢复所处区域的生态环境。</w:t>
      </w:r>
    </w:p>
    <w:p>
      <w:pPr>
        <w:spacing w:line="360" w:lineRule="auto"/>
        <w:ind w:firstLine="482" w:firstLineChars="200"/>
        <w:rPr>
          <w:rFonts w:hAnsiTheme="minorEastAsia" w:eastAsiaTheme="minorEastAsia"/>
          <w:b/>
          <w:sz w:val="24"/>
        </w:rPr>
      </w:pPr>
      <w:r>
        <w:rPr>
          <w:rFonts w:hint="eastAsia" w:hAnsiTheme="minorEastAsia" w:eastAsiaTheme="minorEastAsia"/>
          <w:b/>
          <w:sz w:val="24"/>
        </w:rPr>
        <w:t>变更后：</w:t>
      </w:r>
    </w:p>
    <w:p>
      <w:pPr>
        <w:spacing w:line="360" w:lineRule="auto"/>
        <w:ind w:firstLine="480" w:firstLineChars="200"/>
        <w:rPr>
          <w:rFonts w:eastAsiaTheme="minorEastAsia"/>
          <w:sz w:val="24"/>
        </w:rPr>
      </w:pPr>
      <w:r>
        <w:rPr>
          <w:rFonts w:hint="eastAsia" w:hAnsiTheme="minorEastAsia" w:eastAsiaTheme="minorEastAsia"/>
          <w:sz w:val="24"/>
        </w:rPr>
        <w:t>新工</w:t>
      </w:r>
      <w:r>
        <w:rPr>
          <w:rFonts w:hAnsiTheme="minorEastAsia" w:eastAsiaTheme="minorEastAsia"/>
          <w:sz w:val="24"/>
        </w:rPr>
        <w:t>矿矿井范围内生态环境</w:t>
      </w:r>
      <w:r>
        <w:rPr>
          <w:rFonts w:hint="eastAsia" w:hAnsiTheme="minorEastAsia" w:eastAsiaTheme="minorEastAsia"/>
          <w:sz w:val="24"/>
        </w:rPr>
        <w:t>良好</w:t>
      </w:r>
      <w:r>
        <w:rPr>
          <w:rFonts w:hAnsiTheme="minorEastAsia" w:eastAsiaTheme="minorEastAsia"/>
          <w:sz w:val="24"/>
        </w:rPr>
        <w:t>，评价区植被主要为</w:t>
      </w:r>
      <w:r>
        <w:rPr>
          <w:rFonts w:hint="eastAsia" w:hAnsiTheme="minorEastAsia" w:eastAsiaTheme="minorEastAsia"/>
          <w:sz w:val="24"/>
        </w:rPr>
        <w:t>林地和旱地</w:t>
      </w:r>
      <w:r>
        <w:rPr>
          <w:rFonts w:hAnsiTheme="minorEastAsia" w:eastAsiaTheme="minorEastAsia"/>
          <w:sz w:val="24"/>
        </w:rPr>
        <w:t>，对生态环境的保护是本工程建设重点关心的问题。煤炭开采最显著的特征是地表塌陷及其对生态的影响。主要表现在对地表形态、土地资源及农田、地面建筑、地下水、地表水、水土流失、滑坡及井田内的植被破坏等方面的影响。主要以下几个方面：</w:t>
      </w:r>
      <w:r>
        <w:rPr>
          <w:rFonts w:eastAsiaTheme="minorEastAsia"/>
          <w:sz w:val="24"/>
        </w:rPr>
        <w:t xml:space="preserve"> </w:t>
      </w:r>
    </w:p>
    <w:p>
      <w:pPr>
        <w:spacing w:line="360" w:lineRule="auto"/>
        <w:ind w:firstLine="480" w:firstLineChars="200"/>
        <w:rPr>
          <w:rFonts w:eastAsiaTheme="minorEastAsia"/>
          <w:sz w:val="24"/>
        </w:rPr>
      </w:pPr>
      <w:r>
        <w:rPr>
          <w:rFonts w:eastAsiaTheme="minorEastAsia"/>
          <w:sz w:val="24"/>
        </w:rPr>
        <w:t xml:space="preserve">a. </w:t>
      </w:r>
      <w:r>
        <w:rPr>
          <w:rFonts w:hAnsiTheme="minorEastAsia" w:eastAsiaTheme="minorEastAsia"/>
          <w:sz w:val="24"/>
        </w:rPr>
        <w:t>井下采动影响随着开采范围扩大和采厚的加大，将对生态环境产生较大的影响，特别是地表塌陷等表现，是煤矿对区域生态产生影响的主要方面之一；</w:t>
      </w:r>
    </w:p>
    <w:p>
      <w:pPr>
        <w:spacing w:line="360" w:lineRule="auto"/>
        <w:ind w:firstLine="480" w:firstLineChars="200"/>
        <w:rPr>
          <w:rFonts w:eastAsiaTheme="minorEastAsia"/>
          <w:sz w:val="24"/>
        </w:rPr>
      </w:pPr>
      <w:r>
        <w:rPr>
          <w:rFonts w:eastAsiaTheme="minorEastAsia"/>
          <w:sz w:val="24"/>
        </w:rPr>
        <w:t xml:space="preserve">b. </w:t>
      </w:r>
      <w:r>
        <w:rPr>
          <w:rFonts w:hAnsiTheme="minorEastAsia" w:eastAsiaTheme="minorEastAsia"/>
          <w:sz w:val="24"/>
        </w:rPr>
        <w:t>煤矿开采可能造成煤层上覆含水层疏干及雨季地表水下渗，而对生态环境产生影响。本区域地下水较丰富，减少对地下水的疏干，保护地下水资源，避免沟道雨季流水下渗，是煤矿建设及运行过程中生态影响的关心问题；</w:t>
      </w:r>
    </w:p>
    <w:p>
      <w:pPr>
        <w:spacing w:line="360" w:lineRule="auto"/>
        <w:ind w:firstLine="480" w:firstLineChars="200"/>
        <w:rPr>
          <w:rFonts w:eastAsiaTheme="minorEastAsia"/>
          <w:sz w:val="24"/>
        </w:rPr>
      </w:pPr>
      <w:r>
        <w:rPr>
          <w:rFonts w:eastAsiaTheme="minorEastAsia"/>
          <w:sz w:val="24"/>
        </w:rPr>
        <w:t xml:space="preserve">c. </w:t>
      </w:r>
      <w:r>
        <w:rPr>
          <w:rFonts w:hAnsiTheme="minorEastAsia" w:eastAsiaTheme="minorEastAsia"/>
          <w:sz w:val="24"/>
        </w:rPr>
        <w:t>煤矿废气、废水等排污将对生态环境产生一定的影响；</w:t>
      </w:r>
    </w:p>
    <w:p>
      <w:pPr>
        <w:spacing w:line="360" w:lineRule="auto"/>
        <w:ind w:firstLine="480" w:firstLineChars="200"/>
        <w:rPr>
          <w:rFonts w:eastAsiaTheme="minorEastAsia"/>
          <w:sz w:val="24"/>
        </w:rPr>
      </w:pPr>
      <w:r>
        <w:rPr>
          <w:rFonts w:eastAsiaTheme="minorEastAsia"/>
          <w:sz w:val="24"/>
        </w:rPr>
        <w:t xml:space="preserve">d. </w:t>
      </w:r>
      <w:r>
        <w:rPr>
          <w:rFonts w:hAnsiTheme="minorEastAsia" w:eastAsiaTheme="minorEastAsia"/>
          <w:sz w:val="24"/>
        </w:rPr>
        <w:t>建设行为对地表的扰动；</w:t>
      </w:r>
    </w:p>
    <w:p>
      <w:pPr>
        <w:spacing w:line="360" w:lineRule="auto"/>
        <w:ind w:firstLine="480" w:firstLineChars="200"/>
        <w:rPr>
          <w:rFonts w:eastAsiaTheme="minorEastAsia"/>
          <w:sz w:val="24"/>
        </w:rPr>
      </w:pPr>
      <w:r>
        <w:rPr>
          <w:rFonts w:eastAsiaTheme="minorEastAsia"/>
          <w:sz w:val="24"/>
        </w:rPr>
        <w:t xml:space="preserve">e. </w:t>
      </w:r>
      <w:r>
        <w:rPr>
          <w:rFonts w:hAnsiTheme="minorEastAsia" w:eastAsiaTheme="minorEastAsia"/>
          <w:sz w:val="24"/>
        </w:rPr>
        <w:t>污染物排放所产生的生态影响效应。</w:t>
      </w:r>
    </w:p>
    <w:p>
      <w:pPr>
        <w:spacing w:line="360" w:lineRule="auto"/>
        <w:ind w:firstLine="480" w:firstLineChars="200"/>
        <w:rPr>
          <w:rFonts w:eastAsiaTheme="minorEastAsia"/>
          <w:sz w:val="24"/>
        </w:rPr>
      </w:pPr>
      <w:r>
        <w:rPr>
          <w:rFonts w:hAnsiTheme="minorEastAsia" w:eastAsiaTheme="minorEastAsia"/>
          <w:sz w:val="24"/>
        </w:rPr>
        <w:t>煤矿的建设应尽量避免对生态环境的影响，防治地表塌陷对生态环境的影响最有效的办法是留设保安煤柱，另外还有其它一些辅助措施，针对井田内的工业场地、村庄、井田边界及相邻煤矿等保护目标留设保安煤柱，发现问题及时解决；对农田视破坏程度，据有关法规进行土地复垦。</w:t>
      </w:r>
    </w:p>
    <w:p>
      <w:pPr>
        <w:spacing w:line="360" w:lineRule="auto"/>
        <w:rPr>
          <w:rFonts w:eastAsiaTheme="minorEastAsia"/>
          <w:b/>
          <w:sz w:val="24"/>
        </w:rPr>
      </w:pPr>
      <w:r>
        <w:rPr>
          <w:rFonts w:eastAsiaTheme="minorEastAsia"/>
          <w:b/>
          <w:sz w:val="24"/>
        </w:rPr>
        <w:t>3.4.2.4</w:t>
      </w:r>
      <w:r>
        <w:rPr>
          <w:rFonts w:hAnsiTheme="minorEastAsia" w:eastAsiaTheme="minorEastAsia"/>
          <w:b/>
          <w:sz w:val="24"/>
        </w:rPr>
        <w:t>服务期满后污染排放情况分析</w:t>
      </w:r>
    </w:p>
    <w:p>
      <w:pPr>
        <w:spacing w:line="360" w:lineRule="auto"/>
        <w:ind w:firstLine="480" w:firstLineChars="200"/>
        <w:rPr>
          <w:rFonts w:eastAsiaTheme="minorEastAsia"/>
          <w:sz w:val="24"/>
        </w:rPr>
      </w:pPr>
      <w:r>
        <w:rPr>
          <w:rFonts w:hAnsiTheme="minorEastAsia" w:eastAsiaTheme="minorEastAsia"/>
          <w:sz w:val="24"/>
        </w:rPr>
        <w:t>矿井服务期满后，主要是生产设施的拆除、地表生态恢复、矿井的后续处理等工作，环境空气、水体、噪声、固体废物等生产、生活性污染影响将停止，不再对环境产生影响，井下采动影响逐渐消失。相对来讲，其主要影响为有利影响。</w:t>
      </w:r>
    </w:p>
    <w:p>
      <w:pPr>
        <w:pStyle w:val="3"/>
        <w:tabs>
          <w:tab w:val="left" w:pos="2340"/>
          <w:tab w:val="left" w:pos="3240"/>
        </w:tabs>
        <w:spacing w:before="0" w:after="0" w:line="360" w:lineRule="auto"/>
        <w:jc w:val="left"/>
        <w:rPr>
          <w:rFonts w:ascii="Times New Roman" w:hAnsiTheme="minorEastAsia" w:eastAsiaTheme="minorEastAsia"/>
          <w:kern w:val="44"/>
          <w:sz w:val="30"/>
          <w:szCs w:val="30"/>
        </w:rPr>
      </w:pPr>
      <w:bookmarkStart w:id="169" w:name="_Toc71551934"/>
      <w:r>
        <w:rPr>
          <w:rFonts w:ascii="Times New Roman" w:hAnsi="Times New Roman" w:eastAsiaTheme="minorEastAsia"/>
          <w:kern w:val="44"/>
          <w:sz w:val="30"/>
          <w:szCs w:val="30"/>
        </w:rPr>
        <w:t>3.</w:t>
      </w:r>
      <w:r>
        <w:rPr>
          <w:rFonts w:hint="eastAsia" w:ascii="Times New Roman" w:hAnsi="Times New Roman" w:eastAsiaTheme="minorEastAsia"/>
          <w:kern w:val="44"/>
          <w:sz w:val="30"/>
          <w:szCs w:val="30"/>
        </w:rPr>
        <w:t>5</w:t>
      </w:r>
      <w:r>
        <w:rPr>
          <w:rFonts w:hint="eastAsia" w:ascii="Times New Roman" w:hAnsiTheme="minorEastAsia" w:eastAsiaTheme="minorEastAsia"/>
          <w:kern w:val="44"/>
          <w:sz w:val="30"/>
          <w:szCs w:val="30"/>
        </w:rPr>
        <w:t>建设项目污染物控制指标</w:t>
      </w:r>
      <w:bookmarkEnd w:id="169"/>
    </w:p>
    <w:p>
      <w:pPr>
        <w:spacing w:line="360" w:lineRule="auto"/>
        <w:ind w:firstLine="480" w:firstLineChars="200"/>
        <w:rPr>
          <w:sz w:val="24"/>
        </w:rPr>
      </w:pPr>
      <w:r>
        <w:rPr>
          <w:rFonts w:hint="eastAsia"/>
          <w:sz w:val="24"/>
        </w:rPr>
        <w:t>本矿开采方式为地下开采方式，井筒保温、生产厂房冬季采暖采用燃气锅炉取暖，运营期大气污染源主要为：堆场粉尘、道路运输扬尘、筛分粉尘以及燃气锅炉产生的二氧化硫、氮氧化物、烟尘。</w:t>
      </w:r>
    </w:p>
    <w:p>
      <w:pPr>
        <w:spacing w:line="360" w:lineRule="auto"/>
        <w:ind w:firstLine="480" w:firstLineChars="200"/>
        <w:rPr>
          <w:rFonts w:eastAsiaTheme="minorEastAsia"/>
          <w:sz w:val="24"/>
        </w:rPr>
      </w:pPr>
      <w:r>
        <w:rPr>
          <w:rFonts w:hint="eastAsia"/>
          <w:sz w:val="24"/>
        </w:rPr>
        <w:t>由于</w:t>
      </w:r>
      <w:r>
        <w:rPr>
          <w:rFonts w:hint="eastAsia" w:eastAsiaTheme="minorEastAsia"/>
          <w:sz w:val="24"/>
        </w:rPr>
        <w:t>原煤破碎、筛分依托现已收购的龙宇洗煤厂，</w:t>
      </w:r>
      <w:r>
        <w:rPr>
          <w:rFonts w:hint="eastAsia" w:hAnsiTheme="minorEastAsia" w:eastAsiaTheme="minorEastAsia"/>
          <w:sz w:val="24"/>
        </w:rPr>
        <w:t>2009年9月28日该</w:t>
      </w:r>
      <w:r>
        <w:rPr>
          <w:rFonts w:hAnsiTheme="minorEastAsia" w:eastAsiaTheme="minorEastAsia"/>
          <w:sz w:val="24"/>
        </w:rPr>
        <w:t>洗煤厂经吕梁市环境保护局吕环行审</w:t>
      </w:r>
      <w:r>
        <w:rPr>
          <w:rFonts w:eastAsiaTheme="minorEastAsia"/>
          <w:sz w:val="24"/>
        </w:rPr>
        <w:t>[2009]123</w:t>
      </w:r>
      <w:r>
        <w:rPr>
          <w:rFonts w:hAnsiTheme="minorEastAsia" w:eastAsiaTheme="minorEastAsia"/>
          <w:sz w:val="24"/>
        </w:rPr>
        <w:t>号文批复</w:t>
      </w:r>
      <w:r>
        <w:rPr>
          <w:rFonts w:hint="eastAsia" w:hAnsiTheme="minorEastAsia" w:eastAsiaTheme="minorEastAsia"/>
          <w:sz w:val="24"/>
        </w:rPr>
        <w:t>；</w:t>
      </w:r>
      <w:r>
        <w:rPr>
          <w:rFonts w:hint="eastAsia" w:eastAsiaTheme="minorEastAsia"/>
          <w:sz w:val="24"/>
        </w:rPr>
        <w:t>临县环境保护局于2019年6月13日以临环行备[2019]15号对该洗煤厂进行了环保验收，本报告不再进行环境影响评价。故本报告总量指标只考虑</w:t>
      </w:r>
      <w:r>
        <w:rPr>
          <w:rFonts w:hint="eastAsia"/>
          <w:sz w:val="24"/>
        </w:rPr>
        <w:t>燃气锅炉产生的二氧化硫、氮氧化物、烟尘。</w:t>
      </w:r>
    </w:p>
    <w:p>
      <w:pPr>
        <w:pStyle w:val="149"/>
        <w:spacing w:line="360" w:lineRule="auto"/>
        <w:ind w:firstLine="480"/>
        <w:rPr>
          <w:sz w:val="24"/>
        </w:rPr>
      </w:pPr>
      <w:r>
        <w:rPr>
          <w:rFonts w:hint="eastAsia"/>
          <w:sz w:val="24"/>
        </w:rPr>
        <w:t>根据山西省环保厅</w:t>
      </w:r>
      <w:r>
        <w:rPr>
          <w:sz w:val="24"/>
        </w:rPr>
        <w:t>“</w:t>
      </w:r>
      <w:r>
        <w:rPr>
          <w:rFonts w:hint="eastAsia"/>
          <w:sz w:val="24"/>
        </w:rPr>
        <w:t>关于印发《山西省环境保护厅建设项目主要污染物排放总量核定办法》的通知</w:t>
      </w:r>
      <w:r>
        <w:rPr>
          <w:sz w:val="24"/>
        </w:rPr>
        <w:t>”</w:t>
      </w:r>
      <w:r>
        <w:rPr>
          <w:rFonts w:hint="eastAsia"/>
          <w:sz w:val="24"/>
        </w:rPr>
        <w:t>（晋环发</w:t>
      </w:r>
      <w:r>
        <w:rPr>
          <w:sz w:val="24"/>
        </w:rPr>
        <w:t>[2015]25</w:t>
      </w:r>
      <w:r>
        <w:rPr>
          <w:rFonts w:hint="eastAsia"/>
          <w:sz w:val="24"/>
        </w:rPr>
        <w:t>号），其中第三条</w:t>
      </w:r>
      <w:r>
        <w:rPr>
          <w:sz w:val="24"/>
        </w:rPr>
        <w:t>“</w:t>
      </w:r>
      <w:r>
        <w:rPr>
          <w:rFonts w:hint="eastAsia"/>
          <w:sz w:val="24"/>
        </w:rPr>
        <w:t>属于环境统计重点工业源调查行业范围内（《国民经济行业分类》（</w:t>
      </w:r>
      <w:r>
        <w:rPr>
          <w:sz w:val="24"/>
        </w:rPr>
        <w:t>GB/T4754</w:t>
      </w:r>
      <w:r>
        <w:rPr>
          <w:rFonts w:hint="eastAsia"/>
          <w:sz w:val="24"/>
        </w:rPr>
        <w:t>）中采矿业、制造业，电力、燃气及水的生产和供应业，</w:t>
      </w:r>
      <w:r>
        <w:rPr>
          <w:sz w:val="24"/>
        </w:rPr>
        <w:t>3</w:t>
      </w:r>
      <w:r>
        <w:rPr>
          <w:rFonts w:hint="eastAsia"/>
          <w:sz w:val="24"/>
        </w:rPr>
        <w:t>个门类</w:t>
      </w:r>
      <w:r>
        <w:rPr>
          <w:sz w:val="24"/>
        </w:rPr>
        <w:t>39</w:t>
      </w:r>
      <w:r>
        <w:rPr>
          <w:rFonts w:hint="eastAsia"/>
          <w:sz w:val="24"/>
        </w:rPr>
        <w:t>个行业）新增主要污染物排放总量的建设项目，在环境影响评价文件审批前，建设单位需按本办法规定取得主要污染物排放总量指标。山西省实施总量控制的主要污染物包括：</w:t>
      </w:r>
      <w:r>
        <w:rPr>
          <w:sz w:val="24"/>
        </w:rPr>
        <w:t>COD</w:t>
      </w:r>
      <w:r>
        <w:rPr>
          <w:rFonts w:hint="eastAsia"/>
          <w:sz w:val="24"/>
        </w:rPr>
        <w:t>、氨氮、二氧化硫、氮氧化物、烟尘及工业粉尘。</w:t>
      </w:r>
    </w:p>
    <w:p>
      <w:pPr>
        <w:pStyle w:val="149"/>
        <w:spacing w:line="360" w:lineRule="auto"/>
        <w:ind w:firstLine="480"/>
        <w:rPr>
          <w:sz w:val="24"/>
        </w:rPr>
      </w:pPr>
      <w:r>
        <w:rPr>
          <w:rFonts w:hint="eastAsia"/>
          <w:sz w:val="24"/>
        </w:rPr>
        <w:t>本项目需要申请的总量为烟尘</w:t>
      </w:r>
      <w:r>
        <w:rPr>
          <w:sz w:val="24"/>
        </w:rPr>
        <w:t>0.</w:t>
      </w:r>
      <w:r>
        <w:rPr>
          <w:rFonts w:hint="eastAsia"/>
          <w:sz w:val="24"/>
        </w:rPr>
        <w:t>205</w:t>
      </w:r>
      <w:r>
        <w:rPr>
          <w:sz w:val="24"/>
        </w:rPr>
        <w:t>t/a</w:t>
      </w:r>
      <w:r>
        <w:rPr>
          <w:rFonts w:hint="eastAsia"/>
          <w:sz w:val="24"/>
        </w:rPr>
        <w:t>、SO</w:t>
      </w:r>
      <w:r>
        <w:rPr>
          <w:rFonts w:hint="eastAsia"/>
          <w:sz w:val="24"/>
          <w:vertAlign w:val="subscript"/>
        </w:rPr>
        <w:t xml:space="preserve">2 </w:t>
      </w:r>
      <w:r>
        <w:rPr>
          <w:rFonts w:hint="eastAsia"/>
          <w:sz w:val="24"/>
        </w:rPr>
        <w:t>1.43</w:t>
      </w:r>
      <w:r>
        <w:rPr>
          <w:sz w:val="24"/>
        </w:rPr>
        <w:t>t/a</w:t>
      </w:r>
      <w:r>
        <w:rPr>
          <w:rFonts w:hint="eastAsia"/>
          <w:sz w:val="24"/>
        </w:rPr>
        <w:t>、</w:t>
      </w:r>
      <w:r>
        <w:rPr>
          <w:sz w:val="24"/>
        </w:rPr>
        <w:t>NOx</w:t>
      </w:r>
      <w:r>
        <w:rPr>
          <w:rFonts w:hint="eastAsia"/>
          <w:sz w:val="24"/>
        </w:rPr>
        <w:t>2.05</w:t>
      </w:r>
      <w:r>
        <w:rPr>
          <w:sz w:val="24"/>
        </w:rPr>
        <w:t>t/a</w:t>
      </w:r>
      <w:r>
        <w:rPr>
          <w:rFonts w:hint="eastAsia"/>
          <w:sz w:val="24"/>
        </w:rPr>
        <w:t>。</w:t>
      </w:r>
    </w:p>
    <w:p>
      <w:pPr>
        <w:pStyle w:val="149"/>
        <w:spacing w:line="360" w:lineRule="auto"/>
        <w:ind w:firstLine="496"/>
        <w:rPr>
          <w:spacing w:val="4"/>
          <w:sz w:val="24"/>
        </w:rPr>
      </w:pPr>
      <w:r>
        <w:rPr>
          <w:rFonts w:hint="eastAsia"/>
          <w:spacing w:val="4"/>
          <w:sz w:val="24"/>
        </w:rPr>
        <w:t>根据原吕梁市环境保护局吕环函【</w:t>
      </w:r>
      <w:r>
        <w:rPr>
          <w:spacing w:val="4"/>
          <w:sz w:val="24"/>
        </w:rPr>
        <w:t>201</w:t>
      </w:r>
      <w:r>
        <w:rPr>
          <w:rFonts w:hint="eastAsia"/>
          <w:spacing w:val="4"/>
          <w:sz w:val="24"/>
        </w:rPr>
        <w:t>2】121号文</w:t>
      </w:r>
      <w:r>
        <w:rPr>
          <w:spacing w:val="4"/>
          <w:sz w:val="24"/>
        </w:rPr>
        <w:t>“</w:t>
      </w:r>
      <w:r>
        <w:rPr>
          <w:rFonts w:hint="eastAsia"/>
          <w:spacing w:val="4"/>
          <w:sz w:val="24"/>
        </w:rPr>
        <w:t>关于</w:t>
      </w:r>
      <w:r>
        <w:rPr>
          <w:rFonts w:hint="eastAsia" w:eastAsiaTheme="minorEastAsia"/>
          <w:bCs/>
          <w:spacing w:val="4"/>
          <w:sz w:val="24"/>
        </w:rPr>
        <w:t>山西煤炭运销集团新工煤业有限公司12</w:t>
      </w:r>
      <w:r>
        <w:rPr>
          <w:rFonts w:eastAsiaTheme="minorEastAsia"/>
          <w:bCs/>
          <w:spacing w:val="4"/>
          <w:sz w:val="24"/>
        </w:rPr>
        <w:t>0</w:t>
      </w:r>
      <w:r>
        <w:rPr>
          <w:rFonts w:hint="eastAsia" w:eastAsiaTheme="minorEastAsia"/>
          <w:bCs/>
          <w:spacing w:val="4"/>
          <w:sz w:val="24"/>
        </w:rPr>
        <w:t>万</w:t>
      </w:r>
      <w:r>
        <w:rPr>
          <w:rFonts w:eastAsiaTheme="minorEastAsia"/>
          <w:bCs/>
          <w:spacing w:val="4"/>
          <w:sz w:val="24"/>
        </w:rPr>
        <w:t>t/a</w:t>
      </w:r>
      <w:r>
        <w:rPr>
          <w:rFonts w:hint="eastAsia" w:eastAsiaTheme="minorEastAsia"/>
          <w:bCs/>
          <w:spacing w:val="4"/>
          <w:sz w:val="24"/>
        </w:rPr>
        <w:t>矿井兼并重组整合项目主要污染物排放总量指标的批复</w:t>
      </w:r>
      <w:r>
        <w:rPr>
          <w:spacing w:val="4"/>
          <w:sz w:val="24"/>
        </w:rPr>
        <w:t>”</w:t>
      </w:r>
      <w:r>
        <w:rPr>
          <w:rFonts w:hint="eastAsia"/>
          <w:spacing w:val="4"/>
          <w:sz w:val="24"/>
        </w:rPr>
        <w:t>，核定总量为SO</w:t>
      </w:r>
      <w:r>
        <w:rPr>
          <w:rFonts w:hint="eastAsia"/>
          <w:spacing w:val="4"/>
          <w:sz w:val="24"/>
          <w:vertAlign w:val="subscript"/>
        </w:rPr>
        <w:t>2</w:t>
      </w:r>
      <w:r>
        <w:rPr>
          <w:rFonts w:hint="eastAsia"/>
          <w:spacing w:val="4"/>
          <w:sz w:val="24"/>
        </w:rPr>
        <w:t>19.61</w:t>
      </w:r>
      <w:r>
        <w:rPr>
          <w:spacing w:val="4"/>
          <w:sz w:val="24"/>
        </w:rPr>
        <w:t>t/a</w:t>
      </w:r>
      <w:r>
        <w:rPr>
          <w:rFonts w:hint="eastAsia"/>
          <w:spacing w:val="4"/>
          <w:sz w:val="24"/>
        </w:rPr>
        <w:t>、</w:t>
      </w:r>
      <w:r>
        <w:rPr>
          <w:spacing w:val="4"/>
          <w:sz w:val="24"/>
        </w:rPr>
        <w:t>NOx</w:t>
      </w:r>
      <w:r>
        <w:rPr>
          <w:rFonts w:hint="eastAsia"/>
          <w:spacing w:val="4"/>
          <w:sz w:val="24"/>
        </w:rPr>
        <w:t xml:space="preserve"> 25.04</w:t>
      </w:r>
      <w:r>
        <w:rPr>
          <w:spacing w:val="4"/>
          <w:sz w:val="24"/>
        </w:rPr>
        <w:t>t/a</w:t>
      </w:r>
      <w:r>
        <w:rPr>
          <w:rFonts w:hint="eastAsia"/>
          <w:spacing w:val="4"/>
          <w:sz w:val="24"/>
        </w:rPr>
        <w:t>，烟尘9.39</w:t>
      </w:r>
      <w:r>
        <w:rPr>
          <w:spacing w:val="4"/>
          <w:sz w:val="24"/>
        </w:rPr>
        <w:t>t/a</w:t>
      </w:r>
      <w:r>
        <w:rPr>
          <w:rFonts w:hint="eastAsia"/>
          <w:spacing w:val="4"/>
          <w:sz w:val="24"/>
        </w:rPr>
        <w:t>、粉尘3.38</w:t>
      </w:r>
      <w:r>
        <w:rPr>
          <w:spacing w:val="4"/>
          <w:sz w:val="24"/>
        </w:rPr>
        <w:t>t/a</w:t>
      </w:r>
      <w:r>
        <w:rPr>
          <w:rFonts w:hint="eastAsia"/>
          <w:spacing w:val="4"/>
          <w:sz w:val="24"/>
        </w:rPr>
        <w:t>，烟尘、二氧化硫、氮氧化物均可满足本次变更环评总量控制指标要求。</w:t>
      </w:r>
    </w:p>
    <w:p>
      <w:pPr>
        <w:pStyle w:val="149"/>
        <w:spacing w:line="360" w:lineRule="auto"/>
        <w:ind w:firstLine="496"/>
        <w:rPr>
          <w:spacing w:val="4"/>
          <w:sz w:val="24"/>
        </w:rPr>
      </w:pPr>
      <w:r>
        <w:rPr>
          <w:rFonts w:hint="eastAsia"/>
          <w:spacing w:val="4"/>
          <w:sz w:val="24"/>
        </w:rPr>
        <w:t>由此，本变更项目无需另需申请总量</w:t>
      </w:r>
      <w:r>
        <w:rPr>
          <w:rFonts w:hint="eastAsia"/>
          <w:sz w:val="24"/>
        </w:rPr>
        <w:t>。</w:t>
      </w:r>
    </w:p>
    <w:p/>
    <w:p>
      <w:pPr>
        <w:spacing w:line="360" w:lineRule="auto"/>
        <w:ind w:firstLine="422" w:firstLineChars="200"/>
        <w:jc w:val="center"/>
        <w:rPr>
          <w:rFonts w:eastAsiaTheme="minorEastAsia"/>
          <w:b/>
          <w:bCs/>
          <w:szCs w:val="21"/>
        </w:rPr>
        <w:sectPr>
          <w:headerReference r:id="rId18" w:type="default"/>
          <w:footerReference r:id="rId19" w:type="default"/>
          <w:pgSz w:w="11906" w:h="16838"/>
          <w:pgMar w:top="1701" w:right="1418" w:bottom="1701" w:left="1418" w:header="992" w:footer="992" w:gutter="0"/>
          <w:cols w:space="425" w:num="1"/>
          <w:docGrid w:linePitch="312" w:charSpace="0"/>
        </w:sectPr>
      </w:pPr>
    </w:p>
    <w:p>
      <w:pPr>
        <w:pStyle w:val="2"/>
        <w:spacing w:before="0" w:after="0" w:line="360" w:lineRule="auto"/>
        <w:jc w:val="center"/>
        <w:rPr>
          <w:rFonts w:eastAsiaTheme="minorEastAsia"/>
        </w:rPr>
      </w:pPr>
      <w:bookmarkStart w:id="170" w:name="_Toc260226972"/>
      <w:bookmarkStart w:id="171" w:name="_Toc259717547"/>
      <w:bookmarkStart w:id="172" w:name="_Toc285254428"/>
      <w:bookmarkStart w:id="173" w:name="_Toc281976428"/>
      <w:bookmarkStart w:id="174" w:name="_Toc285981768"/>
      <w:bookmarkStart w:id="175" w:name="_Toc287816206"/>
      <w:bookmarkStart w:id="176" w:name="_Toc351651142"/>
      <w:bookmarkStart w:id="177" w:name="_Toc71551935"/>
      <w:bookmarkStart w:id="178" w:name="_Toc480708221"/>
      <w:bookmarkStart w:id="179" w:name="_Toc425509106"/>
      <w:bookmarkStart w:id="180" w:name="_Toc232567090"/>
      <w:bookmarkStart w:id="181" w:name="_Toc204444379"/>
      <w:bookmarkStart w:id="182" w:name="_Toc36215135"/>
      <w:bookmarkStart w:id="183" w:name="_Toc390936774"/>
      <w:bookmarkStart w:id="184" w:name="_Toc326745325"/>
      <w:bookmarkStart w:id="185" w:name="_Toc432498080"/>
      <w:bookmarkStart w:id="186" w:name="_Toc39829614"/>
      <w:bookmarkStart w:id="187" w:name="_Toc341081404"/>
      <w:bookmarkStart w:id="188" w:name="_Toc460065244"/>
      <w:bookmarkStart w:id="189" w:name="_Toc411521773"/>
      <w:bookmarkStart w:id="190" w:name="_Toc435105334"/>
      <w:r>
        <w:rPr>
          <w:rFonts w:eastAsiaTheme="minorEastAsia"/>
        </w:rPr>
        <w:t>4</w:t>
      </w:r>
      <w:bookmarkEnd w:id="170"/>
      <w:bookmarkEnd w:id="171"/>
      <w:bookmarkEnd w:id="172"/>
      <w:bookmarkEnd w:id="173"/>
      <w:bookmarkEnd w:id="174"/>
      <w:bookmarkEnd w:id="175"/>
      <w:bookmarkEnd w:id="176"/>
      <w:r>
        <w:rPr>
          <w:rFonts w:hAnsiTheme="minorEastAsia" w:eastAsiaTheme="minorEastAsia"/>
        </w:rPr>
        <w:t>、环境现状调查与评价</w:t>
      </w:r>
      <w:bookmarkEnd w:id="177"/>
      <w:bookmarkEnd w:id="178"/>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191" w:name="_Toc71551936"/>
      <w:r>
        <w:rPr>
          <w:rFonts w:ascii="Times New Roman" w:hAnsi="Times New Roman" w:eastAsiaTheme="minorEastAsia"/>
          <w:kern w:val="44"/>
          <w:sz w:val="30"/>
          <w:szCs w:val="30"/>
        </w:rPr>
        <w:t>4.1</w:t>
      </w:r>
      <w:r>
        <w:rPr>
          <w:rFonts w:ascii="Times New Roman" w:hAnsiTheme="minorEastAsia" w:eastAsiaTheme="minorEastAsia"/>
          <w:kern w:val="44"/>
          <w:sz w:val="30"/>
          <w:szCs w:val="30"/>
        </w:rPr>
        <w:t>地理位置</w:t>
      </w:r>
      <w:bookmarkEnd w:id="179"/>
      <w:bookmarkEnd w:id="180"/>
      <w:bookmarkEnd w:id="181"/>
      <w:bookmarkEnd w:id="182"/>
      <w:bookmarkEnd w:id="183"/>
      <w:bookmarkEnd w:id="184"/>
      <w:bookmarkEnd w:id="185"/>
      <w:bookmarkEnd w:id="186"/>
      <w:bookmarkEnd w:id="187"/>
      <w:bookmarkEnd w:id="188"/>
      <w:bookmarkEnd w:id="189"/>
      <w:bookmarkEnd w:id="190"/>
      <w:bookmarkEnd w:id="191"/>
    </w:p>
    <w:p>
      <w:pPr>
        <w:spacing w:line="360" w:lineRule="auto"/>
        <w:ind w:firstLine="480" w:firstLineChars="200"/>
        <w:rPr>
          <w:rFonts w:eastAsiaTheme="minorEastAsia"/>
          <w:sz w:val="24"/>
        </w:rPr>
      </w:pPr>
      <w:bookmarkStart w:id="192" w:name="_Toc39829615"/>
      <w:bookmarkStart w:id="193" w:name="_Toc204444380"/>
      <w:bookmarkStart w:id="194" w:name="_Toc36215136"/>
      <w:bookmarkStart w:id="195" w:name="_Toc326745326"/>
      <w:bookmarkStart w:id="196" w:name="_Toc232567091"/>
      <w:r>
        <w:rPr>
          <w:rFonts w:hAnsiTheme="minorEastAsia" w:eastAsiaTheme="minorEastAsia"/>
          <w:sz w:val="24"/>
        </w:rPr>
        <w:t>临县位于吕梁市，吕梁山大背斜中轴部，地跨东经</w:t>
      </w:r>
      <w:r>
        <w:rPr>
          <w:rFonts w:eastAsiaTheme="minorEastAsia"/>
          <w:sz w:val="24"/>
        </w:rPr>
        <w:t>110°55′—111°15′</w:t>
      </w:r>
      <w:r>
        <w:rPr>
          <w:rFonts w:hAnsiTheme="minorEastAsia" w:eastAsiaTheme="minorEastAsia"/>
          <w:sz w:val="24"/>
        </w:rPr>
        <w:t>，北纬</w:t>
      </w:r>
      <w:r>
        <w:rPr>
          <w:rFonts w:eastAsiaTheme="minorEastAsia"/>
          <w:sz w:val="24"/>
        </w:rPr>
        <w:t>36°30′—36°55′</w:t>
      </w:r>
      <w:r>
        <w:rPr>
          <w:rFonts w:hAnsiTheme="minorEastAsia" w:eastAsiaTheme="minorEastAsia"/>
          <w:sz w:val="24"/>
        </w:rPr>
        <w:t>。东临汾西，西连永和，南与蒲县、大宁接壤，北与石楼、交口毗邻，东西宽</w:t>
      </w:r>
      <w:r>
        <w:rPr>
          <w:rFonts w:eastAsiaTheme="minorEastAsia"/>
          <w:sz w:val="24"/>
        </w:rPr>
        <w:t>45</w:t>
      </w:r>
      <w:r>
        <w:rPr>
          <w:rFonts w:hAnsiTheme="minorEastAsia" w:eastAsiaTheme="minorEastAsia"/>
          <w:sz w:val="24"/>
        </w:rPr>
        <w:t>公里，南北长</w:t>
      </w:r>
      <w:r>
        <w:rPr>
          <w:rFonts w:eastAsiaTheme="minorEastAsia"/>
          <w:sz w:val="24"/>
        </w:rPr>
        <w:t>52</w:t>
      </w:r>
      <w:r>
        <w:rPr>
          <w:rFonts w:hAnsiTheme="minorEastAsia" w:eastAsiaTheme="minorEastAsia"/>
          <w:sz w:val="24"/>
        </w:rPr>
        <w:t>公里，总面积</w:t>
      </w:r>
      <w:r>
        <w:rPr>
          <w:rFonts w:eastAsiaTheme="minorEastAsia"/>
          <w:sz w:val="24"/>
        </w:rPr>
        <w:t>1415.3</w:t>
      </w:r>
      <w:r>
        <w:rPr>
          <w:rFonts w:hAnsiTheme="minorEastAsia" w:eastAsiaTheme="minorEastAsia"/>
          <w:sz w:val="24"/>
        </w:rPr>
        <w:t>平方公里。</w:t>
      </w:r>
    </w:p>
    <w:p>
      <w:pPr>
        <w:spacing w:line="360" w:lineRule="auto"/>
        <w:ind w:firstLine="480" w:firstLineChars="200"/>
        <w:rPr>
          <w:rFonts w:eastAsiaTheme="minorEastAsia"/>
          <w:sz w:val="24"/>
        </w:rPr>
      </w:pPr>
      <w:r>
        <w:rPr>
          <w:rFonts w:hAnsiTheme="minorEastAsia" w:eastAsiaTheme="minorEastAsia"/>
          <w:sz w:val="24"/>
        </w:rPr>
        <w:t>山西煤炭运销集团新工煤业有限公司井田位于山西省临县西南约</w:t>
      </w:r>
      <w:r>
        <w:rPr>
          <w:rFonts w:eastAsiaTheme="minorEastAsia"/>
          <w:sz w:val="24"/>
        </w:rPr>
        <w:t>36km</w:t>
      </w:r>
      <w:r>
        <w:rPr>
          <w:rFonts w:hAnsiTheme="minorEastAsia" w:eastAsiaTheme="minorEastAsia"/>
          <w:sz w:val="24"/>
        </w:rPr>
        <w:t>处招贤镇的高家庄村、大长村、工农庄村和林家坪镇的后庄村一带，行政区划隶属临县招贤镇管辖。地理介于东经</w:t>
      </w:r>
      <w:r>
        <w:rPr>
          <w:rFonts w:eastAsiaTheme="minorEastAsia"/>
          <w:sz w:val="24"/>
        </w:rPr>
        <w:t>110°54′32″</w:t>
      </w:r>
      <w:r>
        <w:rPr>
          <w:rFonts w:hAnsiTheme="minorEastAsia" w:eastAsiaTheme="minorEastAsia"/>
          <w:sz w:val="24"/>
        </w:rPr>
        <w:t>～</w:t>
      </w:r>
      <w:r>
        <w:rPr>
          <w:rFonts w:eastAsiaTheme="minorEastAsia"/>
          <w:sz w:val="24"/>
        </w:rPr>
        <w:t>110°56′33″</w:t>
      </w:r>
      <w:r>
        <w:rPr>
          <w:rFonts w:hAnsiTheme="minorEastAsia" w:eastAsiaTheme="minorEastAsia"/>
          <w:sz w:val="24"/>
        </w:rPr>
        <w:t>和北纬</w:t>
      </w:r>
      <w:r>
        <w:rPr>
          <w:rFonts w:eastAsiaTheme="minorEastAsia"/>
          <w:sz w:val="24"/>
        </w:rPr>
        <w:t>37°38′49″</w:t>
      </w:r>
      <w:r>
        <w:rPr>
          <w:rFonts w:hAnsiTheme="minorEastAsia" w:eastAsiaTheme="minorEastAsia"/>
          <w:sz w:val="24"/>
        </w:rPr>
        <w:t>～</w:t>
      </w:r>
      <w:r>
        <w:rPr>
          <w:rFonts w:eastAsiaTheme="minorEastAsia"/>
          <w:sz w:val="24"/>
        </w:rPr>
        <w:t>37°40′35″</w:t>
      </w:r>
      <w:r>
        <w:rPr>
          <w:rFonts w:hAnsiTheme="minorEastAsia" w:eastAsiaTheme="minorEastAsia"/>
          <w:sz w:val="24"/>
        </w:rPr>
        <w:t>之间。</w:t>
      </w:r>
    </w:p>
    <w:p>
      <w:pPr>
        <w:spacing w:line="360" w:lineRule="auto"/>
        <w:ind w:firstLine="480" w:firstLineChars="200"/>
        <w:rPr>
          <w:rFonts w:eastAsiaTheme="minorEastAsia"/>
          <w:sz w:val="24"/>
        </w:rPr>
      </w:pPr>
      <w:r>
        <w:rPr>
          <w:rFonts w:hAnsiTheme="minorEastAsia" w:eastAsiaTheme="minorEastAsia"/>
          <w:sz w:val="24"/>
        </w:rPr>
        <w:t>井田北部外围有离（石）～林（家坪）公路通过，其间有简易公路相接。由交接处向西北至林家坪镇与临（县）～碛（口）公路相交。于三交镇与临（县）～太（原）公路相通；由交接处向东南</w:t>
      </w:r>
      <w:r>
        <w:rPr>
          <w:rFonts w:eastAsiaTheme="minorEastAsia"/>
          <w:sz w:val="24"/>
        </w:rPr>
        <w:t>30km</w:t>
      </w:r>
      <w:r>
        <w:rPr>
          <w:rFonts w:hAnsiTheme="minorEastAsia" w:eastAsiaTheme="minorEastAsia"/>
          <w:sz w:val="24"/>
        </w:rPr>
        <w:t>左右即达离石市，</w:t>
      </w:r>
      <w:r>
        <w:rPr>
          <w:rFonts w:eastAsiaTheme="minorEastAsia"/>
          <w:sz w:val="24"/>
        </w:rPr>
        <w:t>32km</w:t>
      </w:r>
      <w:r>
        <w:rPr>
          <w:rFonts w:hAnsiTheme="minorEastAsia" w:eastAsiaTheme="minorEastAsia"/>
          <w:sz w:val="24"/>
        </w:rPr>
        <w:t>左右即达孝柳铁路交口站，交通较为便利。</w:t>
      </w:r>
    </w:p>
    <w:p>
      <w:pPr>
        <w:spacing w:line="360" w:lineRule="auto"/>
        <w:ind w:firstLine="480" w:firstLineChars="200"/>
        <w:rPr>
          <w:rFonts w:eastAsiaTheme="minorEastAsia"/>
          <w:kern w:val="0"/>
          <w:sz w:val="24"/>
        </w:rPr>
      </w:pPr>
      <w:r>
        <w:rPr>
          <w:rFonts w:hAnsiTheme="minorEastAsia" w:eastAsiaTheme="minorEastAsia"/>
          <w:kern w:val="0"/>
          <w:sz w:val="24"/>
        </w:rPr>
        <w:t>矿区地理位置及交通图见图</w:t>
      </w:r>
      <w:r>
        <w:rPr>
          <w:rFonts w:eastAsiaTheme="minorEastAsia"/>
          <w:kern w:val="0"/>
          <w:sz w:val="24"/>
        </w:rPr>
        <w:t>4.1-1</w:t>
      </w:r>
      <w:r>
        <w:rPr>
          <w:rFonts w:hAnsiTheme="minorEastAsia" w:eastAsiaTheme="minorEastAsia"/>
          <w:kern w:val="0"/>
          <w:sz w:val="24"/>
        </w:rPr>
        <w:t>。</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197" w:name="_Toc390936775"/>
      <w:bookmarkStart w:id="198" w:name="_Toc425509107"/>
      <w:bookmarkStart w:id="199" w:name="_Toc341081405"/>
      <w:bookmarkStart w:id="200" w:name="_Toc71551937"/>
      <w:bookmarkStart w:id="201" w:name="_Toc435105335"/>
      <w:bookmarkStart w:id="202" w:name="_Toc411521774"/>
      <w:bookmarkStart w:id="203" w:name="_Toc460065245"/>
      <w:bookmarkStart w:id="204" w:name="_Toc432498081"/>
      <w:r>
        <w:rPr>
          <w:rFonts w:ascii="Times New Roman" w:hAnsi="Times New Roman" w:eastAsiaTheme="minorEastAsia"/>
          <w:kern w:val="44"/>
          <w:sz w:val="30"/>
          <w:szCs w:val="30"/>
        </w:rPr>
        <w:t>4.2</w:t>
      </w:r>
      <w:bookmarkEnd w:id="192"/>
      <w:bookmarkEnd w:id="193"/>
      <w:bookmarkEnd w:id="194"/>
      <w:r>
        <w:rPr>
          <w:rFonts w:ascii="Times New Roman" w:hAnsiTheme="minorEastAsia" w:eastAsiaTheme="minorEastAsia"/>
          <w:kern w:val="44"/>
          <w:sz w:val="30"/>
          <w:szCs w:val="30"/>
        </w:rPr>
        <w:t>自然环境概况</w:t>
      </w:r>
      <w:bookmarkEnd w:id="195"/>
      <w:bookmarkEnd w:id="196"/>
      <w:bookmarkEnd w:id="197"/>
      <w:bookmarkEnd w:id="198"/>
      <w:bookmarkEnd w:id="199"/>
      <w:bookmarkEnd w:id="200"/>
      <w:bookmarkEnd w:id="201"/>
      <w:bookmarkEnd w:id="202"/>
      <w:bookmarkEnd w:id="203"/>
      <w:bookmarkEnd w:id="204"/>
    </w:p>
    <w:p>
      <w:pPr>
        <w:spacing w:line="360" w:lineRule="auto"/>
        <w:outlineLvl w:val="2"/>
        <w:rPr>
          <w:rFonts w:eastAsiaTheme="minorEastAsia"/>
          <w:b/>
          <w:sz w:val="24"/>
        </w:rPr>
      </w:pPr>
      <w:bookmarkStart w:id="205" w:name="_Toc36614363"/>
      <w:bookmarkStart w:id="206" w:name="_Toc204444382"/>
      <w:bookmarkStart w:id="207" w:name="_Toc36215272"/>
      <w:bookmarkStart w:id="208" w:name="_Toc36215138"/>
      <w:bookmarkStart w:id="209" w:name="_Toc36614835"/>
      <w:bookmarkStart w:id="210" w:name="_Toc39829617"/>
      <w:r>
        <w:rPr>
          <w:rFonts w:eastAsiaTheme="minorEastAsia"/>
          <w:b/>
          <w:sz w:val="24"/>
        </w:rPr>
        <w:t xml:space="preserve">4.2.1 </w:t>
      </w:r>
      <w:bookmarkEnd w:id="205"/>
      <w:bookmarkEnd w:id="206"/>
      <w:bookmarkEnd w:id="207"/>
      <w:bookmarkEnd w:id="208"/>
      <w:bookmarkEnd w:id="209"/>
      <w:bookmarkEnd w:id="210"/>
      <w:r>
        <w:rPr>
          <w:rFonts w:hAnsiTheme="minorEastAsia" w:eastAsiaTheme="minorEastAsia"/>
          <w:b/>
          <w:sz w:val="24"/>
        </w:rPr>
        <w:t>地形地貌</w:t>
      </w:r>
    </w:p>
    <w:p>
      <w:pPr>
        <w:spacing w:line="360" w:lineRule="auto"/>
        <w:ind w:firstLine="480" w:firstLineChars="200"/>
        <w:rPr>
          <w:rFonts w:hAnsiTheme="minorEastAsia" w:eastAsiaTheme="minorEastAsia"/>
          <w:sz w:val="24"/>
        </w:rPr>
      </w:pPr>
      <w:r>
        <w:rPr>
          <w:rFonts w:hint="eastAsia" w:hAnsiTheme="minorEastAsia" w:eastAsiaTheme="minorEastAsia"/>
          <w:sz w:val="24"/>
        </w:rPr>
        <w:t>略</w:t>
      </w:r>
    </w:p>
    <w:p>
      <w:pPr>
        <w:spacing w:line="360" w:lineRule="auto"/>
        <w:outlineLvl w:val="2"/>
        <w:rPr>
          <w:rFonts w:eastAsiaTheme="minorEastAsia"/>
          <w:b/>
          <w:sz w:val="24"/>
        </w:rPr>
      </w:pPr>
      <w:r>
        <w:rPr>
          <w:rFonts w:eastAsiaTheme="minorEastAsia"/>
          <w:b/>
          <w:sz w:val="24"/>
        </w:rPr>
        <w:t xml:space="preserve">4.2.2 </w:t>
      </w:r>
      <w:r>
        <w:rPr>
          <w:rFonts w:hAnsiTheme="minorEastAsia" w:eastAsiaTheme="minorEastAsia"/>
          <w:b/>
          <w:sz w:val="24"/>
        </w:rPr>
        <w:t>气候、气象</w:t>
      </w:r>
    </w:p>
    <w:p>
      <w:pPr>
        <w:spacing w:line="460" w:lineRule="exact"/>
        <w:ind w:firstLine="480" w:firstLineChars="200"/>
        <w:rPr>
          <w:rFonts w:eastAsiaTheme="minorEastAsia"/>
          <w:sz w:val="24"/>
        </w:rPr>
      </w:pPr>
      <w:r>
        <w:rPr>
          <w:rFonts w:hint="eastAsia" w:hAnsiTheme="minorEastAsia" w:eastAsiaTheme="minorEastAsia"/>
          <w:sz w:val="24"/>
        </w:rPr>
        <w:t>略</w:t>
      </w:r>
    </w:p>
    <w:p>
      <w:pPr>
        <w:spacing w:line="360" w:lineRule="auto"/>
        <w:outlineLvl w:val="2"/>
        <w:rPr>
          <w:rFonts w:eastAsiaTheme="minorEastAsia"/>
          <w:b/>
          <w:sz w:val="24"/>
        </w:rPr>
      </w:pPr>
      <w:r>
        <w:rPr>
          <w:rFonts w:eastAsiaTheme="minorEastAsia"/>
          <w:b/>
          <w:sz w:val="24"/>
        </w:rPr>
        <w:t xml:space="preserve">4.2.3 </w:t>
      </w:r>
      <w:r>
        <w:rPr>
          <w:rFonts w:hAnsiTheme="minorEastAsia" w:eastAsiaTheme="minorEastAsia"/>
          <w:b/>
          <w:sz w:val="24"/>
        </w:rPr>
        <w:t>水文地质</w:t>
      </w:r>
    </w:p>
    <w:p>
      <w:pPr>
        <w:spacing w:line="360" w:lineRule="auto"/>
        <w:outlineLvl w:val="3"/>
        <w:rPr>
          <w:rFonts w:eastAsiaTheme="minorEastAsia"/>
          <w:b/>
          <w:sz w:val="24"/>
        </w:rPr>
      </w:pPr>
      <w:bookmarkStart w:id="211" w:name="_Toc326745327"/>
      <w:bookmarkStart w:id="212" w:name="_Toc204444386"/>
      <w:bookmarkStart w:id="213" w:name="_Toc36215143"/>
      <w:bookmarkStart w:id="214" w:name="_Toc341081406"/>
      <w:bookmarkStart w:id="215" w:name="_Toc39829622"/>
      <w:bookmarkStart w:id="216" w:name="_Toc36614367"/>
      <w:bookmarkStart w:id="217" w:name="_Toc36215276"/>
      <w:bookmarkStart w:id="218" w:name="_Toc36614839"/>
      <w:bookmarkStart w:id="219" w:name="_Toc36215142"/>
      <w:r>
        <w:rPr>
          <w:rFonts w:eastAsiaTheme="minorEastAsia"/>
          <w:b/>
          <w:sz w:val="24"/>
        </w:rPr>
        <w:t>4.2.3.1</w:t>
      </w:r>
      <w:r>
        <w:rPr>
          <w:rFonts w:hAnsiTheme="minorEastAsia" w:eastAsiaTheme="minorEastAsia"/>
          <w:b/>
          <w:sz w:val="24"/>
        </w:rPr>
        <w:t>地表水</w:t>
      </w:r>
    </w:p>
    <w:p>
      <w:pPr>
        <w:spacing w:line="360" w:lineRule="auto"/>
        <w:ind w:firstLine="480" w:firstLineChars="200"/>
        <w:rPr>
          <w:rFonts w:eastAsiaTheme="minorEastAsia"/>
          <w:sz w:val="24"/>
        </w:rPr>
      </w:pPr>
      <w:r>
        <w:rPr>
          <w:rFonts w:hint="eastAsia" w:hAnsiTheme="minorEastAsia" w:eastAsiaTheme="minorEastAsia"/>
          <w:sz w:val="24"/>
        </w:rPr>
        <w:t>略</w:t>
      </w:r>
    </w:p>
    <w:p>
      <w:pPr>
        <w:spacing w:line="360" w:lineRule="auto"/>
        <w:outlineLvl w:val="3"/>
        <w:rPr>
          <w:rFonts w:eastAsiaTheme="minorEastAsia"/>
          <w:b/>
          <w:sz w:val="24"/>
        </w:rPr>
      </w:pPr>
      <w:r>
        <w:rPr>
          <w:rFonts w:eastAsiaTheme="minorEastAsia"/>
          <w:b/>
          <w:sz w:val="24"/>
        </w:rPr>
        <w:t>4.2.3.2</w:t>
      </w:r>
      <w:r>
        <w:rPr>
          <w:rFonts w:hAnsiTheme="minorEastAsia" w:eastAsiaTheme="minorEastAsia"/>
          <w:b/>
          <w:sz w:val="24"/>
        </w:rPr>
        <w:t>水文地质</w:t>
      </w:r>
    </w:p>
    <w:p>
      <w:pPr>
        <w:spacing w:line="360" w:lineRule="auto"/>
        <w:ind w:firstLine="480" w:firstLineChars="200"/>
        <w:rPr>
          <w:rFonts w:hAnsiTheme="minorEastAsia" w:eastAsiaTheme="minorEastAsia"/>
          <w:sz w:val="24"/>
        </w:rPr>
      </w:pPr>
      <w:r>
        <w:rPr>
          <w:rFonts w:hint="eastAsia" w:hAnsiTheme="minorEastAsia" w:eastAsiaTheme="minorEastAsia"/>
          <w:sz w:val="24"/>
        </w:rPr>
        <w:t>略</w:t>
      </w:r>
    </w:p>
    <w:p>
      <w:pPr>
        <w:spacing w:line="360" w:lineRule="auto"/>
        <w:ind w:firstLine="480" w:firstLineChars="200"/>
        <w:rPr>
          <w:rFonts w:eastAsiaTheme="minorEastAsia"/>
          <w:sz w:val="24"/>
        </w:rPr>
      </w:pPr>
      <w:r>
        <w:rPr>
          <w:rFonts w:hAnsiTheme="minorEastAsia" w:eastAsiaTheme="minorEastAsia"/>
          <w:sz w:val="24"/>
        </w:rPr>
        <w:t>矿区水文地质图见图</w:t>
      </w:r>
      <w:r>
        <w:rPr>
          <w:rFonts w:eastAsiaTheme="minorEastAsia"/>
          <w:sz w:val="24"/>
        </w:rPr>
        <w:t>4.2-</w:t>
      </w:r>
      <w:r>
        <w:rPr>
          <w:rFonts w:hint="eastAsia" w:eastAsiaTheme="minorEastAsia"/>
          <w:sz w:val="24"/>
        </w:rPr>
        <w:t>2</w:t>
      </w:r>
      <w:r>
        <w:rPr>
          <w:rFonts w:hAnsiTheme="minorEastAsia" w:eastAsiaTheme="minorEastAsia"/>
          <w:sz w:val="24"/>
        </w:rPr>
        <w:t>。</w:t>
      </w:r>
    </w:p>
    <w:p>
      <w:pPr>
        <w:spacing w:line="360" w:lineRule="auto"/>
        <w:outlineLvl w:val="3"/>
        <w:rPr>
          <w:rFonts w:eastAsiaTheme="minorEastAsia"/>
          <w:b/>
          <w:sz w:val="24"/>
        </w:rPr>
      </w:pPr>
      <w:r>
        <w:rPr>
          <w:rFonts w:eastAsiaTheme="minorEastAsia"/>
          <w:b/>
          <w:sz w:val="24"/>
        </w:rPr>
        <w:t>4.2.3.3</w:t>
      </w:r>
      <w:r>
        <w:rPr>
          <w:rFonts w:hint="eastAsia" w:hAnsiTheme="minorEastAsia" w:eastAsiaTheme="minorEastAsia"/>
          <w:b/>
          <w:sz w:val="24"/>
        </w:rPr>
        <w:t>柳林</w:t>
      </w:r>
      <w:r>
        <w:rPr>
          <w:rFonts w:hAnsiTheme="minorEastAsia" w:eastAsiaTheme="minorEastAsia"/>
          <w:b/>
          <w:sz w:val="24"/>
        </w:rPr>
        <w:t>泉域</w:t>
      </w:r>
    </w:p>
    <w:p>
      <w:pPr>
        <w:spacing w:line="360" w:lineRule="auto"/>
        <w:ind w:firstLine="480" w:firstLineChars="200"/>
        <w:rPr>
          <w:rFonts w:hAnsiTheme="minorEastAsia" w:eastAsiaTheme="minorEastAsia"/>
          <w:bCs/>
          <w:sz w:val="24"/>
        </w:rPr>
      </w:pPr>
      <w:r>
        <w:rPr>
          <w:rFonts w:hint="eastAsia" w:hAnsiTheme="minorEastAsia" w:eastAsiaTheme="minorEastAsia"/>
          <w:bCs/>
          <w:sz w:val="24"/>
        </w:rPr>
        <w:t>略</w:t>
      </w:r>
    </w:p>
    <w:p>
      <w:pPr>
        <w:spacing w:line="360" w:lineRule="auto"/>
        <w:ind w:firstLine="480" w:firstLineChars="200"/>
        <w:rPr>
          <w:rFonts w:hAnsiTheme="minorEastAsia" w:eastAsiaTheme="minorEastAsia"/>
          <w:bCs/>
          <w:sz w:val="24"/>
        </w:rPr>
      </w:pPr>
      <w:r>
        <w:rPr>
          <w:rFonts w:hint="eastAsia" w:hAnsiTheme="minorEastAsia" w:eastAsiaTheme="minorEastAsia"/>
          <w:bCs/>
          <w:sz w:val="24"/>
        </w:rPr>
        <w:t>根据山西省泉域及重点保护区分布图可知本项目部分矿界在柳林泉域范围内，矿井井田边界距离柳林泉域重点保护区约</w:t>
      </w:r>
      <w:r>
        <w:rPr>
          <w:rFonts w:hAnsiTheme="minorEastAsia" w:eastAsiaTheme="minorEastAsia"/>
          <w:bCs/>
          <w:sz w:val="24"/>
        </w:rPr>
        <w:t>20km</w:t>
      </w:r>
      <w:r>
        <w:rPr>
          <w:rFonts w:hint="eastAsia" w:hAnsiTheme="minorEastAsia" w:eastAsiaTheme="minorEastAsia"/>
          <w:bCs/>
          <w:sz w:val="24"/>
        </w:rPr>
        <w:t>。</w:t>
      </w:r>
    </w:p>
    <w:p>
      <w:pPr>
        <w:spacing w:line="360" w:lineRule="auto"/>
        <w:ind w:firstLine="480" w:firstLineChars="200"/>
        <w:rPr>
          <w:rFonts w:eastAsiaTheme="minorEastAsia"/>
          <w:sz w:val="24"/>
        </w:rPr>
      </w:pPr>
      <w:r>
        <w:rPr>
          <w:rFonts w:hAnsiTheme="minorEastAsia" w:eastAsiaTheme="minorEastAsia"/>
          <w:sz w:val="24"/>
        </w:rPr>
        <w:t>本矿与</w:t>
      </w:r>
      <w:r>
        <w:rPr>
          <w:rFonts w:hint="eastAsia" w:hAnsiTheme="minorEastAsia" w:eastAsiaTheme="minorEastAsia"/>
          <w:sz w:val="24"/>
        </w:rPr>
        <w:t>柳林</w:t>
      </w:r>
      <w:r>
        <w:rPr>
          <w:rFonts w:hAnsiTheme="minorEastAsia" w:eastAsiaTheme="minorEastAsia"/>
          <w:sz w:val="24"/>
        </w:rPr>
        <w:t>泉域相对位置图见图</w:t>
      </w:r>
      <w:r>
        <w:rPr>
          <w:rFonts w:eastAsiaTheme="minorEastAsia"/>
          <w:sz w:val="24"/>
        </w:rPr>
        <w:t>4.2-</w:t>
      </w:r>
      <w:r>
        <w:rPr>
          <w:rFonts w:hint="eastAsia" w:eastAsiaTheme="minorEastAsia"/>
          <w:sz w:val="24"/>
        </w:rPr>
        <w:t>3</w:t>
      </w:r>
      <w:r>
        <w:rPr>
          <w:rFonts w:hAnsiTheme="minorEastAsia" w:eastAsiaTheme="minorEastAsia"/>
          <w:sz w:val="24"/>
        </w:rPr>
        <w:t>。</w:t>
      </w:r>
    </w:p>
    <w:p>
      <w:pPr>
        <w:spacing w:line="360" w:lineRule="auto"/>
        <w:outlineLvl w:val="3"/>
        <w:rPr>
          <w:rFonts w:eastAsiaTheme="minorEastAsia"/>
          <w:b/>
          <w:sz w:val="24"/>
        </w:rPr>
      </w:pPr>
      <w:r>
        <w:rPr>
          <w:rFonts w:eastAsiaTheme="minorEastAsia"/>
          <w:b/>
          <w:sz w:val="24"/>
        </w:rPr>
        <w:t>4.2.3.4</w:t>
      </w:r>
      <w:r>
        <w:rPr>
          <w:rFonts w:hAnsiTheme="minorEastAsia" w:eastAsiaTheme="minorEastAsia"/>
          <w:b/>
          <w:sz w:val="24"/>
        </w:rPr>
        <w:t>水源地</w:t>
      </w:r>
    </w:p>
    <w:p>
      <w:pPr>
        <w:spacing w:line="360" w:lineRule="auto"/>
        <w:ind w:firstLine="472" w:firstLineChars="200"/>
        <w:jc w:val="left"/>
        <w:rPr>
          <w:rFonts w:eastAsiaTheme="minorEastAsia"/>
          <w:bCs/>
          <w:spacing w:val="-2"/>
          <w:sz w:val="24"/>
        </w:rPr>
      </w:pPr>
      <w:r>
        <w:rPr>
          <w:rFonts w:hint="eastAsia" w:eastAsiaTheme="minorEastAsia"/>
          <w:bCs/>
          <w:spacing w:val="-2"/>
          <w:sz w:val="24"/>
        </w:rPr>
        <w:t>略</w:t>
      </w:r>
    </w:p>
    <w:p>
      <w:pPr>
        <w:spacing w:line="360" w:lineRule="auto"/>
        <w:ind w:firstLine="472" w:firstLineChars="200"/>
        <w:jc w:val="left"/>
        <w:rPr>
          <w:rFonts w:hAnsiTheme="minorEastAsia" w:eastAsiaTheme="minorEastAsia"/>
          <w:spacing w:val="-2"/>
          <w:sz w:val="24"/>
        </w:rPr>
      </w:pPr>
      <w:r>
        <w:rPr>
          <w:rFonts w:hint="eastAsia" w:hAnsiTheme="minorEastAsia" w:eastAsiaTheme="minorEastAsia"/>
          <w:spacing w:val="-2"/>
          <w:sz w:val="24"/>
        </w:rPr>
        <w:t>本项目井田东边界与</w:t>
      </w:r>
      <w:r>
        <w:rPr>
          <w:rFonts w:hint="eastAsia" w:hAnsiTheme="minorEastAsia" w:eastAsiaTheme="minorEastAsia"/>
          <w:bCs/>
          <w:spacing w:val="-2"/>
          <w:sz w:val="24"/>
        </w:rPr>
        <w:t>招贤镇集中供水水源地一级保护区约38m</w:t>
      </w:r>
      <w:r>
        <w:rPr>
          <w:rFonts w:hAnsiTheme="minorEastAsia" w:eastAsiaTheme="minorEastAsia"/>
          <w:spacing w:val="-2"/>
          <w:sz w:val="24"/>
        </w:rPr>
        <w:t>，详见图</w:t>
      </w:r>
      <w:r>
        <w:rPr>
          <w:rFonts w:eastAsiaTheme="minorEastAsia"/>
          <w:spacing w:val="-2"/>
          <w:sz w:val="24"/>
        </w:rPr>
        <w:t>4.2-</w:t>
      </w:r>
      <w:r>
        <w:rPr>
          <w:rFonts w:hint="eastAsia" w:eastAsiaTheme="minorEastAsia"/>
          <w:spacing w:val="-2"/>
          <w:sz w:val="24"/>
        </w:rPr>
        <w:t>4。</w:t>
      </w:r>
    </w:p>
    <w:p>
      <w:pPr>
        <w:spacing w:line="360" w:lineRule="auto"/>
        <w:outlineLvl w:val="2"/>
        <w:rPr>
          <w:rFonts w:eastAsiaTheme="minorEastAsia"/>
          <w:b/>
          <w:sz w:val="24"/>
        </w:rPr>
      </w:pPr>
      <w:r>
        <w:rPr>
          <w:rFonts w:eastAsiaTheme="minorEastAsia"/>
          <w:b/>
          <w:sz w:val="24"/>
        </w:rPr>
        <w:t>4.2.</w:t>
      </w:r>
      <w:r>
        <w:rPr>
          <w:rFonts w:hint="eastAsia" w:eastAsiaTheme="minorEastAsia"/>
          <w:b/>
          <w:sz w:val="24"/>
        </w:rPr>
        <w:t>4</w:t>
      </w:r>
      <w:r>
        <w:rPr>
          <w:rFonts w:hAnsiTheme="minorHAnsi" w:eastAsiaTheme="minorEastAsia"/>
          <w:b/>
          <w:sz w:val="24"/>
        </w:rPr>
        <w:t>地震</w:t>
      </w:r>
    </w:p>
    <w:p>
      <w:pPr>
        <w:pStyle w:val="85"/>
        <w:ind w:firstLine="480"/>
        <w:rPr>
          <w:rFonts w:hAnsiTheme="minorEastAsia"/>
          <w:bCs/>
          <w:sz w:val="24"/>
        </w:rPr>
      </w:pPr>
      <w:r>
        <w:rPr>
          <w:rFonts w:ascii="Times New Roman" w:cs="Times New Roman" w:hAnsiTheme="minorEastAsia"/>
          <w:color w:val="auto"/>
          <w:sz w:val="24"/>
          <w:szCs w:val="24"/>
        </w:rPr>
        <w:t>根据《中国地震烈度区划图（</w:t>
      </w:r>
      <w:r>
        <w:rPr>
          <w:rFonts w:ascii="Times New Roman" w:hAnsi="Times New Roman" w:cs="Times New Roman"/>
          <w:color w:val="auto"/>
          <w:sz w:val="24"/>
          <w:szCs w:val="24"/>
        </w:rPr>
        <w:t>1990</w:t>
      </w:r>
      <w:r>
        <w:rPr>
          <w:rFonts w:ascii="Times New Roman" w:cs="Times New Roman" w:hAnsiTheme="minorEastAsia"/>
          <w:color w:val="auto"/>
          <w:sz w:val="24"/>
          <w:szCs w:val="24"/>
        </w:rPr>
        <w:t>）》划分：</w:t>
      </w:r>
      <w:r>
        <w:rPr>
          <w:rFonts w:hint="eastAsia" w:hAnsiTheme="minorEastAsia"/>
          <w:bCs/>
          <w:sz w:val="24"/>
        </w:rPr>
        <w:t>本地区基本地震烈度为</w:t>
      </w:r>
      <w:r>
        <w:rPr>
          <w:rFonts w:hAnsiTheme="minorEastAsia"/>
          <w:bCs/>
          <w:sz w:val="24"/>
        </w:rPr>
        <w:t>Ⅶ</w:t>
      </w:r>
      <w:r>
        <w:rPr>
          <w:rFonts w:hint="eastAsia" w:hAnsiTheme="minorEastAsia"/>
          <w:bCs/>
          <w:sz w:val="24"/>
        </w:rPr>
        <w:t>级。</w:t>
      </w:r>
    </w:p>
    <w:p>
      <w:pPr>
        <w:spacing w:line="360" w:lineRule="auto"/>
        <w:outlineLvl w:val="2"/>
        <w:rPr>
          <w:rFonts w:eastAsiaTheme="minorEastAsia"/>
          <w:b/>
          <w:sz w:val="24"/>
        </w:rPr>
      </w:pPr>
      <w:r>
        <w:rPr>
          <w:rFonts w:eastAsiaTheme="minorEastAsia"/>
          <w:b/>
          <w:sz w:val="24"/>
        </w:rPr>
        <w:t>4.2.5生态环境</w:t>
      </w:r>
      <w:bookmarkEnd w:id="211"/>
      <w:bookmarkEnd w:id="212"/>
      <w:bookmarkEnd w:id="213"/>
      <w:bookmarkEnd w:id="214"/>
      <w:bookmarkEnd w:id="215"/>
    </w:p>
    <w:bookmarkEnd w:id="216"/>
    <w:bookmarkEnd w:id="217"/>
    <w:bookmarkEnd w:id="218"/>
    <w:bookmarkEnd w:id="219"/>
    <w:p>
      <w:pPr>
        <w:spacing w:line="360" w:lineRule="auto"/>
        <w:outlineLvl w:val="3"/>
        <w:rPr>
          <w:rFonts w:eastAsiaTheme="minorEastAsia"/>
          <w:b/>
          <w:sz w:val="24"/>
        </w:rPr>
      </w:pPr>
      <w:r>
        <w:rPr>
          <w:rFonts w:eastAsiaTheme="minorEastAsia"/>
          <w:b/>
          <w:sz w:val="24"/>
        </w:rPr>
        <w:t>4.2.</w:t>
      </w:r>
      <w:r>
        <w:rPr>
          <w:rFonts w:hint="eastAsia" w:eastAsiaTheme="minorEastAsia"/>
          <w:b/>
          <w:sz w:val="24"/>
        </w:rPr>
        <w:t>5</w:t>
      </w:r>
      <w:r>
        <w:rPr>
          <w:rFonts w:eastAsiaTheme="minorEastAsia"/>
          <w:b/>
          <w:sz w:val="24"/>
        </w:rPr>
        <w:t>.1</w:t>
      </w:r>
      <w:r>
        <w:rPr>
          <w:rFonts w:hint="eastAsia" w:hAnsiTheme="minorEastAsia" w:eastAsiaTheme="minorEastAsia"/>
          <w:b/>
          <w:sz w:val="24"/>
        </w:rPr>
        <w:t>土壤</w:t>
      </w:r>
    </w:p>
    <w:p>
      <w:pPr>
        <w:spacing w:line="360" w:lineRule="auto"/>
        <w:ind w:firstLine="480" w:firstLineChars="200"/>
        <w:rPr>
          <w:rFonts w:hAnsiTheme="minorEastAsia" w:eastAsiaTheme="minorEastAsia"/>
          <w:bCs/>
          <w:sz w:val="24"/>
        </w:rPr>
      </w:pPr>
      <w:r>
        <w:rPr>
          <w:rFonts w:hint="eastAsia" w:hAnsiTheme="minorEastAsia" w:eastAsiaTheme="minorEastAsia"/>
          <w:bCs/>
          <w:sz w:val="24"/>
        </w:rPr>
        <w:t>略</w:t>
      </w:r>
    </w:p>
    <w:p>
      <w:pPr>
        <w:spacing w:line="360" w:lineRule="auto"/>
        <w:outlineLvl w:val="3"/>
        <w:rPr>
          <w:rFonts w:eastAsiaTheme="minorEastAsia"/>
          <w:b/>
          <w:sz w:val="24"/>
        </w:rPr>
      </w:pPr>
      <w:r>
        <w:rPr>
          <w:rFonts w:eastAsiaTheme="minorEastAsia"/>
          <w:b/>
          <w:sz w:val="24"/>
        </w:rPr>
        <w:t>4.2.</w:t>
      </w:r>
      <w:r>
        <w:rPr>
          <w:rFonts w:hint="eastAsia" w:eastAsiaTheme="minorEastAsia"/>
          <w:b/>
          <w:sz w:val="24"/>
        </w:rPr>
        <w:t>5</w:t>
      </w:r>
      <w:r>
        <w:rPr>
          <w:rFonts w:eastAsiaTheme="minorEastAsia"/>
          <w:b/>
          <w:sz w:val="24"/>
        </w:rPr>
        <w:t>.</w:t>
      </w:r>
      <w:r>
        <w:rPr>
          <w:rFonts w:hint="eastAsia" w:eastAsiaTheme="minorEastAsia"/>
          <w:b/>
          <w:sz w:val="24"/>
        </w:rPr>
        <w:t>2</w:t>
      </w:r>
      <w:r>
        <w:rPr>
          <w:rFonts w:hint="eastAsia" w:hAnsiTheme="minorEastAsia" w:eastAsiaTheme="minorEastAsia"/>
          <w:b/>
          <w:sz w:val="24"/>
        </w:rPr>
        <w:t>植被</w:t>
      </w:r>
    </w:p>
    <w:p>
      <w:pPr>
        <w:spacing w:line="360" w:lineRule="auto"/>
        <w:ind w:firstLine="480" w:firstLineChars="200"/>
        <w:rPr>
          <w:rFonts w:hAnsiTheme="minorEastAsia" w:eastAsiaTheme="minorEastAsia"/>
          <w:bCs/>
          <w:sz w:val="24"/>
        </w:rPr>
      </w:pPr>
      <w:r>
        <w:rPr>
          <w:rFonts w:hint="eastAsia" w:hAnsiTheme="minorEastAsia" w:eastAsiaTheme="minorEastAsia"/>
          <w:bCs/>
          <w:sz w:val="24"/>
        </w:rPr>
        <w:t>略</w:t>
      </w:r>
    </w:p>
    <w:p>
      <w:pPr>
        <w:spacing w:line="360" w:lineRule="auto"/>
        <w:outlineLvl w:val="3"/>
        <w:rPr>
          <w:rFonts w:eastAsiaTheme="minorEastAsia"/>
          <w:b/>
          <w:sz w:val="24"/>
        </w:rPr>
      </w:pPr>
      <w:r>
        <w:rPr>
          <w:rFonts w:eastAsiaTheme="minorEastAsia"/>
          <w:b/>
          <w:sz w:val="24"/>
        </w:rPr>
        <w:t>4.2.</w:t>
      </w:r>
      <w:r>
        <w:rPr>
          <w:rFonts w:hint="eastAsia" w:eastAsiaTheme="minorEastAsia"/>
          <w:b/>
          <w:sz w:val="24"/>
        </w:rPr>
        <w:t>5</w:t>
      </w:r>
      <w:r>
        <w:rPr>
          <w:rFonts w:eastAsiaTheme="minorEastAsia"/>
          <w:b/>
          <w:sz w:val="24"/>
        </w:rPr>
        <w:t>.</w:t>
      </w:r>
      <w:r>
        <w:rPr>
          <w:rFonts w:hint="eastAsia" w:eastAsiaTheme="minorEastAsia"/>
          <w:b/>
          <w:sz w:val="24"/>
        </w:rPr>
        <w:t>3</w:t>
      </w:r>
      <w:r>
        <w:rPr>
          <w:rFonts w:hint="eastAsia" w:hAnsiTheme="minorEastAsia" w:eastAsiaTheme="minorEastAsia"/>
          <w:b/>
          <w:sz w:val="24"/>
        </w:rPr>
        <w:t>动物</w:t>
      </w:r>
    </w:p>
    <w:p>
      <w:pPr>
        <w:spacing w:line="360" w:lineRule="auto"/>
        <w:ind w:firstLine="480" w:firstLineChars="200"/>
        <w:rPr>
          <w:rFonts w:hAnsiTheme="minorEastAsia" w:eastAsiaTheme="minorEastAsia"/>
          <w:bCs/>
          <w:sz w:val="24"/>
        </w:rPr>
      </w:pPr>
      <w:r>
        <w:rPr>
          <w:rFonts w:hint="eastAsia" w:hAnsiTheme="minorEastAsia" w:eastAsiaTheme="minorEastAsia"/>
          <w:bCs/>
          <w:sz w:val="24"/>
        </w:rPr>
        <w:t>略</w:t>
      </w:r>
    </w:p>
    <w:p>
      <w:pPr>
        <w:spacing w:line="360" w:lineRule="auto"/>
        <w:outlineLvl w:val="2"/>
        <w:rPr>
          <w:rFonts w:eastAsiaTheme="minorEastAsia"/>
          <w:b/>
          <w:sz w:val="24"/>
        </w:rPr>
      </w:pPr>
      <w:r>
        <w:rPr>
          <w:rFonts w:eastAsiaTheme="minorEastAsia"/>
          <w:b/>
          <w:sz w:val="24"/>
        </w:rPr>
        <w:t>4.2.6</w:t>
      </w:r>
      <w:r>
        <w:rPr>
          <w:rFonts w:hAnsiTheme="minorEastAsia" w:eastAsiaTheme="minorEastAsia"/>
          <w:b/>
          <w:sz w:val="24"/>
        </w:rPr>
        <w:t>生态功能区划</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根据《临县生态功能区划》，项目所处地位置属于ⅡA临县西部沿黄农产品提供生态功能类单元。</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项目相对位置与临县生态功能分区图见图4.2-5。</w:t>
      </w:r>
    </w:p>
    <w:p>
      <w:pPr>
        <w:spacing w:line="360" w:lineRule="auto"/>
        <w:outlineLvl w:val="2"/>
        <w:rPr>
          <w:rFonts w:eastAsiaTheme="minorEastAsia"/>
          <w:b/>
          <w:sz w:val="24"/>
        </w:rPr>
      </w:pPr>
      <w:r>
        <w:rPr>
          <w:rFonts w:eastAsiaTheme="minorEastAsia"/>
          <w:b/>
          <w:sz w:val="24"/>
        </w:rPr>
        <w:t>4.2.7</w:t>
      </w:r>
      <w:r>
        <w:rPr>
          <w:rFonts w:hAnsiTheme="minorEastAsia" w:eastAsiaTheme="minorEastAsia"/>
          <w:b/>
          <w:sz w:val="24"/>
        </w:rPr>
        <w:t>生态经济区划</w:t>
      </w:r>
    </w:p>
    <w:p>
      <w:pPr>
        <w:spacing w:line="360" w:lineRule="auto"/>
        <w:ind w:firstLine="480" w:firstLineChars="200"/>
        <w:rPr>
          <w:rFonts w:hAnsiTheme="minorEastAsia" w:eastAsiaTheme="minorEastAsia"/>
          <w:kern w:val="0"/>
          <w:sz w:val="24"/>
          <w:lang w:val="de-DE"/>
        </w:rPr>
      </w:pPr>
      <w:r>
        <w:rPr>
          <w:rFonts w:hint="eastAsia" w:hAnsiTheme="minorEastAsia" w:eastAsiaTheme="minorEastAsia"/>
          <w:kern w:val="0"/>
          <w:sz w:val="24"/>
          <w:lang w:val="de-DE"/>
        </w:rPr>
        <w:t>新工煤业井田位于ⅢA临县东部生态工业发展生态经济区。相对位置关系见图4.2-6。</w:t>
      </w:r>
    </w:p>
    <w:p>
      <w:pPr>
        <w:spacing w:line="360" w:lineRule="auto"/>
        <w:outlineLvl w:val="2"/>
        <w:rPr>
          <w:rFonts w:eastAsiaTheme="minorEastAsia"/>
          <w:b/>
          <w:sz w:val="24"/>
        </w:rPr>
      </w:pPr>
      <w:r>
        <w:rPr>
          <w:rFonts w:hint="eastAsia" w:eastAsiaTheme="minorEastAsia"/>
          <w:b/>
          <w:sz w:val="24"/>
        </w:rPr>
        <w:t>4.2.8临县碛口省级地质公园</w:t>
      </w:r>
    </w:p>
    <w:p>
      <w:pPr>
        <w:spacing w:line="440" w:lineRule="exact"/>
        <w:ind w:firstLine="496" w:firstLineChars="200"/>
        <w:rPr>
          <w:rFonts w:eastAsiaTheme="minorEastAsia"/>
          <w:bCs/>
          <w:spacing w:val="4"/>
          <w:sz w:val="24"/>
        </w:rPr>
      </w:pPr>
      <w:r>
        <w:rPr>
          <w:rFonts w:hint="eastAsia" w:hAnsiTheme="minorEastAsia" w:eastAsiaTheme="minorEastAsia"/>
          <w:bCs/>
          <w:spacing w:val="4"/>
          <w:sz w:val="24"/>
        </w:rPr>
        <w:t>略</w:t>
      </w:r>
    </w:p>
    <w:p>
      <w:pPr>
        <w:spacing w:line="440" w:lineRule="exact"/>
        <w:ind w:firstLine="480" w:firstLineChars="200"/>
        <w:rPr>
          <w:rFonts w:eastAsiaTheme="minorEastAsia"/>
          <w:bCs/>
          <w:spacing w:val="4"/>
          <w:sz w:val="24"/>
        </w:rPr>
      </w:pPr>
      <w:r>
        <w:rPr>
          <w:rFonts w:hAnsiTheme="minorEastAsia" w:eastAsiaTheme="minorEastAsia"/>
          <w:sz w:val="24"/>
        </w:rPr>
        <w:t>山西煤炭运销集团新工煤业有限公司井田南边界距临县省级地质公园的岳山坪园外保护区边界</w:t>
      </w:r>
      <w:r>
        <w:rPr>
          <w:rFonts w:eastAsiaTheme="minorEastAsia"/>
          <w:sz w:val="24"/>
        </w:rPr>
        <w:t>1.1k</w:t>
      </w:r>
      <w:r>
        <w:rPr>
          <w:rFonts w:eastAsiaTheme="minorEastAsia"/>
          <w:bCs/>
          <w:spacing w:val="4"/>
          <w:sz w:val="24"/>
        </w:rPr>
        <w:t>m</w:t>
      </w:r>
      <w:r>
        <w:rPr>
          <w:rFonts w:hAnsiTheme="minorEastAsia" w:eastAsiaTheme="minorEastAsia"/>
          <w:bCs/>
          <w:spacing w:val="4"/>
          <w:sz w:val="24"/>
        </w:rPr>
        <w:t>，井田与临县碛口地质公园的相对位置关系见图</w:t>
      </w:r>
      <w:r>
        <w:rPr>
          <w:rFonts w:hint="eastAsia" w:eastAsiaTheme="minorEastAsia"/>
          <w:bCs/>
          <w:spacing w:val="4"/>
          <w:sz w:val="24"/>
        </w:rPr>
        <w:t>1.9-1</w:t>
      </w:r>
      <w:r>
        <w:rPr>
          <w:rFonts w:hAnsiTheme="minorEastAsia" w:eastAsiaTheme="minorEastAsia"/>
          <w:bCs/>
          <w:spacing w:val="4"/>
          <w:sz w:val="24"/>
        </w:rPr>
        <w:t>和图</w:t>
      </w:r>
      <w:r>
        <w:rPr>
          <w:rFonts w:hint="eastAsia" w:eastAsiaTheme="minorEastAsia"/>
          <w:bCs/>
          <w:spacing w:val="4"/>
          <w:sz w:val="24"/>
        </w:rPr>
        <w:t>4.2-7</w:t>
      </w:r>
      <w:r>
        <w:rPr>
          <w:rFonts w:hAnsiTheme="minorEastAsia" w:eastAsiaTheme="minorEastAsia"/>
          <w:bCs/>
          <w:spacing w:val="4"/>
          <w:sz w:val="24"/>
        </w:rPr>
        <w:t>。</w:t>
      </w:r>
    </w:p>
    <w:p>
      <w:pPr>
        <w:spacing w:line="360" w:lineRule="auto"/>
        <w:outlineLvl w:val="2"/>
        <w:rPr>
          <w:rFonts w:eastAsiaTheme="minorEastAsia"/>
          <w:b/>
          <w:sz w:val="24"/>
        </w:rPr>
      </w:pPr>
      <w:r>
        <w:rPr>
          <w:rFonts w:hint="eastAsia" w:eastAsiaTheme="minorEastAsia"/>
          <w:b/>
          <w:sz w:val="24"/>
        </w:rPr>
        <w:t>4.2.9碛口风景名胜区</w:t>
      </w:r>
    </w:p>
    <w:p>
      <w:pPr>
        <w:spacing w:line="440" w:lineRule="exact"/>
        <w:ind w:firstLine="480" w:firstLineChars="200"/>
        <w:rPr>
          <w:rFonts w:hAnsiTheme="minorEastAsia" w:eastAsiaTheme="minorEastAsia"/>
          <w:sz w:val="24"/>
        </w:rPr>
      </w:pPr>
      <w:r>
        <w:rPr>
          <w:rFonts w:hint="eastAsia" w:hAnsiTheme="minorEastAsia" w:eastAsiaTheme="minorEastAsia"/>
          <w:sz w:val="24"/>
        </w:rPr>
        <w:t>略</w:t>
      </w:r>
    </w:p>
    <w:p>
      <w:pPr>
        <w:spacing w:line="440" w:lineRule="exact"/>
        <w:ind w:firstLine="480" w:firstLineChars="200"/>
        <w:rPr>
          <w:rFonts w:hAnsiTheme="minorEastAsia" w:eastAsiaTheme="minorEastAsia"/>
          <w:sz w:val="24"/>
        </w:rPr>
      </w:pPr>
      <w:r>
        <w:rPr>
          <w:rFonts w:hint="eastAsia" w:hAnsiTheme="minorEastAsia" w:eastAsiaTheme="minorEastAsia"/>
          <w:sz w:val="24"/>
        </w:rPr>
        <w:t>根据景区与井田的坐标，从碛口风景名胜区总体规划图中可以看出，本项目距离主景区较远，矿界距离岳山坪景区边界约</w:t>
      </w:r>
      <w:r>
        <w:rPr>
          <w:rFonts w:hAnsiTheme="minorEastAsia" w:eastAsiaTheme="minorEastAsia"/>
          <w:sz w:val="24"/>
        </w:rPr>
        <w:t>0.88km</w:t>
      </w:r>
      <w:r>
        <w:rPr>
          <w:rFonts w:hint="eastAsia" w:hAnsiTheme="minorEastAsia" w:eastAsiaTheme="minorEastAsia"/>
          <w:sz w:val="24"/>
        </w:rPr>
        <w:t>；距岳山坪景区外围保护区边界约</w:t>
      </w:r>
      <w:r>
        <w:rPr>
          <w:rFonts w:hAnsiTheme="minorEastAsia" w:eastAsiaTheme="minorEastAsia"/>
          <w:sz w:val="24"/>
        </w:rPr>
        <w:t>0.25km</w:t>
      </w:r>
      <w:r>
        <w:rPr>
          <w:rFonts w:hint="eastAsia" w:hAnsiTheme="minorEastAsia" w:eastAsiaTheme="minorEastAsia"/>
          <w:sz w:val="24"/>
        </w:rPr>
        <w:t>；距小塔则景点约</w:t>
      </w:r>
      <w:r>
        <w:rPr>
          <w:rFonts w:hAnsiTheme="minorEastAsia" w:eastAsiaTheme="minorEastAsia"/>
          <w:sz w:val="24"/>
        </w:rPr>
        <w:t>0.35km</w:t>
      </w:r>
      <w:r>
        <w:rPr>
          <w:rFonts w:hint="eastAsia" w:hAnsiTheme="minorEastAsia" w:eastAsiaTheme="minorEastAsia"/>
          <w:sz w:val="24"/>
        </w:rPr>
        <w:t>；均不在矿界范围内。碛口风景名胜区管理局对本项目与碛口风景名胜区为位置关系于</w:t>
      </w:r>
      <w:r>
        <w:rPr>
          <w:rFonts w:hAnsiTheme="minorEastAsia" w:eastAsiaTheme="minorEastAsia"/>
          <w:sz w:val="24"/>
        </w:rPr>
        <w:t>2014</w:t>
      </w:r>
      <w:r>
        <w:rPr>
          <w:rFonts w:hint="eastAsia" w:hAnsiTheme="minorEastAsia" w:eastAsiaTheme="minorEastAsia"/>
          <w:sz w:val="24"/>
        </w:rPr>
        <w:t>年</w:t>
      </w:r>
      <w:r>
        <w:rPr>
          <w:rFonts w:hAnsiTheme="minorEastAsia" w:eastAsiaTheme="minorEastAsia"/>
          <w:sz w:val="24"/>
        </w:rPr>
        <w:t>7</w:t>
      </w:r>
      <w:r>
        <w:rPr>
          <w:rFonts w:hint="eastAsia" w:hAnsiTheme="minorEastAsia" w:eastAsiaTheme="minorEastAsia"/>
          <w:sz w:val="24"/>
        </w:rPr>
        <w:t>月</w:t>
      </w:r>
      <w:r>
        <w:rPr>
          <w:rFonts w:hAnsiTheme="minorEastAsia" w:eastAsiaTheme="minorEastAsia"/>
          <w:sz w:val="24"/>
        </w:rPr>
        <w:t>3</w:t>
      </w:r>
      <w:r>
        <w:rPr>
          <w:rFonts w:hint="eastAsia" w:hAnsiTheme="minorEastAsia" w:eastAsiaTheme="minorEastAsia"/>
          <w:sz w:val="24"/>
        </w:rPr>
        <w:t>日以吕碛函</w:t>
      </w:r>
      <w:r>
        <w:rPr>
          <w:rFonts w:hAnsiTheme="minorEastAsia" w:eastAsiaTheme="minorEastAsia"/>
          <w:sz w:val="24"/>
        </w:rPr>
        <w:t>[2014]6</w:t>
      </w:r>
      <w:r>
        <w:rPr>
          <w:rFonts w:hint="eastAsia" w:hAnsiTheme="minorEastAsia" w:eastAsiaTheme="minorEastAsia"/>
          <w:sz w:val="24"/>
        </w:rPr>
        <w:t>号文予以说明。</w:t>
      </w:r>
    </w:p>
    <w:p>
      <w:pPr>
        <w:spacing w:line="440" w:lineRule="exact"/>
        <w:ind w:firstLine="480" w:firstLineChars="200"/>
        <w:rPr>
          <w:rFonts w:hAnsiTheme="minorEastAsia" w:eastAsiaTheme="minorEastAsia"/>
          <w:sz w:val="24"/>
        </w:rPr>
      </w:pPr>
      <w:r>
        <w:rPr>
          <w:rFonts w:hint="eastAsia" w:hAnsiTheme="minorEastAsia" w:eastAsiaTheme="minorEastAsia"/>
          <w:sz w:val="24"/>
        </w:rPr>
        <w:t>本项目与景区的相对位置关系见图4.2-8。</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20" w:name="_Toc71551938"/>
      <w:r>
        <w:rPr>
          <w:rFonts w:ascii="Times New Roman" w:hAnsi="Times New Roman" w:eastAsiaTheme="minorEastAsia"/>
          <w:kern w:val="44"/>
          <w:sz w:val="30"/>
          <w:szCs w:val="30"/>
        </w:rPr>
        <w:t>4.3</w:t>
      </w:r>
      <w:r>
        <w:rPr>
          <w:rFonts w:ascii="Times New Roman" w:hAnsiTheme="minorEastAsia" w:eastAsiaTheme="minorEastAsia"/>
          <w:kern w:val="44"/>
          <w:sz w:val="30"/>
          <w:szCs w:val="30"/>
        </w:rPr>
        <w:t>环境质量现状调查与评价</w:t>
      </w:r>
      <w:bookmarkEnd w:id="220"/>
    </w:p>
    <w:p>
      <w:pPr>
        <w:spacing w:line="360" w:lineRule="auto"/>
        <w:outlineLvl w:val="2"/>
        <w:rPr>
          <w:rFonts w:eastAsiaTheme="minorEastAsia"/>
          <w:b/>
          <w:sz w:val="24"/>
        </w:rPr>
      </w:pPr>
      <w:r>
        <w:rPr>
          <w:rFonts w:eastAsiaTheme="minorEastAsia"/>
          <w:b/>
          <w:sz w:val="24"/>
        </w:rPr>
        <w:t>4.3.1</w:t>
      </w:r>
      <w:r>
        <w:rPr>
          <w:rFonts w:hAnsiTheme="minorEastAsia" w:eastAsiaTheme="minorEastAsia"/>
          <w:b/>
          <w:sz w:val="24"/>
        </w:rPr>
        <w:t>大气现状调查与评价</w:t>
      </w:r>
    </w:p>
    <w:p>
      <w:pPr>
        <w:spacing w:line="360" w:lineRule="auto"/>
        <w:outlineLvl w:val="3"/>
        <w:rPr>
          <w:rFonts w:eastAsiaTheme="minorEastAsia"/>
          <w:b/>
          <w:sz w:val="24"/>
        </w:rPr>
      </w:pPr>
      <w:r>
        <w:rPr>
          <w:rFonts w:eastAsiaTheme="minorEastAsia"/>
          <w:b/>
          <w:sz w:val="24"/>
        </w:rPr>
        <w:t>4.3.1.1</w:t>
      </w:r>
      <w:r>
        <w:rPr>
          <w:rFonts w:hAnsiTheme="minorEastAsia" w:eastAsiaTheme="minorEastAsia"/>
          <w:b/>
          <w:sz w:val="24"/>
        </w:rPr>
        <w:t>区域环境空气状况</w:t>
      </w:r>
    </w:p>
    <w:p>
      <w:pPr>
        <w:spacing w:line="460" w:lineRule="exact"/>
        <w:ind w:firstLine="480" w:firstLineChars="200"/>
        <w:jc w:val="left"/>
        <w:rPr>
          <w:rFonts w:eastAsiaTheme="minorEastAsia"/>
          <w:sz w:val="24"/>
        </w:rPr>
      </w:pPr>
      <w:r>
        <w:rPr>
          <w:rFonts w:hint="eastAsia" w:hAnsiTheme="minorEastAsia" w:eastAsiaTheme="minorEastAsia"/>
          <w:sz w:val="24"/>
        </w:rPr>
        <w:t>略</w:t>
      </w:r>
    </w:p>
    <w:p>
      <w:pPr>
        <w:spacing w:line="360" w:lineRule="auto"/>
        <w:outlineLvl w:val="3"/>
        <w:rPr>
          <w:rFonts w:eastAsiaTheme="minorEastAsia"/>
          <w:b/>
          <w:sz w:val="24"/>
        </w:rPr>
      </w:pPr>
      <w:r>
        <w:rPr>
          <w:rFonts w:eastAsiaTheme="minorEastAsia"/>
          <w:b/>
          <w:sz w:val="24"/>
        </w:rPr>
        <w:t>4.3.1.2</w:t>
      </w:r>
      <w:r>
        <w:rPr>
          <w:rFonts w:hAnsiTheme="minorEastAsia" w:eastAsiaTheme="minorEastAsia"/>
          <w:b/>
          <w:sz w:val="24"/>
        </w:rPr>
        <w:t>环境空气状况现状</w:t>
      </w:r>
      <w:r>
        <w:rPr>
          <w:rFonts w:hint="eastAsia" w:hAnsiTheme="minorEastAsia" w:eastAsiaTheme="minorEastAsia"/>
          <w:b/>
          <w:sz w:val="24"/>
        </w:rPr>
        <w:t>补充</w:t>
      </w:r>
      <w:r>
        <w:rPr>
          <w:rFonts w:hAnsiTheme="minorEastAsia" w:eastAsiaTheme="minorEastAsia"/>
          <w:b/>
          <w:sz w:val="24"/>
        </w:rPr>
        <w:t>监测</w:t>
      </w:r>
    </w:p>
    <w:p>
      <w:pPr>
        <w:adjustRightInd w:val="0"/>
        <w:spacing w:line="480" w:lineRule="exact"/>
        <w:ind w:firstLine="480" w:firstLineChars="200"/>
        <w:textAlignment w:val="baseline"/>
        <w:rPr>
          <w:rFonts w:eastAsiaTheme="minorEastAsia"/>
          <w:sz w:val="24"/>
        </w:rPr>
      </w:pPr>
      <w:r>
        <w:rPr>
          <w:rFonts w:hAnsiTheme="minorEastAsia" w:eastAsiaTheme="minorEastAsia"/>
          <w:sz w:val="24"/>
        </w:rPr>
        <w:t>本次评价委托</w:t>
      </w:r>
      <w:r>
        <w:rPr>
          <w:rFonts w:hint="eastAsia" w:hAnsiTheme="minorEastAsia" w:eastAsiaTheme="minorEastAsia"/>
          <w:sz w:val="24"/>
        </w:rPr>
        <w:t>山西明朗检测科技有限公司</w:t>
      </w:r>
      <w:r>
        <w:rPr>
          <w:rFonts w:hAnsiTheme="minorEastAsia" w:eastAsiaTheme="minorEastAsia"/>
          <w:sz w:val="24"/>
        </w:rPr>
        <w:t>于</w:t>
      </w:r>
      <w:r>
        <w:rPr>
          <w:rFonts w:hint="eastAsia" w:hAnsiTheme="minorEastAsia" w:eastAsiaTheme="minorEastAsia"/>
          <w:sz w:val="24"/>
        </w:rPr>
        <w:t>2021年</w:t>
      </w:r>
      <w:r>
        <w:rPr>
          <w:rFonts w:hint="eastAsia" w:eastAsiaTheme="minorEastAsia"/>
          <w:sz w:val="24"/>
        </w:rPr>
        <w:t>3月23日-3月31日</w:t>
      </w:r>
      <w:r>
        <w:rPr>
          <w:rFonts w:hAnsiTheme="minorEastAsia" w:eastAsiaTheme="minorEastAsia"/>
          <w:sz w:val="24"/>
        </w:rPr>
        <w:t>对本项目进行了环境空气质量现状</w:t>
      </w:r>
      <w:r>
        <w:rPr>
          <w:rFonts w:hint="eastAsia" w:hAnsiTheme="minorEastAsia" w:eastAsiaTheme="minorEastAsia"/>
          <w:sz w:val="24"/>
        </w:rPr>
        <w:t>补充</w:t>
      </w:r>
      <w:r>
        <w:rPr>
          <w:rFonts w:hAnsiTheme="minorEastAsia" w:eastAsiaTheme="minorEastAsia"/>
          <w:sz w:val="24"/>
        </w:rPr>
        <w:t>监测</w:t>
      </w:r>
      <w:r>
        <w:rPr>
          <w:rFonts w:hint="eastAsia" w:hAnsiTheme="minorEastAsia" w:eastAsiaTheme="minorEastAsia"/>
          <w:sz w:val="24"/>
        </w:rPr>
        <w:t>，环境监测点位布设图，详见图4.3-1</w:t>
      </w:r>
      <w:r>
        <w:rPr>
          <w:rFonts w:hAnsiTheme="minorEastAsia" w:eastAsiaTheme="minorEastAsia"/>
          <w:sz w:val="24"/>
        </w:rPr>
        <w:t>。</w:t>
      </w:r>
    </w:p>
    <w:p>
      <w:pPr>
        <w:adjustRightInd w:val="0"/>
        <w:spacing w:line="480" w:lineRule="exact"/>
        <w:ind w:firstLine="480" w:firstLineChars="200"/>
        <w:textAlignment w:val="baseline"/>
        <w:rPr>
          <w:rFonts w:eastAsiaTheme="minorEastAsia"/>
          <w:sz w:val="24"/>
          <w:szCs w:val="22"/>
        </w:rPr>
      </w:pPr>
      <w:bookmarkStart w:id="221" w:name="_Toc272716827"/>
      <w:r>
        <w:rPr>
          <w:rFonts w:hAnsiTheme="minorEastAsia" w:eastAsiaTheme="minorEastAsia"/>
          <w:sz w:val="24"/>
          <w:szCs w:val="22"/>
        </w:rPr>
        <w:t>（</w:t>
      </w:r>
      <w:r>
        <w:rPr>
          <w:rFonts w:eastAsiaTheme="minorEastAsia"/>
          <w:sz w:val="24"/>
          <w:szCs w:val="22"/>
        </w:rPr>
        <w:t>1</w:t>
      </w:r>
      <w:r>
        <w:rPr>
          <w:rFonts w:hAnsiTheme="minorEastAsia" w:eastAsiaTheme="minorEastAsia"/>
          <w:sz w:val="24"/>
          <w:szCs w:val="22"/>
        </w:rPr>
        <w:t>）监测点位和项目</w:t>
      </w:r>
    </w:p>
    <w:p>
      <w:pPr>
        <w:adjustRightInd w:val="0"/>
        <w:spacing w:line="480" w:lineRule="exact"/>
        <w:ind w:firstLine="480" w:firstLineChars="200"/>
        <w:textAlignment w:val="baseline"/>
        <w:rPr>
          <w:rFonts w:eastAsiaTheme="minorEastAsia"/>
          <w:sz w:val="24"/>
        </w:rPr>
      </w:pPr>
      <w:r>
        <w:rPr>
          <w:rFonts w:hAnsiTheme="minorEastAsia" w:eastAsiaTheme="minorEastAsia"/>
          <w:sz w:val="24"/>
        </w:rPr>
        <w:t>监测点位为</w:t>
      </w:r>
      <w:r>
        <w:rPr>
          <w:rFonts w:hint="eastAsia" w:hAnsiTheme="minorEastAsia" w:eastAsiaTheme="minorEastAsia"/>
          <w:sz w:val="24"/>
        </w:rPr>
        <w:t>招贤镇</w:t>
      </w:r>
      <w:r>
        <w:rPr>
          <w:rFonts w:hAnsiTheme="minorEastAsia" w:eastAsiaTheme="minorEastAsia"/>
          <w:sz w:val="24"/>
        </w:rPr>
        <w:t>和</w:t>
      </w:r>
      <w:r>
        <w:rPr>
          <w:rFonts w:hint="eastAsia" w:hAnsiTheme="minorEastAsia" w:eastAsiaTheme="minorEastAsia"/>
          <w:sz w:val="24"/>
        </w:rPr>
        <w:t>龙王殿村</w:t>
      </w:r>
      <w:r>
        <w:rPr>
          <w:rFonts w:hAnsiTheme="minorEastAsia" w:eastAsiaTheme="minorEastAsia"/>
          <w:sz w:val="24"/>
        </w:rPr>
        <w:t>。监测布点图见图</w:t>
      </w:r>
      <w:r>
        <w:rPr>
          <w:rFonts w:eastAsiaTheme="minorEastAsia"/>
          <w:sz w:val="24"/>
        </w:rPr>
        <w:t>4.3-1</w:t>
      </w:r>
      <w:r>
        <w:rPr>
          <w:rFonts w:hAnsiTheme="minorEastAsia" w:eastAsiaTheme="minorEastAsia"/>
          <w:sz w:val="24"/>
        </w:rPr>
        <w:t>。监测项目详见表</w:t>
      </w:r>
      <w:r>
        <w:rPr>
          <w:rFonts w:eastAsiaTheme="minorEastAsia"/>
          <w:sz w:val="24"/>
        </w:rPr>
        <w:t>4.3-</w:t>
      </w:r>
      <w:r>
        <w:rPr>
          <w:rFonts w:hint="eastAsia" w:eastAsiaTheme="minorEastAsia"/>
          <w:sz w:val="24"/>
        </w:rPr>
        <w:t>2</w:t>
      </w:r>
      <w:r>
        <w:rPr>
          <w:rFonts w:hAnsiTheme="minorEastAsia" w:eastAsiaTheme="minorEastAsia"/>
          <w:sz w:val="24"/>
        </w:rPr>
        <w:t>。</w:t>
      </w:r>
    </w:p>
    <w:p>
      <w:pPr>
        <w:spacing w:line="360" w:lineRule="auto"/>
        <w:ind w:firstLine="420" w:firstLineChars="200"/>
        <w:jc w:val="center"/>
        <w:rPr>
          <w:rFonts w:eastAsiaTheme="minorEastAsia"/>
          <w:b/>
          <w:szCs w:val="21"/>
        </w:rPr>
      </w:pPr>
      <w:r>
        <w:rPr>
          <w:rFonts w:hAnsiTheme="minorEastAsia" w:eastAsiaTheme="minorEastAsia"/>
          <w:b/>
          <w:szCs w:val="21"/>
        </w:rPr>
        <w:t>表</w:t>
      </w:r>
      <w:r>
        <w:rPr>
          <w:rFonts w:eastAsiaTheme="minorEastAsia"/>
          <w:b/>
          <w:szCs w:val="21"/>
        </w:rPr>
        <w:t>4.3-</w:t>
      </w:r>
      <w:r>
        <w:rPr>
          <w:rFonts w:hint="eastAsia" w:eastAsiaTheme="minorEastAsia"/>
          <w:b/>
          <w:szCs w:val="21"/>
        </w:rPr>
        <w:t>2</w:t>
      </w:r>
      <w:r>
        <w:rPr>
          <w:rFonts w:eastAsiaTheme="minorEastAsia"/>
          <w:b/>
          <w:szCs w:val="21"/>
        </w:rPr>
        <w:t xml:space="preserve"> </w:t>
      </w:r>
      <w:r>
        <w:rPr>
          <w:rFonts w:hAnsiTheme="minorEastAsia" w:eastAsiaTheme="minorEastAsia"/>
          <w:b/>
          <w:szCs w:val="21"/>
        </w:rPr>
        <w:t>环境空气监测点方位、距离（相对于厂址）</w:t>
      </w:r>
    </w:p>
    <w:tbl>
      <w:tblPr>
        <w:tblStyle w:val="24"/>
        <w:tblW w:w="498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0"/>
        <w:gridCol w:w="814"/>
        <w:gridCol w:w="1494"/>
        <w:gridCol w:w="1630"/>
        <w:gridCol w:w="1763"/>
        <w:gridCol w:w="16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825" w:type="pct"/>
            <w:tcBorders>
              <w:top w:val="single" w:color="auto" w:sz="12" w:space="0"/>
              <w:left w:val="single" w:color="auto" w:sz="12" w:space="0"/>
              <w:bottom w:val="single" w:color="auto" w:sz="6" w:space="0"/>
              <w:right w:val="single" w:color="auto" w:sz="6" w:space="0"/>
            </w:tcBorders>
            <w:vAlign w:val="center"/>
          </w:tcPr>
          <w:p>
            <w:pPr>
              <w:spacing w:line="360" w:lineRule="exact"/>
              <w:jc w:val="center"/>
              <w:rPr>
                <w:rFonts w:eastAsiaTheme="minorEastAsia"/>
                <w:szCs w:val="21"/>
              </w:rPr>
            </w:pPr>
            <w:r>
              <w:rPr>
                <w:rFonts w:hAnsiTheme="minorEastAsia" w:eastAsiaTheme="minorEastAsia"/>
                <w:szCs w:val="21"/>
              </w:rPr>
              <w:t>监测对象</w:t>
            </w:r>
          </w:p>
        </w:tc>
        <w:tc>
          <w:tcPr>
            <w:tcW w:w="460"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eastAsiaTheme="minorEastAsia"/>
                <w:szCs w:val="21"/>
              </w:rPr>
            </w:pPr>
            <w:r>
              <w:rPr>
                <w:rFonts w:hAnsiTheme="minorEastAsia" w:eastAsiaTheme="minorEastAsia"/>
                <w:szCs w:val="21"/>
              </w:rPr>
              <w:t>编号</w:t>
            </w:r>
          </w:p>
        </w:tc>
        <w:tc>
          <w:tcPr>
            <w:tcW w:w="844"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eastAsiaTheme="minorEastAsia"/>
                <w:szCs w:val="21"/>
              </w:rPr>
            </w:pPr>
            <w:r>
              <w:rPr>
                <w:rFonts w:hAnsiTheme="minorEastAsia" w:eastAsiaTheme="minorEastAsia"/>
                <w:szCs w:val="21"/>
              </w:rPr>
              <w:t>监测点名称</w:t>
            </w:r>
          </w:p>
        </w:tc>
        <w:tc>
          <w:tcPr>
            <w:tcW w:w="921"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eastAsiaTheme="minorEastAsia"/>
                <w:szCs w:val="21"/>
              </w:rPr>
            </w:pPr>
            <w:r>
              <w:rPr>
                <w:rFonts w:hAnsiTheme="minorEastAsia" w:eastAsiaTheme="minorEastAsia"/>
                <w:szCs w:val="21"/>
              </w:rPr>
              <w:t>相对厂址方位</w:t>
            </w:r>
          </w:p>
        </w:tc>
        <w:tc>
          <w:tcPr>
            <w:tcW w:w="996"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eastAsiaTheme="minorEastAsia"/>
                <w:szCs w:val="21"/>
              </w:rPr>
            </w:pPr>
            <w:r>
              <w:rPr>
                <w:rFonts w:hAnsiTheme="minorEastAsia" w:eastAsiaTheme="minorEastAsia"/>
                <w:szCs w:val="21"/>
              </w:rPr>
              <w:t>与厂址距离（</w:t>
            </w:r>
            <w:r>
              <w:rPr>
                <w:rFonts w:eastAsiaTheme="minorEastAsia"/>
                <w:szCs w:val="21"/>
              </w:rPr>
              <w:t>km</w:t>
            </w:r>
            <w:r>
              <w:rPr>
                <w:rFonts w:hAnsiTheme="minorEastAsia" w:eastAsiaTheme="minorEastAsia"/>
                <w:szCs w:val="21"/>
              </w:rPr>
              <w:t>）</w:t>
            </w:r>
          </w:p>
        </w:tc>
        <w:tc>
          <w:tcPr>
            <w:tcW w:w="954" w:type="pct"/>
            <w:tcBorders>
              <w:top w:val="single" w:color="auto" w:sz="12" w:space="0"/>
              <w:left w:val="single" w:color="auto" w:sz="6" w:space="0"/>
              <w:bottom w:val="single" w:color="auto" w:sz="6" w:space="0"/>
              <w:right w:val="single" w:color="auto" w:sz="12" w:space="0"/>
            </w:tcBorders>
            <w:vAlign w:val="center"/>
          </w:tcPr>
          <w:p>
            <w:pPr>
              <w:spacing w:line="360" w:lineRule="exact"/>
              <w:jc w:val="center"/>
              <w:rPr>
                <w:rFonts w:eastAsiaTheme="minorEastAsia"/>
                <w:szCs w:val="21"/>
              </w:rPr>
            </w:pPr>
            <w:r>
              <w:rPr>
                <w:rFonts w:hAnsiTheme="minorEastAsia" w:eastAsiaTheme="minorEastAsia"/>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825" w:type="pct"/>
            <w:vMerge w:val="restart"/>
            <w:tcBorders>
              <w:top w:val="single" w:color="auto" w:sz="6" w:space="0"/>
              <w:left w:val="single" w:color="auto" w:sz="12" w:space="0"/>
              <w:bottom w:val="single" w:color="auto" w:sz="6" w:space="0"/>
              <w:right w:val="single" w:color="auto" w:sz="6" w:space="0"/>
            </w:tcBorders>
            <w:vAlign w:val="center"/>
          </w:tcPr>
          <w:p>
            <w:pPr>
              <w:spacing w:line="360" w:lineRule="exact"/>
              <w:jc w:val="center"/>
              <w:rPr>
                <w:rFonts w:eastAsiaTheme="minorEastAsia"/>
                <w:szCs w:val="21"/>
              </w:rPr>
            </w:pPr>
            <w:r>
              <w:rPr>
                <w:rFonts w:hAnsiTheme="minorEastAsia" w:eastAsiaTheme="minorEastAsia"/>
                <w:szCs w:val="21"/>
              </w:rPr>
              <w:t>工业广场</w:t>
            </w:r>
          </w:p>
        </w:tc>
        <w:tc>
          <w:tcPr>
            <w:tcW w:w="460"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eastAsiaTheme="minorEastAsia"/>
                <w:szCs w:val="21"/>
              </w:rPr>
            </w:pPr>
            <w:r>
              <w:rPr>
                <w:rFonts w:eastAsiaTheme="minorEastAsia"/>
                <w:szCs w:val="21"/>
              </w:rPr>
              <w:t>1</w:t>
            </w:r>
            <w:r>
              <w:rPr>
                <w:rFonts w:eastAsiaTheme="minorEastAsia"/>
                <w:szCs w:val="21"/>
                <w:vertAlign w:val="superscript"/>
              </w:rPr>
              <w:t>#</w:t>
            </w:r>
          </w:p>
        </w:tc>
        <w:tc>
          <w:tcPr>
            <w:tcW w:w="844"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eastAsiaTheme="minorEastAsia"/>
                <w:szCs w:val="21"/>
              </w:rPr>
            </w:pPr>
            <w:r>
              <w:rPr>
                <w:rFonts w:hint="eastAsia" w:hAnsiTheme="minorEastAsia" w:eastAsiaTheme="minorEastAsia"/>
                <w:szCs w:val="21"/>
              </w:rPr>
              <w:t>招贤镇</w:t>
            </w:r>
          </w:p>
        </w:tc>
        <w:tc>
          <w:tcPr>
            <w:tcW w:w="921"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eastAsiaTheme="minorEastAsia"/>
                <w:szCs w:val="21"/>
              </w:rPr>
            </w:pPr>
            <w:r>
              <w:rPr>
                <w:rFonts w:eastAsiaTheme="minorEastAsia"/>
                <w:szCs w:val="21"/>
              </w:rPr>
              <w:t>NE</w:t>
            </w:r>
          </w:p>
        </w:tc>
        <w:tc>
          <w:tcPr>
            <w:tcW w:w="996"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eastAsiaTheme="minorEastAsia"/>
                <w:color w:val="000000"/>
                <w:szCs w:val="21"/>
              </w:rPr>
            </w:pPr>
            <w:r>
              <w:rPr>
                <w:rFonts w:eastAsiaTheme="minorEastAsia"/>
                <w:color w:val="000000"/>
                <w:szCs w:val="21"/>
              </w:rPr>
              <w:t>1.30</w:t>
            </w:r>
          </w:p>
        </w:tc>
        <w:tc>
          <w:tcPr>
            <w:tcW w:w="954"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220" w:lineRule="atLeast"/>
              <w:jc w:val="center"/>
              <w:rPr>
                <w:rFonts w:eastAsiaTheme="minorEastAsia"/>
                <w:color w:val="000000"/>
                <w:szCs w:val="21"/>
              </w:rPr>
            </w:pPr>
            <w:r>
              <w:rPr>
                <w:rFonts w:hint="eastAsia" w:eastAsiaTheme="minorEastAsia"/>
                <w:color w:val="000000"/>
                <w:szCs w:val="21"/>
              </w:rPr>
              <w:t>TSP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825" w:type="pct"/>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eastAsiaTheme="minorEastAsia"/>
                <w:szCs w:val="21"/>
              </w:rPr>
            </w:pPr>
          </w:p>
        </w:tc>
        <w:tc>
          <w:tcPr>
            <w:tcW w:w="460"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eastAsiaTheme="minorEastAsia"/>
                <w:szCs w:val="21"/>
              </w:rPr>
            </w:pPr>
            <w:r>
              <w:rPr>
                <w:rFonts w:eastAsiaTheme="minorEastAsia"/>
                <w:szCs w:val="21"/>
              </w:rPr>
              <w:t>2</w:t>
            </w:r>
            <w:r>
              <w:rPr>
                <w:rFonts w:eastAsiaTheme="minorEastAsia"/>
                <w:szCs w:val="21"/>
                <w:vertAlign w:val="superscript"/>
              </w:rPr>
              <w:t>#</w:t>
            </w:r>
          </w:p>
        </w:tc>
        <w:tc>
          <w:tcPr>
            <w:tcW w:w="844"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eastAsiaTheme="minorEastAsia"/>
                <w:szCs w:val="21"/>
              </w:rPr>
            </w:pPr>
            <w:r>
              <w:rPr>
                <w:rFonts w:hint="eastAsia" w:hAnsiTheme="minorEastAsia" w:eastAsiaTheme="minorEastAsia"/>
                <w:szCs w:val="21"/>
              </w:rPr>
              <w:t>龙王殿村</w:t>
            </w:r>
          </w:p>
        </w:tc>
        <w:tc>
          <w:tcPr>
            <w:tcW w:w="921"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eastAsiaTheme="minorEastAsia"/>
                <w:szCs w:val="21"/>
              </w:rPr>
            </w:pPr>
            <w:r>
              <w:rPr>
                <w:rFonts w:eastAsiaTheme="minorEastAsia"/>
                <w:szCs w:val="21"/>
              </w:rPr>
              <w:t>SW</w:t>
            </w:r>
          </w:p>
        </w:tc>
        <w:tc>
          <w:tcPr>
            <w:tcW w:w="996"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eastAsiaTheme="minorEastAsia"/>
                <w:color w:val="000000"/>
                <w:szCs w:val="21"/>
              </w:rPr>
            </w:pPr>
            <w:r>
              <w:rPr>
                <w:rFonts w:eastAsiaTheme="minorEastAsia"/>
                <w:color w:val="000000"/>
                <w:szCs w:val="21"/>
              </w:rPr>
              <w:t>1.15</w:t>
            </w:r>
          </w:p>
        </w:tc>
        <w:tc>
          <w:tcPr>
            <w:tcW w:w="954"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220" w:lineRule="atLeast"/>
              <w:jc w:val="center"/>
              <w:rPr>
                <w:rFonts w:eastAsiaTheme="minorEastAsia"/>
                <w:color w:val="000000"/>
                <w:szCs w:val="21"/>
              </w:rPr>
            </w:pPr>
            <w:r>
              <w:rPr>
                <w:rFonts w:hint="eastAsia" w:eastAsiaTheme="minorEastAsia"/>
                <w:color w:val="000000"/>
                <w:szCs w:val="21"/>
              </w:rPr>
              <w:t>TSP</w:t>
            </w:r>
          </w:p>
        </w:tc>
      </w:tr>
    </w:tbl>
    <w:p>
      <w:pPr>
        <w:adjustRightInd w:val="0"/>
        <w:spacing w:line="360" w:lineRule="auto"/>
        <w:ind w:firstLine="480" w:firstLineChars="200"/>
        <w:textAlignment w:val="baseline"/>
        <w:rPr>
          <w:rFonts w:eastAsiaTheme="minorEastAsia"/>
          <w:sz w:val="24"/>
          <w:szCs w:val="22"/>
        </w:rPr>
      </w:pPr>
      <w:r>
        <w:rPr>
          <w:rFonts w:hAnsiTheme="minorEastAsia" w:eastAsiaTheme="minorEastAsia"/>
          <w:sz w:val="24"/>
          <w:szCs w:val="22"/>
        </w:rPr>
        <w:t>（</w:t>
      </w:r>
      <w:r>
        <w:rPr>
          <w:rFonts w:eastAsiaTheme="minorEastAsia"/>
          <w:sz w:val="24"/>
          <w:szCs w:val="22"/>
        </w:rPr>
        <w:t>2</w:t>
      </w:r>
      <w:r>
        <w:rPr>
          <w:rFonts w:hAnsiTheme="minorEastAsia" w:eastAsiaTheme="minorEastAsia"/>
          <w:sz w:val="24"/>
          <w:szCs w:val="22"/>
        </w:rPr>
        <w:t>）监测时间</w:t>
      </w:r>
    </w:p>
    <w:p>
      <w:pPr>
        <w:adjustRightInd w:val="0"/>
        <w:spacing w:line="360" w:lineRule="auto"/>
        <w:ind w:firstLine="480" w:firstLineChars="200"/>
        <w:textAlignment w:val="baseline"/>
        <w:rPr>
          <w:rFonts w:eastAsiaTheme="minorEastAsia"/>
          <w:kern w:val="0"/>
          <w:sz w:val="24"/>
          <w:szCs w:val="20"/>
        </w:rPr>
      </w:pPr>
      <w:r>
        <w:rPr>
          <w:rFonts w:hAnsiTheme="minorEastAsia" w:eastAsiaTheme="minorEastAsia"/>
          <w:kern w:val="0"/>
          <w:sz w:val="24"/>
          <w:szCs w:val="20"/>
        </w:rPr>
        <w:t>监测时间为</w:t>
      </w:r>
      <w:r>
        <w:rPr>
          <w:rFonts w:hint="eastAsia" w:hAnsiTheme="minorEastAsia" w:eastAsiaTheme="minorEastAsia"/>
          <w:sz w:val="24"/>
        </w:rPr>
        <w:t>2021年</w:t>
      </w:r>
      <w:r>
        <w:rPr>
          <w:rFonts w:hint="eastAsia" w:eastAsiaTheme="minorEastAsia"/>
          <w:sz w:val="24"/>
        </w:rPr>
        <w:t>3月23日-3月31日</w:t>
      </w:r>
      <w:r>
        <w:rPr>
          <w:rFonts w:hAnsiTheme="minorEastAsia" w:eastAsiaTheme="minorEastAsia"/>
          <w:kern w:val="0"/>
          <w:sz w:val="24"/>
          <w:szCs w:val="20"/>
        </w:rPr>
        <w:t>。连续监测</w:t>
      </w:r>
      <w:r>
        <w:rPr>
          <w:rFonts w:eastAsiaTheme="minorEastAsia"/>
          <w:kern w:val="0"/>
          <w:sz w:val="24"/>
          <w:szCs w:val="20"/>
        </w:rPr>
        <w:t>7</w:t>
      </w:r>
      <w:r>
        <w:rPr>
          <w:rFonts w:hAnsiTheme="minorEastAsia" w:eastAsiaTheme="minorEastAsia"/>
          <w:kern w:val="0"/>
          <w:sz w:val="24"/>
          <w:szCs w:val="20"/>
        </w:rPr>
        <w:t>天，</w:t>
      </w:r>
      <w:r>
        <w:rPr>
          <w:rFonts w:eastAsiaTheme="minorEastAsia"/>
          <w:kern w:val="0"/>
          <w:sz w:val="24"/>
          <w:szCs w:val="20"/>
        </w:rPr>
        <w:t>TSP</w:t>
      </w:r>
      <w:r>
        <w:rPr>
          <w:rFonts w:hAnsiTheme="minorEastAsia" w:eastAsiaTheme="minorEastAsia"/>
          <w:kern w:val="0"/>
          <w:sz w:val="24"/>
          <w:szCs w:val="20"/>
        </w:rPr>
        <w:t>每天采样</w:t>
      </w:r>
      <w:r>
        <w:rPr>
          <w:rFonts w:eastAsiaTheme="minorEastAsia"/>
          <w:kern w:val="0"/>
          <w:sz w:val="24"/>
          <w:szCs w:val="20"/>
        </w:rPr>
        <w:t>24</w:t>
      </w:r>
      <w:r>
        <w:rPr>
          <w:rFonts w:hAnsiTheme="minorEastAsia" w:eastAsiaTheme="minorEastAsia"/>
          <w:kern w:val="0"/>
          <w:sz w:val="24"/>
          <w:szCs w:val="20"/>
        </w:rPr>
        <w:t>小时，同时记录风速、风向、气温、气压、云量和天气状况等常规气象要素。</w:t>
      </w:r>
    </w:p>
    <w:p>
      <w:pPr>
        <w:adjustRightInd w:val="0"/>
        <w:spacing w:line="360" w:lineRule="auto"/>
        <w:ind w:firstLine="480" w:firstLineChars="200"/>
        <w:textAlignment w:val="baseline"/>
        <w:rPr>
          <w:rFonts w:eastAsiaTheme="minorEastAsia"/>
          <w:sz w:val="24"/>
          <w:szCs w:val="22"/>
        </w:rPr>
      </w:pPr>
      <w:r>
        <w:rPr>
          <w:rFonts w:hAnsiTheme="minorEastAsia" w:eastAsiaTheme="minorEastAsia"/>
          <w:sz w:val="24"/>
          <w:szCs w:val="22"/>
        </w:rPr>
        <w:t>（</w:t>
      </w:r>
      <w:r>
        <w:rPr>
          <w:rFonts w:eastAsiaTheme="minorEastAsia"/>
          <w:sz w:val="24"/>
          <w:szCs w:val="22"/>
        </w:rPr>
        <w:t>3</w:t>
      </w:r>
      <w:r>
        <w:rPr>
          <w:rFonts w:hAnsiTheme="minorEastAsia" w:eastAsiaTheme="minorEastAsia"/>
          <w:sz w:val="24"/>
          <w:szCs w:val="22"/>
        </w:rPr>
        <w:t>）采样及分析方法</w:t>
      </w:r>
    </w:p>
    <w:p>
      <w:pPr>
        <w:adjustRightInd w:val="0"/>
        <w:spacing w:line="360" w:lineRule="auto"/>
        <w:ind w:firstLine="480" w:firstLineChars="200"/>
        <w:textAlignment w:val="baseline"/>
        <w:rPr>
          <w:rFonts w:eastAsiaTheme="minorEastAsia"/>
          <w:sz w:val="24"/>
        </w:rPr>
      </w:pPr>
      <w:r>
        <w:rPr>
          <w:rFonts w:hAnsiTheme="minorEastAsia" w:eastAsiaTheme="minorEastAsia"/>
          <w:sz w:val="24"/>
        </w:rPr>
        <w:t>采样及分析方法按国家环保局《环境监测技术规范》（大气部分）和《空气和废气监测分析方法》进行。其分析方法见表</w:t>
      </w:r>
      <w:r>
        <w:rPr>
          <w:rFonts w:eastAsiaTheme="minorEastAsia"/>
          <w:sz w:val="24"/>
        </w:rPr>
        <w:t>4.3-</w:t>
      </w:r>
      <w:r>
        <w:rPr>
          <w:rFonts w:hint="eastAsia" w:eastAsiaTheme="minorEastAsia"/>
          <w:sz w:val="24"/>
        </w:rPr>
        <w:t>3</w:t>
      </w:r>
      <w:r>
        <w:rPr>
          <w:rFonts w:hAnsiTheme="minorEastAsia" w:eastAsiaTheme="minorEastAsia"/>
          <w:sz w:val="24"/>
        </w:rPr>
        <w:t>。</w:t>
      </w:r>
    </w:p>
    <w:p>
      <w:pPr>
        <w:spacing w:line="240" w:lineRule="atLeast"/>
        <w:jc w:val="center"/>
        <w:rPr>
          <w:rFonts w:eastAsiaTheme="minorEastAsia"/>
          <w:b/>
          <w:szCs w:val="21"/>
        </w:rPr>
      </w:pPr>
      <w:r>
        <w:rPr>
          <w:rFonts w:hAnsiTheme="minorEastAsia" w:eastAsiaTheme="minorEastAsia"/>
          <w:b/>
          <w:szCs w:val="21"/>
        </w:rPr>
        <w:t>表</w:t>
      </w:r>
      <w:r>
        <w:rPr>
          <w:rFonts w:eastAsiaTheme="minorEastAsia"/>
          <w:b/>
          <w:szCs w:val="21"/>
        </w:rPr>
        <w:t>4.3-</w:t>
      </w:r>
      <w:r>
        <w:rPr>
          <w:rFonts w:hint="eastAsia" w:eastAsiaTheme="minorEastAsia"/>
          <w:b/>
          <w:szCs w:val="21"/>
        </w:rPr>
        <w:t>3</w:t>
      </w:r>
      <w:r>
        <w:rPr>
          <w:rFonts w:eastAsiaTheme="minorEastAsia"/>
          <w:b/>
          <w:szCs w:val="21"/>
        </w:rPr>
        <w:t xml:space="preserve">  </w:t>
      </w:r>
      <w:r>
        <w:rPr>
          <w:rFonts w:hAnsiTheme="minorEastAsia" w:eastAsiaTheme="minorEastAsia"/>
          <w:b/>
          <w:szCs w:val="21"/>
        </w:rPr>
        <w:t>监测项目采样及分析方法</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06"/>
        <w:gridCol w:w="917"/>
        <w:gridCol w:w="1125"/>
        <w:gridCol w:w="1832"/>
        <w:gridCol w:w="3039"/>
        <w:gridCol w:w="12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2" w:hRule="atLeast"/>
          <w:tblHeader/>
        </w:trPr>
        <w:tc>
          <w:tcPr>
            <w:tcW w:w="291" w:type="pct"/>
            <w:vAlign w:val="center"/>
          </w:tcPr>
          <w:p>
            <w:pPr>
              <w:ind w:left="-105" w:right="-105"/>
              <w:jc w:val="center"/>
              <w:rPr>
                <w:rFonts w:eastAsiaTheme="minorEastAsia"/>
                <w:szCs w:val="21"/>
              </w:rPr>
            </w:pPr>
            <w:r>
              <w:rPr>
                <w:rFonts w:hAnsiTheme="minorEastAsia" w:eastAsiaTheme="minorEastAsia"/>
                <w:szCs w:val="21"/>
              </w:rPr>
              <w:t>序号</w:t>
            </w:r>
          </w:p>
        </w:tc>
        <w:tc>
          <w:tcPr>
            <w:tcW w:w="527" w:type="pct"/>
            <w:vAlign w:val="center"/>
          </w:tcPr>
          <w:p>
            <w:pPr>
              <w:ind w:left="-105" w:right="-105"/>
              <w:jc w:val="center"/>
              <w:rPr>
                <w:rFonts w:eastAsiaTheme="minorEastAsia"/>
                <w:szCs w:val="21"/>
              </w:rPr>
            </w:pPr>
            <w:r>
              <w:rPr>
                <w:rFonts w:hAnsiTheme="minorEastAsia" w:eastAsiaTheme="minorEastAsia"/>
                <w:szCs w:val="21"/>
              </w:rPr>
              <w:t>监测</w:t>
            </w:r>
          </w:p>
          <w:p>
            <w:pPr>
              <w:ind w:left="-105" w:right="-105"/>
              <w:jc w:val="center"/>
              <w:rPr>
                <w:rFonts w:eastAsiaTheme="minorEastAsia"/>
                <w:szCs w:val="21"/>
              </w:rPr>
            </w:pPr>
            <w:r>
              <w:rPr>
                <w:rFonts w:hAnsiTheme="minorEastAsia" w:eastAsiaTheme="minorEastAsia"/>
                <w:szCs w:val="21"/>
              </w:rPr>
              <w:t>类别</w:t>
            </w:r>
          </w:p>
        </w:tc>
        <w:tc>
          <w:tcPr>
            <w:tcW w:w="647" w:type="pct"/>
            <w:vAlign w:val="center"/>
          </w:tcPr>
          <w:p>
            <w:pPr>
              <w:ind w:left="-105" w:right="-105"/>
              <w:jc w:val="center"/>
              <w:rPr>
                <w:rFonts w:eastAsiaTheme="minorEastAsia"/>
                <w:szCs w:val="21"/>
              </w:rPr>
            </w:pPr>
            <w:r>
              <w:rPr>
                <w:rFonts w:hAnsiTheme="minorEastAsia" w:eastAsiaTheme="minorEastAsia"/>
                <w:szCs w:val="21"/>
              </w:rPr>
              <w:t>监测项目</w:t>
            </w:r>
          </w:p>
        </w:tc>
        <w:tc>
          <w:tcPr>
            <w:tcW w:w="1053" w:type="pct"/>
            <w:vAlign w:val="center"/>
          </w:tcPr>
          <w:p>
            <w:pPr>
              <w:ind w:left="-105" w:right="-105"/>
              <w:jc w:val="center"/>
              <w:rPr>
                <w:rFonts w:eastAsiaTheme="minorEastAsia"/>
                <w:szCs w:val="21"/>
              </w:rPr>
            </w:pPr>
            <w:r>
              <w:rPr>
                <w:rFonts w:hAnsiTheme="minorEastAsia" w:eastAsiaTheme="minorEastAsia"/>
                <w:szCs w:val="21"/>
              </w:rPr>
              <w:t>采样方法</w:t>
            </w:r>
          </w:p>
          <w:p>
            <w:pPr>
              <w:ind w:left="-105" w:right="-105"/>
              <w:jc w:val="center"/>
              <w:rPr>
                <w:rFonts w:eastAsiaTheme="minorEastAsia"/>
                <w:szCs w:val="21"/>
              </w:rPr>
            </w:pPr>
            <w:r>
              <w:rPr>
                <w:rFonts w:hAnsiTheme="minorEastAsia" w:eastAsiaTheme="minorEastAsia"/>
                <w:szCs w:val="21"/>
              </w:rPr>
              <w:t>依据</w:t>
            </w:r>
            <w:r>
              <w:rPr>
                <w:rFonts w:eastAsiaTheme="minorEastAsia"/>
                <w:szCs w:val="21"/>
              </w:rPr>
              <w:t>(</w:t>
            </w:r>
            <w:r>
              <w:rPr>
                <w:rFonts w:hAnsiTheme="minorEastAsia" w:eastAsiaTheme="minorEastAsia"/>
                <w:szCs w:val="21"/>
              </w:rPr>
              <w:t>标准</w:t>
            </w:r>
          </w:p>
          <w:p>
            <w:pPr>
              <w:ind w:left="-105" w:right="-105"/>
              <w:jc w:val="center"/>
              <w:rPr>
                <w:rFonts w:eastAsiaTheme="minorEastAsia"/>
                <w:szCs w:val="21"/>
              </w:rPr>
            </w:pPr>
            <w:r>
              <w:rPr>
                <w:rFonts w:hAnsiTheme="minorEastAsia" w:eastAsiaTheme="minorEastAsia"/>
                <w:szCs w:val="21"/>
              </w:rPr>
              <w:t>名称及编号</w:t>
            </w:r>
            <w:r>
              <w:rPr>
                <w:rFonts w:eastAsiaTheme="minorEastAsia"/>
                <w:szCs w:val="21"/>
              </w:rPr>
              <w:t>)</w:t>
            </w:r>
          </w:p>
        </w:tc>
        <w:tc>
          <w:tcPr>
            <w:tcW w:w="1747" w:type="pct"/>
            <w:vAlign w:val="center"/>
          </w:tcPr>
          <w:p>
            <w:pPr>
              <w:ind w:left="-105" w:right="-105"/>
              <w:jc w:val="center"/>
              <w:rPr>
                <w:rFonts w:eastAsiaTheme="minorEastAsia"/>
                <w:szCs w:val="21"/>
              </w:rPr>
            </w:pPr>
            <w:r>
              <w:rPr>
                <w:rFonts w:hAnsiTheme="minorEastAsia" w:eastAsiaTheme="minorEastAsia"/>
                <w:szCs w:val="21"/>
              </w:rPr>
              <w:t>分析方法依据</w:t>
            </w:r>
          </w:p>
          <w:p>
            <w:pPr>
              <w:ind w:left="-105" w:right="-105"/>
              <w:jc w:val="center"/>
              <w:rPr>
                <w:rFonts w:eastAsiaTheme="minorEastAsia"/>
                <w:szCs w:val="21"/>
              </w:rPr>
            </w:pPr>
            <w:r>
              <w:rPr>
                <w:rFonts w:hAnsiTheme="minorEastAsia" w:eastAsiaTheme="minorEastAsia"/>
                <w:szCs w:val="21"/>
              </w:rPr>
              <w:t>（标准名称及编号）</w:t>
            </w:r>
          </w:p>
        </w:tc>
        <w:tc>
          <w:tcPr>
            <w:tcW w:w="735" w:type="pct"/>
            <w:vAlign w:val="center"/>
          </w:tcPr>
          <w:p>
            <w:pPr>
              <w:ind w:left="-105" w:right="-105"/>
              <w:jc w:val="center"/>
              <w:rPr>
                <w:rFonts w:eastAsiaTheme="minorEastAsia"/>
                <w:szCs w:val="21"/>
              </w:rPr>
            </w:pPr>
            <w:r>
              <w:rPr>
                <w:rFonts w:hAnsiTheme="minorEastAsia" w:eastAsiaTheme="minorEastAsia"/>
                <w:szCs w:val="21"/>
              </w:rPr>
              <w:t>分析方法</w:t>
            </w:r>
          </w:p>
          <w:p>
            <w:pPr>
              <w:ind w:left="-105" w:right="-105"/>
              <w:jc w:val="center"/>
              <w:rPr>
                <w:rFonts w:eastAsiaTheme="minorEastAsia"/>
                <w:szCs w:val="21"/>
              </w:rPr>
            </w:pPr>
            <w:r>
              <w:rPr>
                <w:rFonts w:hAnsiTheme="minorEastAsia" w:eastAsiaTheme="minorEastAsia"/>
                <w:szCs w:val="21"/>
              </w:rPr>
              <w:t>检出限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blHeader/>
        </w:trPr>
        <w:tc>
          <w:tcPr>
            <w:tcW w:w="291" w:type="pct"/>
            <w:vAlign w:val="center"/>
          </w:tcPr>
          <w:p>
            <w:pPr>
              <w:ind w:left="-105" w:right="-105"/>
              <w:jc w:val="center"/>
              <w:rPr>
                <w:rFonts w:eastAsiaTheme="minorEastAsia"/>
                <w:szCs w:val="21"/>
              </w:rPr>
            </w:pPr>
            <w:r>
              <w:rPr>
                <w:rFonts w:eastAsiaTheme="minorEastAsia"/>
                <w:szCs w:val="21"/>
              </w:rPr>
              <w:t>1</w:t>
            </w:r>
          </w:p>
        </w:tc>
        <w:tc>
          <w:tcPr>
            <w:tcW w:w="527" w:type="pct"/>
            <w:vAlign w:val="center"/>
          </w:tcPr>
          <w:p>
            <w:pPr>
              <w:ind w:right="-105"/>
              <w:jc w:val="center"/>
              <w:rPr>
                <w:rFonts w:eastAsiaTheme="minorEastAsia"/>
                <w:szCs w:val="21"/>
              </w:rPr>
            </w:pPr>
            <w:r>
              <w:rPr>
                <w:rFonts w:hAnsiTheme="minorEastAsia" w:eastAsiaTheme="minorEastAsia"/>
                <w:szCs w:val="21"/>
              </w:rPr>
              <w:t>环境空气</w:t>
            </w:r>
          </w:p>
        </w:tc>
        <w:tc>
          <w:tcPr>
            <w:tcW w:w="647" w:type="pct"/>
            <w:vAlign w:val="center"/>
          </w:tcPr>
          <w:p>
            <w:pPr>
              <w:adjustRightInd w:val="0"/>
              <w:snapToGrid w:val="0"/>
              <w:ind w:left="-105" w:right="-105"/>
              <w:jc w:val="center"/>
              <w:rPr>
                <w:rFonts w:eastAsiaTheme="minorEastAsia"/>
                <w:szCs w:val="21"/>
              </w:rPr>
            </w:pPr>
            <w:r>
              <w:rPr>
                <w:rFonts w:eastAsiaTheme="minorEastAsia"/>
                <w:szCs w:val="21"/>
              </w:rPr>
              <w:t>TSP</w:t>
            </w:r>
          </w:p>
        </w:tc>
        <w:tc>
          <w:tcPr>
            <w:tcW w:w="1053" w:type="pct"/>
            <w:vAlign w:val="center"/>
          </w:tcPr>
          <w:p>
            <w:pPr>
              <w:ind w:left="105" w:leftChars="50" w:right="105" w:rightChars="50"/>
              <w:jc w:val="center"/>
              <w:rPr>
                <w:rFonts w:eastAsiaTheme="minorEastAsia"/>
                <w:spacing w:val="-20"/>
                <w:szCs w:val="21"/>
              </w:rPr>
            </w:pPr>
            <w:r>
              <w:rPr>
                <w:rFonts w:hAnsiTheme="minorEastAsia" w:eastAsiaTheme="minorEastAsia"/>
                <w:szCs w:val="21"/>
              </w:rPr>
              <w:t>《环境空气质量手工监测技术规范》（</w:t>
            </w:r>
            <w:r>
              <w:rPr>
                <w:rFonts w:eastAsiaTheme="minorEastAsia"/>
                <w:szCs w:val="21"/>
              </w:rPr>
              <w:t>HJ 194-2017</w:t>
            </w:r>
            <w:r>
              <w:rPr>
                <w:rFonts w:hAnsiTheme="minorEastAsia" w:eastAsiaTheme="minorEastAsia"/>
                <w:szCs w:val="21"/>
              </w:rPr>
              <w:t>）</w:t>
            </w:r>
          </w:p>
        </w:tc>
        <w:tc>
          <w:tcPr>
            <w:tcW w:w="1747" w:type="pct"/>
            <w:vAlign w:val="center"/>
          </w:tcPr>
          <w:p>
            <w:pPr>
              <w:ind w:left="-105" w:right="-105"/>
              <w:jc w:val="center"/>
              <w:rPr>
                <w:rFonts w:eastAsiaTheme="minorEastAsia"/>
                <w:szCs w:val="21"/>
              </w:rPr>
            </w:pPr>
            <w:r>
              <w:rPr>
                <w:rFonts w:hAnsiTheme="minorEastAsia" w:eastAsiaTheme="minorEastAsia"/>
                <w:szCs w:val="21"/>
              </w:rPr>
              <w:t>重量法</w:t>
            </w:r>
            <w:r>
              <w:rPr>
                <w:rFonts w:eastAsiaTheme="minorEastAsia"/>
                <w:szCs w:val="21"/>
              </w:rPr>
              <w:t xml:space="preserve"> GB/T 15432-95</w:t>
            </w:r>
          </w:p>
        </w:tc>
        <w:tc>
          <w:tcPr>
            <w:tcW w:w="735" w:type="pct"/>
            <w:vAlign w:val="center"/>
          </w:tcPr>
          <w:p>
            <w:pPr>
              <w:ind w:left="-105" w:right="-105"/>
              <w:jc w:val="center"/>
              <w:rPr>
                <w:rFonts w:eastAsiaTheme="minorEastAsia"/>
                <w:szCs w:val="21"/>
              </w:rPr>
            </w:pPr>
            <w:r>
              <w:rPr>
                <w:rFonts w:eastAsiaTheme="minorEastAsia"/>
                <w:szCs w:val="21"/>
              </w:rPr>
              <w:t>0.001mg/m</w:t>
            </w:r>
            <w:r>
              <w:rPr>
                <w:rFonts w:eastAsiaTheme="minorEastAsia"/>
                <w:szCs w:val="21"/>
                <w:vertAlign w:val="superscript"/>
              </w:rPr>
              <w:t>3</w:t>
            </w:r>
          </w:p>
        </w:tc>
      </w:tr>
      <w:bookmarkEnd w:id="221"/>
    </w:tbl>
    <w:p>
      <w:pPr>
        <w:adjustRightInd w:val="0"/>
        <w:spacing w:line="360" w:lineRule="auto"/>
        <w:ind w:firstLine="480" w:firstLineChars="200"/>
        <w:textAlignment w:val="baseline"/>
        <w:rPr>
          <w:rFonts w:eastAsiaTheme="minorEastAsia"/>
          <w:sz w:val="24"/>
          <w:szCs w:val="22"/>
        </w:rPr>
      </w:pPr>
      <w:r>
        <w:rPr>
          <w:rFonts w:hAnsiTheme="minorEastAsia" w:eastAsiaTheme="minorEastAsia"/>
          <w:sz w:val="24"/>
          <w:szCs w:val="22"/>
        </w:rPr>
        <w:t>（</w:t>
      </w:r>
      <w:r>
        <w:rPr>
          <w:rFonts w:eastAsiaTheme="minorEastAsia"/>
          <w:sz w:val="24"/>
          <w:szCs w:val="22"/>
        </w:rPr>
        <w:t>4</w:t>
      </w:r>
      <w:r>
        <w:rPr>
          <w:rFonts w:hAnsiTheme="minorEastAsia" w:eastAsiaTheme="minorEastAsia"/>
          <w:sz w:val="24"/>
          <w:szCs w:val="22"/>
        </w:rPr>
        <w:t>）评价标准</w:t>
      </w:r>
    </w:p>
    <w:p>
      <w:pPr>
        <w:adjustRightInd w:val="0"/>
        <w:spacing w:line="360" w:lineRule="auto"/>
        <w:ind w:firstLine="480" w:firstLineChars="200"/>
        <w:textAlignment w:val="baseline"/>
        <w:rPr>
          <w:rFonts w:eastAsiaTheme="minorEastAsia"/>
          <w:sz w:val="24"/>
        </w:rPr>
      </w:pPr>
      <w:r>
        <w:rPr>
          <w:rFonts w:eastAsiaTheme="minorEastAsia"/>
          <w:sz w:val="24"/>
        </w:rPr>
        <w:t>TSP</w:t>
      </w:r>
      <w:r>
        <w:rPr>
          <w:rFonts w:hAnsiTheme="minorEastAsia" w:eastAsiaTheme="minorEastAsia"/>
          <w:sz w:val="24"/>
        </w:rPr>
        <w:t>环境空气质量现状评价采用《环境空气质量标准》</w:t>
      </w:r>
      <w:r>
        <w:rPr>
          <w:rFonts w:eastAsiaTheme="minorEastAsia"/>
          <w:sz w:val="24"/>
        </w:rPr>
        <w:t>GB3095-2012</w:t>
      </w:r>
      <w:r>
        <w:rPr>
          <w:rFonts w:hAnsiTheme="minorEastAsia" w:eastAsiaTheme="minorEastAsia"/>
          <w:sz w:val="24"/>
        </w:rPr>
        <w:t>二级标准，，各污染物采用的具体评价标准值见表</w:t>
      </w:r>
      <w:r>
        <w:rPr>
          <w:rFonts w:eastAsiaTheme="minorEastAsia"/>
          <w:sz w:val="24"/>
        </w:rPr>
        <w:t>4.3-</w:t>
      </w:r>
      <w:r>
        <w:rPr>
          <w:rFonts w:hint="eastAsia" w:eastAsiaTheme="minorEastAsia"/>
          <w:sz w:val="24"/>
        </w:rPr>
        <w:t>4</w:t>
      </w:r>
      <w:r>
        <w:rPr>
          <w:rFonts w:hAnsiTheme="minorEastAsia" w:eastAsiaTheme="minorEastAsia"/>
          <w:sz w:val="24"/>
        </w:rPr>
        <w:t>。</w:t>
      </w:r>
    </w:p>
    <w:p>
      <w:pPr>
        <w:spacing w:line="240" w:lineRule="atLeast"/>
        <w:jc w:val="center"/>
        <w:rPr>
          <w:rFonts w:eastAsiaTheme="minorEastAsia"/>
          <w:b/>
          <w:szCs w:val="21"/>
        </w:rPr>
      </w:pPr>
      <w:r>
        <w:rPr>
          <w:rFonts w:hAnsiTheme="minorEastAsia" w:eastAsiaTheme="minorEastAsia"/>
          <w:b/>
          <w:szCs w:val="21"/>
        </w:rPr>
        <w:t>表</w:t>
      </w:r>
      <w:r>
        <w:rPr>
          <w:rFonts w:eastAsiaTheme="minorEastAsia"/>
          <w:b/>
          <w:szCs w:val="21"/>
        </w:rPr>
        <w:t>4.3-</w:t>
      </w:r>
      <w:r>
        <w:rPr>
          <w:rFonts w:hint="eastAsia" w:eastAsiaTheme="minorEastAsia"/>
          <w:b/>
          <w:szCs w:val="21"/>
        </w:rPr>
        <w:t>4</w:t>
      </w:r>
      <w:r>
        <w:rPr>
          <w:rFonts w:eastAsiaTheme="minorEastAsia"/>
          <w:b/>
          <w:szCs w:val="21"/>
        </w:rPr>
        <w:t xml:space="preserve">  </w:t>
      </w:r>
      <w:r>
        <w:rPr>
          <w:rFonts w:hAnsiTheme="minorEastAsia" w:eastAsiaTheme="minorEastAsia"/>
          <w:b/>
          <w:szCs w:val="21"/>
        </w:rPr>
        <w:t>评价区环境空气质量评价标准</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49"/>
        <w:gridCol w:w="1887"/>
        <w:gridCol w:w="1887"/>
        <w:gridCol w:w="1521"/>
        <w:gridCol w:w="15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3" w:type="pct"/>
            <w:vAlign w:val="center"/>
          </w:tcPr>
          <w:p>
            <w:pPr>
              <w:spacing w:line="320" w:lineRule="exact"/>
              <w:jc w:val="center"/>
              <w:rPr>
                <w:rFonts w:eastAsiaTheme="minorEastAsia"/>
              </w:rPr>
            </w:pPr>
            <w:r>
              <w:rPr>
                <w:rFonts w:hAnsiTheme="minorEastAsia" w:eastAsiaTheme="minorEastAsia"/>
              </w:rPr>
              <w:t>评价因子</w:t>
            </w:r>
          </w:p>
        </w:tc>
        <w:tc>
          <w:tcPr>
            <w:tcW w:w="1062" w:type="pct"/>
            <w:vAlign w:val="center"/>
          </w:tcPr>
          <w:p>
            <w:pPr>
              <w:spacing w:line="320" w:lineRule="exact"/>
              <w:jc w:val="center"/>
              <w:rPr>
                <w:rFonts w:eastAsiaTheme="minorEastAsia"/>
              </w:rPr>
            </w:pPr>
            <w:r>
              <w:rPr>
                <w:rFonts w:hAnsiTheme="minorEastAsia" w:eastAsiaTheme="minorEastAsia"/>
              </w:rPr>
              <w:t>年平均</w:t>
            </w:r>
          </w:p>
        </w:tc>
        <w:tc>
          <w:tcPr>
            <w:tcW w:w="1062" w:type="pct"/>
            <w:vAlign w:val="center"/>
          </w:tcPr>
          <w:p>
            <w:pPr>
              <w:spacing w:line="320" w:lineRule="exact"/>
              <w:jc w:val="center"/>
              <w:rPr>
                <w:rFonts w:eastAsiaTheme="minorEastAsia"/>
              </w:rPr>
            </w:pPr>
            <w:r>
              <w:rPr>
                <w:rFonts w:eastAsiaTheme="minorEastAsia"/>
              </w:rPr>
              <w:t>24</w:t>
            </w:r>
            <w:r>
              <w:rPr>
                <w:rFonts w:hAnsiTheme="minorEastAsia" w:eastAsiaTheme="minorEastAsia"/>
              </w:rPr>
              <w:t>小时平均</w:t>
            </w:r>
          </w:p>
        </w:tc>
        <w:tc>
          <w:tcPr>
            <w:tcW w:w="856" w:type="pct"/>
            <w:vAlign w:val="center"/>
          </w:tcPr>
          <w:p>
            <w:pPr>
              <w:spacing w:line="320" w:lineRule="exact"/>
              <w:jc w:val="center"/>
              <w:rPr>
                <w:rFonts w:eastAsiaTheme="minorEastAsia"/>
              </w:rPr>
            </w:pPr>
            <w:r>
              <w:rPr>
                <w:rFonts w:eastAsiaTheme="minorEastAsia"/>
              </w:rPr>
              <w:t>1</w:t>
            </w:r>
            <w:r>
              <w:rPr>
                <w:rFonts w:hAnsiTheme="minorEastAsia" w:eastAsiaTheme="minorEastAsia"/>
              </w:rPr>
              <w:t>时平均</w:t>
            </w:r>
          </w:p>
        </w:tc>
        <w:tc>
          <w:tcPr>
            <w:tcW w:w="866" w:type="pct"/>
            <w:vAlign w:val="center"/>
          </w:tcPr>
          <w:p>
            <w:pPr>
              <w:spacing w:line="320" w:lineRule="exact"/>
              <w:jc w:val="center"/>
              <w:rPr>
                <w:rFonts w:eastAsiaTheme="minorEastAsia"/>
              </w:rPr>
            </w:pPr>
            <w:r>
              <w:rPr>
                <w:rFonts w:hAnsiTheme="minorEastAsia" w:eastAsiaTheme="minorEastAsia"/>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53" w:type="pct"/>
            <w:vAlign w:val="center"/>
          </w:tcPr>
          <w:p>
            <w:pPr>
              <w:spacing w:line="320" w:lineRule="exact"/>
              <w:jc w:val="center"/>
              <w:rPr>
                <w:rFonts w:eastAsiaTheme="minorEastAsia"/>
              </w:rPr>
            </w:pPr>
            <w:r>
              <w:rPr>
                <w:rFonts w:eastAsiaTheme="minorEastAsia"/>
              </w:rPr>
              <w:t>TSP</w:t>
            </w:r>
          </w:p>
        </w:tc>
        <w:tc>
          <w:tcPr>
            <w:tcW w:w="1062" w:type="pct"/>
            <w:vAlign w:val="center"/>
          </w:tcPr>
          <w:p>
            <w:pPr>
              <w:spacing w:line="320" w:lineRule="exact"/>
              <w:jc w:val="center"/>
              <w:rPr>
                <w:rFonts w:eastAsiaTheme="minorEastAsia"/>
              </w:rPr>
            </w:pPr>
            <w:r>
              <w:rPr>
                <w:rFonts w:eastAsiaTheme="minorEastAsia"/>
              </w:rPr>
              <w:t>200</w:t>
            </w:r>
          </w:p>
        </w:tc>
        <w:tc>
          <w:tcPr>
            <w:tcW w:w="1062" w:type="pct"/>
            <w:vAlign w:val="center"/>
          </w:tcPr>
          <w:p>
            <w:pPr>
              <w:spacing w:line="320" w:lineRule="exact"/>
              <w:jc w:val="center"/>
              <w:rPr>
                <w:rFonts w:eastAsiaTheme="minorEastAsia"/>
              </w:rPr>
            </w:pPr>
            <w:r>
              <w:rPr>
                <w:rFonts w:eastAsiaTheme="minorEastAsia"/>
              </w:rPr>
              <w:t>300</w:t>
            </w:r>
          </w:p>
        </w:tc>
        <w:tc>
          <w:tcPr>
            <w:tcW w:w="856" w:type="pct"/>
            <w:vAlign w:val="center"/>
          </w:tcPr>
          <w:p>
            <w:pPr>
              <w:spacing w:line="320" w:lineRule="exact"/>
              <w:jc w:val="center"/>
              <w:rPr>
                <w:rFonts w:eastAsiaTheme="minorEastAsia"/>
              </w:rPr>
            </w:pPr>
            <w:r>
              <w:rPr>
                <w:rFonts w:eastAsiaTheme="minorEastAsia"/>
              </w:rPr>
              <w:t>-</w:t>
            </w:r>
          </w:p>
        </w:tc>
        <w:tc>
          <w:tcPr>
            <w:tcW w:w="866" w:type="pct"/>
            <w:vAlign w:val="center"/>
          </w:tcPr>
          <w:p>
            <w:pPr>
              <w:spacing w:line="420" w:lineRule="exact"/>
              <w:jc w:val="center"/>
              <w:rPr>
                <w:rFonts w:eastAsiaTheme="minorEastAsia"/>
              </w:rPr>
            </w:pPr>
            <w:r>
              <w:rPr>
                <w:rFonts w:eastAsiaTheme="minorEastAsia"/>
              </w:rPr>
              <w:t>ug/ Nm</w:t>
            </w:r>
            <w:r>
              <w:rPr>
                <w:rFonts w:eastAsiaTheme="minorEastAsia"/>
                <w:vertAlign w:val="superscript"/>
              </w:rPr>
              <w:t>3</w:t>
            </w:r>
          </w:p>
        </w:tc>
      </w:tr>
    </w:tbl>
    <w:p>
      <w:pPr>
        <w:adjustRightInd w:val="0"/>
        <w:spacing w:line="360" w:lineRule="auto"/>
        <w:ind w:firstLine="480" w:firstLineChars="200"/>
        <w:textAlignment w:val="baseline"/>
        <w:rPr>
          <w:rFonts w:eastAsiaTheme="minorEastAsia"/>
          <w:sz w:val="24"/>
          <w:szCs w:val="22"/>
        </w:rPr>
      </w:pPr>
      <w:r>
        <w:rPr>
          <w:rFonts w:hAnsiTheme="minorEastAsia" w:eastAsiaTheme="minorEastAsia"/>
          <w:sz w:val="24"/>
          <w:szCs w:val="22"/>
        </w:rPr>
        <w:t>（</w:t>
      </w:r>
      <w:r>
        <w:rPr>
          <w:rFonts w:eastAsiaTheme="minorEastAsia"/>
          <w:sz w:val="24"/>
          <w:szCs w:val="22"/>
        </w:rPr>
        <w:t>5</w:t>
      </w:r>
      <w:r>
        <w:rPr>
          <w:rFonts w:hAnsiTheme="minorEastAsia" w:eastAsiaTheme="minorEastAsia"/>
          <w:sz w:val="24"/>
          <w:szCs w:val="22"/>
        </w:rPr>
        <w:t>）现状监测结果分析</w:t>
      </w:r>
    </w:p>
    <w:p>
      <w:pPr>
        <w:adjustRightInd w:val="0"/>
        <w:spacing w:line="360" w:lineRule="auto"/>
        <w:ind w:firstLine="480" w:firstLineChars="200"/>
        <w:textAlignment w:val="baseline"/>
        <w:rPr>
          <w:rFonts w:eastAsiaTheme="minorEastAsia"/>
          <w:sz w:val="24"/>
        </w:rPr>
      </w:pPr>
      <w:r>
        <w:rPr>
          <w:rFonts w:hAnsiTheme="minorEastAsia" w:eastAsiaTheme="minorEastAsia"/>
          <w:sz w:val="24"/>
        </w:rPr>
        <w:t>监测数据统计结果分别见表</w:t>
      </w:r>
      <w:r>
        <w:rPr>
          <w:rFonts w:eastAsiaTheme="minorEastAsia"/>
          <w:sz w:val="24"/>
        </w:rPr>
        <w:t>4.3-</w:t>
      </w:r>
      <w:r>
        <w:rPr>
          <w:rFonts w:hint="eastAsia" w:eastAsiaTheme="minorEastAsia"/>
          <w:sz w:val="24"/>
        </w:rPr>
        <w:t>5</w:t>
      </w:r>
      <w:r>
        <w:rPr>
          <w:rFonts w:hAnsiTheme="minorEastAsia" w:eastAsiaTheme="minorEastAsia"/>
          <w:sz w:val="24"/>
        </w:rPr>
        <w:t>，监测结果分析如下：</w:t>
      </w:r>
    </w:p>
    <w:p>
      <w:pPr>
        <w:spacing w:line="240" w:lineRule="atLeast"/>
        <w:jc w:val="center"/>
        <w:rPr>
          <w:rFonts w:eastAsiaTheme="minorEastAsia"/>
          <w:b/>
          <w:szCs w:val="21"/>
        </w:rPr>
      </w:pPr>
      <w:r>
        <w:rPr>
          <w:rFonts w:hAnsiTheme="minorEastAsia" w:eastAsiaTheme="minorEastAsia"/>
          <w:b/>
          <w:szCs w:val="21"/>
        </w:rPr>
        <w:t>表</w:t>
      </w:r>
      <w:r>
        <w:rPr>
          <w:rFonts w:eastAsiaTheme="minorEastAsia"/>
          <w:b/>
          <w:szCs w:val="21"/>
        </w:rPr>
        <w:t>4.3-</w:t>
      </w:r>
      <w:r>
        <w:rPr>
          <w:rFonts w:hint="eastAsia" w:eastAsiaTheme="minorEastAsia"/>
          <w:b/>
          <w:szCs w:val="21"/>
        </w:rPr>
        <w:t>5</w:t>
      </w:r>
      <w:r>
        <w:rPr>
          <w:rFonts w:eastAsiaTheme="minorEastAsia"/>
          <w:b/>
          <w:szCs w:val="21"/>
        </w:rPr>
        <w:t xml:space="preserve">  TSP</w:t>
      </w:r>
      <w:r>
        <w:rPr>
          <w:rFonts w:hAnsiTheme="minorEastAsia" w:eastAsiaTheme="minorEastAsia"/>
          <w:b/>
          <w:szCs w:val="21"/>
        </w:rPr>
        <w:t>监测数据统计表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0"/>
        <w:gridCol w:w="1549"/>
        <w:gridCol w:w="1690"/>
        <w:gridCol w:w="1126"/>
        <w:gridCol w:w="1048"/>
        <w:gridCol w:w="1626"/>
        <w:gridCol w:w="8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5" w:type="pct"/>
            <w:vAlign w:val="center"/>
          </w:tcPr>
          <w:p>
            <w:pPr>
              <w:spacing w:line="360" w:lineRule="exact"/>
              <w:jc w:val="center"/>
            </w:pPr>
            <w:r>
              <w:t>序号</w:t>
            </w:r>
          </w:p>
        </w:tc>
        <w:tc>
          <w:tcPr>
            <w:tcW w:w="872" w:type="pct"/>
            <w:vAlign w:val="center"/>
          </w:tcPr>
          <w:p>
            <w:pPr>
              <w:spacing w:line="360" w:lineRule="exact"/>
              <w:jc w:val="center"/>
            </w:pPr>
            <w:r>
              <w:t>监测点</w:t>
            </w:r>
          </w:p>
        </w:tc>
        <w:tc>
          <w:tcPr>
            <w:tcW w:w="951" w:type="pct"/>
            <w:vAlign w:val="center"/>
          </w:tcPr>
          <w:p>
            <w:pPr>
              <w:spacing w:line="360" w:lineRule="exact"/>
              <w:jc w:val="center"/>
            </w:pPr>
            <w:r>
              <w:t>日均浓度监测结果（mg/Nm</w:t>
            </w:r>
            <w:r>
              <w:rPr>
                <w:vertAlign w:val="superscript"/>
              </w:rPr>
              <w:t>3</w:t>
            </w:r>
            <w:r>
              <w:t>）</w:t>
            </w:r>
          </w:p>
        </w:tc>
        <w:tc>
          <w:tcPr>
            <w:tcW w:w="634" w:type="pct"/>
            <w:vAlign w:val="center"/>
          </w:tcPr>
          <w:p>
            <w:pPr>
              <w:spacing w:line="360" w:lineRule="exact"/>
              <w:jc w:val="center"/>
            </w:pPr>
            <w:r>
              <w:t>样本个数</w:t>
            </w:r>
          </w:p>
        </w:tc>
        <w:tc>
          <w:tcPr>
            <w:tcW w:w="590" w:type="pct"/>
            <w:vAlign w:val="center"/>
          </w:tcPr>
          <w:p>
            <w:pPr>
              <w:spacing w:line="360" w:lineRule="exact"/>
              <w:jc w:val="center"/>
            </w:pPr>
            <w:r>
              <w:t>超标个数</w:t>
            </w:r>
          </w:p>
        </w:tc>
        <w:tc>
          <w:tcPr>
            <w:tcW w:w="915" w:type="pct"/>
            <w:vAlign w:val="center"/>
          </w:tcPr>
          <w:p>
            <w:pPr>
              <w:spacing w:line="360" w:lineRule="exact"/>
              <w:jc w:val="center"/>
            </w:pPr>
            <w:r>
              <w:t>最大浓度占标率</w:t>
            </w:r>
          </w:p>
        </w:tc>
        <w:tc>
          <w:tcPr>
            <w:tcW w:w="503" w:type="pct"/>
            <w:vAlign w:val="center"/>
          </w:tcPr>
          <w:p>
            <w:pPr>
              <w:spacing w:line="360" w:lineRule="exact"/>
              <w:jc w:val="center"/>
            </w:pPr>
            <w:r>
              <w:t>达标分析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5" w:type="pct"/>
            <w:vMerge w:val="restart"/>
            <w:vAlign w:val="center"/>
          </w:tcPr>
          <w:p>
            <w:pPr>
              <w:spacing w:line="360" w:lineRule="exact"/>
              <w:jc w:val="center"/>
              <w:rPr>
                <w:rFonts w:eastAsiaTheme="minorEastAsia"/>
                <w:szCs w:val="21"/>
              </w:rPr>
            </w:pPr>
            <w:r>
              <w:rPr>
                <w:rFonts w:hAnsiTheme="minorEastAsia" w:eastAsiaTheme="minorEastAsia"/>
                <w:szCs w:val="21"/>
              </w:rPr>
              <w:t>工业广场</w:t>
            </w:r>
          </w:p>
        </w:tc>
        <w:tc>
          <w:tcPr>
            <w:tcW w:w="872" w:type="pct"/>
            <w:vAlign w:val="center"/>
          </w:tcPr>
          <w:p>
            <w:pPr>
              <w:pStyle w:val="82"/>
              <w:rPr>
                <w:rFonts w:eastAsiaTheme="minorEastAsia"/>
              </w:rPr>
            </w:pPr>
            <w:r>
              <w:rPr>
                <w:rFonts w:hint="eastAsia" w:hAnsiTheme="minorEastAsia" w:eastAsiaTheme="minorEastAsia"/>
              </w:rPr>
              <w:t>1#招贤镇</w:t>
            </w:r>
          </w:p>
        </w:tc>
        <w:tc>
          <w:tcPr>
            <w:tcW w:w="951" w:type="pct"/>
            <w:vAlign w:val="center"/>
          </w:tcPr>
          <w:p>
            <w:pPr>
              <w:spacing w:line="360" w:lineRule="exact"/>
              <w:jc w:val="center"/>
              <w:rPr>
                <w:rFonts w:eastAsiaTheme="minorEastAsia"/>
              </w:rPr>
            </w:pPr>
          </w:p>
        </w:tc>
        <w:tc>
          <w:tcPr>
            <w:tcW w:w="634" w:type="pct"/>
            <w:vAlign w:val="center"/>
          </w:tcPr>
          <w:p>
            <w:pPr>
              <w:spacing w:line="360" w:lineRule="exact"/>
              <w:jc w:val="center"/>
              <w:rPr>
                <w:rFonts w:eastAsiaTheme="minorEastAsia"/>
              </w:rPr>
            </w:pPr>
          </w:p>
        </w:tc>
        <w:tc>
          <w:tcPr>
            <w:tcW w:w="590" w:type="pct"/>
            <w:vAlign w:val="center"/>
          </w:tcPr>
          <w:p>
            <w:pPr>
              <w:spacing w:line="360" w:lineRule="exact"/>
              <w:jc w:val="center"/>
              <w:rPr>
                <w:rFonts w:eastAsiaTheme="minorEastAsia"/>
              </w:rPr>
            </w:pPr>
          </w:p>
        </w:tc>
        <w:tc>
          <w:tcPr>
            <w:tcW w:w="915" w:type="pct"/>
            <w:vAlign w:val="center"/>
          </w:tcPr>
          <w:p>
            <w:pPr>
              <w:spacing w:line="360" w:lineRule="exact"/>
              <w:jc w:val="center"/>
              <w:rPr>
                <w:rFonts w:eastAsiaTheme="minorEastAsia"/>
              </w:rPr>
            </w:pPr>
          </w:p>
        </w:tc>
        <w:tc>
          <w:tcPr>
            <w:tcW w:w="503" w:type="pct"/>
            <w:vAlign w:val="center"/>
          </w:tcPr>
          <w:p>
            <w:pPr>
              <w:spacing w:line="360" w:lineRule="exact"/>
              <w:jc w:val="center"/>
              <w:rPr>
                <w:rFonts w:eastAsiaTheme="minorEastAsia"/>
              </w:rPr>
            </w:pPr>
            <w:r>
              <w:rPr>
                <w:rFonts w:hint="eastAsia"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 w:hRule="atLeast"/>
          <w:jc w:val="center"/>
        </w:trPr>
        <w:tc>
          <w:tcPr>
            <w:tcW w:w="535" w:type="pct"/>
            <w:vMerge w:val="continue"/>
            <w:vAlign w:val="center"/>
          </w:tcPr>
          <w:p>
            <w:pPr>
              <w:spacing w:line="320" w:lineRule="exact"/>
              <w:jc w:val="center"/>
              <w:rPr>
                <w:rFonts w:eastAsiaTheme="minorEastAsia"/>
              </w:rPr>
            </w:pPr>
          </w:p>
        </w:tc>
        <w:tc>
          <w:tcPr>
            <w:tcW w:w="872" w:type="pct"/>
            <w:vAlign w:val="center"/>
          </w:tcPr>
          <w:p>
            <w:pPr>
              <w:pStyle w:val="82"/>
              <w:rPr>
                <w:rFonts w:eastAsiaTheme="minorEastAsia"/>
              </w:rPr>
            </w:pPr>
            <w:r>
              <w:rPr>
                <w:rFonts w:hint="eastAsia" w:hAnsiTheme="minorEastAsia" w:eastAsiaTheme="minorEastAsia"/>
              </w:rPr>
              <w:t>2#龙王殿村</w:t>
            </w:r>
          </w:p>
        </w:tc>
        <w:tc>
          <w:tcPr>
            <w:tcW w:w="951" w:type="pct"/>
            <w:vAlign w:val="center"/>
          </w:tcPr>
          <w:p>
            <w:pPr>
              <w:spacing w:line="360" w:lineRule="exact"/>
              <w:jc w:val="center"/>
              <w:rPr>
                <w:rFonts w:eastAsiaTheme="minorEastAsia"/>
              </w:rPr>
            </w:pPr>
          </w:p>
        </w:tc>
        <w:tc>
          <w:tcPr>
            <w:tcW w:w="634" w:type="pct"/>
            <w:vAlign w:val="center"/>
          </w:tcPr>
          <w:p>
            <w:pPr>
              <w:spacing w:line="360" w:lineRule="exact"/>
              <w:jc w:val="center"/>
              <w:rPr>
                <w:rFonts w:eastAsiaTheme="minorEastAsia"/>
              </w:rPr>
            </w:pPr>
          </w:p>
        </w:tc>
        <w:tc>
          <w:tcPr>
            <w:tcW w:w="590" w:type="pct"/>
            <w:vAlign w:val="center"/>
          </w:tcPr>
          <w:p>
            <w:pPr>
              <w:spacing w:line="360" w:lineRule="exact"/>
              <w:jc w:val="center"/>
              <w:rPr>
                <w:rFonts w:eastAsiaTheme="minorEastAsia"/>
              </w:rPr>
            </w:pPr>
          </w:p>
        </w:tc>
        <w:tc>
          <w:tcPr>
            <w:tcW w:w="915" w:type="pct"/>
            <w:vAlign w:val="center"/>
          </w:tcPr>
          <w:p>
            <w:pPr>
              <w:spacing w:line="360" w:lineRule="exact"/>
              <w:jc w:val="center"/>
              <w:rPr>
                <w:rFonts w:eastAsiaTheme="minorEastAsia"/>
              </w:rPr>
            </w:pPr>
          </w:p>
        </w:tc>
        <w:tc>
          <w:tcPr>
            <w:tcW w:w="503" w:type="pct"/>
            <w:vAlign w:val="center"/>
          </w:tcPr>
          <w:p>
            <w:pPr>
              <w:jc w:val="center"/>
              <w:rPr>
                <w:rFonts w:eastAsiaTheme="minorEastAsia"/>
              </w:rPr>
            </w:pPr>
            <w:r>
              <w:rPr>
                <w:rFonts w:hint="eastAsia" w:eastAsiaTheme="minorEastAsia"/>
              </w:rPr>
              <w:t>达标</w:t>
            </w:r>
          </w:p>
        </w:tc>
      </w:tr>
    </w:tbl>
    <w:p>
      <w:pPr>
        <w:adjustRightInd w:val="0"/>
        <w:spacing w:line="360" w:lineRule="auto"/>
        <w:ind w:firstLine="480" w:firstLineChars="200"/>
        <w:textAlignment w:val="baseline"/>
        <w:rPr>
          <w:rFonts w:eastAsiaTheme="minorEastAsia"/>
          <w:sz w:val="24"/>
        </w:rPr>
      </w:pPr>
      <w:r>
        <w:rPr>
          <w:rFonts w:hAnsiTheme="minorEastAsia" w:eastAsiaTheme="minorEastAsia"/>
          <w:sz w:val="24"/>
        </w:rPr>
        <w:t>由监测结果可知，</w:t>
      </w:r>
      <w:r>
        <w:rPr>
          <w:rFonts w:eastAsiaTheme="minorEastAsia"/>
          <w:sz w:val="24"/>
        </w:rPr>
        <w:t>4</w:t>
      </w:r>
      <w:r>
        <w:rPr>
          <w:rFonts w:hAnsiTheme="minorEastAsia" w:eastAsiaTheme="minorEastAsia"/>
          <w:sz w:val="24"/>
        </w:rPr>
        <w:t>个监测点连续监测</w:t>
      </w:r>
      <w:r>
        <w:rPr>
          <w:rFonts w:eastAsiaTheme="minorEastAsia"/>
          <w:sz w:val="24"/>
        </w:rPr>
        <w:t>7</w:t>
      </w:r>
      <w:r>
        <w:rPr>
          <w:rFonts w:hAnsiTheme="minorEastAsia" w:eastAsiaTheme="minorEastAsia"/>
          <w:sz w:val="24"/>
        </w:rPr>
        <w:t>天，其浓度范围为</w:t>
      </w:r>
      <w:r>
        <w:rPr>
          <w:rFonts w:hint="eastAsia" w:eastAsiaTheme="minorEastAsia"/>
          <w:sz w:val="24"/>
        </w:rPr>
        <w:t xml:space="preserve">    </w:t>
      </w:r>
      <w:r>
        <w:rPr>
          <w:rFonts w:eastAsiaTheme="minorEastAsia"/>
          <w:sz w:val="24"/>
        </w:rPr>
        <w:t>mg/Nm</w:t>
      </w:r>
      <w:r>
        <w:rPr>
          <w:rFonts w:eastAsiaTheme="minorEastAsia"/>
          <w:sz w:val="24"/>
          <w:vertAlign w:val="superscript"/>
        </w:rPr>
        <w:t>3</w:t>
      </w:r>
      <w:r>
        <w:rPr>
          <w:rFonts w:hAnsiTheme="minorEastAsia" w:eastAsiaTheme="minorEastAsia"/>
          <w:sz w:val="24"/>
        </w:rPr>
        <w:t>之间，最大浓度占标率</w:t>
      </w:r>
      <w:r>
        <w:rPr>
          <w:rFonts w:hint="eastAsia" w:eastAsiaTheme="minorEastAsia"/>
          <w:sz w:val="24"/>
        </w:rPr>
        <w:t xml:space="preserve">   </w:t>
      </w:r>
      <w:r>
        <w:rPr>
          <w:rFonts w:eastAsiaTheme="minorEastAsia"/>
          <w:sz w:val="24"/>
        </w:rPr>
        <w:t>%</w:t>
      </w:r>
      <w:r>
        <w:rPr>
          <w:rFonts w:hAnsiTheme="minorEastAsia" w:eastAsiaTheme="minorEastAsia"/>
          <w:sz w:val="24"/>
        </w:rPr>
        <w:t>，各监测值均可达到环境空气质量二级标准（</w:t>
      </w:r>
      <w:r>
        <w:rPr>
          <w:rFonts w:eastAsiaTheme="minorEastAsia"/>
          <w:sz w:val="24"/>
        </w:rPr>
        <w:t>300μg/Nm</w:t>
      </w:r>
      <w:r>
        <w:rPr>
          <w:rFonts w:eastAsiaTheme="minorEastAsia"/>
          <w:sz w:val="24"/>
          <w:vertAlign w:val="superscript"/>
        </w:rPr>
        <w:t>3</w:t>
      </w:r>
      <w:r>
        <w:rPr>
          <w:rFonts w:hAnsiTheme="minorEastAsia" w:eastAsiaTheme="minorEastAsia"/>
          <w:sz w:val="24"/>
        </w:rPr>
        <w:t>）。</w:t>
      </w:r>
    </w:p>
    <w:p>
      <w:pPr>
        <w:spacing w:line="360" w:lineRule="auto"/>
        <w:outlineLvl w:val="2"/>
        <w:rPr>
          <w:rFonts w:eastAsiaTheme="minorEastAsia"/>
          <w:b/>
          <w:sz w:val="24"/>
        </w:rPr>
      </w:pPr>
      <w:r>
        <w:rPr>
          <w:rFonts w:eastAsiaTheme="minorEastAsia"/>
          <w:b/>
          <w:sz w:val="24"/>
        </w:rPr>
        <w:t>4.3.</w:t>
      </w:r>
      <w:r>
        <w:rPr>
          <w:rFonts w:hint="eastAsia" w:eastAsiaTheme="minorEastAsia"/>
          <w:b/>
          <w:sz w:val="24"/>
        </w:rPr>
        <w:t>2</w:t>
      </w:r>
      <w:r>
        <w:rPr>
          <w:rFonts w:hAnsiTheme="minorEastAsia" w:eastAsiaTheme="minorEastAsia"/>
          <w:b/>
          <w:sz w:val="24"/>
        </w:rPr>
        <w:t>地下水现状调查与评价</w:t>
      </w:r>
    </w:p>
    <w:p>
      <w:pPr>
        <w:spacing w:line="360" w:lineRule="auto"/>
        <w:ind w:firstLine="480" w:firstLineChars="200"/>
        <w:rPr>
          <w:rFonts w:eastAsiaTheme="minorEastAsia"/>
          <w:sz w:val="24"/>
        </w:rPr>
      </w:pPr>
      <w:r>
        <w:rPr>
          <w:rFonts w:eastAsiaTheme="minorEastAsia"/>
          <w:sz w:val="24"/>
        </w:rPr>
        <w:t xml:space="preserve">4.3.2.1  </w:t>
      </w:r>
      <w:r>
        <w:rPr>
          <w:rFonts w:hAnsiTheme="minorEastAsia" w:eastAsiaTheme="minorEastAsia"/>
          <w:sz w:val="24"/>
        </w:rPr>
        <w:t>地下水环境现状监测</w:t>
      </w:r>
    </w:p>
    <w:p>
      <w:pPr>
        <w:pStyle w:val="68"/>
        <w:rPr>
          <w:rFonts w:hAnsi="Times New Roman" w:cs="Times New Roman" w:eastAsiaTheme="minorEastAsia"/>
          <w:szCs w:val="24"/>
        </w:rPr>
      </w:pPr>
      <w:r>
        <w:rPr>
          <w:rFonts w:cs="Times New Roman" w:hAnsiTheme="minorEastAsia" w:eastAsiaTheme="minorEastAsia"/>
          <w:szCs w:val="24"/>
        </w:rPr>
        <w:t>结合地下水流向及当地井位情况，监测内容如下：</w:t>
      </w:r>
    </w:p>
    <w:p>
      <w:pPr>
        <w:pStyle w:val="68"/>
        <w:rPr>
          <w:rFonts w:hAnsi="Times New Roman" w:cs="Times New Roman" w:eastAsiaTheme="minorEastAsia"/>
          <w:szCs w:val="24"/>
        </w:rPr>
      </w:pPr>
      <w:r>
        <w:rPr>
          <w:rFonts w:cs="Times New Roman" w:hAnsiTheme="minorEastAsia" w:eastAsiaTheme="minorEastAsia"/>
          <w:szCs w:val="24"/>
        </w:rPr>
        <w:t>（</w:t>
      </w:r>
      <w:r>
        <w:rPr>
          <w:rFonts w:hAnsi="Times New Roman" w:cs="Times New Roman" w:eastAsiaTheme="minorEastAsia"/>
          <w:szCs w:val="24"/>
        </w:rPr>
        <w:t>1</w:t>
      </w:r>
      <w:r>
        <w:rPr>
          <w:rFonts w:cs="Times New Roman" w:hAnsiTheme="minorEastAsia" w:eastAsiaTheme="minorEastAsia"/>
          <w:szCs w:val="24"/>
        </w:rPr>
        <w:t>）监测点位</w:t>
      </w:r>
    </w:p>
    <w:p>
      <w:pPr>
        <w:pStyle w:val="68"/>
        <w:rPr>
          <w:rFonts w:hAnsi="Times New Roman" w:cs="Times New Roman" w:eastAsiaTheme="minorEastAsia"/>
          <w:szCs w:val="24"/>
        </w:rPr>
      </w:pPr>
      <w:r>
        <w:rPr>
          <w:rFonts w:cs="Times New Roman" w:hAnsiTheme="minorEastAsia" w:eastAsiaTheme="minorEastAsia"/>
          <w:szCs w:val="24"/>
        </w:rPr>
        <w:t>本项目监测点位见表</w:t>
      </w:r>
      <w:r>
        <w:rPr>
          <w:rFonts w:hAnsi="Times New Roman" w:cs="Times New Roman" w:eastAsiaTheme="minorEastAsia"/>
          <w:szCs w:val="24"/>
        </w:rPr>
        <w:t>4.3-</w:t>
      </w:r>
      <w:r>
        <w:rPr>
          <w:rFonts w:hint="eastAsia" w:hAnsi="Times New Roman" w:cs="Times New Roman" w:eastAsiaTheme="minorEastAsia"/>
          <w:szCs w:val="24"/>
        </w:rPr>
        <w:t>6</w:t>
      </w:r>
      <w:r>
        <w:rPr>
          <w:rFonts w:cs="Times New Roman" w:hAnsiTheme="minorEastAsia" w:eastAsiaTheme="minorEastAsia"/>
          <w:szCs w:val="24"/>
        </w:rPr>
        <w:t>，监测点布置见图</w:t>
      </w:r>
      <w:r>
        <w:rPr>
          <w:rFonts w:hAnsi="Times New Roman" w:cs="Times New Roman" w:eastAsiaTheme="minorEastAsia"/>
          <w:szCs w:val="24"/>
        </w:rPr>
        <w:t>4.3-</w:t>
      </w:r>
      <w:r>
        <w:rPr>
          <w:rFonts w:hint="eastAsia" w:hAnsi="Times New Roman" w:cs="Times New Roman" w:eastAsiaTheme="minorEastAsia"/>
          <w:szCs w:val="24"/>
        </w:rPr>
        <w:t>1</w:t>
      </w:r>
      <w:r>
        <w:rPr>
          <w:rFonts w:cs="Times New Roman" w:hAnsiTheme="minorEastAsia" w:eastAsiaTheme="minorEastAsia"/>
          <w:szCs w:val="24"/>
        </w:rPr>
        <w:t>。</w:t>
      </w:r>
    </w:p>
    <w:p>
      <w:pPr>
        <w:pStyle w:val="68"/>
        <w:spacing w:line="240" w:lineRule="auto"/>
        <w:ind w:firstLine="422"/>
        <w:jc w:val="center"/>
        <w:rPr>
          <w:rFonts w:cs="Times New Roman" w:hAnsiTheme="minorEastAsia" w:eastAsiaTheme="minorEastAsia"/>
          <w:b/>
          <w:sz w:val="21"/>
          <w:szCs w:val="21"/>
        </w:rPr>
      </w:pPr>
      <w:r>
        <w:rPr>
          <w:rFonts w:cs="Times New Roman" w:hAnsiTheme="minorEastAsia" w:eastAsiaTheme="minorEastAsia"/>
          <w:b/>
          <w:sz w:val="21"/>
          <w:szCs w:val="21"/>
        </w:rPr>
        <w:t>表</w:t>
      </w:r>
      <w:r>
        <w:rPr>
          <w:rFonts w:hAnsi="Times New Roman" w:cs="Times New Roman" w:eastAsiaTheme="minorEastAsia"/>
          <w:b/>
          <w:sz w:val="21"/>
          <w:szCs w:val="21"/>
        </w:rPr>
        <w:t>4.3-</w:t>
      </w:r>
      <w:r>
        <w:rPr>
          <w:rFonts w:hint="eastAsia" w:hAnsi="Times New Roman" w:cs="Times New Roman" w:eastAsiaTheme="minorEastAsia"/>
          <w:b/>
          <w:sz w:val="21"/>
          <w:szCs w:val="21"/>
        </w:rPr>
        <w:t>6</w:t>
      </w:r>
      <w:r>
        <w:rPr>
          <w:rFonts w:hAnsi="Times New Roman" w:cs="Times New Roman" w:eastAsiaTheme="minorEastAsia"/>
          <w:b/>
          <w:sz w:val="21"/>
          <w:szCs w:val="21"/>
        </w:rPr>
        <w:t xml:space="preserve">   </w:t>
      </w:r>
      <w:r>
        <w:rPr>
          <w:rFonts w:cs="Times New Roman" w:hAnsiTheme="minorEastAsia" w:eastAsiaTheme="minorEastAsia"/>
          <w:b/>
          <w:sz w:val="21"/>
          <w:szCs w:val="21"/>
        </w:rPr>
        <w:t>地下水质量现状监测布点</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43"/>
        <w:gridCol w:w="1846"/>
        <w:gridCol w:w="2997"/>
        <w:gridCol w:w="29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12" w:space="0"/>
              <w:left w:val="single" w:color="auto" w:sz="12"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编号</w:t>
            </w:r>
          </w:p>
        </w:tc>
        <w:tc>
          <w:tcPr>
            <w:tcW w:w="1039" w:type="pct"/>
            <w:tcBorders>
              <w:top w:val="single" w:color="auto" w:sz="12"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监测点名称</w:t>
            </w:r>
          </w:p>
        </w:tc>
        <w:tc>
          <w:tcPr>
            <w:tcW w:w="1687" w:type="pct"/>
            <w:tcBorders>
              <w:top w:val="single" w:color="auto" w:sz="12"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布点原则</w:t>
            </w:r>
          </w:p>
        </w:tc>
        <w:tc>
          <w:tcPr>
            <w:tcW w:w="1687" w:type="pct"/>
            <w:tcBorders>
              <w:top w:val="single" w:color="auto" w:sz="12" w:space="0"/>
              <w:left w:val="single" w:color="auto" w:sz="6" w:space="0"/>
              <w:bottom w:val="single" w:color="auto" w:sz="6" w:space="0"/>
              <w:right w:val="single" w:color="auto" w:sz="12"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AnsiTheme="minorEastAsia" w:eastAsiaTheme="minorEastAsia"/>
                <w:szCs w:val="21"/>
              </w:rPr>
              <w:t>1#</w:t>
            </w:r>
          </w:p>
        </w:tc>
        <w:tc>
          <w:tcPr>
            <w:tcW w:w="1039"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招贤镇集中供水水源井</w:t>
            </w:r>
          </w:p>
        </w:tc>
        <w:tc>
          <w:tcPr>
            <w:tcW w:w="168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场地上游</w:t>
            </w:r>
          </w:p>
        </w:tc>
        <w:tc>
          <w:tcPr>
            <w:tcW w:w="1687"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水位、水质监测井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AnsiTheme="minorEastAsia" w:eastAsiaTheme="minorEastAsia"/>
                <w:szCs w:val="21"/>
              </w:rPr>
              <w:t>2#</w:t>
            </w:r>
          </w:p>
        </w:tc>
        <w:tc>
          <w:tcPr>
            <w:tcW w:w="1039"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红崖村水井</w:t>
            </w:r>
          </w:p>
        </w:tc>
        <w:tc>
          <w:tcPr>
            <w:tcW w:w="168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排矸场下游</w:t>
            </w:r>
          </w:p>
        </w:tc>
        <w:tc>
          <w:tcPr>
            <w:tcW w:w="1687"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水位、水质监测井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AnsiTheme="minorEastAsia" w:eastAsiaTheme="minorEastAsia"/>
                <w:szCs w:val="21"/>
              </w:rPr>
              <w:t>3#</w:t>
            </w:r>
          </w:p>
        </w:tc>
        <w:tc>
          <w:tcPr>
            <w:tcW w:w="1039"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工业场地水井</w:t>
            </w:r>
          </w:p>
        </w:tc>
        <w:tc>
          <w:tcPr>
            <w:tcW w:w="168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项目场地</w:t>
            </w:r>
          </w:p>
        </w:tc>
        <w:tc>
          <w:tcPr>
            <w:tcW w:w="1687"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水位、水质监测井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AnsiTheme="minorEastAsia" w:eastAsiaTheme="minorEastAsia"/>
                <w:szCs w:val="21"/>
              </w:rPr>
              <w:t>4#</w:t>
            </w:r>
          </w:p>
        </w:tc>
        <w:tc>
          <w:tcPr>
            <w:tcW w:w="1039"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太长水井</w:t>
            </w:r>
          </w:p>
        </w:tc>
        <w:tc>
          <w:tcPr>
            <w:tcW w:w="168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场地下游</w:t>
            </w:r>
          </w:p>
        </w:tc>
        <w:tc>
          <w:tcPr>
            <w:tcW w:w="1687"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水位、水质监测井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AnsiTheme="minorEastAsia" w:eastAsiaTheme="minorEastAsia"/>
                <w:szCs w:val="21"/>
              </w:rPr>
              <w:t>5#</w:t>
            </w:r>
          </w:p>
        </w:tc>
        <w:tc>
          <w:tcPr>
            <w:tcW w:w="1039"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后庄水井</w:t>
            </w:r>
          </w:p>
        </w:tc>
        <w:tc>
          <w:tcPr>
            <w:tcW w:w="168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场地下游</w:t>
            </w:r>
          </w:p>
        </w:tc>
        <w:tc>
          <w:tcPr>
            <w:tcW w:w="1687"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水位、水质监测井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AnsiTheme="minorEastAsia" w:eastAsiaTheme="minorEastAsia"/>
                <w:szCs w:val="21"/>
              </w:rPr>
              <w:t>6#</w:t>
            </w:r>
          </w:p>
        </w:tc>
        <w:tc>
          <w:tcPr>
            <w:tcW w:w="1039"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招贤村水井</w:t>
            </w:r>
          </w:p>
        </w:tc>
        <w:tc>
          <w:tcPr>
            <w:tcW w:w="168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场地上游</w:t>
            </w:r>
          </w:p>
        </w:tc>
        <w:tc>
          <w:tcPr>
            <w:tcW w:w="1687"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水位监测井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AnsiTheme="minorEastAsia" w:eastAsiaTheme="minorEastAsia"/>
                <w:szCs w:val="21"/>
              </w:rPr>
              <w:t>7#</w:t>
            </w:r>
          </w:p>
        </w:tc>
        <w:tc>
          <w:tcPr>
            <w:tcW w:w="1039"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高家庄村水井</w:t>
            </w:r>
          </w:p>
        </w:tc>
        <w:tc>
          <w:tcPr>
            <w:tcW w:w="168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场地上游</w:t>
            </w:r>
          </w:p>
        </w:tc>
        <w:tc>
          <w:tcPr>
            <w:tcW w:w="1687"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水位监测井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AnsiTheme="minorEastAsia" w:eastAsiaTheme="minorEastAsia"/>
                <w:szCs w:val="21"/>
              </w:rPr>
              <w:t>8#</w:t>
            </w:r>
          </w:p>
        </w:tc>
        <w:tc>
          <w:tcPr>
            <w:tcW w:w="1039"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龙王殿村水井</w:t>
            </w:r>
          </w:p>
        </w:tc>
        <w:tc>
          <w:tcPr>
            <w:tcW w:w="168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atLeast"/>
              <w:jc w:val="center"/>
              <w:rPr>
                <w:rFonts w:hAnsiTheme="minorEastAsia" w:eastAsiaTheme="minorEastAsia"/>
                <w:sz w:val="22"/>
                <w:szCs w:val="21"/>
              </w:rPr>
            </w:pPr>
            <w:r>
              <w:rPr>
                <w:rFonts w:hAnsiTheme="minorEastAsia" w:eastAsiaTheme="minorEastAsia"/>
                <w:szCs w:val="21"/>
              </w:rPr>
              <w:t>/</w:t>
            </w:r>
          </w:p>
        </w:tc>
        <w:tc>
          <w:tcPr>
            <w:tcW w:w="1687"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320" w:lineRule="atLeast"/>
              <w:jc w:val="center"/>
              <w:rPr>
                <w:rFonts w:hAnsiTheme="minorEastAsia" w:eastAsiaTheme="minorEastAsia"/>
                <w:sz w:val="22"/>
                <w:szCs w:val="21"/>
              </w:rPr>
            </w:pPr>
            <w:r>
              <w:rPr>
                <w:rFonts w:hint="eastAsia" w:hAnsiTheme="minorEastAsia" w:eastAsiaTheme="minorEastAsia"/>
                <w:szCs w:val="21"/>
              </w:rPr>
              <w:t>水位监测井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AnsiTheme="minorEastAsia" w:eastAsiaTheme="minorEastAsia"/>
                <w:szCs w:val="21"/>
              </w:rPr>
              <w:t>9#</w:t>
            </w:r>
          </w:p>
        </w:tc>
        <w:tc>
          <w:tcPr>
            <w:tcW w:w="1039"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水源村水井</w:t>
            </w:r>
          </w:p>
        </w:tc>
        <w:tc>
          <w:tcPr>
            <w:tcW w:w="168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场地下游</w:t>
            </w:r>
          </w:p>
        </w:tc>
        <w:tc>
          <w:tcPr>
            <w:tcW w:w="1687"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水位监测井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87" w:type="pct"/>
            <w:tcBorders>
              <w:top w:val="single" w:color="auto" w:sz="6" w:space="0"/>
              <w:left w:val="single" w:color="auto" w:sz="12" w:space="0"/>
              <w:bottom w:val="single" w:color="auto" w:sz="12"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AnsiTheme="minorEastAsia" w:eastAsiaTheme="minorEastAsia"/>
                <w:szCs w:val="21"/>
              </w:rPr>
              <w:t>10#</w:t>
            </w:r>
          </w:p>
        </w:tc>
        <w:tc>
          <w:tcPr>
            <w:tcW w:w="1039" w:type="pct"/>
            <w:tcBorders>
              <w:top w:val="single" w:color="auto" w:sz="6" w:space="0"/>
              <w:left w:val="single" w:color="auto" w:sz="6" w:space="0"/>
              <w:bottom w:val="single" w:color="auto" w:sz="12"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前庄村水井</w:t>
            </w:r>
          </w:p>
        </w:tc>
        <w:tc>
          <w:tcPr>
            <w:tcW w:w="1687" w:type="pct"/>
            <w:tcBorders>
              <w:top w:val="single" w:color="auto" w:sz="6" w:space="0"/>
              <w:left w:val="single" w:color="auto" w:sz="6" w:space="0"/>
              <w:bottom w:val="single" w:color="auto" w:sz="12"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场地下游</w:t>
            </w:r>
          </w:p>
        </w:tc>
        <w:tc>
          <w:tcPr>
            <w:tcW w:w="1687" w:type="pct"/>
            <w:tcBorders>
              <w:top w:val="single" w:color="auto" w:sz="6" w:space="0"/>
              <w:left w:val="single" w:color="auto" w:sz="6" w:space="0"/>
              <w:bottom w:val="single" w:color="auto" w:sz="12" w:space="0"/>
              <w:right w:val="single" w:color="auto" w:sz="12"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水位监测井</w:t>
            </w:r>
          </w:p>
        </w:tc>
      </w:tr>
    </w:tbl>
    <w:p>
      <w:pPr>
        <w:pStyle w:val="68"/>
        <w:rPr>
          <w:rFonts w:hAnsi="Times New Roman" w:cs="Times New Roman" w:eastAsiaTheme="minorEastAsia"/>
          <w:szCs w:val="24"/>
        </w:rPr>
      </w:pPr>
      <w:r>
        <w:rPr>
          <w:rFonts w:cs="Times New Roman" w:hAnsiTheme="minorEastAsia" w:eastAsiaTheme="minorEastAsia"/>
          <w:szCs w:val="24"/>
        </w:rPr>
        <w:t>（</w:t>
      </w:r>
      <w:r>
        <w:rPr>
          <w:rFonts w:hAnsi="Times New Roman" w:cs="Times New Roman" w:eastAsiaTheme="minorEastAsia"/>
          <w:szCs w:val="24"/>
        </w:rPr>
        <w:t>2</w:t>
      </w:r>
      <w:r>
        <w:rPr>
          <w:rFonts w:cs="Times New Roman" w:hAnsiTheme="minorEastAsia" w:eastAsiaTheme="minorEastAsia"/>
          <w:szCs w:val="24"/>
        </w:rPr>
        <w:t>）监测时间及频率</w:t>
      </w:r>
    </w:p>
    <w:p>
      <w:pPr>
        <w:pStyle w:val="68"/>
        <w:rPr>
          <w:rFonts w:cs="Times New Roman" w:hAnsiTheme="minorEastAsia" w:eastAsiaTheme="minorEastAsia"/>
          <w:szCs w:val="24"/>
        </w:rPr>
      </w:pPr>
      <w:r>
        <w:rPr>
          <w:rFonts w:cs="Times New Roman" w:hAnsiTheme="minorEastAsia" w:eastAsiaTheme="minorEastAsia"/>
          <w:szCs w:val="24"/>
        </w:rPr>
        <w:t>地下水采样</w:t>
      </w:r>
      <w:r>
        <w:rPr>
          <w:rFonts w:hAnsi="Times New Roman" w:cs="Times New Roman" w:eastAsiaTheme="minorEastAsia"/>
          <w:szCs w:val="24"/>
        </w:rPr>
        <w:t>1</w:t>
      </w:r>
      <w:r>
        <w:rPr>
          <w:rFonts w:cs="Times New Roman" w:hAnsiTheme="minorEastAsia" w:eastAsiaTheme="minorEastAsia"/>
          <w:szCs w:val="24"/>
        </w:rPr>
        <w:t>天，每天一次。</w:t>
      </w:r>
    </w:p>
    <w:p>
      <w:pPr>
        <w:pStyle w:val="68"/>
        <w:rPr>
          <w:rFonts w:hAnsi="Times New Roman" w:cs="Times New Roman" w:eastAsiaTheme="minorEastAsia"/>
          <w:szCs w:val="24"/>
        </w:rPr>
      </w:pPr>
      <w:r>
        <w:rPr>
          <w:rFonts w:cs="Times New Roman" w:hAnsiTheme="minorEastAsia" w:eastAsiaTheme="minorEastAsia"/>
          <w:szCs w:val="24"/>
        </w:rPr>
        <w:t>（</w:t>
      </w:r>
      <w:r>
        <w:rPr>
          <w:rFonts w:hAnsi="Times New Roman" w:cs="Times New Roman" w:eastAsiaTheme="minorEastAsia"/>
          <w:szCs w:val="24"/>
        </w:rPr>
        <w:t>3</w:t>
      </w:r>
      <w:r>
        <w:rPr>
          <w:rFonts w:cs="Times New Roman" w:hAnsiTheme="minorEastAsia" w:eastAsiaTheme="minorEastAsia"/>
          <w:szCs w:val="24"/>
        </w:rPr>
        <w:t>）监测项目</w:t>
      </w:r>
    </w:p>
    <w:p>
      <w:pPr>
        <w:tabs>
          <w:tab w:val="left" w:pos="0"/>
        </w:tabs>
        <w:adjustRightInd w:val="0"/>
        <w:snapToGrid w:val="0"/>
        <w:spacing w:line="480" w:lineRule="exact"/>
        <w:ind w:firstLine="480" w:firstLineChars="200"/>
        <w:rPr>
          <w:rFonts w:eastAsiaTheme="minorEastAsia"/>
          <w:bCs/>
          <w:sz w:val="24"/>
        </w:rPr>
      </w:pPr>
      <w:r>
        <w:rPr>
          <w:rFonts w:eastAsiaTheme="minorEastAsia"/>
          <w:bCs/>
          <w:sz w:val="24"/>
        </w:rPr>
        <w:t>K</w:t>
      </w:r>
      <w:r>
        <w:rPr>
          <w:rFonts w:eastAsiaTheme="minorEastAsia"/>
          <w:bCs/>
          <w:sz w:val="24"/>
          <w:vertAlign w:val="superscript"/>
        </w:rPr>
        <w:t>+</w:t>
      </w:r>
      <w:r>
        <w:rPr>
          <w:rFonts w:hAnsiTheme="minorEastAsia" w:eastAsiaTheme="minorEastAsia"/>
          <w:bCs/>
          <w:sz w:val="24"/>
        </w:rPr>
        <w:t>、</w:t>
      </w:r>
      <w:r>
        <w:rPr>
          <w:rFonts w:eastAsiaTheme="minorEastAsia"/>
          <w:bCs/>
          <w:sz w:val="24"/>
        </w:rPr>
        <w:t>Na</w:t>
      </w:r>
      <w:r>
        <w:rPr>
          <w:rFonts w:eastAsiaTheme="minorEastAsia"/>
          <w:bCs/>
          <w:sz w:val="24"/>
          <w:vertAlign w:val="superscript"/>
        </w:rPr>
        <w:t>+</w:t>
      </w:r>
      <w:r>
        <w:rPr>
          <w:rFonts w:hAnsiTheme="minorEastAsia" w:eastAsiaTheme="minorEastAsia"/>
          <w:bCs/>
          <w:sz w:val="24"/>
        </w:rPr>
        <w:t>、</w:t>
      </w:r>
      <w:r>
        <w:rPr>
          <w:rFonts w:eastAsiaTheme="minorEastAsia"/>
          <w:bCs/>
          <w:sz w:val="24"/>
        </w:rPr>
        <w:t>Ca</w:t>
      </w:r>
      <w:r>
        <w:rPr>
          <w:rFonts w:eastAsiaTheme="minorEastAsia"/>
          <w:bCs/>
          <w:sz w:val="24"/>
          <w:vertAlign w:val="superscript"/>
        </w:rPr>
        <w:t>2+</w:t>
      </w:r>
      <w:r>
        <w:rPr>
          <w:rFonts w:hAnsiTheme="minorEastAsia" w:eastAsiaTheme="minorEastAsia"/>
          <w:bCs/>
          <w:sz w:val="24"/>
        </w:rPr>
        <w:t>、</w:t>
      </w:r>
      <w:r>
        <w:rPr>
          <w:rFonts w:eastAsiaTheme="minorEastAsia"/>
          <w:bCs/>
          <w:sz w:val="24"/>
        </w:rPr>
        <w:t>Mg</w:t>
      </w:r>
      <w:r>
        <w:rPr>
          <w:rFonts w:eastAsiaTheme="minorEastAsia"/>
          <w:bCs/>
          <w:sz w:val="24"/>
          <w:vertAlign w:val="superscript"/>
        </w:rPr>
        <w:t>2+</w:t>
      </w:r>
      <w:r>
        <w:rPr>
          <w:rFonts w:hAnsiTheme="minorEastAsia" w:eastAsiaTheme="minorEastAsia"/>
          <w:bCs/>
          <w:sz w:val="24"/>
        </w:rPr>
        <w:t>、</w:t>
      </w:r>
      <w:r>
        <w:rPr>
          <w:rFonts w:eastAsiaTheme="minorEastAsia"/>
          <w:bCs/>
          <w:sz w:val="24"/>
        </w:rPr>
        <w:t>CO</w:t>
      </w:r>
      <w:r>
        <w:rPr>
          <w:rFonts w:eastAsiaTheme="minorEastAsia"/>
          <w:bCs/>
          <w:sz w:val="24"/>
          <w:vertAlign w:val="subscript"/>
        </w:rPr>
        <w:t>3</w:t>
      </w:r>
      <w:r>
        <w:rPr>
          <w:rFonts w:eastAsiaTheme="minorEastAsia"/>
          <w:bCs/>
          <w:sz w:val="24"/>
          <w:vertAlign w:val="superscript"/>
        </w:rPr>
        <w:t>2-</w:t>
      </w:r>
      <w:r>
        <w:rPr>
          <w:rFonts w:hAnsiTheme="minorEastAsia" w:eastAsiaTheme="minorEastAsia"/>
          <w:bCs/>
          <w:sz w:val="24"/>
        </w:rPr>
        <w:t>、</w:t>
      </w:r>
      <w:r>
        <w:rPr>
          <w:rFonts w:eastAsiaTheme="minorEastAsia"/>
          <w:bCs/>
          <w:sz w:val="24"/>
        </w:rPr>
        <w:t>HCO</w:t>
      </w:r>
      <w:r>
        <w:rPr>
          <w:rFonts w:eastAsiaTheme="minorEastAsia"/>
          <w:bCs/>
          <w:sz w:val="24"/>
          <w:vertAlign w:val="subscript"/>
        </w:rPr>
        <w:t>3</w:t>
      </w:r>
      <w:r>
        <w:rPr>
          <w:rFonts w:eastAsiaTheme="minorEastAsia"/>
          <w:bCs/>
          <w:sz w:val="24"/>
          <w:vertAlign w:val="superscript"/>
        </w:rPr>
        <w:t>-</w:t>
      </w:r>
      <w:r>
        <w:rPr>
          <w:rFonts w:hAnsiTheme="minorEastAsia" w:eastAsiaTheme="minorEastAsia"/>
          <w:bCs/>
          <w:sz w:val="24"/>
        </w:rPr>
        <w:t>、</w:t>
      </w:r>
      <w:r>
        <w:rPr>
          <w:rFonts w:eastAsiaTheme="minorEastAsia"/>
          <w:bCs/>
          <w:sz w:val="24"/>
        </w:rPr>
        <w:t>SO</w:t>
      </w:r>
      <w:r>
        <w:rPr>
          <w:rFonts w:eastAsiaTheme="minorEastAsia"/>
          <w:bCs/>
          <w:sz w:val="24"/>
          <w:vertAlign w:val="subscript"/>
        </w:rPr>
        <w:t>4</w:t>
      </w:r>
      <w:r>
        <w:rPr>
          <w:rFonts w:eastAsiaTheme="minorEastAsia"/>
          <w:bCs/>
          <w:sz w:val="24"/>
          <w:vertAlign w:val="superscript"/>
        </w:rPr>
        <w:t>2-</w:t>
      </w:r>
      <w:r>
        <w:rPr>
          <w:rFonts w:hAnsiTheme="minorEastAsia" w:eastAsiaTheme="minorEastAsia"/>
          <w:bCs/>
          <w:sz w:val="24"/>
        </w:rPr>
        <w:t>、</w:t>
      </w:r>
      <w:r>
        <w:rPr>
          <w:rFonts w:eastAsiaTheme="minorEastAsia"/>
          <w:bCs/>
          <w:sz w:val="24"/>
        </w:rPr>
        <w:t>Cl</w:t>
      </w:r>
      <w:r>
        <w:rPr>
          <w:rFonts w:eastAsiaTheme="minorEastAsia"/>
          <w:bCs/>
          <w:sz w:val="24"/>
          <w:vertAlign w:val="superscript"/>
        </w:rPr>
        <w:t>-</w:t>
      </w:r>
      <w:r>
        <w:rPr>
          <w:rFonts w:hAnsiTheme="minorEastAsia" w:eastAsiaTheme="minorEastAsia"/>
          <w:bCs/>
          <w:sz w:val="24"/>
        </w:rPr>
        <w:t>、</w:t>
      </w:r>
      <w:r>
        <w:rPr>
          <w:rFonts w:eastAsiaTheme="minorEastAsia"/>
          <w:bCs/>
          <w:sz w:val="24"/>
        </w:rPr>
        <w:t>pH</w:t>
      </w:r>
      <w:r>
        <w:rPr>
          <w:rFonts w:hAnsiTheme="minorEastAsia" w:eastAsiaTheme="minorEastAsia"/>
          <w:bCs/>
          <w:sz w:val="24"/>
        </w:rPr>
        <w:t>、氨氮、硝酸盐、亚硝酸盐、挥发性酚类、氰化物、砷、汞、六价铬、总硬度、铅、氟、镉、铁、锰、溶解性总固体、耗氧量（</w:t>
      </w:r>
      <w:r>
        <w:rPr>
          <w:rFonts w:eastAsiaTheme="minorEastAsia"/>
          <w:bCs/>
          <w:sz w:val="24"/>
        </w:rPr>
        <w:t>COD</w:t>
      </w:r>
      <w:r>
        <w:rPr>
          <w:rFonts w:eastAsiaTheme="minorEastAsia"/>
          <w:bCs/>
          <w:sz w:val="24"/>
          <w:vertAlign w:val="subscript"/>
        </w:rPr>
        <w:t>Mn</w:t>
      </w:r>
      <w:r>
        <w:rPr>
          <w:rFonts w:hAnsiTheme="minorEastAsia" w:eastAsiaTheme="minorEastAsia"/>
          <w:bCs/>
          <w:sz w:val="24"/>
        </w:rPr>
        <w:t>法）、硫酸盐、氯化物、总大肠菌群、菌落总数，同步监测井口标高、井深、水位、水温、水井坐标。</w:t>
      </w:r>
    </w:p>
    <w:p>
      <w:pPr>
        <w:pStyle w:val="68"/>
        <w:rPr>
          <w:rFonts w:hAnsi="Times New Roman" w:cs="Times New Roman" w:eastAsiaTheme="minorEastAsia"/>
          <w:szCs w:val="24"/>
        </w:rPr>
      </w:pPr>
      <w:r>
        <w:rPr>
          <w:rFonts w:cs="Times New Roman" w:hAnsiTheme="minorEastAsia" w:eastAsiaTheme="minorEastAsia"/>
          <w:szCs w:val="24"/>
        </w:rPr>
        <w:t>（</w:t>
      </w:r>
      <w:r>
        <w:rPr>
          <w:rFonts w:hAnsi="Times New Roman" w:cs="Times New Roman" w:eastAsiaTheme="minorEastAsia"/>
          <w:szCs w:val="24"/>
        </w:rPr>
        <w:t>4</w:t>
      </w:r>
      <w:r>
        <w:rPr>
          <w:rFonts w:cs="Times New Roman" w:hAnsiTheme="minorEastAsia" w:eastAsiaTheme="minorEastAsia"/>
          <w:szCs w:val="24"/>
        </w:rPr>
        <w:t>）评价方法</w:t>
      </w:r>
    </w:p>
    <w:p>
      <w:pPr>
        <w:pStyle w:val="68"/>
        <w:rPr>
          <w:rFonts w:hAnsi="Times New Roman" w:cs="Times New Roman" w:eastAsiaTheme="minorEastAsia"/>
          <w:szCs w:val="24"/>
        </w:rPr>
      </w:pPr>
      <w:r>
        <w:rPr>
          <w:rFonts w:cs="Times New Roman" w:hAnsiTheme="minorEastAsia" w:eastAsiaTheme="minorEastAsia"/>
          <w:szCs w:val="24"/>
        </w:rPr>
        <w:t>采用单因子指数法进行评价</w:t>
      </w:r>
    </w:p>
    <w:p>
      <w:pPr>
        <w:widowControl/>
        <w:spacing w:line="360" w:lineRule="auto"/>
        <w:ind w:firstLine="480" w:firstLineChars="200"/>
        <w:jc w:val="left"/>
        <w:rPr>
          <w:rFonts w:eastAsiaTheme="minorEastAsia"/>
          <w:kern w:val="0"/>
          <w:sz w:val="24"/>
        </w:rPr>
      </w:pPr>
      <w:r>
        <w:rPr>
          <w:rFonts w:hAnsiTheme="minorEastAsia" w:eastAsiaTheme="minorEastAsia"/>
          <w:kern w:val="0"/>
          <w:sz w:val="24"/>
        </w:rPr>
        <w:t>单因子指数法模式如下：</w:t>
      </w:r>
    </w:p>
    <w:p>
      <w:pPr>
        <w:widowControl/>
        <w:spacing w:line="360" w:lineRule="auto"/>
        <w:ind w:firstLine="480" w:firstLineChars="200"/>
        <w:jc w:val="center"/>
        <w:rPr>
          <w:rFonts w:eastAsiaTheme="minorEastAsia"/>
          <w:kern w:val="0"/>
          <w:sz w:val="24"/>
        </w:rPr>
      </w:pPr>
      <w:r>
        <w:rPr>
          <w:rFonts w:eastAsiaTheme="minorEastAsia"/>
          <w:kern w:val="0"/>
          <w:sz w:val="24"/>
        </w:rPr>
        <w:t>P</w:t>
      </w:r>
      <w:r>
        <w:rPr>
          <w:rFonts w:eastAsiaTheme="minorEastAsia"/>
          <w:kern w:val="0"/>
          <w:sz w:val="24"/>
          <w:vertAlign w:val="subscript"/>
        </w:rPr>
        <w:t>i</w:t>
      </w:r>
      <w:r>
        <w:rPr>
          <w:rFonts w:eastAsiaTheme="minorEastAsia"/>
          <w:kern w:val="0"/>
          <w:sz w:val="24"/>
        </w:rPr>
        <w:t>=C</w:t>
      </w:r>
      <w:r>
        <w:rPr>
          <w:rFonts w:eastAsiaTheme="minorEastAsia"/>
          <w:kern w:val="0"/>
          <w:sz w:val="24"/>
          <w:vertAlign w:val="subscript"/>
        </w:rPr>
        <w:t>i</w:t>
      </w:r>
      <w:r>
        <w:rPr>
          <w:rFonts w:eastAsiaTheme="minorEastAsia"/>
          <w:kern w:val="0"/>
          <w:sz w:val="24"/>
        </w:rPr>
        <w:t>/C</w:t>
      </w:r>
      <w:r>
        <w:rPr>
          <w:rFonts w:eastAsiaTheme="minorEastAsia"/>
          <w:kern w:val="0"/>
          <w:sz w:val="24"/>
          <w:vertAlign w:val="subscript"/>
        </w:rPr>
        <w:t>0i</w:t>
      </w:r>
    </w:p>
    <w:p>
      <w:pPr>
        <w:widowControl/>
        <w:spacing w:line="360" w:lineRule="auto"/>
        <w:ind w:firstLine="480" w:firstLineChars="200"/>
        <w:jc w:val="left"/>
        <w:rPr>
          <w:rFonts w:eastAsiaTheme="minorEastAsia"/>
          <w:kern w:val="0"/>
          <w:sz w:val="24"/>
        </w:rPr>
      </w:pPr>
      <w:r>
        <w:rPr>
          <w:rFonts w:hAnsiTheme="minorEastAsia" w:eastAsiaTheme="minorEastAsia"/>
          <w:kern w:val="0"/>
          <w:sz w:val="24"/>
        </w:rPr>
        <w:t>式中：</w:t>
      </w:r>
      <w:r>
        <w:rPr>
          <w:rFonts w:eastAsiaTheme="minorEastAsia"/>
          <w:kern w:val="0"/>
          <w:sz w:val="24"/>
        </w:rPr>
        <w:t>P</w:t>
      </w:r>
      <w:r>
        <w:rPr>
          <w:rFonts w:eastAsiaTheme="minorEastAsia"/>
          <w:kern w:val="0"/>
          <w:sz w:val="24"/>
          <w:vertAlign w:val="subscript"/>
        </w:rPr>
        <w:t>i</w:t>
      </w:r>
      <w:r>
        <w:rPr>
          <w:rFonts w:hAnsiTheme="minorEastAsia" w:eastAsiaTheme="minorEastAsia"/>
          <w:kern w:val="0"/>
          <w:sz w:val="24"/>
        </w:rPr>
        <w:t>为</w:t>
      </w:r>
      <w:r>
        <w:rPr>
          <w:rFonts w:eastAsiaTheme="minorEastAsia"/>
          <w:kern w:val="0"/>
          <w:sz w:val="24"/>
        </w:rPr>
        <w:t>i</w:t>
      </w:r>
      <w:r>
        <w:rPr>
          <w:rFonts w:hAnsiTheme="minorEastAsia" w:eastAsiaTheme="minorEastAsia"/>
          <w:kern w:val="0"/>
          <w:sz w:val="24"/>
        </w:rPr>
        <w:t>污染物的单项指数；</w:t>
      </w:r>
    </w:p>
    <w:p>
      <w:pPr>
        <w:widowControl/>
        <w:spacing w:line="360" w:lineRule="auto"/>
        <w:ind w:firstLine="480" w:firstLineChars="200"/>
        <w:jc w:val="left"/>
        <w:rPr>
          <w:rFonts w:eastAsiaTheme="minorEastAsia"/>
          <w:kern w:val="0"/>
          <w:sz w:val="24"/>
        </w:rPr>
      </w:pPr>
      <w:r>
        <w:rPr>
          <w:rFonts w:eastAsiaTheme="minorEastAsia"/>
          <w:kern w:val="0"/>
          <w:sz w:val="24"/>
        </w:rPr>
        <w:t xml:space="preserve">      C</w:t>
      </w:r>
      <w:r>
        <w:rPr>
          <w:rFonts w:eastAsiaTheme="minorEastAsia"/>
          <w:kern w:val="0"/>
          <w:sz w:val="24"/>
          <w:vertAlign w:val="subscript"/>
        </w:rPr>
        <w:t>i</w:t>
      </w:r>
      <w:r>
        <w:rPr>
          <w:rFonts w:hAnsiTheme="minorEastAsia" w:eastAsiaTheme="minorEastAsia"/>
          <w:kern w:val="0"/>
          <w:sz w:val="24"/>
        </w:rPr>
        <w:t>为污染物</w:t>
      </w:r>
      <w:r>
        <w:rPr>
          <w:rFonts w:eastAsiaTheme="minorEastAsia"/>
          <w:kern w:val="0"/>
          <w:sz w:val="24"/>
        </w:rPr>
        <w:t>i</w:t>
      </w:r>
      <w:r>
        <w:rPr>
          <w:rFonts w:hAnsiTheme="minorEastAsia" w:eastAsiaTheme="minorEastAsia"/>
          <w:kern w:val="0"/>
          <w:sz w:val="24"/>
        </w:rPr>
        <w:t>的实测浓度值，</w:t>
      </w:r>
      <w:r>
        <w:rPr>
          <w:rFonts w:eastAsiaTheme="minorEastAsia"/>
          <w:kern w:val="0"/>
          <w:sz w:val="24"/>
        </w:rPr>
        <w:t>mg/L</w:t>
      </w:r>
      <w:r>
        <w:rPr>
          <w:rFonts w:hAnsiTheme="minorEastAsia" w:eastAsiaTheme="minorEastAsia"/>
          <w:kern w:val="0"/>
          <w:sz w:val="24"/>
        </w:rPr>
        <w:t>；</w:t>
      </w:r>
    </w:p>
    <w:p>
      <w:pPr>
        <w:widowControl/>
        <w:spacing w:line="360" w:lineRule="auto"/>
        <w:ind w:firstLine="480" w:firstLineChars="200"/>
        <w:jc w:val="left"/>
        <w:rPr>
          <w:rFonts w:eastAsiaTheme="minorEastAsia"/>
          <w:kern w:val="0"/>
          <w:sz w:val="24"/>
        </w:rPr>
      </w:pPr>
      <w:r>
        <w:rPr>
          <w:rFonts w:eastAsiaTheme="minorEastAsia"/>
          <w:kern w:val="0"/>
          <w:sz w:val="24"/>
        </w:rPr>
        <w:t>C</w:t>
      </w:r>
      <w:r>
        <w:rPr>
          <w:rFonts w:eastAsiaTheme="minorEastAsia"/>
          <w:kern w:val="0"/>
          <w:sz w:val="24"/>
          <w:vertAlign w:val="subscript"/>
        </w:rPr>
        <w:t>0i</w:t>
      </w:r>
      <w:r>
        <w:rPr>
          <w:rFonts w:hAnsiTheme="minorEastAsia" w:eastAsiaTheme="minorEastAsia"/>
          <w:kern w:val="0"/>
          <w:sz w:val="24"/>
        </w:rPr>
        <w:t>为污染物</w:t>
      </w:r>
      <w:r>
        <w:rPr>
          <w:rFonts w:eastAsiaTheme="minorEastAsia"/>
          <w:kern w:val="0"/>
          <w:sz w:val="24"/>
        </w:rPr>
        <w:t>i</w:t>
      </w:r>
      <w:r>
        <w:rPr>
          <w:rFonts w:hAnsiTheme="minorEastAsia" w:eastAsiaTheme="minorEastAsia"/>
          <w:kern w:val="0"/>
          <w:sz w:val="24"/>
        </w:rPr>
        <w:t>的评价标准值，</w:t>
      </w:r>
      <w:r>
        <w:rPr>
          <w:rFonts w:eastAsiaTheme="minorEastAsia"/>
          <w:kern w:val="0"/>
          <w:sz w:val="24"/>
        </w:rPr>
        <w:t>mg/L</w:t>
      </w:r>
      <w:r>
        <w:rPr>
          <w:rFonts w:hAnsiTheme="minorEastAsia" w:eastAsiaTheme="minorEastAsia"/>
          <w:kern w:val="0"/>
          <w:sz w:val="24"/>
        </w:rPr>
        <w:t>。</w:t>
      </w:r>
    </w:p>
    <w:p>
      <w:pPr>
        <w:widowControl/>
        <w:spacing w:line="360" w:lineRule="auto"/>
        <w:ind w:firstLine="480" w:firstLineChars="200"/>
        <w:jc w:val="left"/>
        <w:rPr>
          <w:rFonts w:eastAsiaTheme="minorEastAsia"/>
          <w:kern w:val="0"/>
          <w:sz w:val="24"/>
        </w:rPr>
      </w:pPr>
      <w:r>
        <w:rPr>
          <w:rFonts w:eastAsiaTheme="minorEastAsia"/>
          <w:kern w:val="0"/>
          <w:sz w:val="24"/>
        </w:rPr>
        <w:t>pH</w:t>
      </w:r>
      <w:r>
        <w:rPr>
          <w:rFonts w:hAnsiTheme="minorEastAsia" w:eastAsiaTheme="minorEastAsia"/>
          <w:kern w:val="0"/>
          <w:sz w:val="24"/>
        </w:rPr>
        <w:t>的单项指数计算公式如下：</w:t>
      </w:r>
    </w:p>
    <w:p>
      <w:pPr>
        <w:widowControl/>
        <w:spacing w:line="360" w:lineRule="auto"/>
        <w:ind w:firstLine="480" w:firstLineChars="200"/>
        <w:jc w:val="center"/>
        <w:rPr>
          <w:rFonts w:eastAsiaTheme="minorEastAsia"/>
          <w:kern w:val="0"/>
          <w:sz w:val="24"/>
        </w:rPr>
      </w:pPr>
      <w:r>
        <w:rPr>
          <w:rFonts w:eastAsiaTheme="minorEastAsia"/>
          <w:kern w:val="0"/>
          <w:sz w:val="24"/>
        </w:rPr>
        <w:t>P</w:t>
      </w:r>
      <w:r>
        <w:rPr>
          <w:rFonts w:eastAsiaTheme="minorEastAsia"/>
          <w:kern w:val="0"/>
          <w:sz w:val="24"/>
          <w:vertAlign w:val="subscript"/>
        </w:rPr>
        <w:t>pH j</w:t>
      </w:r>
      <w:r>
        <w:rPr>
          <w:rFonts w:eastAsiaTheme="minorEastAsia"/>
          <w:kern w:val="0"/>
          <w:sz w:val="24"/>
        </w:rPr>
        <w:t>=(7.0-pHj)/(7.0-pH</w:t>
      </w:r>
      <w:r>
        <w:rPr>
          <w:rFonts w:eastAsiaTheme="minorEastAsia"/>
          <w:kern w:val="0"/>
          <w:sz w:val="24"/>
          <w:vertAlign w:val="subscript"/>
        </w:rPr>
        <w:t>sd</w:t>
      </w:r>
      <w:r>
        <w:rPr>
          <w:rFonts w:eastAsiaTheme="minorEastAsia"/>
          <w:kern w:val="0"/>
          <w:sz w:val="24"/>
        </w:rPr>
        <w:t>)    pH≤7.0</w:t>
      </w:r>
    </w:p>
    <w:p>
      <w:pPr>
        <w:widowControl/>
        <w:spacing w:line="360" w:lineRule="auto"/>
        <w:ind w:firstLine="480" w:firstLineChars="200"/>
        <w:jc w:val="center"/>
        <w:rPr>
          <w:rFonts w:eastAsiaTheme="minorEastAsia"/>
          <w:kern w:val="0"/>
          <w:sz w:val="24"/>
        </w:rPr>
      </w:pPr>
      <w:r>
        <w:rPr>
          <w:rFonts w:eastAsiaTheme="minorEastAsia"/>
          <w:kern w:val="0"/>
          <w:sz w:val="24"/>
        </w:rPr>
        <w:t>P</w:t>
      </w:r>
      <w:r>
        <w:rPr>
          <w:rFonts w:eastAsiaTheme="minorEastAsia"/>
          <w:kern w:val="0"/>
          <w:sz w:val="24"/>
          <w:vertAlign w:val="subscript"/>
        </w:rPr>
        <w:t>pH j</w:t>
      </w:r>
      <w:r>
        <w:rPr>
          <w:rFonts w:eastAsiaTheme="minorEastAsia"/>
          <w:kern w:val="0"/>
          <w:sz w:val="24"/>
        </w:rPr>
        <w:t>=(pH</w:t>
      </w:r>
      <w:r>
        <w:rPr>
          <w:rFonts w:eastAsiaTheme="minorEastAsia"/>
          <w:kern w:val="0"/>
          <w:sz w:val="24"/>
          <w:vertAlign w:val="subscript"/>
        </w:rPr>
        <w:t>j</w:t>
      </w:r>
      <w:r>
        <w:rPr>
          <w:rFonts w:eastAsiaTheme="minorEastAsia"/>
          <w:kern w:val="0"/>
          <w:sz w:val="24"/>
        </w:rPr>
        <w:t>-7.0)/(pH</w:t>
      </w:r>
      <w:r>
        <w:rPr>
          <w:rFonts w:eastAsiaTheme="minorEastAsia"/>
          <w:kern w:val="0"/>
          <w:sz w:val="24"/>
          <w:vertAlign w:val="subscript"/>
        </w:rPr>
        <w:t>su</w:t>
      </w:r>
      <w:r>
        <w:rPr>
          <w:rFonts w:eastAsiaTheme="minorEastAsia"/>
          <w:kern w:val="0"/>
          <w:sz w:val="24"/>
        </w:rPr>
        <w:t>-7.0)    pH&gt;7.0</w:t>
      </w:r>
    </w:p>
    <w:p>
      <w:pPr>
        <w:widowControl/>
        <w:spacing w:line="360" w:lineRule="auto"/>
        <w:ind w:firstLine="480" w:firstLineChars="200"/>
        <w:jc w:val="left"/>
        <w:rPr>
          <w:rFonts w:eastAsiaTheme="minorEastAsia"/>
          <w:kern w:val="0"/>
          <w:sz w:val="24"/>
        </w:rPr>
      </w:pPr>
      <w:r>
        <w:rPr>
          <w:rFonts w:hAnsiTheme="minorEastAsia" w:eastAsiaTheme="minorEastAsia"/>
          <w:kern w:val="0"/>
          <w:sz w:val="24"/>
        </w:rPr>
        <w:t>式中：</w:t>
      </w:r>
      <w:r>
        <w:rPr>
          <w:rFonts w:eastAsiaTheme="minorEastAsia"/>
          <w:kern w:val="0"/>
          <w:sz w:val="24"/>
        </w:rPr>
        <w:t>P</w:t>
      </w:r>
      <w:r>
        <w:rPr>
          <w:rFonts w:eastAsiaTheme="minorEastAsia"/>
          <w:kern w:val="0"/>
          <w:sz w:val="24"/>
          <w:vertAlign w:val="subscript"/>
        </w:rPr>
        <w:t>pH j</w:t>
      </w:r>
      <w:r>
        <w:rPr>
          <w:rFonts w:hAnsiTheme="minorEastAsia" w:eastAsiaTheme="minorEastAsia"/>
          <w:kern w:val="0"/>
          <w:sz w:val="24"/>
        </w:rPr>
        <w:t>为</w:t>
      </w:r>
      <w:r>
        <w:rPr>
          <w:rFonts w:eastAsiaTheme="minorEastAsia"/>
          <w:kern w:val="0"/>
          <w:sz w:val="24"/>
        </w:rPr>
        <w:t>pH</w:t>
      </w:r>
      <w:r>
        <w:rPr>
          <w:rFonts w:hAnsiTheme="minorEastAsia" w:eastAsiaTheme="minorEastAsia"/>
          <w:kern w:val="0"/>
          <w:sz w:val="24"/>
        </w:rPr>
        <w:t>在</w:t>
      </w:r>
      <w:r>
        <w:rPr>
          <w:rFonts w:eastAsiaTheme="minorEastAsia"/>
          <w:kern w:val="0"/>
          <w:sz w:val="24"/>
        </w:rPr>
        <w:t>j</w:t>
      </w:r>
      <w:r>
        <w:rPr>
          <w:rFonts w:hAnsiTheme="minorEastAsia" w:eastAsiaTheme="minorEastAsia"/>
          <w:kern w:val="0"/>
          <w:sz w:val="24"/>
        </w:rPr>
        <w:t>断面的标准指数；</w:t>
      </w:r>
    </w:p>
    <w:p>
      <w:pPr>
        <w:widowControl/>
        <w:spacing w:line="360" w:lineRule="auto"/>
        <w:ind w:firstLine="1200" w:firstLineChars="500"/>
        <w:jc w:val="left"/>
        <w:rPr>
          <w:rFonts w:eastAsiaTheme="minorEastAsia"/>
          <w:kern w:val="0"/>
          <w:sz w:val="24"/>
        </w:rPr>
      </w:pPr>
      <w:r>
        <w:rPr>
          <w:rFonts w:eastAsiaTheme="minorEastAsia"/>
          <w:kern w:val="0"/>
          <w:sz w:val="24"/>
        </w:rPr>
        <w:t>pH</w:t>
      </w:r>
      <w:r>
        <w:rPr>
          <w:rFonts w:eastAsiaTheme="minorEastAsia"/>
          <w:kern w:val="0"/>
          <w:sz w:val="24"/>
          <w:vertAlign w:val="subscript"/>
        </w:rPr>
        <w:t>j</w:t>
      </w:r>
      <w:r>
        <w:rPr>
          <w:rFonts w:hAnsiTheme="minorEastAsia" w:eastAsiaTheme="minorEastAsia"/>
          <w:kern w:val="0"/>
          <w:sz w:val="24"/>
        </w:rPr>
        <w:t>为</w:t>
      </w:r>
      <w:r>
        <w:rPr>
          <w:rFonts w:eastAsiaTheme="minorEastAsia"/>
          <w:kern w:val="0"/>
          <w:sz w:val="24"/>
        </w:rPr>
        <w:t>pH</w:t>
      </w:r>
      <w:r>
        <w:rPr>
          <w:rFonts w:hAnsiTheme="minorEastAsia" w:eastAsiaTheme="minorEastAsia"/>
          <w:kern w:val="0"/>
          <w:sz w:val="24"/>
        </w:rPr>
        <w:t>在</w:t>
      </w:r>
      <w:r>
        <w:rPr>
          <w:rFonts w:eastAsiaTheme="minorEastAsia"/>
          <w:kern w:val="0"/>
          <w:sz w:val="24"/>
        </w:rPr>
        <w:t>j</w:t>
      </w:r>
      <w:r>
        <w:rPr>
          <w:rFonts w:hAnsiTheme="minorEastAsia" w:eastAsiaTheme="minorEastAsia"/>
          <w:kern w:val="0"/>
          <w:sz w:val="24"/>
        </w:rPr>
        <w:t>断面得实测值；</w:t>
      </w:r>
    </w:p>
    <w:p>
      <w:pPr>
        <w:widowControl/>
        <w:spacing w:line="360" w:lineRule="auto"/>
        <w:ind w:firstLine="1200" w:firstLineChars="500"/>
        <w:jc w:val="left"/>
        <w:rPr>
          <w:rFonts w:eastAsiaTheme="minorEastAsia"/>
          <w:kern w:val="0"/>
          <w:sz w:val="24"/>
        </w:rPr>
      </w:pPr>
      <w:r>
        <w:rPr>
          <w:rFonts w:eastAsiaTheme="minorEastAsia"/>
          <w:kern w:val="0"/>
          <w:sz w:val="24"/>
        </w:rPr>
        <w:t>pH</w:t>
      </w:r>
      <w:r>
        <w:rPr>
          <w:rFonts w:eastAsiaTheme="minorEastAsia"/>
          <w:kern w:val="0"/>
          <w:sz w:val="24"/>
          <w:vertAlign w:val="subscript"/>
        </w:rPr>
        <w:t>sd</w:t>
      </w:r>
      <w:r>
        <w:rPr>
          <w:rFonts w:hAnsiTheme="minorEastAsia" w:eastAsiaTheme="minorEastAsia"/>
          <w:kern w:val="0"/>
          <w:sz w:val="24"/>
        </w:rPr>
        <w:t>为标准中规定的</w:t>
      </w:r>
      <w:r>
        <w:rPr>
          <w:rFonts w:eastAsiaTheme="minorEastAsia"/>
          <w:kern w:val="0"/>
          <w:sz w:val="24"/>
        </w:rPr>
        <w:t>pH</w:t>
      </w:r>
      <w:r>
        <w:rPr>
          <w:rFonts w:hAnsiTheme="minorEastAsia" w:eastAsiaTheme="minorEastAsia"/>
          <w:kern w:val="0"/>
          <w:sz w:val="24"/>
        </w:rPr>
        <w:t>值下限，</w:t>
      </w:r>
      <w:r>
        <w:rPr>
          <w:rFonts w:eastAsiaTheme="minorEastAsia"/>
          <w:kern w:val="0"/>
          <w:sz w:val="24"/>
        </w:rPr>
        <w:t>pH</w:t>
      </w:r>
      <w:r>
        <w:rPr>
          <w:rFonts w:eastAsiaTheme="minorEastAsia"/>
          <w:kern w:val="0"/>
          <w:sz w:val="24"/>
          <w:vertAlign w:val="subscript"/>
        </w:rPr>
        <w:t>sd</w:t>
      </w:r>
      <w:r>
        <w:rPr>
          <w:rFonts w:eastAsiaTheme="minorEastAsia"/>
          <w:kern w:val="0"/>
          <w:sz w:val="24"/>
        </w:rPr>
        <w:t>=6</w:t>
      </w:r>
      <w:r>
        <w:rPr>
          <w:rFonts w:hAnsiTheme="minorEastAsia" w:eastAsiaTheme="minorEastAsia"/>
          <w:kern w:val="0"/>
          <w:sz w:val="24"/>
        </w:rPr>
        <w:t>；</w:t>
      </w:r>
    </w:p>
    <w:p>
      <w:pPr>
        <w:widowControl/>
        <w:spacing w:line="360" w:lineRule="auto"/>
        <w:ind w:firstLine="1200" w:firstLineChars="500"/>
        <w:jc w:val="left"/>
        <w:rPr>
          <w:rFonts w:eastAsiaTheme="minorEastAsia"/>
          <w:kern w:val="0"/>
          <w:sz w:val="24"/>
        </w:rPr>
      </w:pPr>
      <w:r>
        <w:rPr>
          <w:rFonts w:eastAsiaTheme="minorEastAsia"/>
          <w:kern w:val="0"/>
          <w:sz w:val="24"/>
        </w:rPr>
        <w:t>pH</w:t>
      </w:r>
      <w:r>
        <w:rPr>
          <w:rFonts w:eastAsiaTheme="minorEastAsia"/>
          <w:kern w:val="0"/>
          <w:sz w:val="24"/>
          <w:vertAlign w:val="subscript"/>
        </w:rPr>
        <w:t>su</w:t>
      </w:r>
      <w:r>
        <w:rPr>
          <w:rFonts w:hAnsiTheme="minorEastAsia" w:eastAsiaTheme="minorEastAsia"/>
          <w:kern w:val="0"/>
          <w:sz w:val="24"/>
        </w:rPr>
        <w:t>为标准中规定的</w:t>
      </w:r>
      <w:r>
        <w:rPr>
          <w:rFonts w:eastAsiaTheme="minorEastAsia"/>
          <w:kern w:val="0"/>
          <w:sz w:val="24"/>
        </w:rPr>
        <w:t>pH</w:t>
      </w:r>
      <w:r>
        <w:rPr>
          <w:rFonts w:hAnsiTheme="minorEastAsia" w:eastAsiaTheme="minorEastAsia"/>
          <w:kern w:val="0"/>
          <w:sz w:val="24"/>
        </w:rPr>
        <w:t>值上限，</w:t>
      </w:r>
      <w:r>
        <w:rPr>
          <w:rFonts w:eastAsiaTheme="minorEastAsia"/>
          <w:kern w:val="0"/>
          <w:sz w:val="24"/>
        </w:rPr>
        <w:t>pH</w:t>
      </w:r>
      <w:r>
        <w:rPr>
          <w:rFonts w:eastAsiaTheme="minorEastAsia"/>
          <w:kern w:val="0"/>
          <w:sz w:val="24"/>
          <w:vertAlign w:val="subscript"/>
        </w:rPr>
        <w:t>su</w:t>
      </w:r>
      <w:r>
        <w:rPr>
          <w:rFonts w:eastAsiaTheme="minorEastAsia"/>
          <w:kern w:val="0"/>
          <w:sz w:val="24"/>
        </w:rPr>
        <w:t>=9</w:t>
      </w:r>
      <w:r>
        <w:rPr>
          <w:rFonts w:hAnsiTheme="minorEastAsia" w:eastAsiaTheme="minorEastAsia"/>
          <w:kern w:val="0"/>
          <w:sz w:val="24"/>
        </w:rPr>
        <w:t>。</w:t>
      </w:r>
    </w:p>
    <w:p>
      <w:pPr>
        <w:widowControl/>
        <w:spacing w:line="360" w:lineRule="auto"/>
        <w:ind w:firstLine="480" w:firstLineChars="200"/>
        <w:jc w:val="left"/>
        <w:rPr>
          <w:rFonts w:eastAsiaTheme="minorEastAsia"/>
          <w:kern w:val="0"/>
          <w:sz w:val="24"/>
        </w:rPr>
      </w:pPr>
      <w:r>
        <w:rPr>
          <w:rFonts w:hAnsiTheme="minorEastAsia" w:eastAsiaTheme="minorEastAsia"/>
          <w:kern w:val="0"/>
          <w:sz w:val="24"/>
        </w:rPr>
        <w:t>当某水质参数的单因子指数大于</w:t>
      </w:r>
      <w:r>
        <w:rPr>
          <w:rFonts w:eastAsiaTheme="minorEastAsia"/>
          <w:kern w:val="0"/>
          <w:sz w:val="24"/>
        </w:rPr>
        <w:t>1</w:t>
      </w:r>
      <w:r>
        <w:rPr>
          <w:rFonts w:hAnsiTheme="minorEastAsia" w:eastAsiaTheme="minorEastAsia"/>
          <w:kern w:val="0"/>
          <w:sz w:val="24"/>
        </w:rPr>
        <w:t>时，表明该水质参数超过了规定的水质标准，已经受到了一定程度的污染。</w:t>
      </w:r>
    </w:p>
    <w:p>
      <w:pPr>
        <w:pStyle w:val="68"/>
        <w:rPr>
          <w:rFonts w:hAnsi="Times New Roman" w:cs="Times New Roman" w:eastAsiaTheme="minorEastAsia"/>
          <w:szCs w:val="24"/>
        </w:rPr>
      </w:pPr>
      <w:r>
        <w:rPr>
          <w:rFonts w:cs="Times New Roman" w:hAnsiTheme="minorEastAsia" w:eastAsiaTheme="minorEastAsia"/>
          <w:szCs w:val="24"/>
        </w:rPr>
        <w:t>（</w:t>
      </w:r>
      <w:r>
        <w:rPr>
          <w:rFonts w:hAnsi="Times New Roman" w:cs="Times New Roman" w:eastAsiaTheme="minorEastAsia"/>
          <w:szCs w:val="24"/>
        </w:rPr>
        <w:t>5</w:t>
      </w:r>
      <w:r>
        <w:rPr>
          <w:rFonts w:cs="Times New Roman" w:hAnsiTheme="minorEastAsia" w:eastAsiaTheme="minorEastAsia"/>
          <w:szCs w:val="24"/>
        </w:rPr>
        <w:t>）监测结果及评价结果</w:t>
      </w:r>
    </w:p>
    <w:p>
      <w:pPr>
        <w:pStyle w:val="68"/>
        <w:rPr>
          <w:rFonts w:hAnsi="Times New Roman" w:cs="Times New Roman" w:eastAsiaTheme="minorEastAsia"/>
          <w:szCs w:val="24"/>
        </w:rPr>
      </w:pPr>
      <w:r>
        <w:rPr>
          <w:rFonts w:cs="Times New Roman" w:hAnsiTheme="minorEastAsia" w:eastAsiaTheme="minorEastAsia"/>
          <w:szCs w:val="24"/>
        </w:rPr>
        <w:t>地下水监测结果见表</w:t>
      </w:r>
      <w:r>
        <w:rPr>
          <w:rFonts w:hAnsi="Times New Roman" w:cs="Times New Roman" w:eastAsiaTheme="minorEastAsia"/>
          <w:szCs w:val="24"/>
        </w:rPr>
        <w:t>4.3-</w:t>
      </w:r>
      <w:r>
        <w:rPr>
          <w:rFonts w:hint="eastAsia" w:hAnsi="Times New Roman" w:cs="Times New Roman" w:eastAsiaTheme="minorEastAsia"/>
          <w:szCs w:val="24"/>
        </w:rPr>
        <w:t>7</w:t>
      </w:r>
      <w:r>
        <w:rPr>
          <w:rFonts w:cs="Times New Roman" w:hAnsiTheme="minorEastAsia" w:eastAsiaTheme="minorEastAsia"/>
          <w:szCs w:val="24"/>
        </w:rPr>
        <w:t>和</w:t>
      </w:r>
      <w:r>
        <w:rPr>
          <w:rFonts w:hAnsi="Times New Roman" w:cs="Times New Roman" w:eastAsiaTheme="minorEastAsia"/>
          <w:szCs w:val="24"/>
        </w:rPr>
        <w:t>4.3-</w:t>
      </w:r>
      <w:r>
        <w:rPr>
          <w:rFonts w:hint="eastAsia" w:hAnsi="Times New Roman" w:cs="Times New Roman" w:eastAsiaTheme="minorEastAsia"/>
          <w:szCs w:val="24"/>
        </w:rPr>
        <w:t>8</w:t>
      </w:r>
      <w:r>
        <w:rPr>
          <w:rFonts w:cs="Times New Roman" w:hAnsiTheme="minorEastAsia" w:eastAsiaTheme="minorEastAsia"/>
          <w:szCs w:val="24"/>
        </w:rPr>
        <w:t>。</w:t>
      </w:r>
    </w:p>
    <w:p>
      <w:pPr>
        <w:spacing w:line="360" w:lineRule="auto"/>
        <w:ind w:firstLine="420" w:firstLineChars="200"/>
        <w:jc w:val="center"/>
        <w:rPr>
          <w:rFonts w:eastAsiaTheme="minorEastAsia"/>
          <w:b/>
          <w:kern w:val="0"/>
          <w:szCs w:val="21"/>
        </w:rPr>
      </w:pPr>
      <w:r>
        <w:rPr>
          <w:rFonts w:hAnsiTheme="minorEastAsia" w:eastAsiaTheme="minorEastAsia"/>
          <w:b/>
          <w:kern w:val="0"/>
          <w:szCs w:val="21"/>
        </w:rPr>
        <w:t>表</w:t>
      </w:r>
      <w:r>
        <w:rPr>
          <w:rFonts w:eastAsiaTheme="minorEastAsia"/>
          <w:b/>
          <w:kern w:val="0"/>
          <w:szCs w:val="21"/>
        </w:rPr>
        <w:t>4.3-</w:t>
      </w:r>
      <w:r>
        <w:rPr>
          <w:rFonts w:hint="eastAsia" w:eastAsiaTheme="minorEastAsia"/>
          <w:b/>
          <w:kern w:val="0"/>
          <w:szCs w:val="21"/>
        </w:rPr>
        <w:t>7</w:t>
      </w:r>
      <w:r>
        <w:rPr>
          <w:rFonts w:eastAsiaTheme="minorEastAsia"/>
          <w:b/>
          <w:kern w:val="0"/>
          <w:szCs w:val="21"/>
        </w:rPr>
        <w:t xml:space="preserve"> </w:t>
      </w:r>
      <w:r>
        <w:rPr>
          <w:rFonts w:hAnsiTheme="minorEastAsia" w:eastAsiaTheme="minorEastAsia"/>
          <w:b/>
          <w:kern w:val="0"/>
          <w:szCs w:val="21"/>
        </w:rPr>
        <w:t>地下水水位监测结果</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81"/>
        <w:gridCol w:w="984"/>
        <w:gridCol w:w="986"/>
        <w:gridCol w:w="844"/>
        <w:gridCol w:w="984"/>
        <w:gridCol w:w="1549"/>
        <w:gridCol w:w="14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Merge w:val="restart"/>
            <w:vAlign w:val="center"/>
          </w:tcPr>
          <w:p>
            <w:pPr>
              <w:jc w:val="center"/>
              <w:rPr>
                <w:rFonts w:eastAsiaTheme="minorEastAsia"/>
                <w:bCs/>
                <w:szCs w:val="21"/>
              </w:rPr>
            </w:pPr>
          </w:p>
        </w:tc>
        <w:tc>
          <w:tcPr>
            <w:tcW w:w="554" w:type="pct"/>
            <w:vMerge w:val="restart"/>
            <w:vAlign w:val="center"/>
          </w:tcPr>
          <w:p>
            <w:pPr>
              <w:jc w:val="center"/>
              <w:rPr>
                <w:rFonts w:eastAsiaTheme="minorEastAsia"/>
                <w:bCs/>
                <w:szCs w:val="21"/>
              </w:rPr>
            </w:pPr>
          </w:p>
        </w:tc>
        <w:tc>
          <w:tcPr>
            <w:tcW w:w="1584" w:type="pct"/>
            <w:gridSpan w:val="3"/>
            <w:vAlign w:val="center"/>
          </w:tcPr>
          <w:p>
            <w:pPr>
              <w:jc w:val="center"/>
              <w:rPr>
                <w:rFonts w:eastAsiaTheme="minorEastAsia"/>
                <w:bCs/>
                <w:szCs w:val="21"/>
              </w:rPr>
            </w:pPr>
          </w:p>
        </w:tc>
        <w:tc>
          <w:tcPr>
            <w:tcW w:w="1692" w:type="pct"/>
            <w:gridSpan w:val="2"/>
            <w:vAlign w:val="center"/>
          </w:tcPr>
          <w:p>
            <w:pPr>
              <w:jc w:val="center"/>
              <w:rPr>
                <w:rFonts w:eastAsiaTheme="minorEastAsia"/>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Merge w:val="continue"/>
            <w:vAlign w:val="center"/>
          </w:tcPr>
          <w:p>
            <w:pPr>
              <w:widowControl/>
              <w:jc w:val="left"/>
              <w:rPr>
                <w:rFonts w:eastAsiaTheme="minorEastAsia"/>
                <w:bCs/>
                <w:szCs w:val="21"/>
              </w:rPr>
            </w:pPr>
          </w:p>
        </w:tc>
        <w:tc>
          <w:tcPr>
            <w:tcW w:w="554" w:type="pct"/>
            <w:vMerge w:val="continue"/>
            <w:vAlign w:val="center"/>
          </w:tcPr>
          <w:p>
            <w:pPr>
              <w:widowControl/>
              <w:jc w:val="left"/>
              <w:rPr>
                <w:rFonts w:eastAsiaTheme="minorEastAsia"/>
                <w:bCs/>
                <w:szCs w:val="21"/>
              </w:rPr>
            </w:pPr>
          </w:p>
        </w:tc>
        <w:tc>
          <w:tcPr>
            <w:tcW w:w="555" w:type="pct"/>
            <w:vAlign w:val="center"/>
          </w:tcPr>
          <w:p>
            <w:pPr>
              <w:jc w:val="center"/>
              <w:rPr>
                <w:rFonts w:eastAsiaTheme="minorEastAsia"/>
                <w:bCs/>
              </w:rPr>
            </w:pPr>
          </w:p>
        </w:tc>
        <w:tc>
          <w:tcPr>
            <w:tcW w:w="475" w:type="pct"/>
            <w:vAlign w:val="center"/>
          </w:tcPr>
          <w:p>
            <w:pPr>
              <w:jc w:val="center"/>
              <w:rPr>
                <w:rFonts w:eastAsiaTheme="minorEastAsia"/>
                <w:bCs/>
                <w:szCs w:val="21"/>
              </w:rPr>
            </w:pPr>
          </w:p>
        </w:tc>
        <w:tc>
          <w:tcPr>
            <w:tcW w:w="554" w:type="pct"/>
            <w:vAlign w:val="center"/>
          </w:tcPr>
          <w:p>
            <w:pPr>
              <w:pStyle w:val="99"/>
              <w:jc w:val="center"/>
              <w:rPr>
                <w:rFonts w:ascii="Times New Roman" w:hAnsi="Times New Roman" w:cs="Times New Roman" w:eastAsiaTheme="minorEastAsia"/>
                <w:bCs/>
                <w:color w:val="auto"/>
                <w:kern w:val="2"/>
                <w:sz w:val="21"/>
                <w:szCs w:val="21"/>
              </w:rPr>
            </w:pPr>
          </w:p>
        </w:tc>
        <w:tc>
          <w:tcPr>
            <w:tcW w:w="872" w:type="pct"/>
            <w:vAlign w:val="center"/>
          </w:tcPr>
          <w:p>
            <w:pPr>
              <w:adjustRightInd w:val="0"/>
              <w:snapToGrid w:val="0"/>
              <w:spacing w:line="240" w:lineRule="atLeast"/>
              <w:jc w:val="center"/>
              <w:rPr>
                <w:rFonts w:eastAsiaTheme="minorEastAsia"/>
              </w:rPr>
            </w:pPr>
          </w:p>
        </w:tc>
        <w:tc>
          <w:tcPr>
            <w:tcW w:w="820" w:type="pct"/>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b/>
                <w:szCs w:val="21"/>
              </w:rPr>
            </w:pPr>
          </w:p>
        </w:tc>
        <w:tc>
          <w:tcPr>
            <w:tcW w:w="554" w:type="pct"/>
            <w:vMerge w:val="restart"/>
            <w:vAlign w:val="center"/>
          </w:tcPr>
          <w:p>
            <w:pPr>
              <w:spacing w:line="240" w:lineRule="exact"/>
              <w:jc w:val="center"/>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utoSpaceDE w:val="0"/>
              <w:autoSpaceDN w:val="0"/>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utoSpaceDE w:val="0"/>
              <w:autoSpaceDN w:val="0"/>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utoSpaceDE w:val="0"/>
              <w:autoSpaceDN w:val="0"/>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utoSpaceDE w:val="0"/>
              <w:autoSpaceDN w:val="0"/>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spacing w:line="320" w:lineRule="atLeast"/>
              <w:jc w:val="center"/>
              <w:rPr>
                <w:rFonts w:eastAsiaTheme="minorEastAsia"/>
                <w:szCs w:val="21"/>
              </w:rPr>
            </w:pPr>
          </w:p>
        </w:tc>
        <w:tc>
          <w:tcPr>
            <w:tcW w:w="475" w:type="pct"/>
            <w:vAlign w:val="center"/>
          </w:tcPr>
          <w:p>
            <w:pPr>
              <w:spacing w:line="320" w:lineRule="atLeast"/>
              <w:jc w:val="center"/>
              <w:rPr>
                <w:rFonts w:eastAsiaTheme="minorEastAsia"/>
                <w:szCs w:val="21"/>
              </w:rPr>
            </w:pPr>
          </w:p>
        </w:tc>
        <w:tc>
          <w:tcPr>
            <w:tcW w:w="554" w:type="pct"/>
            <w:vAlign w:val="center"/>
          </w:tcPr>
          <w:p>
            <w:pPr>
              <w:spacing w:line="32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utoSpaceDE w:val="0"/>
              <w:autoSpaceDN w:val="0"/>
              <w:adjustRightInd w:val="0"/>
              <w:snapToGrid w:val="0"/>
              <w:spacing w:line="240" w:lineRule="atLeast"/>
              <w:jc w:val="center"/>
              <w:rPr>
                <w:rFonts w:eastAsiaTheme="minorEastAsia"/>
                <w:b/>
                <w:szCs w:val="21"/>
              </w:rPr>
            </w:pPr>
          </w:p>
        </w:tc>
        <w:tc>
          <w:tcPr>
            <w:tcW w:w="554" w:type="pct"/>
            <w:vMerge w:val="restart"/>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pct"/>
            <w:vAlign w:val="center"/>
          </w:tcPr>
          <w:p>
            <w:pPr>
              <w:adjustRightInd w:val="0"/>
              <w:snapToGrid w:val="0"/>
              <w:spacing w:line="240" w:lineRule="atLeast"/>
              <w:jc w:val="center"/>
              <w:rPr>
                <w:rFonts w:eastAsiaTheme="minorEastAsia"/>
                <w:szCs w:val="21"/>
              </w:rPr>
            </w:pPr>
          </w:p>
        </w:tc>
        <w:tc>
          <w:tcPr>
            <w:tcW w:w="554" w:type="pct"/>
            <w:vMerge w:val="continue"/>
            <w:vAlign w:val="center"/>
          </w:tcPr>
          <w:p>
            <w:pPr>
              <w:widowControl/>
              <w:jc w:val="left"/>
              <w:rPr>
                <w:rFonts w:eastAsiaTheme="minorEastAsia"/>
                <w:szCs w:val="21"/>
              </w:rPr>
            </w:pPr>
          </w:p>
        </w:tc>
        <w:tc>
          <w:tcPr>
            <w:tcW w:w="555" w:type="pct"/>
            <w:vAlign w:val="center"/>
          </w:tcPr>
          <w:p>
            <w:pPr>
              <w:adjustRightInd w:val="0"/>
              <w:snapToGrid w:val="0"/>
              <w:spacing w:line="240" w:lineRule="atLeast"/>
              <w:jc w:val="center"/>
              <w:rPr>
                <w:rFonts w:eastAsiaTheme="minorEastAsia"/>
                <w:szCs w:val="21"/>
              </w:rPr>
            </w:pPr>
          </w:p>
        </w:tc>
        <w:tc>
          <w:tcPr>
            <w:tcW w:w="475" w:type="pct"/>
            <w:vAlign w:val="center"/>
          </w:tcPr>
          <w:p>
            <w:pPr>
              <w:adjustRightInd w:val="0"/>
              <w:snapToGrid w:val="0"/>
              <w:spacing w:line="240" w:lineRule="atLeast"/>
              <w:jc w:val="center"/>
              <w:rPr>
                <w:rFonts w:eastAsiaTheme="minorEastAsia"/>
                <w:szCs w:val="21"/>
              </w:rPr>
            </w:pPr>
          </w:p>
        </w:tc>
        <w:tc>
          <w:tcPr>
            <w:tcW w:w="554" w:type="pct"/>
            <w:vAlign w:val="center"/>
          </w:tcPr>
          <w:p>
            <w:pPr>
              <w:adjustRightInd w:val="0"/>
              <w:snapToGrid w:val="0"/>
              <w:spacing w:line="240" w:lineRule="atLeast"/>
              <w:jc w:val="center"/>
              <w:rPr>
                <w:rFonts w:eastAsiaTheme="minorEastAsia"/>
                <w:szCs w:val="21"/>
              </w:rPr>
            </w:pPr>
          </w:p>
        </w:tc>
        <w:tc>
          <w:tcPr>
            <w:tcW w:w="872" w:type="pct"/>
            <w:vAlign w:val="center"/>
          </w:tcPr>
          <w:p>
            <w:pPr>
              <w:adjustRightInd w:val="0"/>
              <w:snapToGrid w:val="0"/>
              <w:spacing w:line="240" w:lineRule="atLeast"/>
              <w:ind w:left="-105" w:leftChars="-50" w:right="-105" w:rightChars="-50"/>
              <w:jc w:val="center"/>
              <w:rPr>
                <w:rFonts w:eastAsiaTheme="minorEastAsia"/>
                <w:szCs w:val="21"/>
              </w:rPr>
            </w:pPr>
          </w:p>
        </w:tc>
        <w:tc>
          <w:tcPr>
            <w:tcW w:w="820" w:type="pct"/>
            <w:vAlign w:val="center"/>
          </w:tcPr>
          <w:p>
            <w:pPr>
              <w:adjustRightInd w:val="0"/>
              <w:snapToGrid w:val="0"/>
              <w:spacing w:line="240" w:lineRule="atLeast"/>
              <w:jc w:val="center"/>
              <w:rPr>
                <w:rFonts w:eastAsiaTheme="minorEastAsia"/>
                <w:szCs w:val="21"/>
              </w:rPr>
            </w:pPr>
          </w:p>
        </w:tc>
      </w:tr>
    </w:tbl>
    <w:p>
      <w:pPr>
        <w:spacing w:line="360" w:lineRule="auto"/>
        <w:ind w:firstLine="420" w:firstLineChars="200"/>
        <w:jc w:val="center"/>
        <w:rPr>
          <w:rFonts w:eastAsiaTheme="minorEastAsia"/>
          <w:b/>
          <w:kern w:val="0"/>
          <w:szCs w:val="21"/>
        </w:rPr>
      </w:pPr>
      <w:r>
        <w:rPr>
          <w:rFonts w:hAnsiTheme="minorEastAsia" w:eastAsiaTheme="minorEastAsia"/>
          <w:b/>
          <w:kern w:val="0"/>
          <w:szCs w:val="21"/>
        </w:rPr>
        <w:t>表</w:t>
      </w:r>
      <w:r>
        <w:rPr>
          <w:rFonts w:eastAsiaTheme="minorEastAsia"/>
          <w:b/>
          <w:kern w:val="0"/>
          <w:szCs w:val="21"/>
        </w:rPr>
        <w:t>4.3-</w:t>
      </w:r>
      <w:r>
        <w:rPr>
          <w:rFonts w:hint="eastAsia" w:eastAsiaTheme="minorEastAsia"/>
          <w:b/>
          <w:kern w:val="0"/>
          <w:szCs w:val="21"/>
        </w:rPr>
        <w:t>8</w:t>
      </w:r>
      <w:r>
        <w:rPr>
          <w:rFonts w:eastAsiaTheme="minorEastAsia"/>
          <w:b/>
          <w:kern w:val="0"/>
          <w:szCs w:val="21"/>
        </w:rPr>
        <w:t xml:space="preserve"> </w:t>
      </w:r>
      <w:r>
        <w:rPr>
          <w:rFonts w:hAnsiTheme="minorEastAsia" w:eastAsiaTheme="minorEastAsia"/>
          <w:b/>
          <w:kern w:val="0"/>
          <w:szCs w:val="21"/>
        </w:rPr>
        <w:t>地下水水质监测结果（一）</w:t>
      </w:r>
    </w:p>
    <w:tbl>
      <w:tblPr>
        <w:tblStyle w:val="24"/>
        <w:tblW w:w="496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1633"/>
        <w:gridCol w:w="722"/>
        <w:gridCol w:w="722"/>
        <w:gridCol w:w="769"/>
        <w:gridCol w:w="826"/>
        <w:gridCol w:w="887"/>
        <w:gridCol w:w="1002"/>
        <w:gridCol w:w="722"/>
        <w:gridCol w:w="8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51" w:hRule="atLeast"/>
          <w:jc w:val="center"/>
        </w:trPr>
        <w:tc>
          <w:tcPr>
            <w:tcW w:w="395" w:type="pct"/>
            <w:vMerge w:val="restart"/>
            <w:vAlign w:val="center"/>
          </w:tcPr>
          <w:p>
            <w:pPr>
              <w:spacing w:line="280" w:lineRule="exact"/>
              <w:jc w:val="center"/>
              <w:rPr>
                <w:rFonts w:eastAsiaTheme="minorEastAsia"/>
                <w:b/>
                <w:bCs/>
                <w:sz w:val="18"/>
                <w:szCs w:val="18"/>
              </w:rPr>
            </w:pPr>
            <w:r>
              <w:rPr>
                <w:rFonts w:hAnsiTheme="minorEastAsia" w:eastAsiaTheme="minorEastAsia"/>
                <w:b/>
                <w:bCs/>
                <w:sz w:val="18"/>
                <w:szCs w:val="18"/>
              </w:rPr>
              <w:t>监测</w:t>
            </w:r>
          </w:p>
          <w:p>
            <w:pPr>
              <w:adjustRightInd w:val="0"/>
              <w:snapToGrid w:val="0"/>
              <w:spacing w:line="280" w:lineRule="exact"/>
              <w:jc w:val="center"/>
              <w:rPr>
                <w:rFonts w:eastAsiaTheme="minorEastAsia"/>
                <w:b/>
                <w:bCs/>
                <w:sz w:val="18"/>
                <w:szCs w:val="18"/>
              </w:rPr>
            </w:pPr>
            <w:r>
              <w:rPr>
                <w:rFonts w:hAnsiTheme="minorEastAsia" w:eastAsiaTheme="minorEastAsia"/>
                <w:b/>
                <w:bCs/>
                <w:sz w:val="18"/>
                <w:szCs w:val="18"/>
              </w:rPr>
              <w:t>日期</w:t>
            </w:r>
          </w:p>
        </w:tc>
        <w:tc>
          <w:tcPr>
            <w:tcW w:w="926" w:type="pct"/>
            <w:vMerge w:val="restart"/>
            <w:vAlign w:val="center"/>
          </w:tcPr>
          <w:p>
            <w:pPr>
              <w:spacing w:line="280" w:lineRule="exact"/>
              <w:jc w:val="center"/>
              <w:rPr>
                <w:rFonts w:eastAsiaTheme="minorEastAsia"/>
                <w:b/>
                <w:bCs/>
                <w:sz w:val="18"/>
                <w:szCs w:val="18"/>
              </w:rPr>
            </w:pPr>
            <w:r>
              <w:rPr>
                <w:rFonts w:hAnsiTheme="minorEastAsia" w:eastAsiaTheme="minorEastAsia"/>
                <w:b/>
                <w:bCs/>
                <w:sz w:val="18"/>
                <w:szCs w:val="18"/>
              </w:rPr>
              <w:t>监测</w:t>
            </w:r>
          </w:p>
          <w:p>
            <w:pPr>
              <w:adjustRightInd w:val="0"/>
              <w:snapToGrid w:val="0"/>
              <w:spacing w:line="280" w:lineRule="exact"/>
              <w:jc w:val="center"/>
              <w:rPr>
                <w:rFonts w:eastAsiaTheme="minorEastAsia"/>
                <w:b/>
                <w:bCs/>
                <w:sz w:val="18"/>
                <w:szCs w:val="18"/>
              </w:rPr>
            </w:pPr>
            <w:r>
              <w:rPr>
                <w:rFonts w:hAnsiTheme="minorEastAsia" w:eastAsiaTheme="minorEastAsia"/>
                <w:b/>
                <w:bCs/>
                <w:sz w:val="18"/>
                <w:szCs w:val="18"/>
              </w:rPr>
              <w:t>点位</w:t>
            </w:r>
          </w:p>
        </w:tc>
        <w:tc>
          <w:tcPr>
            <w:tcW w:w="3679" w:type="pct"/>
            <w:gridSpan w:val="8"/>
            <w:vAlign w:val="center"/>
          </w:tcPr>
          <w:p>
            <w:pPr>
              <w:adjustRightInd w:val="0"/>
              <w:snapToGrid w:val="0"/>
              <w:spacing w:line="280" w:lineRule="exact"/>
              <w:jc w:val="center"/>
              <w:rPr>
                <w:rFonts w:eastAsiaTheme="minorEastAsia"/>
                <w:b/>
                <w:bCs/>
                <w:sz w:val="18"/>
                <w:szCs w:val="18"/>
              </w:rPr>
            </w:pPr>
            <w:r>
              <w:rPr>
                <w:rFonts w:hAnsiTheme="minorEastAsia" w:eastAsiaTheme="minorEastAsia"/>
                <w:b/>
                <w:bCs/>
                <w:sz w:val="18"/>
                <w:szCs w:val="18"/>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exact"/>
          <w:jc w:val="center"/>
        </w:trPr>
        <w:tc>
          <w:tcPr>
            <w:tcW w:w="395" w:type="pct"/>
            <w:vMerge w:val="continue"/>
            <w:vAlign w:val="center"/>
          </w:tcPr>
          <w:p>
            <w:pPr>
              <w:widowControl/>
              <w:jc w:val="left"/>
              <w:rPr>
                <w:rFonts w:eastAsiaTheme="minorEastAsia"/>
                <w:b/>
                <w:bCs/>
                <w:sz w:val="18"/>
                <w:szCs w:val="18"/>
              </w:rPr>
            </w:pPr>
          </w:p>
        </w:tc>
        <w:tc>
          <w:tcPr>
            <w:tcW w:w="926" w:type="pct"/>
            <w:vMerge w:val="continue"/>
            <w:vAlign w:val="center"/>
          </w:tcPr>
          <w:p>
            <w:pPr>
              <w:widowControl/>
              <w:jc w:val="left"/>
              <w:rPr>
                <w:rFonts w:eastAsiaTheme="minorEastAsia"/>
                <w:b/>
                <w:bCs/>
                <w:sz w:val="18"/>
                <w:szCs w:val="18"/>
              </w:rPr>
            </w:pPr>
          </w:p>
        </w:tc>
        <w:tc>
          <w:tcPr>
            <w:tcW w:w="409" w:type="pct"/>
            <w:vAlign w:val="center"/>
          </w:tcPr>
          <w:p>
            <w:pPr>
              <w:widowControl/>
              <w:adjustRightInd w:val="0"/>
              <w:snapToGrid w:val="0"/>
              <w:spacing w:line="240" w:lineRule="exact"/>
              <w:jc w:val="center"/>
              <w:rPr>
                <w:rFonts w:eastAsiaTheme="minorEastAsia"/>
                <w:b/>
                <w:kern w:val="0"/>
                <w:sz w:val="18"/>
                <w:szCs w:val="18"/>
              </w:rPr>
            </w:pPr>
            <w:r>
              <w:rPr>
                <w:rFonts w:eastAsiaTheme="minorEastAsia"/>
                <w:b/>
                <w:sz w:val="18"/>
                <w:szCs w:val="18"/>
              </w:rPr>
              <w:t>K</w:t>
            </w:r>
            <w:r>
              <w:rPr>
                <w:rFonts w:eastAsiaTheme="minorEastAsia"/>
                <w:b/>
                <w:sz w:val="18"/>
                <w:szCs w:val="18"/>
                <w:vertAlign w:val="superscript"/>
              </w:rPr>
              <w:t>+</w:t>
            </w:r>
          </w:p>
        </w:tc>
        <w:tc>
          <w:tcPr>
            <w:tcW w:w="409" w:type="pct"/>
            <w:vAlign w:val="center"/>
          </w:tcPr>
          <w:p>
            <w:pPr>
              <w:widowControl/>
              <w:adjustRightInd w:val="0"/>
              <w:snapToGrid w:val="0"/>
              <w:spacing w:line="240" w:lineRule="exact"/>
              <w:jc w:val="center"/>
              <w:rPr>
                <w:rFonts w:eastAsiaTheme="minorEastAsia"/>
                <w:b/>
                <w:kern w:val="0"/>
                <w:sz w:val="18"/>
                <w:szCs w:val="18"/>
              </w:rPr>
            </w:pPr>
            <w:r>
              <w:rPr>
                <w:rFonts w:eastAsiaTheme="minorEastAsia"/>
                <w:b/>
                <w:sz w:val="18"/>
                <w:szCs w:val="18"/>
              </w:rPr>
              <w:t>Na</w:t>
            </w:r>
            <w:r>
              <w:rPr>
                <w:rFonts w:eastAsiaTheme="minorEastAsia"/>
                <w:b/>
                <w:sz w:val="18"/>
                <w:szCs w:val="18"/>
                <w:vertAlign w:val="superscript"/>
              </w:rPr>
              <w:t>+</w:t>
            </w:r>
          </w:p>
        </w:tc>
        <w:tc>
          <w:tcPr>
            <w:tcW w:w="436" w:type="pct"/>
            <w:vAlign w:val="center"/>
          </w:tcPr>
          <w:p>
            <w:pPr>
              <w:widowControl/>
              <w:adjustRightInd w:val="0"/>
              <w:snapToGrid w:val="0"/>
              <w:spacing w:line="240" w:lineRule="exact"/>
              <w:jc w:val="center"/>
              <w:rPr>
                <w:rFonts w:eastAsiaTheme="minorEastAsia"/>
                <w:b/>
                <w:kern w:val="0"/>
                <w:sz w:val="18"/>
                <w:szCs w:val="18"/>
              </w:rPr>
            </w:pPr>
            <w:r>
              <w:rPr>
                <w:rFonts w:eastAsiaTheme="minorEastAsia"/>
                <w:b/>
                <w:sz w:val="18"/>
                <w:szCs w:val="18"/>
              </w:rPr>
              <w:t>Ca</w:t>
            </w:r>
            <w:r>
              <w:rPr>
                <w:rFonts w:eastAsiaTheme="minorEastAsia"/>
                <w:b/>
                <w:sz w:val="18"/>
                <w:szCs w:val="18"/>
                <w:vertAlign w:val="superscript"/>
              </w:rPr>
              <w:t>2+</w:t>
            </w:r>
          </w:p>
        </w:tc>
        <w:tc>
          <w:tcPr>
            <w:tcW w:w="468" w:type="pct"/>
            <w:vAlign w:val="center"/>
          </w:tcPr>
          <w:p>
            <w:pPr>
              <w:widowControl/>
              <w:adjustRightInd w:val="0"/>
              <w:snapToGrid w:val="0"/>
              <w:spacing w:line="240" w:lineRule="exact"/>
              <w:jc w:val="center"/>
              <w:rPr>
                <w:rFonts w:eastAsiaTheme="minorEastAsia"/>
                <w:b/>
                <w:sz w:val="18"/>
                <w:szCs w:val="18"/>
              </w:rPr>
            </w:pPr>
            <w:r>
              <w:rPr>
                <w:rFonts w:eastAsiaTheme="minorEastAsia"/>
                <w:b/>
                <w:sz w:val="18"/>
                <w:szCs w:val="18"/>
              </w:rPr>
              <w:t>Mg</w:t>
            </w:r>
            <w:r>
              <w:rPr>
                <w:rFonts w:eastAsiaTheme="minorEastAsia"/>
                <w:b/>
                <w:sz w:val="18"/>
                <w:szCs w:val="18"/>
                <w:vertAlign w:val="superscript"/>
              </w:rPr>
              <w:t>2+</w:t>
            </w:r>
          </w:p>
        </w:tc>
        <w:tc>
          <w:tcPr>
            <w:tcW w:w="503" w:type="pct"/>
            <w:vAlign w:val="center"/>
          </w:tcPr>
          <w:p>
            <w:pPr>
              <w:widowControl/>
              <w:adjustRightInd w:val="0"/>
              <w:snapToGrid w:val="0"/>
              <w:spacing w:line="240" w:lineRule="exact"/>
              <w:jc w:val="center"/>
              <w:rPr>
                <w:rFonts w:eastAsiaTheme="minorEastAsia"/>
                <w:b/>
                <w:sz w:val="18"/>
                <w:szCs w:val="18"/>
              </w:rPr>
            </w:pPr>
            <w:r>
              <w:rPr>
                <w:rFonts w:eastAsiaTheme="minorEastAsia"/>
                <w:b/>
                <w:sz w:val="18"/>
                <w:szCs w:val="18"/>
              </w:rPr>
              <w:t>CO</w:t>
            </w:r>
            <w:r>
              <w:rPr>
                <w:rFonts w:eastAsiaTheme="minorEastAsia"/>
                <w:b/>
                <w:sz w:val="18"/>
                <w:szCs w:val="18"/>
                <w:vertAlign w:val="subscript"/>
              </w:rPr>
              <w:t>3</w:t>
            </w:r>
            <w:r>
              <w:rPr>
                <w:rFonts w:eastAsiaTheme="minorEastAsia"/>
                <w:b/>
                <w:sz w:val="18"/>
                <w:szCs w:val="18"/>
                <w:vertAlign w:val="superscript"/>
              </w:rPr>
              <w:t>2-</w:t>
            </w:r>
          </w:p>
        </w:tc>
        <w:tc>
          <w:tcPr>
            <w:tcW w:w="568" w:type="pct"/>
            <w:vAlign w:val="center"/>
          </w:tcPr>
          <w:p>
            <w:pPr>
              <w:widowControl/>
              <w:adjustRightInd w:val="0"/>
              <w:snapToGrid w:val="0"/>
              <w:spacing w:line="240" w:lineRule="exact"/>
              <w:jc w:val="center"/>
              <w:rPr>
                <w:rFonts w:eastAsiaTheme="minorEastAsia"/>
                <w:b/>
                <w:sz w:val="18"/>
                <w:szCs w:val="18"/>
              </w:rPr>
            </w:pPr>
            <w:r>
              <w:rPr>
                <w:rFonts w:eastAsiaTheme="minorEastAsia"/>
                <w:b/>
                <w:sz w:val="18"/>
                <w:szCs w:val="18"/>
              </w:rPr>
              <w:t>HCO</w:t>
            </w:r>
            <w:r>
              <w:rPr>
                <w:rFonts w:eastAsiaTheme="minorEastAsia"/>
                <w:b/>
                <w:sz w:val="18"/>
                <w:szCs w:val="18"/>
                <w:vertAlign w:val="subscript"/>
              </w:rPr>
              <w:t>3</w:t>
            </w:r>
            <w:r>
              <w:rPr>
                <w:rFonts w:eastAsiaTheme="minorEastAsia"/>
                <w:b/>
                <w:sz w:val="18"/>
                <w:szCs w:val="18"/>
                <w:vertAlign w:val="superscript"/>
              </w:rPr>
              <w:t>-</w:t>
            </w:r>
          </w:p>
        </w:tc>
        <w:tc>
          <w:tcPr>
            <w:tcW w:w="409" w:type="pct"/>
            <w:vAlign w:val="center"/>
          </w:tcPr>
          <w:p>
            <w:pPr>
              <w:widowControl/>
              <w:adjustRightInd w:val="0"/>
              <w:snapToGrid w:val="0"/>
              <w:spacing w:line="240" w:lineRule="exact"/>
              <w:jc w:val="center"/>
              <w:rPr>
                <w:rFonts w:eastAsiaTheme="minorEastAsia"/>
                <w:b/>
                <w:sz w:val="18"/>
                <w:szCs w:val="18"/>
              </w:rPr>
            </w:pPr>
            <w:r>
              <w:rPr>
                <w:rFonts w:eastAsiaTheme="minorEastAsia"/>
                <w:b/>
                <w:sz w:val="18"/>
                <w:szCs w:val="18"/>
              </w:rPr>
              <w:t>Cl</w:t>
            </w:r>
            <w:r>
              <w:rPr>
                <w:rFonts w:eastAsiaTheme="minorEastAsia"/>
                <w:b/>
                <w:sz w:val="18"/>
                <w:szCs w:val="18"/>
                <w:vertAlign w:val="superscript"/>
              </w:rPr>
              <w:t>-</w:t>
            </w:r>
          </w:p>
        </w:tc>
        <w:tc>
          <w:tcPr>
            <w:tcW w:w="476" w:type="pct"/>
            <w:vAlign w:val="center"/>
          </w:tcPr>
          <w:p>
            <w:pPr>
              <w:widowControl/>
              <w:adjustRightInd w:val="0"/>
              <w:snapToGrid w:val="0"/>
              <w:spacing w:line="240" w:lineRule="exact"/>
              <w:jc w:val="center"/>
              <w:rPr>
                <w:rFonts w:eastAsiaTheme="minorEastAsia"/>
                <w:b/>
                <w:kern w:val="0"/>
                <w:sz w:val="18"/>
                <w:szCs w:val="18"/>
              </w:rPr>
            </w:pPr>
            <w:r>
              <w:rPr>
                <w:rFonts w:eastAsiaTheme="minorEastAsia"/>
                <w:b/>
                <w:sz w:val="18"/>
                <w:szCs w:val="18"/>
              </w:rPr>
              <w:t>SO</w:t>
            </w:r>
            <w:r>
              <w:rPr>
                <w:rFonts w:eastAsiaTheme="minorEastAsia"/>
                <w:b/>
                <w:sz w:val="18"/>
                <w:szCs w:val="18"/>
                <w:vertAlign w:val="subscript"/>
              </w:rPr>
              <w:t>4</w:t>
            </w:r>
            <w:r>
              <w:rPr>
                <w:rFonts w:eastAsiaTheme="minorEastAsia"/>
                <w:b/>
                <w:sz w:val="18"/>
                <w:szCs w:val="18"/>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restart"/>
            <w:vAlign w:val="center"/>
          </w:tcPr>
          <w:p>
            <w:pPr>
              <w:adjustRightInd w:val="0"/>
              <w:snapToGrid w:val="0"/>
              <w:spacing w:line="280" w:lineRule="exact"/>
              <w:jc w:val="center"/>
              <w:rPr>
                <w:rFonts w:eastAsiaTheme="minorEastAsia"/>
                <w:sz w:val="18"/>
                <w:szCs w:val="18"/>
              </w:rPr>
            </w:pPr>
          </w:p>
        </w:tc>
        <w:tc>
          <w:tcPr>
            <w:tcW w:w="926" w:type="pct"/>
            <w:vAlign w:val="center"/>
          </w:tcPr>
          <w:p>
            <w:pPr>
              <w:adjustRightInd w:val="0"/>
              <w:snapToGrid w:val="0"/>
              <w:spacing w:line="240" w:lineRule="atLeast"/>
              <w:jc w:val="center"/>
              <w:rPr>
                <w:rFonts w:eastAsiaTheme="minorEastAsia"/>
                <w:b/>
                <w:sz w:val="18"/>
                <w:szCs w:val="18"/>
              </w:rPr>
            </w:pPr>
          </w:p>
        </w:tc>
        <w:tc>
          <w:tcPr>
            <w:tcW w:w="409" w:type="pct"/>
            <w:vAlign w:val="center"/>
          </w:tcPr>
          <w:p>
            <w:pPr>
              <w:widowControl/>
              <w:jc w:val="center"/>
              <w:rPr>
                <w:rFonts w:eastAsiaTheme="minorEastAsia"/>
                <w:kern w:val="0"/>
                <w:sz w:val="18"/>
                <w:szCs w:val="18"/>
              </w:rPr>
            </w:pPr>
          </w:p>
        </w:tc>
        <w:tc>
          <w:tcPr>
            <w:tcW w:w="409" w:type="pct"/>
            <w:vAlign w:val="center"/>
          </w:tcPr>
          <w:p>
            <w:pPr>
              <w:widowControl/>
              <w:jc w:val="center"/>
              <w:rPr>
                <w:rFonts w:eastAsiaTheme="minorEastAsia"/>
                <w:kern w:val="0"/>
                <w:sz w:val="18"/>
                <w:szCs w:val="18"/>
              </w:rPr>
            </w:pPr>
          </w:p>
        </w:tc>
        <w:tc>
          <w:tcPr>
            <w:tcW w:w="436" w:type="pct"/>
            <w:vAlign w:val="center"/>
          </w:tcPr>
          <w:p>
            <w:pPr>
              <w:widowControl/>
              <w:jc w:val="center"/>
              <w:rPr>
                <w:rFonts w:eastAsiaTheme="minorEastAsia"/>
                <w:kern w:val="0"/>
                <w:sz w:val="18"/>
                <w:szCs w:val="18"/>
              </w:rPr>
            </w:pPr>
          </w:p>
        </w:tc>
        <w:tc>
          <w:tcPr>
            <w:tcW w:w="468" w:type="pct"/>
            <w:vAlign w:val="center"/>
          </w:tcPr>
          <w:p>
            <w:pPr>
              <w:widowControl/>
              <w:jc w:val="center"/>
              <w:rPr>
                <w:rFonts w:eastAsiaTheme="minorEastAsia"/>
                <w:kern w:val="0"/>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kern w:val="0"/>
                <w:sz w:val="18"/>
                <w:szCs w:val="18"/>
              </w:rPr>
            </w:pPr>
          </w:p>
        </w:tc>
        <w:tc>
          <w:tcPr>
            <w:tcW w:w="409" w:type="pct"/>
            <w:vAlign w:val="center"/>
          </w:tcPr>
          <w:p>
            <w:pPr>
              <w:widowControl/>
              <w:jc w:val="center"/>
              <w:rPr>
                <w:rFonts w:eastAsiaTheme="minorEastAsia"/>
                <w:kern w:val="0"/>
                <w:sz w:val="18"/>
                <w:szCs w:val="18"/>
              </w:rPr>
            </w:pPr>
          </w:p>
        </w:tc>
        <w:tc>
          <w:tcPr>
            <w:tcW w:w="476" w:type="pct"/>
            <w:vAlign w:val="center"/>
          </w:tcPr>
          <w:p>
            <w:pPr>
              <w:widowControl/>
              <w:jc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utoSpaceDE w:val="0"/>
              <w:autoSpaceDN w:val="0"/>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utoSpaceDE w:val="0"/>
              <w:autoSpaceDN w:val="0"/>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utoSpaceDE w:val="0"/>
              <w:autoSpaceDN w:val="0"/>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utoSpaceDE w:val="0"/>
              <w:autoSpaceDN w:val="0"/>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restart"/>
            <w:vAlign w:val="center"/>
          </w:tcPr>
          <w:p>
            <w:pPr>
              <w:adjustRightInd w:val="0"/>
              <w:snapToGrid w:val="0"/>
              <w:spacing w:line="280" w:lineRule="exact"/>
              <w:jc w:val="center"/>
              <w:rPr>
                <w:rFonts w:eastAsiaTheme="minorEastAsia"/>
                <w:sz w:val="18"/>
                <w:szCs w:val="18"/>
              </w:rPr>
            </w:pPr>
          </w:p>
        </w:tc>
        <w:tc>
          <w:tcPr>
            <w:tcW w:w="926" w:type="pct"/>
            <w:vAlign w:val="center"/>
          </w:tcPr>
          <w:p>
            <w:pPr>
              <w:autoSpaceDE w:val="0"/>
              <w:autoSpaceDN w:val="0"/>
              <w:adjustRightInd w:val="0"/>
              <w:snapToGrid w:val="0"/>
              <w:spacing w:line="240" w:lineRule="atLeast"/>
              <w:jc w:val="center"/>
              <w:rPr>
                <w:rFonts w:eastAsiaTheme="minorEastAsia"/>
                <w:b/>
                <w:sz w:val="18"/>
                <w:szCs w:val="18"/>
              </w:rPr>
            </w:pPr>
          </w:p>
        </w:tc>
        <w:tc>
          <w:tcPr>
            <w:tcW w:w="40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40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436"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468"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503" w:type="pct"/>
            <w:vAlign w:val="center"/>
          </w:tcPr>
          <w:p>
            <w:pPr>
              <w:widowControl/>
              <w:adjustRightInd w:val="0"/>
              <w:snapToGrid w:val="0"/>
              <w:spacing w:line="240" w:lineRule="atLeast"/>
              <w:jc w:val="center"/>
              <w:textAlignment w:val="center"/>
              <w:rPr>
                <w:rFonts w:eastAsiaTheme="minorEastAsia"/>
                <w:sz w:val="18"/>
                <w:szCs w:val="18"/>
              </w:rPr>
            </w:pPr>
          </w:p>
        </w:tc>
        <w:tc>
          <w:tcPr>
            <w:tcW w:w="568"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40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476" w:type="pct"/>
            <w:vAlign w:val="center"/>
          </w:tcPr>
          <w:p>
            <w:pPr>
              <w:widowControl/>
              <w:adjustRightInd w:val="0"/>
              <w:snapToGrid w:val="0"/>
              <w:spacing w:line="240" w:lineRule="atLeast"/>
              <w:jc w:val="center"/>
              <w:textAlignment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36" w:type="pct"/>
            <w:vAlign w:val="center"/>
          </w:tcPr>
          <w:p>
            <w:pPr>
              <w:widowControl/>
              <w:jc w:val="center"/>
              <w:rPr>
                <w:rFonts w:eastAsiaTheme="minorEastAsia"/>
                <w:sz w:val="18"/>
                <w:szCs w:val="18"/>
              </w:rPr>
            </w:pPr>
          </w:p>
        </w:tc>
        <w:tc>
          <w:tcPr>
            <w:tcW w:w="468" w:type="pct"/>
            <w:vAlign w:val="center"/>
          </w:tcPr>
          <w:p>
            <w:pPr>
              <w:widowControl/>
              <w:jc w:val="center"/>
              <w:rPr>
                <w:rFonts w:eastAsiaTheme="minorEastAsia"/>
                <w:sz w:val="18"/>
                <w:szCs w:val="18"/>
              </w:rPr>
            </w:pPr>
          </w:p>
        </w:tc>
        <w:tc>
          <w:tcPr>
            <w:tcW w:w="503" w:type="pct"/>
            <w:vAlign w:val="center"/>
          </w:tcPr>
          <w:p>
            <w:pPr>
              <w:adjustRightInd w:val="0"/>
              <w:snapToGrid w:val="0"/>
              <w:spacing w:line="240" w:lineRule="atLeast"/>
              <w:jc w:val="center"/>
              <w:rPr>
                <w:rFonts w:eastAsiaTheme="minorEastAsia"/>
                <w:sz w:val="18"/>
                <w:szCs w:val="18"/>
              </w:rPr>
            </w:pPr>
          </w:p>
        </w:tc>
        <w:tc>
          <w:tcPr>
            <w:tcW w:w="568" w:type="pct"/>
            <w:vAlign w:val="center"/>
          </w:tcPr>
          <w:p>
            <w:pPr>
              <w:widowControl/>
              <w:jc w:val="center"/>
              <w:rPr>
                <w:rFonts w:eastAsiaTheme="minorEastAsia"/>
                <w:sz w:val="18"/>
                <w:szCs w:val="18"/>
              </w:rPr>
            </w:pPr>
          </w:p>
        </w:tc>
        <w:tc>
          <w:tcPr>
            <w:tcW w:w="409" w:type="pct"/>
            <w:vAlign w:val="center"/>
          </w:tcPr>
          <w:p>
            <w:pPr>
              <w:widowControl/>
              <w:jc w:val="center"/>
              <w:rPr>
                <w:rFonts w:eastAsiaTheme="minorEastAsia"/>
                <w:sz w:val="18"/>
                <w:szCs w:val="18"/>
              </w:rPr>
            </w:pPr>
          </w:p>
        </w:tc>
        <w:tc>
          <w:tcPr>
            <w:tcW w:w="476" w:type="pct"/>
            <w:vAlign w:val="center"/>
          </w:tcPr>
          <w:p>
            <w:pPr>
              <w:widowControl/>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adjustRightInd w:val="0"/>
              <w:snapToGrid w:val="0"/>
              <w:spacing w:line="240" w:lineRule="atLeast"/>
              <w:jc w:val="center"/>
              <w:textAlignment w:val="center"/>
              <w:rPr>
                <w:rFonts w:eastAsiaTheme="minorEastAsia"/>
                <w:sz w:val="18"/>
                <w:szCs w:val="18"/>
              </w:rPr>
            </w:pPr>
          </w:p>
        </w:tc>
        <w:tc>
          <w:tcPr>
            <w:tcW w:w="409" w:type="pct"/>
            <w:vAlign w:val="center"/>
          </w:tcPr>
          <w:p>
            <w:pPr>
              <w:widowControl/>
              <w:adjustRightInd w:val="0"/>
              <w:snapToGrid w:val="0"/>
              <w:spacing w:line="240" w:lineRule="atLeast"/>
              <w:jc w:val="center"/>
              <w:textAlignment w:val="center"/>
              <w:rPr>
                <w:rFonts w:eastAsiaTheme="minorEastAsia"/>
                <w:sz w:val="18"/>
                <w:szCs w:val="18"/>
              </w:rPr>
            </w:pPr>
          </w:p>
        </w:tc>
        <w:tc>
          <w:tcPr>
            <w:tcW w:w="436" w:type="pct"/>
            <w:vAlign w:val="center"/>
          </w:tcPr>
          <w:p>
            <w:pPr>
              <w:widowControl/>
              <w:adjustRightInd w:val="0"/>
              <w:snapToGrid w:val="0"/>
              <w:spacing w:line="240" w:lineRule="atLeast"/>
              <w:jc w:val="center"/>
              <w:textAlignment w:val="center"/>
              <w:rPr>
                <w:rFonts w:eastAsiaTheme="minorEastAsia"/>
                <w:sz w:val="18"/>
                <w:szCs w:val="18"/>
              </w:rPr>
            </w:pPr>
          </w:p>
        </w:tc>
        <w:tc>
          <w:tcPr>
            <w:tcW w:w="468" w:type="pct"/>
            <w:vAlign w:val="center"/>
          </w:tcPr>
          <w:p>
            <w:pPr>
              <w:widowControl/>
              <w:adjustRightInd w:val="0"/>
              <w:snapToGrid w:val="0"/>
              <w:spacing w:line="240" w:lineRule="atLeast"/>
              <w:jc w:val="center"/>
              <w:textAlignment w:val="center"/>
              <w:rPr>
                <w:rFonts w:eastAsiaTheme="minorEastAsia"/>
                <w:sz w:val="18"/>
                <w:szCs w:val="18"/>
              </w:rPr>
            </w:pPr>
          </w:p>
        </w:tc>
        <w:tc>
          <w:tcPr>
            <w:tcW w:w="503" w:type="pct"/>
            <w:vAlign w:val="center"/>
          </w:tcPr>
          <w:p>
            <w:pPr>
              <w:widowControl/>
              <w:adjustRightInd w:val="0"/>
              <w:snapToGrid w:val="0"/>
              <w:spacing w:line="240" w:lineRule="atLeast"/>
              <w:jc w:val="center"/>
              <w:textAlignment w:val="center"/>
              <w:rPr>
                <w:rFonts w:eastAsiaTheme="minorEastAsia"/>
                <w:sz w:val="18"/>
                <w:szCs w:val="18"/>
              </w:rPr>
            </w:pPr>
          </w:p>
        </w:tc>
        <w:tc>
          <w:tcPr>
            <w:tcW w:w="568" w:type="pct"/>
            <w:vAlign w:val="center"/>
          </w:tcPr>
          <w:p>
            <w:pPr>
              <w:widowControl/>
              <w:adjustRightInd w:val="0"/>
              <w:snapToGrid w:val="0"/>
              <w:spacing w:line="240" w:lineRule="atLeast"/>
              <w:jc w:val="center"/>
              <w:textAlignment w:val="center"/>
              <w:rPr>
                <w:rFonts w:eastAsiaTheme="minorEastAsia"/>
                <w:sz w:val="18"/>
                <w:szCs w:val="18"/>
              </w:rPr>
            </w:pPr>
          </w:p>
        </w:tc>
        <w:tc>
          <w:tcPr>
            <w:tcW w:w="409" w:type="pct"/>
            <w:vAlign w:val="center"/>
          </w:tcPr>
          <w:p>
            <w:pPr>
              <w:widowControl/>
              <w:adjustRightInd w:val="0"/>
              <w:snapToGrid w:val="0"/>
              <w:spacing w:line="240" w:lineRule="atLeast"/>
              <w:jc w:val="center"/>
              <w:textAlignment w:val="center"/>
              <w:rPr>
                <w:rFonts w:eastAsiaTheme="minorEastAsia"/>
                <w:sz w:val="18"/>
                <w:szCs w:val="18"/>
              </w:rPr>
            </w:pPr>
          </w:p>
        </w:tc>
        <w:tc>
          <w:tcPr>
            <w:tcW w:w="476"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395" w:type="pct"/>
            <w:vMerge w:val="continue"/>
            <w:vAlign w:val="center"/>
          </w:tcPr>
          <w:p>
            <w:pPr>
              <w:widowControl/>
              <w:jc w:val="left"/>
              <w:rPr>
                <w:rFonts w:eastAsiaTheme="minorEastAsia"/>
                <w:sz w:val="18"/>
                <w:szCs w:val="18"/>
              </w:rPr>
            </w:pPr>
          </w:p>
        </w:tc>
        <w:tc>
          <w:tcPr>
            <w:tcW w:w="926" w:type="pct"/>
            <w:vAlign w:val="center"/>
          </w:tcPr>
          <w:p>
            <w:pPr>
              <w:adjustRightInd w:val="0"/>
              <w:snapToGrid w:val="0"/>
              <w:spacing w:line="240" w:lineRule="atLeast"/>
              <w:jc w:val="center"/>
              <w:rPr>
                <w:rFonts w:eastAsiaTheme="minorEastAsia"/>
                <w:sz w:val="18"/>
                <w:szCs w:val="18"/>
              </w:rPr>
            </w:pPr>
          </w:p>
        </w:tc>
        <w:tc>
          <w:tcPr>
            <w:tcW w:w="409" w:type="pct"/>
            <w:vAlign w:val="center"/>
          </w:tcPr>
          <w:p>
            <w:pPr>
              <w:widowControl/>
              <w:adjustRightInd w:val="0"/>
              <w:snapToGrid w:val="0"/>
              <w:spacing w:line="240" w:lineRule="atLeast"/>
              <w:jc w:val="center"/>
              <w:textAlignment w:val="center"/>
              <w:rPr>
                <w:rFonts w:eastAsiaTheme="minorEastAsia"/>
                <w:sz w:val="18"/>
                <w:szCs w:val="18"/>
              </w:rPr>
            </w:pPr>
          </w:p>
        </w:tc>
        <w:tc>
          <w:tcPr>
            <w:tcW w:w="409" w:type="pct"/>
            <w:vAlign w:val="center"/>
          </w:tcPr>
          <w:p>
            <w:pPr>
              <w:widowControl/>
              <w:adjustRightInd w:val="0"/>
              <w:snapToGrid w:val="0"/>
              <w:spacing w:line="240" w:lineRule="atLeast"/>
              <w:jc w:val="center"/>
              <w:textAlignment w:val="center"/>
              <w:rPr>
                <w:rFonts w:eastAsiaTheme="minorEastAsia"/>
                <w:sz w:val="18"/>
                <w:szCs w:val="18"/>
              </w:rPr>
            </w:pPr>
          </w:p>
        </w:tc>
        <w:tc>
          <w:tcPr>
            <w:tcW w:w="436" w:type="pct"/>
            <w:vAlign w:val="center"/>
          </w:tcPr>
          <w:p>
            <w:pPr>
              <w:widowControl/>
              <w:adjustRightInd w:val="0"/>
              <w:snapToGrid w:val="0"/>
              <w:spacing w:line="240" w:lineRule="atLeast"/>
              <w:jc w:val="center"/>
              <w:textAlignment w:val="center"/>
              <w:rPr>
                <w:rFonts w:eastAsiaTheme="minorEastAsia"/>
                <w:sz w:val="18"/>
                <w:szCs w:val="18"/>
              </w:rPr>
            </w:pPr>
          </w:p>
        </w:tc>
        <w:tc>
          <w:tcPr>
            <w:tcW w:w="468" w:type="pct"/>
            <w:vAlign w:val="center"/>
          </w:tcPr>
          <w:p>
            <w:pPr>
              <w:widowControl/>
              <w:adjustRightInd w:val="0"/>
              <w:snapToGrid w:val="0"/>
              <w:spacing w:line="240" w:lineRule="atLeast"/>
              <w:jc w:val="center"/>
              <w:textAlignment w:val="center"/>
              <w:rPr>
                <w:rFonts w:eastAsiaTheme="minorEastAsia"/>
                <w:sz w:val="18"/>
                <w:szCs w:val="18"/>
              </w:rPr>
            </w:pPr>
          </w:p>
        </w:tc>
        <w:tc>
          <w:tcPr>
            <w:tcW w:w="503" w:type="pct"/>
            <w:vAlign w:val="center"/>
          </w:tcPr>
          <w:p>
            <w:pPr>
              <w:widowControl/>
              <w:adjustRightInd w:val="0"/>
              <w:snapToGrid w:val="0"/>
              <w:spacing w:line="240" w:lineRule="atLeast"/>
              <w:jc w:val="center"/>
              <w:textAlignment w:val="center"/>
              <w:rPr>
                <w:rFonts w:eastAsiaTheme="minorEastAsia"/>
                <w:sz w:val="18"/>
                <w:szCs w:val="18"/>
              </w:rPr>
            </w:pPr>
          </w:p>
        </w:tc>
        <w:tc>
          <w:tcPr>
            <w:tcW w:w="568" w:type="pct"/>
            <w:vAlign w:val="center"/>
          </w:tcPr>
          <w:p>
            <w:pPr>
              <w:widowControl/>
              <w:adjustRightInd w:val="0"/>
              <w:snapToGrid w:val="0"/>
              <w:spacing w:line="240" w:lineRule="atLeast"/>
              <w:jc w:val="center"/>
              <w:textAlignment w:val="center"/>
              <w:rPr>
                <w:rFonts w:eastAsiaTheme="minorEastAsia"/>
                <w:sz w:val="18"/>
                <w:szCs w:val="18"/>
              </w:rPr>
            </w:pPr>
          </w:p>
        </w:tc>
        <w:tc>
          <w:tcPr>
            <w:tcW w:w="409" w:type="pct"/>
            <w:vAlign w:val="center"/>
          </w:tcPr>
          <w:p>
            <w:pPr>
              <w:widowControl/>
              <w:adjustRightInd w:val="0"/>
              <w:snapToGrid w:val="0"/>
              <w:spacing w:line="240" w:lineRule="atLeast"/>
              <w:jc w:val="center"/>
              <w:textAlignment w:val="center"/>
              <w:rPr>
                <w:rFonts w:eastAsiaTheme="minorEastAsia"/>
                <w:sz w:val="18"/>
                <w:szCs w:val="18"/>
              </w:rPr>
            </w:pPr>
          </w:p>
        </w:tc>
        <w:tc>
          <w:tcPr>
            <w:tcW w:w="476" w:type="pct"/>
            <w:vAlign w:val="center"/>
          </w:tcPr>
          <w:p>
            <w:pPr>
              <w:widowControl/>
              <w:adjustRightInd w:val="0"/>
              <w:snapToGrid w:val="0"/>
              <w:spacing w:line="240" w:lineRule="atLeast"/>
              <w:jc w:val="center"/>
              <w:textAlignment w:val="center"/>
              <w:rPr>
                <w:rFonts w:eastAsiaTheme="minorEastAsia"/>
                <w:sz w:val="18"/>
                <w:szCs w:val="18"/>
              </w:rPr>
            </w:pPr>
          </w:p>
        </w:tc>
      </w:tr>
    </w:tbl>
    <w:p>
      <w:pPr>
        <w:spacing w:line="360" w:lineRule="auto"/>
        <w:ind w:firstLine="480" w:firstLineChars="200"/>
        <w:rPr>
          <w:rFonts w:eastAsiaTheme="minorEastAsia"/>
          <w:sz w:val="24"/>
        </w:rPr>
        <w:sectPr>
          <w:headerReference r:id="rId20" w:type="default"/>
          <w:footerReference r:id="rId21" w:type="default"/>
          <w:pgSz w:w="11907" w:h="16840"/>
          <w:pgMar w:top="1440" w:right="1440" w:bottom="1440" w:left="1800" w:header="964" w:footer="964" w:gutter="0"/>
          <w:cols w:space="425" w:num="1"/>
          <w:docGrid w:type="linesAndChars" w:linePitch="315" w:charSpace="0"/>
        </w:sectPr>
      </w:pPr>
    </w:p>
    <w:p>
      <w:pPr>
        <w:pStyle w:val="68"/>
        <w:ind w:firstLine="0" w:firstLineChars="0"/>
        <w:jc w:val="center"/>
        <w:rPr>
          <w:rFonts w:hAnsi="Times New Roman" w:cs="Times New Roman" w:eastAsiaTheme="minorEastAsia"/>
          <w:b/>
          <w:sz w:val="21"/>
          <w:szCs w:val="21"/>
        </w:rPr>
      </w:pPr>
      <w:r>
        <w:rPr>
          <w:rFonts w:cs="Times New Roman" w:hAnsiTheme="minorEastAsia" w:eastAsiaTheme="minorEastAsia"/>
          <w:b/>
          <w:sz w:val="21"/>
          <w:szCs w:val="21"/>
        </w:rPr>
        <w:t>表</w:t>
      </w:r>
      <w:r>
        <w:rPr>
          <w:rFonts w:hAnsi="Times New Roman" w:cs="Times New Roman" w:eastAsiaTheme="minorEastAsia"/>
          <w:b/>
          <w:sz w:val="21"/>
          <w:szCs w:val="21"/>
        </w:rPr>
        <w:t>4.3-</w:t>
      </w:r>
      <w:r>
        <w:rPr>
          <w:rFonts w:hint="eastAsia" w:hAnsi="Times New Roman" w:cs="Times New Roman" w:eastAsiaTheme="minorEastAsia"/>
          <w:b/>
          <w:sz w:val="21"/>
          <w:szCs w:val="21"/>
        </w:rPr>
        <w:t>8</w:t>
      </w:r>
      <w:r>
        <w:rPr>
          <w:rFonts w:hAnsi="Times New Roman" w:cs="Times New Roman" w:eastAsiaTheme="minorEastAsia"/>
          <w:b/>
          <w:sz w:val="21"/>
          <w:szCs w:val="21"/>
        </w:rPr>
        <w:t xml:space="preserve"> </w:t>
      </w:r>
      <w:r>
        <w:rPr>
          <w:rFonts w:cs="Times New Roman" w:hAnsiTheme="minorEastAsia" w:eastAsiaTheme="minorEastAsia"/>
          <w:b/>
          <w:sz w:val="21"/>
          <w:szCs w:val="21"/>
        </w:rPr>
        <w:t>地下水水质监测结果（二）</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24"/>
        <w:gridCol w:w="1699"/>
        <w:gridCol w:w="851"/>
        <w:gridCol w:w="1107"/>
        <w:gridCol w:w="1010"/>
        <w:gridCol w:w="991"/>
        <w:gridCol w:w="859"/>
        <w:gridCol w:w="878"/>
        <w:gridCol w:w="983"/>
        <w:gridCol w:w="840"/>
        <w:gridCol w:w="832"/>
        <w:gridCol w:w="843"/>
        <w:gridCol w:w="843"/>
        <w:gridCol w:w="1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0" w:type="pct"/>
            <w:gridSpan w:val="2"/>
            <w:vAlign w:val="center"/>
          </w:tcPr>
          <w:p>
            <w:pPr>
              <w:widowControl/>
              <w:ind w:left="-105" w:right="-105"/>
              <w:jc w:val="center"/>
              <w:rPr>
                <w:rFonts w:eastAsiaTheme="minorEastAsia"/>
                <w:kern w:val="0"/>
                <w:sz w:val="18"/>
                <w:szCs w:val="18"/>
              </w:rPr>
            </w:pPr>
            <w:r>
              <w:rPr>
                <w:rFonts w:hAnsiTheme="minorEastAsia" w:eastAsiaTheme="minorEastAsia"/>
                <w:kern w:val="0"/>
                <w:sz w:val="18"/>
                <w:szCs w:val="18"/>
              </w:rPr>
              <w:t>采样点位</w:t>
            </w:r>
          </w:p>
        </w:tc>
        <w:tc>
          <w:tcPr>
            <w:tcW w:w="316"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采样</w:t>
            </w:r>
          </w:p>
          <w:p>
            <w:pPr>
              <w:jc w:val="center"/>
              <w:rPr>
                <w:rFonts w:eastAsiaTheme="minorEastAsia"/>
                <w:sz w:val="18"/>
                <w:szCs w:val="18"/>
              </w:rPr>
            </w:pPr>
            <w:r>
              <w:rPr>
                <w:rFonts w:hAnsiTheme="minorEastAsia" w:eastAsiaTheme="minorEastAsia"/>
                <w:sz w:val="18"/>
                <w:szCs w:val="18"/>
              </w:rPr>
              <w:t>日期</w:t>
            </w:r>
          </w:p>
        </w:tc>
        <w:tc>
          <w:tcPr>
            <w:tcW w:w="411" w:type="pct"/>
            <w:tcMar>
              <w:top w:w="15" w:type="dxa"/>
              <w:left w:w="15" w:type="dxa"/>
              <w:bottom w:w="0" w:type="dxa"/>
              <w:right w:w="15" w:type="dxa"/>
            </w:tcMar>
            <w:vAlign w:val="center"/>
          </w:tcPr>
          <w:p>
            <w:pPr>
              <w:jc w:val="center"/>
              <w:rPr>
                <w:rFonts w:eastAsiaTheme="minorEastAsia"/>
                <w:sz w:val="18"/>
                <w:szCs w:val="18"/>
              </w:rPr>
            </w:pPr>
            <w:r>
              <w:rPr>
                <w:rFonts w:eastAsiaTheme="minorEastAsia"/>
                <w:sz w:val="18"/>
                <w:szCs w:val="18"/>
              </w:rPr>
              <w:t>Ph</w:t>
            </w:r>
          </w:p>
          <w:p>
            <w:pPr>
              <w:jc w:val="center"/>
              <w:rPr>
                <w:rFonts w:eastAsiaTheme="minorEastAsia"/>
                <w:sz w:val="18"/>
                <w:szCs w:val="18"/>
              </w:rPr>
            </w:pPr>
            <w:r>
              <w:rPr>
                <w:rFonts w:eastAsiaTheme="minorEastAsia"/>
                <w:sz w:val="18"/>
                <w:szCs w:val="18"/>
              </w:rPr>
              <w:t>(</w:t>
            </w:r>
            <w:r>
              <w:rPr>
                <w:rFonts w:hAnsiTheme="minorEastAsia" w:eastAsiaTheme="minorEastAsia"/>
                <w:sz w:val="18"/>
                <w:szCs w:val="18"/>
              </w:rPr>
              <w:t>无量纲</w:t>
            </w:r>
            <w:r>
              <w:rPr>
                <w:rFonts w:eastAsiaTheme="minorEastAsia"/>
                <w:sz w:val="18"/>
                <w:szCs w:val="18"/>
              </w:rPr>
              <w:t>)</w:t>
            </w:r>
          </w:p>
        </w:tc>
        <w:tc>
          <w:tcPr>
            <w:tcW w:w="375"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氨氮</w:t>
            </w:r>
          </w:p>
        </w:tc>
        <w:tc>
          <w:tcPr>
            <w:tcW w:w="368"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硝酸</w:t>
            </w:r>
          </w:p>
          <w:p>
            <w:pPr>
              <w:jc w:val="center"/>
              <w:rPr>
                <w:rFonts w:eastAsiaTheme="minorEastAsia"/>
                <w:sz w:val="18"/>
                <w:szCs w:val="18"/>
              </w:rPr>
            </w:pPr>
            <w:r>
              <w:rPr>
                <w:rFonts w:hAnsiTheme="minorEastAsia" w:eastAsiaTheme="minorEastAsia"/>
                <w:sz w:val="18"/>
                <w:szCs w:val="18"/>
              </w:rPr>
              <w:t>盐</w:t>
            </w:r>
          </w:p>
        </w:tc>
        <w:tc>
          <w:tcPr>
            <w:tcW w:w="319"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亚硝酸</w:t>
            </w:r>
          </w:p>
          <w:p>
            <w:pPr>
              <w:jc w:val="center"/>
              <w:rPr>
                <w:rFonts w:eastAsiaTheme="minorEastAsia"/>
                <w:sz w:val="18"/>
                <w:szCs w:val="18"/>
              </w:rPr>
            </w:pPr>
            <w:r>
              <w:rPr>
                <w:rFonts w:hAnsiTheme="minorEastAsia" w:eastAsiaTheme="minorEastAsia"/>
                <w:sz w:val="18"/>
                <w:szCs w:val="18"/>
              </w:rPr>
              <w:t>盐</w:t>
            </w:r>
          </w:p>
        </w:tc>
        <w:tc>
          <w:tcPr>
            <w:tcW w:w="326"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挥发酚</w:t>
            </w:r>
          </w:p>
        </w:tc>
        <w:tc>
          <w:tcPr>
            <w:tcW w:w="365"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氰化物</w:t>
            </w:r>
          </w:p>
        </w:tc>
        <w:tc>
          <w:tcPr>
            <w:tcW w:w="312"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汞</w:t>
            </w:r>
          </w:p>
        </w:tc>
        <w:tc>
          <w:tcPr>
            <w:tcW w:w="309"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砷</w:t>
            </w:r>
          </w:p>
        </w:tc>
        <w:tc>
          <w:tcPr>
            <w:tcW w:w="313" w:type="pct"/>
            <w:vAlign w:val="center"/>
          </w:tcPr>
          <w:p>
            <w:pPr>
              <w:jc w:val="center"/>
              <w:rPr>
                <w:rFonts w:eastAsiaTheme="minorEastAsia"/>
                <w:sz w:val="18"/>
                <w:szCs w:val="18"/>
              </w:rPr>
            </w:pPr>
            <w:r>
              <w:rPr>
                <w:rFonts w:hAnsiTheme="minorEastAsia" w:eastAsiaTheme="minorEastAsia"/>
                <w:sz w:val="18"/>
                <w:szCs w:val="18"/>
              </w:rPr>
              <w:t>六价铬</w:t>
            </w:r>
          </w:p>
        </w:tc>
        <w:tc>
          <w:tcPr>
            <w:tcW w:w="313" w:type="pct"/>
            <w:vAlign w:val="center"/>
          </w:tcPr>
          <w:p>
            <w:pPr>
              <w:jc w:val="center"/>
              <w:rPr>
                <w:rFonts w:eastAsiaTheme="minorEastAsia"/>
                <w:sz w:val="18"/>
                <w:szCs w:val="18"/>
              </w:rPr>
            </w:pPr>
            <w:r>
              <w:rPr>
                <w:rFonts w:hAnsiTheme="minorEastAsia" w:eastAsiaTheme="minorEastAsia"/>
                <w:sz w:val="18"/>
                <w:szCs w:val="18"/>
              </w:rPr>
              <w:t>总硬度</w:t>
            </w:r>
          </w:p>
        </w:tc>
        <w:tc>
          <w:tcPr>
            <w:tcW w:w="373" w:type="pct"/>
            <w:vAlign w:val="center"/>
          </w:tcPr>
          <w:p>
            <w:pPr>
              <w:jc w:val="center"/>
              <w:rPr>
                <w:rFonts w:eastAsiaTheme="minorEastAsia"/>
                <w:sz w:val="18"/>
                <w:szCs w:val="18"/>
              </w:rPr>
            </w:pPr>
            <w:r>
              <w:rPr>
                <w:rFonts w:hAnsiTheme="minorEastAsia" w:eastAsiaTheme="minorEastAsia"/>
                <w:sz w:val="18"/>
                <w:szCs w:val="18"/>
              </w:rPr>
              <w:t>氟化物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b/>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restart"/>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ind w:left="-105" w:right="-105"/>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pStyle w:val="82"/>
              <w:spacing w:line="240" w:lineRule="auto"/>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ind w:left="-105" w:right="-105"/>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ind w:left="-105" w:right="-105"/>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b/>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ind w:left="-105" w:right="-105"/>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ind w:left="-105" w:right="-105"/>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b/>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b/>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b/>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jc w:val="center"/>
              <w:rPr>
                <w:rFonts w:eastAsiaTheme="minorEastAsia"/>
                <w:sz w:val="18"/>
                <w:szCs w:val="18"/>
              </w:rPr>
            </w:pPr>
          </w:p>
        </w:tc>
        <w:tc>
          <w:tcPr>
            <w:tcW w:w="365" w:type="pct"/>
            <w:vAlign w:val="center"/>
          </w:tcPr>
          <w:p>
            <w:pPr>
              <w:ind w:left="-105" w:right="-105"/>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b/>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b/>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vAlign w:val="center"/>
          </w:tcPr>
          <w:p>
            <w:pPr>
              <w:ind w:left="-105" w:right="-105"/>
              <w:jc w:val="center"/>
              <w:rPr>
                <w:rFonts w:eastAsiaTheme="minorEastAsia"/>
                <w:sz w:val="18"/>
                <w:szCs w:val="18"/>
              </w:rPr>
            </w:pPr>
          </w:p>
        </w:tc>
        <w:tc>
          <w:tcPr>
            <w:tcW w:w="375" w:type="pct"/>
            <w:vAlign w:val="center"/>
          </w:tcPr>
          <w:p>
            <w:pPr>
              <w:ind w:left="-105" w:right="-105"/>
              <w:jc w:val="center"/>
              <w:rPr>
                <w:rFonts w:eastAsiaTheme="minorEastAsia"/>
                <w:sz w:val="18"/>
                <w:szCs w:val="18"/>
              </w:rPr>
            </w:pPr>
          </w:p>
        </w:tc>
        <w:tc>
          <w:tcPr>
            <w:tcW w:w="368" w:type="pct"/>
            <w:vAlign w:val="center"/>
          </w:tcPr>
          <w:p>
            <w:pPr>
              <w:ind w:left="-105" w:right="-105"/>
              <w:jc w:val="center"/>
              <w:rPr>
                <w:rFonts w:eastAsiaTheme="minorEastAsia"/>
                <w:sz w:val="18"/>
                <w:szCs w:val="18"/>
              </w:rPr>
            </w:pPr>
          </w:p>
        </w:tc>
        <w:tc>
          <w:tcPr>
            <w:tcW w:w="319" w:type="pct"/>
            <w:vAlign w:val="center"/>
          </w:tcPr>
          <w:p>
            <w:pPr>
              <w:ind w:left="-105" w:right="-105"/>
              <w:jc w:val="center"/>
              <w:rPr>
                <w:rFonts w:eastAsiaTheme="minorEastAsia"/>
                <w:sz w:val="18"/>
                <w:szCs w:val="18"/>
              </w:rPr>
            </w:pPr>
          </w:p>
        </w:tc>
        <w:tc>
          <w:tcPr>
            <w:tcW w:w="326" w:type="pct"/>
            <w:vAlign w:val="center"/>
          </w:tcPr>
          <w:p>
            <w:pPr>
              <w:jc w:val="center"/>
              <w:rPr>
                <w:rFonts w:eastAsiaTheme="minorEastAsia"/>
                <w:sz w:val="18"/>
                <w:szCs w:val="18"/>
              </w:rPr>
            </w:pPr>
          </w:p>
        </w:tc>
        <w:tc>
          <w:tcPr>
            <w:tcW w:w="365" w:type="pct"/>
            <w:vAlign w:val="center"/>
          </w:tcPr>
          <w:p>
            <w:pPr>
              <w:jc w:val="center"/>
              <w:rPr>
                <w:rFonts w:eastAsiaTheme="minorEastAsia"/>
                <w:sz w:val="18"/>
                <w:szCs w:val="18"/>
              </w:rPr>
            </w:pPr>
          </w:p>
        </w:tc>
        <w:tc>
          <w:tcPr>
            <w:tcW w:w="312" w:type="pct"/>
            <w:vAlign w:val="center"/>
          </w:tcPr>
          <w:p>
            <w:pPr>
              <w:ind w:left="-105" w:right="-105"/>
              <w:jc w:val="center"/>
              <w:rPr>
                <w:rFonts w:eastAsiaTheme="minorEastAsia"/>
                <w:sz w:val="18"/>
                <w:szCs w:val="18"/>
              </w:rPr>
            </w:pPr>
          </w:p>
        </w:tc>
        <w:tc>
          <w:tcPr>
            <w:tcW w:w="309"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73" w:type="pct"/>
            <w:vAlign w:val="center"/>
          </w:tcPr>
          <w:p>
            <w:pPr>
              <w:ind w:left="-105" w:right="-105"/>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b/>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restar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sz w:val="18"/>
                <w:szCs w:val="18"/>
              </w:rPr>
            </w:pPr>
          </w:p>
        </w:tc>
        <w:tc>
          <w:tcPr>
            <w:tcW w:w="326"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65"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13"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73" w:type="pct"/>
            <w:vAlign w:val="center"/>
          </w:tcPr>
          <w:p>
            <w:pPr>
              <w:widowControl/>
              <w:adjustRightInd w:val="0"/>
              <w:snapToGrid w:val="0"/>
              <w:spacing w:line="240" w:lineRule="atLeast"/>
              <w:jc w:val="center"/>
              <w:textAlignment w:val="center"/>
              <w:rPr>
                <w:rFonts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b/>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b/>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djustRightInd w:val="0"/>
              <w:snapToGrid w:val="0"/>
              <w:spacing w:line="240" w:lineRule="atLeast"/>
              <w:jc w:val="center"/>
              <w:rPr>
                <w:rFonts w:eastAsiaTheme="minorEastAsia"/>
                <w:sz w:val="18"/>
                <w:szCs w:val="18"/>
              </w:rPr>
            </w:pPr>
          </w:p>
        </w:tc>
        <w:tc>
          <w:tcPr>
            <w:tcW w:w="631" w:type="pct"/>
            <w:tcMar>
              <w:top w:w="15" w:type="dxa"/>
              <w:left w:w="15" w:type="dxa"/>
              <w:bottom w:w="0" w:type="dxa"/>
              <w:right w:w="15" w:type="dxa"/>
            </w:tcMar>
            <w:vAlign w:val="center"/>
          </w:tcPr>
          <w:p>
            <w:pPr>
              <w:jc w:val="center"/>
              <w:rPr>
                <w:rFonts w:eastAsiaTheme="minorEastAsia"/>
                <w:sz w:val="18"/>
                <w:szCs w:val="18"/>
              </w:rPr>
            </w:pPr>
          </w:p>
        </w:tc>
        <w:tc>
          <w:tcPr>
            <w:tcW w:w="316" w:type="pct"/>
            <w:vMerge w:val="continue"/>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411" w:type="pct"/>
            <w:vAlign w:val="center"/>
          </w:tcPr>
          <w:p>
            <w:pPr>
              <w:widowControl/>
              <w:adjustRightInd w:val="0"/>
              <w:snapToGrid w:val="0"/>
              <w:spacing w:line="240" w:lineRule="atLeast"/>
              <w:jc w:val="center"/>
              <w:textAlignment w:val="center"/>
              <w:rPr>
                <w:rFonts w:eastAsiaTheme="minorEastAsia"/>
                <w:sz w:val="18"/>
                <w:szCs w:val="18"/>
              </w:rPr>
            </w:pPr>
          </w:p>
        </w:tc>
        <w:tc>
          <w:tcPr>
            <w:tcW w:w="375"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19" w:type="pct"/>
            <w:vAlign w:val="center"/>
          </w:tcPr>
          <w:p>
            <w:pPr>
              <w:widowControl/>
              <w:adjustRightInd w:val="0"/>
              <w:snapToGrid w:val="0"/>
              <w:spacing w:line="240" w:lineRule="atLeast"/>
              <w:jc w:val="center"/>
              <w:textAlignment w:val="center"/>
              <w:rPr>
                <w:rFonts w:eastAsiaTheme="minorEastAsia"/>
                <w:sz w:val="18"/>
                <w:szCs w:val="18"/>
              </w:rPr>
            </w:pPr>
          </w:p>
        </w:tc>
        <w:tc>
          <w:tcPr>
            <w:tcW w:w="326" w:type="pct"/>
            <w:vAlign w:val="center"/>
          </w:tcPr>
          <w:p>
            <w:pPr>
              <w:widowControl/>
              <w:adjustRightInd w:val="0"/>
              <w:snapToGrid w:val="0"/>
              <w:spacing w:line="240" w:lineRule="atLeast"/>
              <w:jc w:val="center"/>
              <w:textAlignment w:val="center"/>
              <w:rPr>
                <w:rFonts w:eastAsiaTheme="minorEastAsia"/>
                <w:sz w:val="18"/>
                <w:szCs w:val="18"/>
              </w:rPr>
            </w:pPr>
          </w:p>
        </w:tc>
        <w:tc>
          <w:tcPr>
            <w:tcW w:w="365" w:type="pct"/>
            <w:vAlign w:val="center"/>
          </w:tcPr>
          <w:p>
            <w:pPr>
              <w:widowControl/>
              <w:adjustRightInd w:val="0"/>
              <w:snapToGrid w:val="0"/>
              <w:spacing w:line="240" w:lineRule="atLeast"/>
              <w:jc w:val="center"/>
              <w:textAlignment w:val="center"/>
              <w:rPr>
                <w:rFonts w:eastAsiaTheme="minorEastAsia"/>
                <w:sz w:val="18"/>
                <w:szCs w:val="18"/>
              </w:rPr>
            </w:pPr>
          </w:p>
        </w:tc>
        <w:tc>
          <w:tcPr>
            <w:tcW w:w="312" w:type="pct"/>
            <w:vAlign w:val="center"/>
          </w:tcPr>
          <w:p>
            <w:pPr>
              <w:widowControl/>
              <w:adjustRightInd w:val="0"/>
              <w:snapToGrid w:val="0"/>
              <w:spacing w:line="240" w:lineRule="atLeast"/>
              <w:jc w:val="center"/>
              <w:textAlignment w:val="center"/>
              <w:rPr>
                <w:rFonts w:eastAsiaTheme="minorEastAsia"/>
                <w:sz w:val="18"/>
                <w:szCs w:val="18"/>
              </w:rPr>
            </w:pPr>
          </w:p>
        </w:tc>
        <w:tc>
          <w:tcPr>
            <w:tcW w:w="309"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13" w:type="pct"/>
            <w:vAlign w:val="center"/>
          </w:tcPr>
          <w:p>
            <w:pPr>
              <w:widowControl/>
              <w:adjustRightInd w:val="0"/>
              <w:snapToGrid w:val="0"/>
              <w:spacing w:line="240" w:lineRule="atLeast"/>
              <w:jc w:val="center"/>
              <w:textAlignment w:val="center"/>
              <w:rPr>
                <w:rFonts w:eastAsiaTheme="minorEastAsia"/>
                <w:sz w:val="18"/>
                <w:szCs w:val="18"/>
              </w:rPr>
            </w:pPr>
          </w:p>
        </w:tc>
        <w:tc>
          <w:tcPr>
            <w:tcW w:w="373" w:type="pct"/>
            <w:vAlign w:val="center"/>
          </w:tcPr>
          <w:p>
            <w:pPr>
              <w:widowControl/>
              <w:adjustRightInd w:val="0"/>
              <w:snapToGrid w:val="0"/>
              <w:spacing w:line="240" w:lineRule="atLeast"/>
              <w:jc w:val="center"/>
              <w:textAlignment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5" w:hRule="atLeast"/>
          <w:jc w:val="center"/>
        </w:trPr>
        <w:tc>
          <w:tcPr>
            <w:tcW w:w="900" w:type="pct"/>
            <w:gridSpan w:val="2"/>
            <w:vAlign w:val="center"/>
          </w:tcPr>
          <w:p>
            <w:pPr>
              <w:ind w:left="-105" w:right="-105"/>
              <w:jc w:val="center"/>
              <w:rPr>
                <w:rFonts w:eastAsiaTheme="minorEastAsia"/>
                <w:sz w:val="18"/>
                <w:szCs w:val="18"/>
              </w:rPr>
            </w:pPr>
          </w:p>
        </w:tc>
        <w:tc>
          <w:tcPr>
            <w:tcW w:w="316" w:type="pct"/>
            <w:tcMar>
              <w:top w:w="15" w:type="dxa"/>
              <w:left w:w="15" w:type="dxa"/>
              <w:bottom w:w="0" w:type="dxa"/>
              <w:right w:w="15" w:type="dxa"/>
            </w:tcMar>
            <w:vAlign w:val="center"/>
          </w:tcPr>
          <w:p>
            <w:pPr>
              <w:ind w:left="-105" w:right="-105"/>
              <w:jc w:val="center"/>
              <w:rPr>
                <w:rFonts w:eastAsiaTheme="minorEastAsia"/>
                <w:sz w:val="18"/>
                <w:szCs w:val="18"/>
              </w:rPr>
            </w:pPr>
          </w:p>
        </w:tc>
        <w:tc>
          <w:tcPr>
            <w:tcW w:w="411" w:type="pct"/>
            <w:tcMar>
              <w:top w:w="15" w:type="dxa"/>
              <w:left w:w="15" w:type="dxa"/>
              <w:bottom w:w="0" w:type="dxa"/>
              <w:right w:w="15" w:type="dxa"/>
            </w:tcMar>
            <w:vAlign w:val="center"/>
          </w:tcPr>
          <w:p>
            <w:pPr>
              <w:ind w:left="-105" w:right="-105"/>
              <w:jc w:val="center"/>
              <w:rPr>
                <w:rFonts w:eastAsiaTheme="minorEastAsia"/>
                <w:sz w:val="18"/>
                <w:szCs w:val="18"/>
              </w:rPr>
            </w:pPr>
          </w:p>
        </w:tc>
        <w:tc>
          <w:tcPr>
            <w:tcW w:w="375" w:type="pct"/>
            <w:tcMar>
              <w:top w:w="15" w:type="dxa"/>
              <w:left w:w="15" w:type="dxa"/>
              <w:bottom w:w="0" w:type="dxa"/>
              <w:right w:w="15" w:type="dxa"/>
            </w:tcMar>
            <w:vAlign w:val="center"/>
          </w:tcPr>
          <w:p>
            <w:pPr>
              <w:ind w:left="-105" w:right="-105"/>
              <w:jc w:val="center"/>
              <w:rPr>
                <w:rFonts w:eastAsiaTheme="minorEastAsia"/>
                <w:sz w:val="18"/>
                <w:szCs w:val="18"/>
              </w:rPr>
            </w:pPr>
          </w:p>
        </w:tc>
        <w:tc>
          <w:tcPr>
            <w:tcW w:w="368" w:type="pct"/>
            <w:tcMar>
              <w:top w:w="15" w:type="dxa"/>
              <w:left w:w="15" w:type="dxa"/>
              <w:bottom w:w="0" w:type="dxa"/>
              <w:right w:w="15" w:type="dxa"/>
            </w:tcMar>
            <w:vAlign w:val="center"/>
          </w:tcPr>
          <w:p>
            <w:pPr>
              <w:ind w:left="-105" w:right="-105"/>
              <w:jc w:val="center"/>
              <w:rPr>
                <w:rFonts w:eastAsiaTheme="minorEastAsia"/>
                <w:sz w:val="18"/>
                <w:szCs w:val="18"/>
              </w:rPr>
            </w:pPr>
          </w:p>
        </w:tc>
        <w:tc>
          <w:tcPr>
            <w:tcW w:w="319" w:type="pct"/>
            <w:tcMar>
              <w:top w:w="15" w:type="dxa"/>
              <w:left w:w="15" w:type="dxa"/>
              <w:bottom w:w="0" w:type="dxa"/>
              <w:right w:w="15" w:type="dxa"/>
            </w:tcMar>
            <w:vAlign w:val="center"/>
          </w:tcPr>
          <w:p>
            <w:pPr>
              <w:ind w:left="-105" w:right="-105"/>
              <w:jc w:val="center"/>
              <w:rPr>
                <w:rFonts w:eastAsiaTheme="minorEastAsia"/>
                <w:sz w:val="18"/>
                <w:szCs w:val="18"/>
              </w:rPr>
            </w:pPr>
          </w:p>
        </w:tc>
        <w:tc>
          <w:tcPr>
            <w:tcW w:w="326" w:type="pct"/>
            <w:tcMar>
              <w:top w:w="15" w:type="dxa"/>
              <w:left w:w="15" w:type="dxa"/>
              <w:bottom w:w="0" w:type="dxa"/>
              <w:right w:w="15" w:type="dxa"/>
            </w:tcMar>
            <w:vAlign w:val="center"/>
          </w:tcPr>
          <w:p>
            <w:pPr>
              <w:ind w:left="-105" w:right="-105"/>
              <w:jc w:val="center"/>
              <w:rPr>
                <w:rFonts w:eastAsiaTheme="minorEastAsia"/>
                <w:sz w:val="18"/>
                <w:szCs w:val="18"/>
              </w:rPr>
            </w:pPr>
          </w:p>
        </w:tc>
        <w:tc>
          <w:tcPr>
            <w:tcW w:w="365" w:type="pct"/>
            <w:tcMar>
              <w:top w:w="15" w:type="dxa"/>
              <w:left w:w="15" w:type="dxa"/>
              <w:bottom w:w="0" w:type="dxa"/>
              <w:right w:w="15" w:type="dxa"/>
            </w:tcMar>
            <w:vAlign w:val="center"/>
          </w:tcPr>
          <w:p>
            <w:pPr>
              <w:ind w:left="-105" w:right="-105"/>
              <w:jc w:val="center"/>
              <w:rPr>
                <w:rFonts w:eastAsiaTheme="minorEastAsia"/>
                <w:sz w:val="18"/>
                <w:szCs w:val="18"/>
              </w:rPr>
            </w:pPr>
          </w:p>
        </w:tc>
        <w:tc>
          <w:tcPr>
            <w:tcW w:w="312" w:type="pct"/>
            <w:tcMar>
              <w:top w:w="15" w:type="dxa"/>
              <w:left w:w="15" w:type="dxa"/>
              <w:bottom w:w="0" w:type="dxa"/>
              <w:right w:w="15" w:type="dxa"/>
            </w:tcMar>
            <w:vAlign w:val="center"/>
          </w:tcPr>
          <w:p>
            <w:pPr>
              <w:ind w:left="-105" w:right="-105"/>
              <w:jc w:val="center"/>
              <w:rPr>
                <w:rFonts w:eastAsiaTheme="minorEastAsia"/>
                <w:sz w:val="18"/>
                <w:szCs w:val="18"/>
              </w:rPr>
            </w:pPr>
          </w:p>
        </w:tc>
        <w:tc>
          <w:tcPr>
            <w:tcW w:w="309" w:type="pct"/>
            <w:tcMar>
              <w:top w:w="15" w:type="dxa"/>
              <w:left w:w="15" w:type="dxa"/>
              <w:bottom w:w="0" w:type="dxa"/>
              <w:right w:w="15" w:type="dxa"/>
            </w:tcMar>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13" w:type="pct"/>
            <w:vAlign w:val="center"/>
          </w:tcPr>
          <w:p>
            <w:pPr>
              <w:ind w:left="-105" w:right="-105"/>
              <w:jc w:val="center"/>
              <w:rPr>
                <w:rFonts w:eastAsiaTheme="minorEastAsia"/>
                <w:sz w:val="18"/>
                <w:szCs w:val="18"/>
              </w:rPr>
            </w:pPr>
          </w:p>
        </w:tc>
        <w:tc>
          <w:tcPr>
            <w:tcW w:w="373" w:type="pct"/>
            <w:vAlign w:val="center"/>
          </w:tcPr>
          <w:p>
            <w:pPr>
              <w:ind w:left="-105" w:right="-105"/>
              <w:jc w:val="center"/>
              <w:rPr>
                <w:rFonts w:eastAsiaTheme="minorEastAsia"/>
                <w:sz w:val="18"/>
                <w:szCs w:val="18"/>
              </w:rPr>
            </w:pPr>
          </w:p>
        </w:tc>
      </w:tr>
    </w:tbl>
    <w:p>
      <w:pPr>
        <w:pStyle w:val="68"/>
        <w:ind w:firstLine="0" w:firstLineChars="0"/>
        <w:jc w:val="center"/>
        <w:rPr>
          <w:rFonts w:hAnsi="Times New Roman" w:cs="Times New Roman" w:eastAsiaTheme="minorEastAsia"/>
          <w:b/>
          <w:sz w:val="21"/>
          <w:szCs w:val="21"/>
        </w:rPr>
      </w:pPr>
      <w:r>
        <w:rPr>
          <w:rFonts w:cs="Times New Roman" w:hAnsiTheme="minorEastAsia" w:eastAsiaTheme="minorEastAsia"/>
          <w:b/>
          <w:sz w:val="21"/>
          <w:szCs w:val="21"/>
        </w:rPr>
        <w:t>续表</w:t>
      </w:r>
      <w:r>
        <w:rPr>
          <w:rFonts w:hAnsi="Times New Roman" w:cs="Times New Roman" w:eastAsiaTheme="minorEastAsia"/>
          <w:b/>
          <w:sz w:val="21"/>
          <w:szCs w:val="21"/>
        </w:rPr>
        <w:t>4.3-</w:t>
      </w:r>
      <w:r>
        <w:rPr>
          <w:rFonts w:hint="eastAsia" w:hAnsi="Times New Roman" w:cs="Times New Roman" w:eastAsiaTheme="minorEastAsia"/>
          <w:b/>
          <w:sz w:val="21"/>
          <w:szCs w:val="21"/>
        </w:rPr>
        <w:t>8</w:t>
      </w:r>
      <w:r>
        <w:rPr>
          <w:rFonts w:hAnsi="Times New Roman" w:cs="Times New Roman" w:eastAsiaTheme="minorEastAsia"/>
          <w:b/>
          <w:sz w:val="21"/>
          <w:szCs w:val="21"/>
        </w:rPr>
        <w:t xml:space="preserve"> </w:t>
      </w:r>
      <w:r>
        <w:rPr>
          <w:rFonts w:cs="Times New Roman" w:hAnsiTheme="minorEastAsia" w:eastAsiaTheme="minorEastAsia"/>
          <w:b/>
          <w:sz w:val="21"/>
          <w:szCs w:val="21"/>
        </w:rPr>
        <w:t>地下水环境监测结果（二）</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24"/>
        <w:gridCol w:w="1697"/>
        <w:gridCol w:w="856"/>
        <w:gridCol w:w="848"/>
        <w:gridCol w:w="851"/>
        <w:gridCol w:w="1134"/>
        <w:gridCol w:w="994"/>
        <w:gridCol w:w="991"/>
        <w:gridCol w:w="991"/>
        <w:gridCol w:w="994"/>
        <w:gridCol w:w="991"/>
        <w:gridCol w:w="1137"/>
        <w:gridCol w:w="12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99" w:type="pct"/>
            <w:gridSpan w:val="2"/>
            <w:vAlign w:val="center"/>
          </w:tcPr>
          <w:p>
            <w:pPr>
              <w:jc w:val="center"/>
              <w:rPr>
                <w:rFonts w:eastAsiaTheme="minorEastAsia"/>
                <w:sz w:val="18"/>
                <w:szCs w:val="18"/>
              </w:rPr>
            </w:pPr>
            <w:r>
              <w:rPr>
                <w:rFonts w:hAnsiTheme="minorEastAsia" w:eastAsiaTheme="minorEastAsia"/>
                <w:sz w:val="18"/>
                <w:szCs w:val="18"/>
              </w:rPr>
              <w:t>采样点位</w:t>
            </w:r>
          </w:p>
        </w:tc>
        <w:tc>
          <w:tcPr>
            <w:tcW w:w="318"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采样日期</w:t>
            </w:r>
          </w:p>
        </w:tc>
        <w:tc>
          <w:tcPr>
            <w:tcW w:w="315"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铁</w:t>
            </w:r>
          </w:p>
        </w:tc>
        <w:tc>
          <w:tcPr>
            <w:tcW w:w="316"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锰</w:t>
            </w:r>
          </w:p>
        </w:tc>
        <w:tc>
          <w:tcPr>
            <w:tcW w:w="421"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溶解性</w:t>
            </w:r>
          </w:p>
          <w:p>
            <w:pPr>
              <w:jc w:val="center"/>
              <w:rPr>
                <w:rFonts w:eastAsiaTheme="minorEastAsia"/>
                <w:sz w:val="18"/>
                <w:szCs w:val="18"/>
              </w:rPr>
            </w:pPr>
            <w:r>
              <w:rPr>
                <w:rFonts w:hAnsiTheme="minorEastAsia" w:eastAsiaTheme="minorEastAsia"/>
                <w:sz w:val="18"/>
                <w:szCs w:val="18"/>
              </w:rPr>
              <w:t>总固体</w:t>
            </w:r>
          </w:p>
        </w:tc>
        <w:tc>
          <w:tcPr>
            <w:tcW w:w="369"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耗氧量</w:t>
            </w:r>
          </w:p>
        </w:tc>
        <w:tc>
          <w:tcPr>
            <w:tcW w:w="368"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硫酸盐</w:t>
            </w:r>
          </w:p>
        </w:tc>
        <w:tc>
          <w:tcPr>
            <w:tcW w:w="368"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氯化物</w:t>
            </w:r>
          </w:p>
        </w:tc>
        <w:tc>
          <w:tcPr>
            <w:tcW w:w="369"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铅</w:t>
            </w:r>
          </w:p>
        </w:tc>
        <w:tc>
          <w:tcPr>
            <w:tcW w:w="368"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镉</w:t>
            </w:r>
          </w:p>
        </w:tc>
        <w:tc>
          <w:tcPr>
            <w:tcW w:w="422" w:type="pct"/>
            <w:tcMar>
              <w:top w:w="15" w:type="dxa"/>
              <w:left w:w="15" w:type="dxa"/>
              <w:bottom w:w="0" w:type="dxa"/>
              <w:right w:w="15" w:type="dxa"/>
            </w:tcMar>
            <w:vAlign w:val="center"/>
          </w:tcPr>
          <w:p>
            <w:pPr>
              <w:jc w:val="center"/>
              <w:rPr>
                <w:rFonts w:eastAsiaTheme="minorEastAsia"/>
                <w:sz w:val="18"/>
                <w:szCs w:val="18"/>
              </w:rPr>
            </w:pPr>
            <w:r>
              <w:rPr>
                <w:rFonts w:hAnsiTheme="minorEastAsia" w:eastAsiaTheme="minorEastAsia"/>
                <w:sz w:val="18"/>
                <w:szCs w:val="18"/>
              </w:rPr>
              <w:t>菌落总数（</w:t>
            </w:r>
            <w:r>
              <w:rPr>
                <w:rFonts w:eastAsiaTheme="minorEastAsia"/>
                <w:sz w:val="18"/>
                <w:szCs w:val="18"/>
              </w:rPr>
              <w:t>CFU/ml</w:t>
            </w:r>
            <w:r>
              <w:rPr>
                <w:rFonts w:hAnsiTheme="minorEastAsia" w:eastAsiaTheme="minorEastAsia"/>
                <w:sz w:val="18"/>
                <w:szCs w:val="18"/>
              </w:rPr>
              <w:t>）</w:t>
            </w:r>
          </w:p>
        </w:tc>
        <w:tc>
          <w:tcPr>
            <w:tcW w:w="467" w:type="pct"/>
            <w:vAlign w:val="center"/>
          </w:tcPr>
          <w:p>
            <w:pPr>
              <w:jc w:val="center"/>
              <w:rPr>
                <w:rFonts w:eastAsiaTheme="minorEastAsia"/>
                <w:sz w:val="18"/>
                <w:szCs w:val="18"/>
              </w:rPr>
            </w:pPr>
            <w:r>
              <w:rPr>
                <w:rFonts w:hAnsiTheme="minorEastAsia" w:eastAsiaTheme="minorEastAsia"/>
                <w:sz w:val="18"/>
                <w:szCs w:val="18"/>
              </w:rPr>
              <w:t>总大肠菌群</w:t>
            </w:r>
          </w:p>
          <w:p>
            <w:pPr>
              <w:jc w:val="center"/>
              <w:rPr>
                <w:rFonts w:eastAsiaTheme="minorEastAsia"/>
                <w:sz w:val="18"/>
                <w:szCs w:val="18"/>
              </w:rPr>
            </w:pPr>
            <w:r>
              <w:rPr>
                <w:rFonts w:eastAsiaTheme="minorEastAsia"/>
                <w:sz w:val="18"/>
                <w:szCs w:val="18"/>
              </w:rPr>
              <w:t>(MPN/100mL)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b/>
                <w:sz w:val="18"/>
                <w:szCs w:val="18"/>
              </w:rPr>
            </w:pPr>
          </w:p>
        </w:tc>
        <w:tc>
          <w:tcPr>
            <w:tcW w:w="630" w:type="pct"/>
            <w:vAlign w:val="center"/>
          </w:tcPr>
          <w:p>
            <w:pPr>
              <w:jc w:val="center"/>
              <w:rPr>
                <w:rFonts w:eastAsiaTheme="minorEastAsia"/>
                <w:sz w:val="18"/>
                <w:szCs w:val="18"/>
              </w:rPr>
            </w:pPr>
          </w:p>
        </w:tc>
        <w:tc>
          <w:tcPr>
            <w:tcW w:w="318" w:type="pct"/>
            <w:vMerge w:val="restart"/>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kern w:val="0"/>
                <w:sz w:val="18"/>
                <w:szCs w:val="18"/>
              </w:rPr>
            </w:pPr>
          </w:p>
        </w:tc>
        <w:tc>
          <w:tcPr>
            <w:tcW w:w="316" w:type="pct"/>
            <w:vAlign w:val="center"/>
          </w:tcPr>
          <w:p>
            <w:pPr>
              <w:adjustRightInd w:val="0"/>
              <w:snapToGrid w:val="0"/>
              <w:spacing w:line="240" w:lineRule="atLeast"/>
              <w:jc w:val="center"/>
              <w:rPr>
                <w:rFonts w:eastAsiaTheme="minorEastAsia"/>
                <w:kern w:val="0"/>
                <w:sz w:val="18"/>
                <w:szCs w:val="18"/>
              </w:rPr>
            </w:pPr>
          </w:p>
        </w:tc>
        <w:tc>
          <w:tcPr>
            <w:tcW w:w="421" w:type="pct"/>
            <w:vAlign w:val="center"/>
          </w:tcPr>
          <w:p>
            <w:pPr>
              <w:widowControl/>
              <w:ind w:left="-105" w:right="-105"/>
              <w:jc w:val="center"/>
              <w:rPr>
                <w:rFonts w:eastAsiaTheme="minorEastAsia"/>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pStyle w:val="82"/>
              <w:spacing w:line="240" w:lineRule="auto"/>
              <w:rPr>
                <w:rFonts w:eastAsiaTheme="minorEastAsia"/>
                <w:sz w:val="18"/>
                <w:szCs w:val="18"/>
              </w:rPr>
            </w:pPr>
          </w:p>
        </w:tc>
        <w:tc>
          <w:tcPr>
            <w:tcW w:w="318" w:type="pct"/>
            <w:vMerge w:val="continue"/>
            <w:tcMar>
              <w:top w:w="15" w:type="dxa"/>
              <w:left w:w="15" w:type="dxa"/>
              <w:bottom w:w="0" w:type="dxa"/>
              <w:right w:w="15" w:type="dxa"/>
            </w:tcMar>
            <w:vAlign w:val="center"/>
          </w:tcPr>
          <w:p>
            <w:pPr>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jc w:val="center"/>
              <w:rPr>
                <w:rFonts w:eastAsiaTheme="minorEastAsia"/>
                <w:sz w:val="18"/>
                <w:szCs w:val="18"/>
              </w:rPr>
            </w:pPr>
          </w:p>
        </w:tc>
        <w:tc>
          <w:tcPr>
            <w:tcW w:w="369" w:type="pct"/>
            <w:vAlign w:val="center"/>
          </w:tcPr>
          <w:p>
            <w:pPr>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widowControl/>
              <w:ind w:left="-105" w:right="-105"/>
              <w:jc w:val="center"/>
              <w:rPr>
                <w:rFonts w:eastAsiaTheme="minorEastAsia"/>
                <w:b/>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b/>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ind w:left="-105" w:leftChars="-50" w:right="-105" w:rightChars="-50"/>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widowControl/>
              <w:ind w:left="-105" w:right="-105"/>
              <w:jc w:val="center"/>
              <w:rPr>
                <w:rFonts w:eastAsiaTheme="minorEastAsia"/>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ind w:left="-105" w:leftChars="-50" w:right="-105" w:rightChars="-50"/>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widowControl/>
              <w:ind w:left="-105" w:right="-105"/>
              <w:jc w:val="center"/>
              <w:rPr>
                <w:rFonts w:eastAsiaTheme="minorEastAsia"/>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widowControl/>
              <w:ind w:left="-105" w:right="-105"/>
              <w:jc w:val="center"/>
              <w:rPr>
                <w:rFonts w:eastAsiaTheme="minorEastAsia"/>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widowControl/>
              <w:ind w:left="-105" w:right="-105"/>
              <w:jc w:val="center"/>
              <w:rPr>
                <w:rFonts w:eastAsiaTheme="minorEastAsia"/>
                <w:b/>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b/>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widowControl/>
              <w:ind w:left="-105" w:right="-105"/>
              <w:jc w:val="center"/>
              <w:rPr>
                <w:rFonts w:eastAsiaTheme="minorEastAsia"/>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widowControl/>
              <w:ind w:left="-105" w:right="-105"/>
              <w:jc w:val="center"/>
              <w:rPr>
                <w:rFonts w:eastAsiaTheme="minorEastAsia"/>
                <w:b/>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b/>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ind w:left="-105" w:leftChars="-50" w:right="-105" w:rightChars="-50"/>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widowControl/>
              <w:ind w:left="-105" w:right="-105"/>
              <w:jc w:val="center"/>
              <w:rPr>
                <w:rFonts w:eastAsiaTheme="minorEastAsia"/>
                <w:b/>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b/>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b/>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adjustRightInd w:val="0"/>
              <w:snapToGrid w:val="0"/>
              <w:spacing w:line="240" w:lineRule="atLeast"/>
              <w:jc w:val="center"/>
              <w:rPr>
                <w:rFonts w:eastAsiaTheme="minorEastAsia"/>
                <w:sz w:val="18"/>
                <w:szCs w:val="18"/>
              </w:rPr>
            </w:pPr>
          </w:p>
        </w:tc>
        <w:tc>
          <w:tcPr>
            <w:tcW w:w="316" w:type="pct"/>
            <w:vAlign w:val="center"/>
          </w:tcPr>
          <w:p>
            <w:pPr>
              <w:adjustRightInd w:val="0"/>
              <w:snapToGrid w:val="0"/>
              <w:spacing w:line="240" w:lineRule="atLeast"/>
              <w:jc w:val="center"/>
              <w:rPr>
                <w:rFonts w:eastAsiaTheme="minorEastAsia"/>
                <w:sz w:val="18"/>
                <w:szCs w:val="18"/>
              </w:rPr>
            </w:pPr>
          </w:p>
        </w:tc>
        <w:tc>
          <w:tcPr>
            <w:tcW w:w="421" w:type="pct"/>
            <w:vAlign w:val="center"/>
          </w:tcPr>
          <w:p>
            <w:pPr>
              <w:widowControl/>
              <w:ind w:left="-105" w:right="-105"/>
              <w:jc w:val="center"/>
              <w:rPr>
                <w:rFonts w:eastAsiaTheme="minorEastAsia"/>
                <w:sz w:val="18"/>
                <w:szCs w:val="18"/>
              </w:rPr>
            </w:pPr>
          </w:p>
        </w:tc>
        <w:tc>
          <w:tcPr>
            <w:tcW w:w="369" w:type="pct"/>
            <w:vAlign w:val="center"/>
          </w:tcPr>
          <w:p>
            <w:pPr>
              <w:widowControl/>
              <w:ind w:left="-105" w:right="-105"/>
              <w:jc w:val="center"/>
              <w:rPr>
                <w:rFonts w:eastAsiaTheme="minorEastAsia"/>
                <w:sz w:val="18"/>
                <w:szCs w:val="18"/>
              </w:rPr>
            </w:pPr>
          </w:p>
        </w:tc>
        <w:tc>
          <w:tcPr>
            <w:tcW w:w="368" w:type="pct"/>
            <w:vAlign w:val="center"/>
          </w:tcPr>
          <w:p>
            <w:pPr>
              <w:adjustRightInd w:val="0"/>
              <w:snapToGrid w:val="0"/>
              <w:spacing w:line="240" w:lineRule="atLeast"/>
              <w:jc w:val="center"/>
              <w:rPr>
                <w:rFonts w:eastAsiaTheme="minorEastAsia"/>
                <w:sz w:val="18"/>
                <w:szCs w:val="18"/>
              </w:rPr>
            </w:pPr>
          </w:p>
        </w:tc>
        <w:tc>
          <w:tcPr>
            <w:tcW w:w="368" w:type="pct"/>
            <w:vAlign w:val="center"/>
          </w:tcPr>
          <w:p>
            <w:pPr>
              <w:widowControl/>
              <w:jc w:val="center"/>
              <w:rPr>
                <w:rFonts w:eastAsiaTheme="minorEastAsia"/>
                <w:sz w:val="18"/>
                <w:szCs w:val="18"/>
              </w:rPr>
            </w:pPr>
          </w:p>
        </w:tc>
        <w:tc>
          <w:tcPr>
            <w:tcW w:w="369" w:type="pct"/>
            <w:vAlign w:val="center"/>
          </w:tcPr>
          <w:p>
            <w:pPr>
              <w:widowControl/>
              <w:adjustRightInd w:val="0"/>
              <w:snapToGrid w:val="0"/>
              <w:spacing w:line="240" w:lineRule="exact"/>
              <w:jc w:val="center"/>
              <w:rPr>
                <w:rFonts w:eastAsiaTheme="minorEastAsia"/>
                <w:sz w:val="18"/>
                <w:szCs w:val="18"/>
              </w:rPr>
            </w:pPr>
          </w:p>
        </w:tc>
        <w:tc>
          <w:tcPr>
            <w:tcW w:w="368" w:type="pct"/>
            <w:vAlign w:val="center"/>
          </w:tcPr>
          <w:p>
            <w:pPr>
              <w:widowControl/>
              <w:adjustRightInd w:val="0"/>
              <w:snapToGrid w:val="0"/>
              <w:spacing w:line="240" w:lineRule="exact"/>
              <w:jc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b/>
                <w:sz w:val="18"/>
                <w:szCs w:val="18"/>
              </w:rPr>
            </w:pPr>
          </w:p>
        </w:tc>
        <w:tc>
          <w:tcPr>
            <w:tcW w:w="630" w:type="pct"/>
            <w:vAlign w:val="center"/>
          </w:tcPr>
          <w:p>
            <w:pPr>
              <w:jc w:val="center"/>
              <w:rPr>
                <w:rFonts w:eastAsiaTheme="minorEastAsia"/>
                <w:sz w:val="18"/>
                <w:szCs w:val="18"/>
              </w:rPr>
            </w:pPr>
          </w:p>
        </w:tc>
        <w:tc>
          <w:tcPr>
            <w:tcW w:w="318" w:type="pct"/>
            <w:vMerge w:val="restar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kern w:val="0"/>
                <w:sz w:val="18"/>
                <w:szCs w:val="18"/>
              </w:rPr>
            </w:pPr>
          </w:p>
        </w:tc>
        <w:tc>
          <w:tcPr>
            <w:tcW w:w="316"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kern w:val="0"/>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b/>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utoSpaceDE w:val="0"/>
              <w:autoSpaceDN w:val="0"/>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b/>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9" w:type="pct"/>
            <w:vAlign w:val="center"/>
          </w:tcPr>
          <w:p>
            <w:pPr>
              <w:adjustRightInd w:val="0"/>
              <w:snapToGrid w:val="0"/>
              <w:spacing w:line="240" w:lineRule="atLeast"/>
              <w:jc w:val="center"/>
              <w:rPr>
                <w:rFonts w:eastAsiaTheme="minorEastAsia"/>
                <w:sz w:val="18"/>
                <w:szCs w:val="18"/>
              </w:rPr>
            </w:pPr>
          </w:p>
        </w:tc>
        <w:tc>
          <w:tcPr>
            <w:tcW w:w="630" w:type="pct"/>
            <w:vAlign w:val="center"/>
          </w:tcPr>
          <w:p>
            <w:pPr>
              <w:jc w:val="center"/>
              <w:rPr>
                <w:rFonts w:eastAsiaTheme="minorEastAsia"/>
                <w:sz w:val="18"/>
                <w:szCs w:val="18"/>
              </w:rPr>
            </w:pPr>
          </w:p>
        </w:tc>
        <w:tc>
          <w:tcPr>
            <w:tcW w:w="318" w:type="pct"/>
            <w:vMerge w:val="continue"/>
            <w:tcMar>
              <w:top w:w="15" w:type="dxa"/>
              <w:left w:w="15" w:type="dxa"/>
              <w:bottom w:w="0" w:type="dxa"/>
              <w:right w:w="15" w:type="dxa"/>
            </w:tcMar>
            <w:vAlign w:val="center"/>
          </w:tcPr>
          <w:p>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pPr>
              <w:widowControl/>
              <w:adjustRightInd w:val="0"/>
              <w:snapToGrid w:val="0"/>
              <w:spacing w:line="240" w:lineRule="atLeast"/>
              <w:jc w:val="center"/>
              <w:textAlignment w:val="center"/>
              <w:rPr>
                <w:rFonts w:eastAsiaTheme="minorEastAsia"/>
                <w:sz w:val="18"/>
                <w:szCs w:val="18"/>
              </w:rPr>
            </w:pPr>
          </w:p>
        </w:tc>
        <w:tc>
          <w:tcPr>
            <w:tcW w:w="316" w:type="pct"/>
            <w:vAlign w:val="center"/>
          </w:tcPr>
          <w:p>
            <w:pPr>
              <w:widowControl/>
              <w:adjustRightInd w:val="0"/>
              <w:snapToGrid w:val="0"/>
              <w:spacing w:line="240" w:lineRule="atLeast"/>
              <w:jc w:val="center"/>
              <w:textAlignment w:val="center"/>
              <w:rPr>
                <w:rFonts w:eastAsiaTheme="minorEastAsia"/>
                <w:sz w:val="18"/>
                <w:szCs w:val="18"/>
              </w:rPr>
            </w:pPr>
          </w:p>
        </w:tc>
        <w:tc>
          <w:tcPr>
            <w:tcW w:w="421"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369" w:type="pct"/>
            <w:vAlign w:val="center"/>
          </w:tcPr>
          <w:p>
            <w:pPr>
              <w:widowControl/>
              <w:adjustRightInd w:val="0"/>
              <w:snapToGrid w:val="0"/>
              <w:spacing w:line="240" w:lineRule="atLeast"/>
              <w:jc w:val="center"/>
              <w:textAlignment w:val="center"/>
              <w:rPr>
                <w:rFonts w:eastAsiaTheme="minorEastAsia"/>
                <w:sz w:val="18"/>
                <w:szCs w:val="18"/>
              </w:rPr>
            </w:pPr>
          </w:p>
        </w:tc>
        <w:tc>
          <w:tcPr>
            <w:tcW w:w="368" w:type="pct"/>
            <w:vAlign w:val="center"/>
          </w:tcPr>
          <w:p>
            <w:pPr>
              <w:widowControl/>
              <w:adjustRightInd w:val="0"/>
              <w:snapToGrid w:val="0"/>
              <w:spacing w:line="240" w:lineRule="atLeast"/>
              <w:jc w:val="center"/>
              <w:textAlignment w:val="center"/>
              <w:rPr>
                <w:rFonts w:eastAsiaTheme="minorEastAsia"/>
                <w:sz w:val="18"/>
                <w:szCs w:val="18"/>
              </w:rPr>
            </w:pPr>
          </w:p>
        </w:tc>
        <w:tc>
          <w:tcPr>
            <w:tcW w:w="422" w:type="pct"/>
            <w:vAlign w:val="center"/>
          </w:tcPr>
          <w:p>
            <w:pPr>
              <w:widowControl/>
              <w:adjustRightInd w:val="0"/>
              <w:snapToGrid w:val="0"/>
              <w:spacing w:line="240" w:lineRule="exact"/>
              <w:jc w:val="center"/>
              <w:rPr>
                <w:rFonts w:eastAsiaTheme="minorEastAsia"/>
                <w:sz w:val="18"/>
                <w:szCs w:val="18"/>
              </w:rPr>
            </w:pPr>
          </w:p>
        </w:tc>
        <w:tc>
          <w:tcPr>
            <w:tcW w:w="467" w:type="pct"/>
            <w:vAlign w:val="center"/>
          </w:tcPr>
          <w:p>
            <w:pPr>
              <w:adjustRightInd w:val="0"/>
              <w:snapToGrid w:val="0"/>
              <w:spacing w:line="240" w:lineRule="atLeast"/>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5" w:hRule="atLeast"/>
          <w:jc w:val="center"/>
        </w:trPr>
        <w:tc>
          <w:tcPr>
            <w:tcW w:w="1217" w:type="pct"/>
            <w:gridSpan w:val="3"/>
            <w:vAlign w:val="center"/>
          </w:tcPr>
          <w:p>
            <w:pPr>
              <w:jc w:val="center"/>
              <w:rPr>
                <w:rFonts w:eastAsiaTheme="minorEastAsia"/>
                <w:sz w:val="18"/>
                <w:szCs w:val="18"/>
              </w:rPr>
            </w:pPr>
          </w:p>
        </w:tc>
        <w:tc>
          <w:tcPr>
            <w:tcW w:w="315" w:type="pct"/>
            <w:tcMar>
              <w:top w:w="15" w:type="dxa"/>
              <w:left w:w="15" w:type="dxa"/>
              <w:bottom w:w="0" w:type="dxa"/>
              <w:right w:w="15" w:type="dxa"/>
            </w:tcMar>
            <w:vAlign w:val="center"/>
          </w:tcPr>
          <w:p>
            <w:pPr>
              <w:jc w:val="center"/>
              <w:rPr>
                <w:rFonts w:eastAsiaTheme="minorEastAsia"/>
                <w:sz w:val="18"/>
                <w:szCs w:val="18"/>
              </w:rPr>
            </w:pPr>
          </w:p>
        </w:tc>
        <w:tc>
          <w:tcPr>
            <w:tcW w:w="316" w:type="pct"/>
            <w:tcMar>
              <w:top w:w="15" w:type="dxa"/>
              <w:left w:w="15" w:type="dxa"/>
              <w:bottom w:w="0" w:type="dxa"/>
              <w:right w:w="15" w:type="dxa"/>
            </w:tcMar>
            <w:vAlign w:val="center"/>
          </w:tcPr>
          <w:p>
            <w:pPr>
              <w:jc w:val="center"/>
              <w:rPr>
                <w:rFonts w:eastAsiaTheme="minorEastAsia"/>
                <w:sz w:val="18"/>
                <w:szCs w:val="18"/>
              </w:rPr>
            </w:pPr>
          </w:p>
        </w:tc>
        <w:tc>
          <w:tcPr>
            <w:tcW w:w="421" w:type="pct"/>
            <w:tcMar>
              <w:top w:w="15" w:type="dxa"/>
              <w:left w:w="15" w:type="dxa"/>
              <w:bottom w:w="0" w:type="dxa"/>
              <w:right w:w="15" w:type="dxa"/>
            </w:tcMar>
            <w:vAlign w:val="center"/>
          </w:tcPr>
          <w:p>
            <w:pPr>
              <w:widowControl/>
              <w:jc w:val="center"/>
              <w:rPr>
                <w:rFonts w:eastAsiaTheme="minorEastAsia"/>
                <w:sz w:val="18"/>
                <w:szCs w:val="18"/>
              </w:rPr>
            </w:pPr>
          </w:p>
        </w:tc>
        <w:tc>
          <w:tcPr>
            <w:tcW w:w="369" w:type="pct"/>
            <w:tcMar>
              <w:top w:w="15" w:type="dxa"/>
              <w:left w:w="15" w:type="dxa"/>
              <w:bottom w:w="0" w:type="dxa"/>
              <w:right w:w="15" w:type="dxa"/>
            </w:tcMar>
            <w:vAlign w:val="center"/>
          </w:tcPr>
          <w:p>
            <w:pPr>
              <w:widowControl/>
              <w:jc w:val="center"/>
              <w:rPr>
                <w:rFonts w:eastAsiaTheme="minorEastAsia"/>
                <w:sz w:val="18"/>
                <w:szCs w:val="18"/>
              </w:rPr>
            </w:pPr>
          </w:p>
        </w:tc>
        <w:tc>
          <w:tcPr>
            <w:tcW w:w="368" w:type="pct"/>
            <w:tcMar>
              <w:top w:w="15" w:type="dxa"/>
              <w:left w:w="15" w:type="dxa"/>
              <w:bottom w:w="0" w:type="dxa"/>
              <w:right w:w="15" w:type="dxa"/>
            </w:tcMar>
            <w:vAlign w:val="center"/>
          </w:tcPr>
          <w:p>
            <w:pPr>
              <w:jc w:val="center"/>
              <w:rPr>
                <w:rFonts w:eastAsiaTheme="minorEastAsia"/>
                <w:sz w:val="18"/>
                <w:szCs w:val="18"/>
              </w:rPr>
            </w:pPr>
          </w:p>
        </w:tc>
        <w:tc>
          <w:tcPr>
            <w:tcW w:w="368" w:type="pct"/>
            <w:tcMar>
              <w:top w:w="15" w:type="dxa"/>
              <w:left w:w="15" w:type="dxa"/>
              <w:bottom w:w="0" w:type="dxa"/>
              <w:right w:w="15" w:type="dxa"/>
            </w:tcMar>
            <w:vAlign w:val="center"/>
          </w:tcPr>
          <w:p>
            <w:pPr>
              <w:jc w:val="center"/>
              <w:rPr>
                <w:rFonts w:eastAsiaTheme="minorEastAsia"/>
                <w:sz w:val="18"/>
                <w:szCs w:val="18"/>
              </w:rPr>
            </w:pPr>
          </w:p>
        </w:tc>
        <w:tc>
          <w:tcPr>
            <w:tcW w:w="369" w:type="pct"/>
            <w:tcMar>
              <w:top w:w="15" w:type="dxa"/>
              <w:left w:w="15" w:type="dxa"/>
              <w:bottom w:w="0" w:type="dxa"/>
              <w:right w:w="15" w:type="dxa"/>
            </w:tcMar>
            <w:vAlign w:val="center"/>
          </w:tcPr>
          <w:p>
            <w:pPr>
              <w:jc w:val="center"/>
              <w:rPr>
                <w:rFonts w:eastAsiaTheme="minorEastAsia"/>
                <w:sz w:val="18"/>
                <w:szCs w:val="18"/>
              </w:rPr>
            </w:pPr>
          </w:p>
        </w:tc>
        <w:tc>
          <w:tcPr>
            <w:tcW w:w="368" w:type="pct"/>
            <w:tcMar>
              <w:top w:w="15" w:type="dxa"/>
              <w:left w:w="15" w:type="dxa"/>
              <w:bottom w:w="0" w:type="dxa"/>
              <w:right w:w="15" w:type="dxa"/>
            </w:tcMar>
            <w:vAlign w:val="center"/>
          </w:tcPr>
          <w:p>
            <w:pPr>
              <w:jc w:val="center"/>
              <w:rPr>
                <w:rFonts w:eastAsiaTheme="minorEastAsia"/>
                <w:sz w:val="18"/>
                <w:szCs w:val="18"/>
              </w:rPr>
            </w:pPr>
          </w:p>
        </w:tc>
        <w:tc>
          <w:tcPr>
            <w:tcW w:w="422" w:type="pct"/>
            <w:tcMar>
              <w:top w:w="15" w:type="dxa"/>
              <w:left w:w="15" w:type="dxa"/>
              <w:bottom w:w="0" w:type="dxa"/>
              <w:right w:w="15" w:type="dxa"/>
            </w:tcMar>
            <w:vAlign w:val="center"/>
          </w:tcPr>
          <w:p>
            <w:pPr>
              <w:jc w:val="center"/>
              <w:rPr>
                <w:rFonts w:eastAsiaTheme="minorEastAsia"/>
                <w:sz w:val="18"/>
                <w:szCs w:val="18"/>
              </w:rPr>
            </w:pPr>
          </w:p>
        </w:tc>
        <w:tc>
          <w:tcPr>
            <w:tcW w:w="467" w:type="pct"/>
            <w:vAlign w:val="center"/>
          </w:tcPr>
          <w:p>
            <w:pPr>
              <w:jc w:val="center"/>
              <w:rPr>
                <w:rFonts w:eastAsiaTheme="minorEastAsia"/>
                <w:sz w:val="18"/>
                <w:szCs w:val="18"/>
              </w:rPr>
            </w:pPr>
          </w:p>
        </w:tc>
      </w:tr>
    </w:tbl>
    <w:p>
      <w:pPr>
        <w:pStyle w:val="68"/>
        <w:rPr>
          <w:rFonts w:hAnsi="Times New Roman" w:cs="Times New Roman" w:eastAsiaTheme="minorEastAsia"/>
          <w:szCs w:val="24"/>
        </w:rPr>
      </w:pPr>
      <w:r>
        <w:rPr>
          <w:rFonts w:cs="Times New Roman" w:hAnsiTheme="minorEastAsia" w:eastAsiaTheme="minorEastAsia"/>
          <w:szCs w:val="24"/>
        </w:rPr>
        <w:t>根据统计结果，各监测点位各项指标都达到了《地下水质量标准》（</w:t>
      </w:r>
      <w:r>
        <w:rPr>
          <w:rFonts w:hAnsi="Times New Roman" w:cs="Times New Roman" w:eastAsiaTheme="minorEastAsia"/>
          <w:szCs w:val="24"/>
        </w:rPr>
        <w:t>GB/T14848-93</w:t>
      </w:r>
      <w:r>
        <w:rPr>
          <w:rFonts w:cs="Times New Roman" w:hAnsiTheme="minorEastAsia" w:eastAsiaTheme="minorEastAsia"/>
          <w:szCs w:val="24"/>
        </w:rPr>
        <w:t>）Ⅲ类水质标准。评价区域地下水质量较好，受污染程度较低。</w:t>
      </w:r>
    </w:p>
    <w:p>
      <w:pPr>
        <w:pStyle w:val="68"/>
        <w:spacing w:line="240" w:lineRule="auto"/>
        <w:ind w:firstLine="422"/>
        <w:jc w:val="center"/>
        <w:rPr>
          <w:rFonts w:hAnsi="Times New Roman" w:cs="Times New Roman" w:eastAsiaTheme="minorEastAsia"/>
          <w:b/>
          <w:sz w:val="21"/>
          <w:szCs w:val="21"/>
          <w:highlight w:val="yellow"/>
        </w:rPr>
      </w:pPr>
    </w:p>
    <w:p>
      <w:pPr>
        <w:pStyle w:val="68"/>
        <w:spacing w:line="240" w:lineRule="auto"/>
        <w:ind w:firstLine="0" w:firstLineChars="0"/>
        <w:rPr>
          <w:rFonts w:hAnsi="Times New Roman" w:cs="Times New Roman" w:eastAsiaTheme="minorEastAsia"/>
          <w:b/>
          <w:sz w:val="21"/>
          <w:szCs w:val="21"/>
          <w:highlight w:val="yellow"/>
        </w:rPr>
      </w:pPr>
    </w:p>
    <w:p>
      <w:pPr>
        <w:spacing w:line="360" w:lineRule="auto"/>
        <w:ind w:firstLine="480" w:firstLineChars="200"/>
        <w:rPr>
          <w:rFonts w:eastAsiaTheme="minorEastAsia"/>
          <w:bCs/>
          <w:sz w:val="24"/>
        </w:rPr>
        <w:sectPr>
          <w:headerReference r:id="rId22" w:type="default"/>
          <w:footerReference r:id="rId23" w:type="default"/>
          <w:pgSz w:w="16838" w:h="11906" w:orient="landscape"/>
          <w:pgMar w:top="1418" w:right="1701" w:bottom="1418" w:left="1701" w:header="1134" w:footer="992" w:gutter="0"/>
          <w:cols w:space="425" w:num="1"/>
          <w:docGrid w:type="lines" w:linePitch="312" w:charSpace="0"/>
        </w:sectPr>
      </w:pPr>
    </w:p>
    <w:p>
      <w:pPr>
        <w:spacing w:line="360" w:lineRule="auto"/>
        <w:outlineLvl w:val="2"/>
        <w:rPr>
          <w:rFonts w:eastAsiaTheme="minorEastAsia"/>
          <w:b/>
          <w:sz w:val="24"/>
        </w:rPr>
      </w:pPr>
      <w:r>
        <w:rPr>
          <w:rFonts w:eastAsiaTheme="minorEastAsia"/>
          <w:b/>
          <w:sz w:val="24"/>
        </w:rPr>
        <w:t>4.3.</w:t>
      </w:r>
      <w:r>
        <w:rPr>
          <w:rFonts w:hint="eastAsia" w:eastAsiaTheme="minorEastAsia"/>
          <w:b/>
          <w:sz w:val="24"/>
        </w:rPr>
        <w:t>3</w:t>
      </w:r>
      <w:r>
        <w:rPr>
          <w:rFonts w:hAnsiTheme="minorEastAsia" w:eastAsiaTheme="minorEastAsia"/>
          <w:b/>
          <w:sz w:val="24"/>
        </w:rPr>
        <w:t>噪声现状调查与评价</w:t>
      </w:r>
    </w:p>
    <w:p>
      <w:pPr>
        <w:spacing w:line="360" w:lineRule="auto"/>
        <w:ind w:firstLine="480" w:firstLineChars="200"/>
        <w:rPr>
          <w:rFonts w:eastAsiaTheme="minorEastAsia"/>
          <w:sz w:val="24"/>
        </w:rPr>
      </w:pPr>
      <w:r>
        <w:rPr>
          <w:rFonts w:hAnsiTheme="minorEastAsia" w:eastAsiaTheme="minorEastAsia"/>
          <w:sz w:val="24"/>
        </w:rPr>
        <w:t>为了准确描述和评价该项目对周围环境的影响贡献，掌握工程噪声现状，</w:t>
      </w:r>
      <w:r>
        <w:rPr>
          <w:rFonts w:eastAsiaTheme="minorEastAsia"/>
          <w:sz w:val="24"/>
        </w:rPr>
        <w:t>20</w:t>
      </w:r>
      <w:r>
        <w:rPr>
          <w:rFonts w:hint="eastAsia" w:eastAsiaTheme="minorEastAsia"/>
          <w:sz w:val="24"/>
        </w:rPr>
        <w:t>21</w:t>
      </w:r>
      <w:r>
        <w:rPr>
          <w:rFonts w:hAnsiTheme="minorEastAsia" w:eastAsiaTheme="minorEastAsia"/>
          <w:sz w:val="24"/>
        </w:rPr>
        <w:t>年</w:t>
      </w:r>
      <w:r>
        <w:rPr>
          <w:rFonts w:hint="eastAsia" w:eastAsiaTheme="minorEastAsia"/>
          <w:sz w:val="24"/>
        </w:rPr>
        <w:t>2</w:t>
      </w:r>
      <w:r>
        <w:rPr>
          <w:rFonts w:hAnsiTheme="minorEastAsia" w:eastAsiaTheme="minorEastAsia"/>
          <w:sz w:val="24"/>
        </w:rPr>
        <w:t>月</w:t>
      </w:r>
      <w:r>
        <w:rPr>
          <w:rFonts w:hint="eastAsia" w:eastAsiaTheme="minorEastAsia"/>
          <w:sz w:val="24"/>
        </w:rPr>
        <w:t>15</w:t>
      </w:r>
      <w:r>
        <w:rPr>
          <w:rFonts w:hAnsiTheme="minorEastAsia" w:eastAsiaTheme="minorEastAsia"/>
          <w:sz w:val="24"/>
        </w:rPr>
        <w:t>日由</w:t>
      </w:r>
      <w:r>
        <w:rPr>
          <w:rFonts w:hint="eastAsia" w:hAnsiTheme="minorEastAsia" w:eastAsiaTheme="minorEastAsia"/>
          <w:sz w:val="24"/>
        </w:rPr>
        <w:t>山西明朗检测科技有限公司</w:t>
      </w:r>
      <w:r>
        <w:rPr>
          <w:rFonts w:hAnsiTheme="minorEastAsia" w:eastAsiaTheme="minorEastAsia"/>
          <w:sz w:val="24"/>
        </w:rPr>
        <w:t>对本项目噪声现状进行了实测。</w:t>
      </w:r>
    </w:p>
    <w:p>
      <w:pPr>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）监测布点</w:t>
      </w:r>
    </w:p>
    <w:p>
      <w:pPr>
        <w:spacing w:line="360" w:lineRule="auto"/>
        <w:ind w:firstLine="480" w:firstLineChars="200"/>
        <w:rPr>
          <w:rFonts w:eastAsiaTheme="minorEastAsia"/>
          <w:sz w:val="24"/>
        </w:rPr>
      </w:pPr>
      <w:r>
        <w:rPr>
          <w:rFonts w:hAnsiTheme="minorEastAsia" w:eastAsiaTheme="minorEastAsia"/>
          <w:sz w:val="24"/>
        </w:rPr>
        <w:t>本次噪声监测共布设</w:t>
      </w:r>
      <w:r>
        <w:rPr>
          <w:rFonts w:hint="eastAsia" w:eastAsiaTheme="minorEastAsia"/>
          <w:sz w:val="24"/>
        </w:rPr>
        <w:t>11</w:t>
      </w:r>
      <w:r>
        <w:rPr>
          <w:rFonts w:hAnsiTheme="minorEastAsia" w:eastAsiaTheme="minorEastAsia"/>
          <w:sz w:val="24"/>
        </w:rPr>
        <w:t>个监测点，其中厂界噪声，包括工业场地四周和附近村庄的声环境质量现状监测</w:t>
      </w:r>
      <w:r>
        <w:rPr>
          <w:rFonts w:hint="eastAsia" w:hAnsiTheme="minorEastAsia" w:eastAsiaTheme="minorEastAsia"/>
          <w:sz w:val="24"/>
        </w:rPr>
        <w:t>。</w:t>
      </w:r>
      <w:r>
        <w:rPr>
          <w:rFonts w:hAnsiTheme="minorEastAsia" w:eastAsiaTheme="minorEastAsia"/>
          <w:sz w:val="24"/>
        </w:rPr>
        <w:t>监测点位的布设详见表</w:t>
      </w:r>
      <w:r>
        <w:rPr>
          <w:rFonts w:eastAsiaTheme="minorEastAsia"/>
          <w:sz w:val="24"/>
        </w:rPr>
        <w:t>4.3-</w:t>
      </w:r>
      <w:r>
        <w:rPr>
          <w:rFonts w:hint="eastAsia" w:eastAsiaTheme="minorEastAsia"/>
          <w:sz w:val="24"/>
        </w:rPr>
        <w:t>9</w:t>
      </w:r>
      <w:r>
        <w:rPr>
          <w:rFonts w:hint="eastAsia" w:hAnsiTheme="minorEastAsia" w:eastAsiaTheme="minorEastAsia"/>
          <w:sz w:val="24"/>
        </w:rPr>
        <w:t>，</w:t>
      </w:r>
      <w:r>
        <w:rPr>
          <w:rFonts w:hAnsiTheme="minorEastAsia" w:eastAsiaTheme="minorEastAsia"/>
          <w:sz w:val="24"/>
        </w:rPr>
        <w:t>噪声监测布点图详见图</w:t>
      </w:r>
      <w:r>
        <w:rPr>
          <w:rFonts w:eastAsiaTheme="minorEastAsia"/>
          <w:sz w:val="24"/>
        </w:rPr>
        <w:t>4.3</w:t>
      </w:r>
      <w:r>
        <w:rPr>
          <w:rFonts w:hint="eastAsia" w:eastAsiaTheme="minorEastAsia"/>
          <w:sz w:val="24"/>
        </w:rPr>
        <w:t>-1</w:t>
      </w:r>
      <w:r>
        <w:rPr>
          <w:rFonts w:hAnsiTheme="minorEastAsia" w:eastAsiaTheme="minorEastAsia"/>
          <w:sz w:val="24"/>
        </w:rPr>
        <w:t>。</w:t>
      </w:r>
    </w:p>
    <w:p>
      <w:pPr>
        <w:pStyle w:val="68"/>
        <w:ind w:firstLine="422"/>
        <w:jc w:val="center"/>
        <w:rPr>
          <w:rFonts w:cs="Times New Roman" w:hAnsiTheme="minorEastAsia" w:eastAsiaTheme="minorEastAsia"/>
          <w:b/>
          <w:sz w:val="21"/>
          <w:szCs w:val="21"/>
        </w:rPr>
      </w:pPr>
      <w:r>
        <w:rPr>
          <w:rFonts w:cs="Times New Roman" w:hAnsiTheme="minorEastAsia" w:eastAsiaTheme="minorEastAsia"/>
          <w:b/>
          <w:sz w:val="21"/>
          <w:szCs w:val="21"/>
        </w:rPr>
        <w:t>表</w:t>
      </w:r>
      <w:r>
        <w:rPr>
          <w:rFonts w:hAnsi="Times New Roman" w:cs="Times New Roman" w:eastAsiaTheme="minorEastAsia"/>
          <w:b/>
          <w:sz w:val="21"/>
          <w:szCs w:val="21"/>
        </w:rPr>
        <w:t>4.3-</w:t>
      </w:r>
      <w:r>
        <w:rPr>
          <w:rFonts w:hint="eastAsia" w:hAnsi="Times New Roman" w:cs="Times New Roman" w:eastAsiaTheme="minorEastAsia"/>
          <w:b/>
          <w:sz w:val="21"/>
          <w:szCs w:val="21"/>
        </w:rPr>
        <w:t>9</w:t>
      </w:r>
      <w:r>
        <w:rPr>
          <w:rFonts w:hAnsi="Times New Roman" w:cs="Times New Roman" w:eastAsiaTheme="minorEastAsia"/>
          <w:b/>
          <w:sz w:val="21"/>
          <w:szCs w:val="21"/>
        </w:rPr>
        <w:t xml:space="preserve">  </w:t>
      </w:r>
      <w:r>
        <w:rPr>
          <w:rFonts w:cs="Times New Roman" w:hAnsiTheme="minorEastAsia" w:eastAsiaTheme="minorEastAsia"/>
          <w:b/>
          <w:sz w:val="21"/>
          <w:szCs w:val="21"/>
        </w:rPr>
        <w:t>声环境质量现状监测布点一览表</w:t>
      </w:r>
    </w:p>
    <w:tbl>
      <w:tblPr>
        <w:tblStyle w:val="24"/>
        <w:tblW w:w="92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4"/>
        <w:gridCol w:w="1418"/>
        <w:gridCol w:w="2690"/>
        <w:gridCol w:w="2210"/>
        <w:gridCol w:w="13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523" w:type="dxa"/>
            <w:tcBorders>
              <w:top w:val="single" w:color="auto" w:sz="12" w:space="0"/>
              <w:left w:val="single" w:color="auto" w:sz="12"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监测对象</w:t>
            </w:r>
          </w:p>
        </w:tc>
        <w:tc>
          <w:tcPr>
            <w:tcW w:w="1418"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监测点位</w:t>
            </w:r>
          </w:p>
        </w:tc>
        <w:tc>
          <w:tcPr>
            <w:tcW w:w="2689"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监测位置</w:t>
            </w:r>
          </w:p>
        </w:tc>
        <w:tc>
          <w:tcPr>
            <w:tcW w:w="2209"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eastAsiaTheme="minorEastAsia"/>
                <w:szCs w:val="21"/>
              </w:rPr>
            </w:pPr>
            <w:r>
              <w:rPr>
                <w:rFonts w:hint="eastAsia" w:hAnsiTheme="minorEastAsia" w:eastAsiaTheme="minorEastAsia"/>
                <w:szCs w:val="21"/>
              </w:rPr>
              <w:t>监测因子</w:t>
            </w:r>
          </w:p>
        </w:tc>
        <w:tc>
          <w:tcPr>
            <w:tcW w:w="1386" w:type="dxa"/>
            <w:tcBorders>
              <w:top w:val="single" w:color="auto" w:sz="12" w:space="0"/>
              <w:left w:val="single" w:color="auto" w:sz="6" w:space="0"/>
              <w:bottom w:val="single" w:color="auto" w:sz="6" w:space="0"/>
              <w:right w:val="single" w:color="auto" w:sz="12" w:space="0"/>
            </w:tcBorders>
            <w:vAlign w:val="center"/>
          </w:tcPr>
          <w:p>
            <w:pPr>
              <w:adjustRightInd w:val="0"/>
              <w:snapToGrid w:val="0"/>
              <w:spacing w:line="220" w:lineRule="atLeast"/>
              <w:jc w:val="center"/>
              <w:rPr>
                <w:rFonts w:eastAsiaTheme="minorEastAsia"/>
                <w:szCs w:val="21"/>
              </w:rPr>
            </w:pPr>
            <w:r>
              <w:rPr>
                <w:rFonts w:hint="eastAsia" w:hAnsiTheme="minorEastAsia" w:eastAsiaTheme="minorEastAsia"/>
                <w:szCs w:val="21"/>
              </w:rPr>
              <w:t>监测时间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523"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工业广场</w:t>
            </w:r>
          </w:p>
        </w:tc>
        <w:tc>
          <w:tcPr>
            <w:tcW w:w="141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AnsiTheme="minorEastAsia" w:eastAsiaTheme="minorEastAsia"/>
                <w:szCs w:val="21"/>
              </w:rPr>
              <w:t>1#-6#</w:t>
            </w:r>
          </w:p>
        </w:tc>
        <w:tc>
          <w:tcPr>
            <w:tcW w:w="268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工业场地场界外</w:t>
            </w:r>
            <w:r>
              <w:rPr>
                <w:rFonts w:hAnsiTheme="minorEastAsia" w:eastAsiaTheme="minorEastAsia"/>
                <w:szCs w:val="21"/>
              </w:rPr>
              <w:t>1m</w:t>
            </w:r>
            <w:r>
              <w:rPr>
                <w:rFonts w:hint="eastAsia" w:hAnsiTheme="minorEastAsia" w:eastAsiaTheme="minorEastAsia"/>
                <w:szCs w:val="21"/>
              </w:rPr>
              <w:t>处</w:t>
            </w:r>
          </w:p>
        </w:tc>
        <w:tc>
          <w:tcPr>
            <w:tcW w:w="2209" w:type="dxa"/>
            <w:vMerge w:val="restart"/>
            <w:tcBorders>
              <w:top w:val="single" w:color="auto" w:sz="6" w:space="0"/>
              <w:left w:val="single" w:color="auto" w:sz="6" w:space="0"/>
              <w:bottom w:val="single" w:color="auto" w:sz="12" w:space="0"/>
              <w:right w:val="single" w:color="auto" w:sz="6" w:space="0"/>
            </w:tcBorders>
            <w:vAlign w:val="center"/>
          </w:tcPr>
          <w:p>
            <w:pPr>
              <w:spacing w:line="220" w:lineRule="atLeast"/>
              <w:jc w:val="center"/>
              <w:rPr>
                <w:rFonts w:eastAsiaTheme="minorEastAsia"/>
                <w:sz w:val="22"/>
                <w:szCs w:val="21"/>
              </w:rPr>
            </w:pPr>
            <w:r>
              <w:rPr>
                <w:rFonts w:eastAsiaTheme="minorEastAsia"/>
                <w:szCs w:val="21"/>
              </w:rPr>
              <w:t>Leq</w:t>
            </w:r>
            <w:r>
              <w:rPr>
                <w:rFonts w:hint="eastAsia" w:hAnsiTheme="minorEastAsia" w:eastAsiaTheme="minorEastAsia"/>
                <w:szCs w:val="21"/>
              </w:rPr>
              <w:t>、</w:t>
            </w:r>
            <w:r>
              <w:rPr>
                <w:rFonts w:eastAsiaTheme="minorEastAsia"/>
                <w:szCs w:val="21"/>
              </w:rPr>
              <w:t>L</w:t>
            </w:r>
            <w:r>
              <w:rPr>
                <w:rFonts w:eastAsiaTheme="minorEastAsia"/>
                <w:szCs w:val="21"/>
                <w:vertAlign w:val="subscript"/>
              </w:rPr>
              <w:t>10</w:t>
            </w:r>
            <w:r>
              <w:rPr>
                <w:rFonts w:hint="eastAsia" w:hAnsiTheme="minorEastAsia" w:eastAsiaTheme="minorEastAsia"/>
                <w:szCs w:val="21"/>
              </w:rPr>
              <w:t>、</w:t>
            </w:r>
          </w:p>
          <w:p>
            <w:pPr>
              <w:adjustRightInd w:val="0"/>
              <w:snapToGrid w:val="0"/>
              <w:spacing w:line="220" w:lineRule="atLeast"/>
              <w:jc w:val="center"/>
              <w:rPr>
                <w:rFonts w:eastAsiaTheme="minorEastAsia"/>
                <w:szCs w:val="21"/>
              </w:rPr>
            </w:pPr>
            <w:r>
              <w:rPr>
                <w:rFonts w:eastAsiaTheme="minorEastAsia"/>
                <w:szCs w:val="21"/>
              </w:rPr>
              <w:t>L</w:t>
            </w:r>
            <w:r>
              <w:rPr>
                <w:rFonts w:eastAsiaTheme="minorEastAsia"/>
                <w:szCs w:val="21"/>
                <w:vertAlign w:val="subscript"/>
              </w:rPr>
              <w:t>50</w:t>
            </w:r>
            <w:r>
              <w:rPr>
                <w:rFonts w:hint="eastAsia" w:hAnsiTheme="minorEastAsia" w:eastAsiaTheme="minorEastAsia"/>
                <w:szCs w:val="21"/>
              </w:rPr>
              <w:t>、</w:t>
            </w:r>
            <w:r>
              <w:rPr>
                <w:rFonts w:eastAsiaTheme="minorEastAsia"/>
                <w:szCs w:val="21"/>
              </w:rPr>
              <w:t>L</w:t>
            </w:r>
            <w:r>
              <w:rPr>
                <w:rFonts w:eastAsiaTheme="minorEastAsia"/>
                <w:szCs w:val="21"/>
                <w:vertAlign w:val="subscript"/>
              </w:rPr>
              <w:t>90</w:t>
            </w:r>
          </w:p>
        </w:tc>
        <w:tc>
          <w:tcPr>
            <w:tcW w:w="1386" w:type="dxa"/>
            <w:vMerge w:val="restart"/>
            <w:tcBorders>
              <w:top w:val="single" w:color="auto" w:sz="6" w:space="0"/>
              <w:left w:val="single" w:color="auto" w:sz="6" w:space="0"/>
              <w:bottom w:val="single" w:color="auto" w:sz="12" w:space="0"/>
              <w:right w:val="single" w:color="auto" w:sz="12" w:space="0"/>
            </w:tcBorders>
            <w:vAlign w:val="center"/>
          </w:tcPr>
          <w:p>
            <w:pPr>
              <w:adjustRightInd w:val="0"/>
              <w:snapToGrid w:val="0"/>
              <w:spacing w:line="220" w:lineRule="atLeast"/>
              <w:jc w:val="center"/>
              <w:rPr>
                <w:rFonts w:eastAsiaTheme="minorEastAsia"/>
                <w:szCs w:val="21"/>
              </w:rPr>
            </w:pPr>
            <w:r>
              <w:rPr>
                <w:rFonts w:hint="eastAsia" w:hAnsiTheme="minorEastAsia" w:eastAsiaTheme="minorEastAsia"/>
                <w:szCs w:val="21"/>
              </w:rPr>
              <w:t>昼间、夜间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523" w:type="dxa"/>
            <w:vMerge w:val="continue"/>
            <w:tcBorders>
              <w:top w:val="single" w:color="auto" w:sz="6" w:space="0"/>
              <w:left w:val="single" w:color="auto" w:sz="12" w:space="0"/>
              <w:bottom w:val="single" w:color="auto" w:sz="6" w:space="0"/>
              <w:right w:val="single" w:color="auto" w:sz="6" w:space="0"/>
            </w:tcBorders>
            <w:vAlign w:val="center"/>
          </w:tcPr>
          <w:p>
            <w:pPr>
              <w:rPr>
                <w:rFonts w:hAnsiTheme="minorEastAsia" w:eastAsiaTheme="minorEastAsia"/>
                <w:sz w:val="22"/>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88" w:lineRule="auto"/>
              <w:jc w:val="center"/>
              <w:rPr>
                <w:rFonts w:hAnsiTheme="minorEastAsia" w:eastAsiaTheme="minorEastAsia"/>
                <w:sz w:val="22"/>
                <w:szCs w:val="21"/>
              </w:rPr>
            </w:pPr>
            <w:r>
              <w:rPr>
                <w:rFonts w:hAnsiTheme="minorEastAsia" w:eastAsiaTheme="minorEastAsia"/>
                <w:szCs w:val="21"/>
              </w:rPr>
              <w:t>7#</w:t>
            </w:r>
          </w:p>
        </w:tc>
        <w:tc>
          <w:tcPr>
            <w:tcW w:w="268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88" w:lineRule="auto"/>
              <w:jc w:val="center"/>
              <w:rPr>
                <w:rFonts w:hAnsiTheme="minorEastAsia" w:eastAsiaTheme="minorEastAsia"/>
                <w:sz w:val="22"/>
                <w:szCs w:val="21"/>
              </w:rPr>
            </w:pPr>
            <w:r>
              <w:rPr>
                <w:rFonts w:hint="eastAsia" w:hAnsiTheme="minorEastAsia" w:eastAsiaTheme="minorEastAsia"/>
                <w:szCs w:val="21"/>
              </w:rPr>
              <w:t>高家庄村居民</w:t>
            </w:r>
          </w:p>
        </w:tc>
        <w:tc>
          <w:tcPr>
            <w:tcW w:w="2209" w:type="dxa"/>
            <w:vMerge w:val="continue"/>
            <w:tcBorders>
              <w:top w:val="single" w:color="auto" w:sz="6" w:space="0"/>
              <w:left w:val="single" w:color="auto" w:sz="6" w:space="0"/>
              <w:bottom w:val="single" w:color="auto" w:sz="12" w:space="0"/>
              <w:right w:val="single" w:color="auto" w:sz="6" w:space="0"/>
            </w:tcBorders>
            <w:vAlign w:val="center"/>
          </w:tcPr>
          <w:p>
            <w:pPr>
              <w:rPr>
                <w:rFonts w:eastAsiaTheme="minorEastAsia"/>
                <w:szCs w:val="21"/>
              </w:rPr>
            </w:pPr>
          </w:p>
        </w:tc>
        <w:tc>
          <w:tcPr>
            <w:tcW w:w="1386" w:type="dxa"/>
            <w:vMerge w:val="continue"/>
            <w:tcBorders>
              <w:top w:val="single" w:color="auto" w:sz="6" w:space="0"/>
              <w:left w:val="single" w:color="auto" w:sz="6" w:space="0"/>
              <w:bottom w:val="single" w:color="auto" w:sz="12" w:space="0"/>
              <w:right w:val="single" w:color="auto" w:sz="12" w:space="0"/>
            </w:tcBorders>
            <w:vAlign w:val="center"/>
          </w:tcPr>
          <w:p>
            <w:pP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523" w:type="dxa"/>
            <w:tcBorders>
              <w:top w:val="single" w:color="auto" w:sz="6" w:space="0"/>
              <w:left w:val="single" w:color="auto" w:sz="12" w:space="0"/>
              <w:bottom w:val="single" w:color="auto" w:sz="12"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风井场地</w:t>
            </w:r>
          </w:p>
        </w:tc>
        <w:tc>
          <w:tcPr>
            <w:tcW w:w="1418" w:type="dxa"/>
            <w:tcBorders>
              <w:top w:val="single" w:color="auto" w:sz="6" w:space="0"/>
              <w:left w:val="single" w:color="auto" w:sz="6" w:space="0"/>
              <w:bottom w:val="single" w:color="auto" w:sz="12"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AnsiTheme="minorEastAsia" w:eastAsiaTheme="minorEastAsia"/>
                <w:szCs w:val="21"/>
              </w:rPr>
              <w:t>8#-11#</w:t>
            </w:r>
          </w:p>
        </w:tc>
        <w:tc>
          <w:tcPr>
            <w:tcW w:w="2689" w:type="dxa"/>
            <w:tcBorders>
              <w:top w:val="single" w:color="auto" w:sz="6" w:space="0"/>
              <w:left w:val="single" w:color="auto" w:sz="6" w:space="0"/>
              <w:bottom w:val="single" w:color="auto" w:sz="12"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风井场地外</w:t>
            </w:r>
            <w:r>
              <w:rPr>
                <w:rFonts w:hAnsiTheme="minorEastAsia" w:eastAsiaTheme="minorEastAsia"/>
                <w:szCs w:val="21"/>
              </w:rPr>
              <w:t>1m</w:t>
            </w:r>
            <w:r>
              <w:rPr>
                <w:rFonts w:hint="eastAsia" w:hAnsiTheme="minorEastAsia" w:eastAsiaTheme="minorEastAsia"/>
                <w:szCs w:val="21"/>
              </w:rPr>
              <w:t>处</w:t>
            </w:r>
          </w:p>
        </w:tc>
        <w:tc>
          <w:tcPr>
            <w:tcW w:w="2209" w:type="dxa"/>
            <w:vMerge w:val="continue"/>
            <w:tcBorders>
              <w:top w:val="single" w:color="auto" w:sz="6" w:space="0"/>
              <w:left w:val="single" w:color="auto" w:sz="6" w:space="0"/>
              <w:bottom w:val="single" w:color="auto" w:sz="12" w:space="0"/>
              <w:right w:val="single" w:color="auto" w:sz="6" w:space="0"/>
            </w:tcBorders>
            <w:vAlign w:val="center"/>
          </w:tcPr>
          <w:p>
            <w:pPr>
              <w:rPr>
                <w:rFonts w:eastAsiaTheme="minorEastAsia"/>
                <w:szCs w:val="21"/>
              </w:rPr>
            </w:pPr>
          </w:p>
        </w:tc>
        <w:tc>
          <w:tcPr>
            <w:tcW w:w="1386" w:type="dxa"/>
            <w:vMerge w:val="continue"/>
            <w:tcBorders>
              <w:top w:val="single" w:color="auto" w:sz="6" w:space="0"/>
              <w:left w:val="single" w:color="auto" w:sz="6" w:space="0"/>
              <w:bottom w:val="single" w:color="auto" w:sz="12" w:space="0"/>
              <w:right w:val="single" w:color="auto" w:sz="12" w:space="0"/>
            </w:tcBorders>
            <w:vAlign w:val="center"/>
          </w:tcPr>
          <w:p>
            <w:pPr>
              <w:rPr>
                <w:rFonts w:eastAsiaTheme="minorEastAsia"/>
                <w:szCs w:val="21"/>
              </w:rPr>
            </w:pPr>
          </w:p>
        </w:tc>
      </w:tr>
    </w:tbl>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）监测时间与时段</w:t>
      </w:r>
    </w:p>
    <w:p>
      <w:pPr>
        <w:spacing w:line="360" w:lineRule="auto"/>
        <w:ind w:firstLine="480" w:firstLineChars="200"/>
        <w:rPr>
          <w:rFonts w:eastAsiaTheme="minorEastAsia"/>
          <w:sz w:val="24"/>
        </w:rPr>
      </w:pPr>
      <w:r>
        <w:rPr>
          <w:rFonts w:hAnsiTheme="minorEastAsia" w:eastAsiaTheme="minorEastAsia"/>
          <w:sz w:val="24"/>
        </w:rPr>
        <w:t>本次噪声监测日期为</w:t>
      </w:r>
      <w:r>
        <w:rPr>
          <w:rFonts w:eastAsiaTheme="minorEastAsia"/>
          <w:sz w:val="24"/>
        </w:rPr>
        <w:t>20</w:t>
      </w:r>
      <w:r>
        <w:rPr>
          <w:rFonts w:hint="eastAsia" w:eastAsiaTheme="minorEastAsia"/>
          <w:sz w:val="24"/>
        </w:rPr>
        <w:t>21</w:t>
      </w:r>
      <w:r>
        <w:rPr>
          <w:rFonts w:hAnsiTheme="minorEastAsia" w:eastAsiaTheme="minorEastAsia"/>
          <w:sz w:val="24"/>
        </w:rPr>
        <w:t>年</w:t>
      </w:r>
      <w:r>
        <w:rPr>
          <w:rFonts w:hint="eastAsia" w:eastAsiaTheme="minorEastAsia"/>
          <w:sz w:val="24"/>
        </w:rPr>
        <w:t>2</w:t>
      </w:r>
      <w:r>
        <w:rPr>
          <w:rFonts w:hAnsiTheme="minorEastAsia" w:eastAsiaTheme="minorEastAsia"/>
          <w:sz w:val="24"/>
        </w:rPr>
        <w:t>月</w:t>
      </w:r>
      <w:r>
        <w:rPr>
          <w:rFonts w:hint="eastAsia" w:eastAsiaTheme="minorEastAsia"/>
          <w:sz w:val="24"/>
        </w:rPr>
        <w:t>15</w:t>
      </w:r>
      <w:r>
        <w:rPr>
          <w:rFonts w:hAnsiTheme="minorEastAsia" w:eastAsiaTheme="minorEastAsia"/>
          <w:sz w:val="24"/>
        </w:rPr>
        <w:t>日，昼、夜各测一次，昼间测试选在</w:t>
      </w:r>
      <w:r>
        <w:rPr>
          <w:rFonts w:eastAsiaTheme="minorEastAsia"/>
          <w:sz w:val="24"/>
        </w:rPr>
        <w:t>8:00-12:00</w:t>
      </w:r>
      <w:r>
        <w:rPr>
          <w:rFonts w:hAnsiTheme="minorEastAsia" w:eastAsiaTheme="minorEastAsia"/>
          <w:sz w:val="24"/>
        </w:rPr>
        <w:t>时段内，夜间测量在</w:t>
      </w:r>
      <w:r>
        <w:rPr>
          <w:rFonts w:eastAsiaTheme="minorEastAsia"/>
          <w:sz w:val="24"/>
        </w:rPr>
        <w:t>22:00-24:00</w:t>
      </w:r>
      <w:r>
        <w:rPr>
          <w:rFonts w:hAnsiTheme="minorEastAsia" w:eastAsiaTheme="minorEastAsia"/>
          <w:sz w:val="24"/>
        </w:rPr>
        <w:t>时段内。</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）监测结果</w:t>
      </w:r>
    </w:p>
    <w:p>
      <w:pPr>
        <w:spacing w:line="360" w:lineRule="auto"/>
        <w:ind w:firstLine="480" w:firstLineChars="200"/>
        <w:rPr>
          <w:rFonts w:eastAsiaTheme="minorEastAsia"/>
          <w:sz w:val="24"/>
        </w:rPr>
      </w:pPr>
      <w:r>
        <w:rPr>
          <w:rFonts w:hAnsiTheme="minorEastAsia" w:eastAsiaTheme="minorEastAsia"/>
          <w:sz w:val="24"/>
        </w:rPr>
        <w:t>噪声现状监测值，详见表</w:t>
      </w:r>
      <w:r>
        <w:rPr>
          <w:rFonts w:eastAsiaTheme="minorEastAsia"/>
          <w:sz w:val="24"/>
        </w:rPr>
        <w:t>4.3-1</w:t>
      </w:r>
      <w:r>
        <w:rPr>
          <w:rFonts w:hint="eastAsia" w:eastAsiaTheme="minorEastAsia"/>
          <w:sz w:val="24"/>
        </w:rPr>
        <w:t>0</w:t>
      </w:r>
      <w:r>
        <w:rPr>
          <w:rFonts w:hAnsiTheme="minorEastAsia" w:eastAsiaTheme="minorEastAsia"/>
          <w:sz w:val="24"/>
        </w:rPr>
        <w:t>。</w:t>
      </w:r>
    </w:p>
    <w:p>
      <w:pPr>
        <w:spacing w:line="360" w:lineRule="auto"/>
        <w:ind w:firstLine="446" w:firstLineChars="200"/>
        <w:jc w:val="center"/>
        <w:rPr>
          <w:rFonts w:eastAsiaTheme="minorEastAsia"/>
          <w:b/>
          <w:spacing w:val="6"/>
        </w:rPr>
      </w:pPr>
      <w:r>
        <w:rPr>
          <w:rFonts w:hAnsiTheme="minorEastAsia" w:eastAsiaTheme="minorEastAsia"/>
          <w:b/>
          <w:spacing w:val="6"/>
        </w:rPr>
        <w:t>表</w:t>
      </w:r>
      <w:r>
        <w:rPr>
          <w:rFonts w:eastAsiaTheme="minorEastAsia"/>
          <w:b/>
          <w:spacing w:val="6"/>
        </w:rPr>
        <w:t>4.3-1</w:t>
      </w:r>
      <w:r>
        <w:rPr>
          <w:rFonts w:hint="eastAsia" w:eastAsiaTheme="minorEastAsia"/>
          <w:b/>
          <w:spacing w:val="6"/>
        </w:rPr>
        <w:t>0</w:t>
      </w:r>
      <w:r>
        <w:rPr>
          <w:rFonts w:hAnsiTheme="minorEastAsia" w:eastAsiaTheme="minorEastAsia"/>
          <w:b/>
          <w:spacing w:val="6"/>
        </w:rPr>
        <w:t>噪声监测结果表</w:t>
      </w:r>
    </w:p>
    <w:tbl>
      <w:tblPr>
        <w:tblStyle w:val="24"/>
        <w:tblW w:w="5000" w:type="pct"/>
        <w:jc w:val="right"/>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6"/>
        <w:gridCol w:w="637"/>
        <w:gridCol w:w="1519"/>
        <w:gridCol w:w="1261"/>
        <w:gridCol w:w="1410"/>
        <w:gridCol w:w="1411"/>
        <w:gridCol w:w="18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right"/>
        </w:trPr>
        <w:tc>
          <w:tcPr>
            <w:tcW w:w="987" w:type="pct"/>
            <w:gridSpan w:val="2"/>
            <w:vMerge w:val="restart"/>
            <w:noWrap/>
            <w:vAlign w:val="center"/>
          </w:tcPr>
          <w:p>
            <w:pPr>
              <w:adjustRightInd w:val="0"/>
              <w:snapToGrid w:val="0"/>
              <w:spacing w:line="240" w:lineRule="exact"/>
              <w:ind w:left="29" w:leftChars="14"/>
              <w:jc w:val="center"/>
              <w:rPr>
                <w:rFonts w:eastAsiaTheme="minorEastAsia"/>
                <w:szCs w:val="21"/>
              </w:rPr>
            </w:pPr>
            <w:r>
              <w:rPr>
                <w:rFonts w:hAnsiTheme="minorEastAsia" w:eastAsiaTheme="minorEastAsia"/>
                <w:szCs w:val="21"/>
              </w:rPr>
              <w:t>监测日期</w:t>
            </w:r>
          </w:p>
        </w:tc>
        <w:tc>
          <w:tcPr>
            <w:tcW w:w="818" w:type="pct"/>
            <w:vMerge w:val="restart"/>
            <w:noWrap/>
            <w:vAlign w:val="center"/>
          </w:tcPr>
          <w:p>
            <w:pPr>
              <w:adjustRightInd w:val="0"/>
              <w:snapToGrid w:val="0"/>
              <w:spacing w:line="240" w:lineRule="exact"/>
              <w:jc w:val="center"/>
              <w:rPr>
                <w:rFonts w:eastAsiaTheme="minorEastAsia"/>
                <w:szCs w:val="21"/>
              </w:rPr>
            </w:pPr>
            <w:r>
              <w:rPr>
                <w:rFonts w:hAnsiTheme="minorEastAsia" w:eastAsiaTheme="minorEastAsia"/>
                <w:szCs w:val="21"/>
              </w:rPr>
              <w:t>监测点位</w:t>
            </w:r>
          </w:p>
        </w:tc>
        <w:tc>
          <w:tcPr>
            <w:tcW w:w="3195" w:type="pct"/>
            <w:gridSpan w:val="4"/>
            <w:noWrap/>
            <w:vAlign w:val="center"/>
          </w:tcPr>
          <w:p>
            <w:pPr>
              <w:adjustRightInd w:val="0"/>
              <w:snapToGrid w:val="0"/>
              <w:spacing w:line="240" w:lineRule="exact"/>
              <w:jc w:val="center"/>
              <w:rPr>
                <w:rFonts w:eastAsiaTheme="minorEastAsia"/>
                <w:szCs w:val="21"/>
              </w:rPr>
            </w:pPr>
            <w:r>
              <w:rPr>
                <w:rFonts w:eastAsiaTheme="minorEastAsia"/>
                <w:szCs w:val="21"/>
              </w:rPr>
              <w:t>A</w:t>
            </w:r>
            <w:r>
              <w:rPr>
                <w:rFonts w:hAnsiTheme="minorEastAsia" w:eastAsiaTheme="minorEastAsia"/>
                <w:szCs w:val="21"/>
              </w:rPr>
              <w:t>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right"/>
        </w:trPr>
        <w:tc>
          <w:tcPr>
            <w:tcW w:w="987" w:type="pct"/>
            <w:gridSpan w:val="2"/>
            <w:vMerge w:val="continue"/>
            <w:vAlign w:val="center"/>
          </w:tcPr>
          <w:p>
            <w:pPr>
              <w:widowControl/>
              <w:jc w:val="left"/>
              <w:rPr>
                <w:rFonts w:eastAsiaTheme="minorEastAsia"/>
                <w:szCs w:val="21"/>
              </w:rPr>
            </w:pPr>
          </w:p>
        </w:tc>
        <w:tc>
          <w:tcPr>
            <w:tcW w:w="818" w:type="pct"/>
            <w:vMerge w:val="continue"/>
            <w:vAlign w:val="center"/>
          </w:tcPr>
          <w:p>
            <w:pPr>
              <w:widowControl/>
              <w:jc w:val="left"/>
              <w:rPr>
                <w:rFonts w:eastAsiaTheme="minorEastAsia"/>
                <w:szCs w:val="21"/>
              </w:rPr>
            </w:pPr>
          </w:p>
        </w:tc>
        <w:tc>
          <w:tcPr>
            <w:tcW w:w="679" w:type="pct"/>
            <w:noWrap/>
            <w:vAlign w:val="center"/>
          </w:tcPr>
          <w:p>
            <w:pPr>
              <w:adjustRightInd w:val="0"/>
              <w:snapToGrid w:val="0"/>
              <w:spacing w:line="240" w:lineRule="exact"/>
              <w:jc w:val="center"/>
              <w:rPr>
                <w:rFonts w:eastAsiaTheme="minorEastAsia"/>
                <w:szCs w:val="21"/>
              </w:rPr>
            </w:pPr>
            <w:r>
              <w:rPr>
                <w:rFonts w:eastAsiaTheme="minorEastAsia"/>
                <w:szCs w:val="21"/>
              </w:rPr>
              <w:t>L</w:t>
            </w:r>
            <w:r>
              <w:rPr>
                <w:rFonts w:eastAsiaTheme="minorEastAsia"/>
                <w:szCs w:val="21"/>
                <w:vertAlign w:val="subscript"/>
              </w:rPr>
              <w:t>eq</w:t>
            </w:r>
          </w:p>
        </w:tc>
        <w:tc>
          <w:tcPr>
            <w:tcW w:w="759" w:type="pct"/>
            <w:noWrap/>
            <w:vAlign w:val="center"/>
          </w:tcPr>
          <w:p>
            <w:pPr>
              <w:adjustRightInd w:val="0"/>
              <w:snapToGrid w:val="0"/>
              <w:spacing w:line="240" w:lineRule="exact"/>
              <w:jc w:val="center"/>
              <w:rPr>
                <w:rFonts w:eastAsiaTheme="minorEastAsia"/>
                <w:szCs w:val="21"/>
              </w:rPr>
            </w:pPr>
            <w:r>
              <w:rPr>
                <w:rFonts w:eastAsiaTheme="minorEastAsia"/>
                <w:szCs w:val="21"/>
              </w:rPr>
              <w:t>L</w:t>
            </w:r>
            <w:r>
              <w:rPr>
                <w:rFonts w:eastAsiaTheme="minorEastAsia"/>
                <w:szCs w:val="21"/>
                <w:vertAlign w:val="subscript"/>
              </w:rPr>
              <w:t>10</w:t>
            </w:r>
          </w:p>
        </w:tc>
        <w:tc>
          <w:tcPr>
            <w:tcW w:w="760" w:type="pct"/>
            <w:noWrap/>
            <w:vAlign w:val="center"/>
          </w:tcPr>
          <w:p>
            <w:pPr>
              <w:adjustRightInd w:val="0"/>
              <w:snapToGrid w:val="0"/>
              <w:spacing w:line="240" w:lineRule="exact"/>
              <w:jc w:val="center"/>
              <w:rPr>
                <w:rFonts w:eastAsiaTheme="minorEastAsia"/>
                <w:szCs w:val="21"/>
              </w:rPr>
            </w:pPr>
            <w:r>
              <w:rPr>
                <w:rFonts w:eastAsiaTheme="minorEastAsia"/>
                <w:szCs w:val="21"/>
              </w:rPr>
              <w:t>L</w:t>
            </w:r>
            <w:r>
              <w:rPr>
                <w:rFonts w:eastAsiaTheme="minorEastAsia"/>
                <w:szCs w:val="21"/>
                <w:vertAlign w:val="subscript"/>
              </w:rPr>
              <w:t>50</w:t>
            </w:r>
          </w:p>
        </w:tc>
        <w:tc>
          <w:tcPr>
            <w:tcW w:w="997" w:type="pct"/>
            <w:noWrap/>
            <w:vAlign w:val="center"/>
          </w:tcPr>
          <w:p>
            <w:pPr>
              <w:adjustRightInd w:val="0"/>
              <w:snapToGrid w:val="0"/>
              <w:spacing w:line="240" w:lineRule="exact"/>
              <w:jc w:val="center"/>
              <w:rPr>
                <w:rFonts w:eastAsiaTheme="minorEastAsia"/>
                <w:szCs w:val="21"/>
              </w:rPr>
            </w:pPr>
            <w:r>
              <w:rPr>
                <w:rFonts w:eastAsiaTheme="minorEastAsia"/>
                <w:szCs w:val="21"/>
              </w:rPr>
              <w:t>L</w:t>
            </w:r>
            <w:r>
              <w:rPr>
                <w:rFonts w:eastAsiaTheme="minorEastAsia"/>
                <w:szCs w:val="21"/>
                <w:vertAlign w:val="subscript"/>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restart"/>
            <w:noWrap/>
            <w:vAlign w:val="center"/>
          </w:tcPr>
          <w:p>
            <w:pPr>
              <w:adjustRightInd w:val="0"/>
              <w:snapToGrid w:val="0"/>
              <w:spacing w:line="240" w:lineRule="exact"/>
              <w:rPr>
                <w:rFonts w:eastAsiaTheme="minorEastAsia"/>
                <w:szCs w:val="21"/>
              </w:rPr>
            </w:pPr>
            <w:r>
              <w:rPr>
                <w:rFonts w:eastAsiaTheme="minorEastAsia"/>
                <w:szCs w:val="21"/>
              </w:rPr>
              <w:t>20</w:t>
            </w:r>
            <w:r>
              <w:rPr>
                <w:rFonts w:hint="eastAsia" w:eastAsiaTheme="minorEastAsia"/>
                <w:szCs w:val="21"/>
              </w:rPr>
              <w:t>21-2</w:t>
            </w:r>
            <w:r>
              <w:rPr>
                <w:rFonts w:eastAsiaTheme="minorEastAsia"/>
                <w:szCs w:val="21"/>
              </w:rPr>
              <w:t>-</w:t>
            </w:r>
            <w:r>
              <w:rPr>
                <w:rFonts w:hint="eastAsia" w:eastAsiaTheme="minorEastAsia"/>
                <w:szCs w:val="21"/>
              </w:rPr>
              <w:t>15</w:t>
            </w:r>
          </w:p>
        </w:tc>
        <w:tc>
          <w:tcPr>
            <w:tcW w:w="343" w:type="pct"/>
            <w:vMerge w:val="restart"/>
            <w:noWrap/>
            <w:vAlign w:val="center"/>
          </w:tcPr>
          <w:p>
            <w:pPr>
              <w:adjustRightInd w:val="0"/>
              <w:snapToGrid w:val="0"/>
              <w:spacing w:line="240" w:lineRule="exact"/>
              <w:jc w:val="center"/>
              <w:rPr>
                <w:rFonts w:eastAsiaTheme="minorEastAsia"/>
                <w:szCs w:val="21"/>
              </w:rPr>
            </w:pPr>
            <w:r>
              <w:rPr>
                <w:rFonts w:hAnsiTheme="minorEastAsia" w:eastAsiaTheme="minorEastAsia"/>
                <w:szCs w:val="21"/>
              </w:rPr>
              <w:t>昼间</w:t>
            </w:r>
          </w:p>
        </w:tc>
        <w:tc>
          <w:tcPr>
            <w:tcW w:w="818" w:type="pct"/>
            <w:noWrap/>
            <w:vAlign w:val="center"/>
          </w:tcPr>
          <w:p>
            <w:pPr>
              <w:adjustRightInd w:val="0"/>
              <w:snapToGrid w:val="0"/>
              <w:spacing w:line="240" w:lineRule="atLeast"/>
              <w:jc w:val="center"/>
              <w:rPr>
                <w:rFonts w:eastAsiaTheme="minorEastAsia"/>
                <w:szCs w:val="21"/>
              </w:rPr>
            </w:pPr>
            <w:r>
              <w:rPr>
                <w:rFonts w:eastAsiaTheme="minorEastAsia"/>
                <w:szCs w:val="21"/>
              </w:rPr>
              <w:t>1</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2</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3</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4</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5</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6</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7</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szCs w:val="21"/>
              </w:rPr>
            </w:pPr>
            <w:r>
              <w:rPr>
                <w:rFonts w:eastAsiaTheme="minorEastAsia"/>
                <w:szCs w:val="21"/>
              </w:rPr>
              <w:t>8</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szCs w:val="21"/>
              </w:rPr>
            </w:pPr>
            <w:r>
              <w:rPr>
                <w:rFonts w:eastAsiaTheme="minorEastAsia"/>
                <w:szCs w:val="21"/>
              </w:rPr>
              <w:t>9</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utoSpaceDE w:val="0"/>
              <w:autoSpaceDN w:val="0"/>
              <w:adjustRightInd w:val="0"/>
              <w:snapToGrid w:val="0"/>
              <w:spacing w:line="240" w:lineRule="atLeast"/>
              <w:jc w:val="center"/>
              <w:rPr>
                <w:rFonts w:eastAsiaTheme="minorEastAsia"/>
                <w:szCs w:val="21"/>
              </w:rPr>
            </w:pPr>
            <w:r>
              <w:rPr>
                <w:rFonts w:eastAsiaTheme="minorEastAsia"/>
                <w:szCs w:val="21"/>
              </w:rPr>
              <w:t>10</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utoSpaceDE w:val="0"/>
              <w:autoSpaceDN w:val="0"/>
              <w:adjustRightInd w:val="0"/>
              <w:snapToGrid w:val="0"/>
              <w:spacing w:line="240" w:lineRule="atLeast"/>
              <w:jc w:val="center"/>
              <w:rPr>
                <w:rFonts w:eastAsiaTheme="minorEastAsia"/>
                <w:szCs w:val="21"/>
              </w:rPr>
            </w:pPr>
            <w:r>
              <w:rPr>
                <w:rFonts w:eastAsiaTheme="minorEastAsia"/>
                <w:szCs w:val="21"/>
              </w:rPr>
              <w:t>11</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right"/>
        </w:trPr>
        <w:tc>
          <w:tcPr>
            <w:tcW w:w="644" w:type="pct"/>
            <w:vMerge w:val="restart"/>
            <w:vAlign w:val="center"/>
          </w:tcPr>
          <w:p>
            <w:pPr>
              <w:widowControl/>
              <w:jc w:val="left"/>
              <w:rPr>
                <w:rFonts w:eastAsiaTheme="minorEastAsia"/>
                <w:szCs w:val="21"/>
              </w:rPr>
            </w:pPr>
            <w:r>
              <w:rPr>
                <w:rFonts w:eastAsiaTheme="minorEastAsia"/>
                <w:szCs w:val="21"/>
              </w:rPr>
              <w:t>20</w:t>
            </w:r>
            <w:r>
              <w:rPr>
                <w:rFonts w:hint="eastAsia" w:eastAsiaTheme="minorEastAsia"/>
                <w:szCs w:val="21"/>
              </w:rPr>
              <w:t>21-2</w:t>
            </w:r>
            <w:r>
              <w:rPr>
                <w:rFonts w:eastAsiaTheme="minorEastAsia"/>
                <w:szCs w:val="21"/>
              </w:rPr>
              <w:t>-</w:t>
            </w:r>
            <w:r>
              <w:rPr>
                <w:rFonts w:hint="eastAsia" w:eastAsiaTheme="minorEastAsia"/>
                <w:szCs w:val="21"/>
              </w:rPr>
              <w:t>15</w:t>
            </w:r>
          </w:p>
        </w:tc>
        <w:tc>
          <w:tcPr>
            <w:tcW w:w="343" w:type="pct"/>
            <w:vMerge w:val="restart"/>
            <w:vAlign w:val="center"/>
          </w:tcPr>
          <w:p>
            <w:pPr>
              <w:widowControl/>
              <w:jc w:val="left"/>
              <w:rPr>
                <w:rFonts w:eastAsiaTheme="minorEastAsia"/>
                <w:szCs w:val="21"/>
              </w:rPr>
            </w:pPr>
            <w:r>
              <w:rPr>
                <w:rFonts w:hint="eastAsia" w:eastAsiaTheme="minorEastAsia"/>
                <w:szCs w:val="21"/>
              </w:rPr>
              <w:t>夜间</w:t>
            </w:r>
          </w:p>
        </w:tc>
        <w:tc>
          <w:tcPr>
            <w:tcW w:w="818" w:type="pct"/>
            <w:noWrap/>
            <w:vAlign w:val="center"/>
          </w:tcPr>
          <w:p>
            <w:pPr>
              <w:adjustRightInd w:val="0"/>
              <w:snapToGrid w:val="0"/>
              <w:spacing w:line="240" w:lineRule="atLeast"/>
              <w:jc w:val="center"/>
              <w:rPr>
                <w:rFonts w:eastAsiaTheme="minorEastAsia"/>
                <w:szCs w:val="21"/>
              </w:rPr>
            </w:pPr>
            <w:r>
              <w:rPr>
                <w:rFonts w:eastAsiaTheme="minorEastAsia"/>
                <w:szCs w:val="21"/>
              </w:rPr>
              <w:t>1</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2</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3</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4</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5</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6</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rPr>
            </w:pPr>
            <w:r>
              <w:rPr>
                <w:rFonts w:eastAsiaTheme="minorEastAsia"/>
                <w:szCs w:val="21"/>
              </w:rPr>
              <w:t>7</w:t>
            </w:r>
            <w:r>
              <w:rPr>
                <w:rFonts w:eastAsiaTheme="minorEastAsia"/>
                <w:szCs w:val="21"/>
                <w:vertAlign w:val="superscript"/>
              </w:rPr>
              <w:t>#</w:t>
            </w:r>
            <w:r>
              <w:rPr>
                <w:rFonts w:eastAsiaTheme="minorEastAsia"/>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szCs w:val="21"/>
              </w:rPr>
            </w:pPr>
            <w:r>
              <w:rPr>
                <w:rFonts w:eastAsiaTheme="minorEastAsia"/>
                <w:szCs w:val="21"/>
              </w:rPr>
              <w:t>8</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djustRightInd w:val="0"/>
              <w:snapToGrid w:val="0"/>
              <w:spacing w:line="240" w:lineRule="atLeast"/>
              <w:jc w:val="center"/>
              <w:rPr>
                <w:rFonts w:eastAsiaTheme="minorEastAsia"/>
                <w:szCs w:val="21"/>
              </w:rPr>
            </w:pPr>
            <w:r>
              <w:rPr>
                <w:rFonts w:eastAsiaTheme="minorEastAsia"/>
                <w:szCs w:val="21"/>
              </w:rPr>
              <w:t>9</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utoSpaceDE w:val="0"/>
              <w:autoSpaceDN w:val="0"/>
              <w:adjustRightInd w:val="0"/>
              <w:snapToGrid w:val="0"/>
              <w:spacing w:line="240" w:lineRule="atLeast"/>
              <w:jc w:val="center"/>
              <w:rPr>
                <w:rFonts w:eastAsiaTheme="minorEastAsia"/>
                <w:szCs w:val="21"/>
              </w:rPr>
            </w:pPr>
            <w:r>
              <w:rPr>
                <w:rFonts w:eastAsiaTheme="minorEastAsia"/>
                <w:szCs w:val="21"/>
              </w:rPr>
              <w:t>10</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right"/>
        </w:trPr>
        <w:tc>
          <w:tcPr>
            <w:tcW w:w="644" w:type="pct"/>
            <w:vMerge w:val="continue"/>
            <w:vAlign w:val="center"/>
          </w:tcPr>
          <w:p>
            <w:pPr>
              <w:widowControl/>
              <w:jc w:val="left"/>
              <w:rPr>
                <w:rFonts w:eastAsiaTheme="minorEastAsia"/>
                <w:szCs w:val="21"/>
              </w:rPr>
            </w:pPr>
          </w:p>
        </w:tc>
        <w:tc>
          <w:tcPr>
            <w:tcW w:w="343" w:type="pct"/>
            <w:vMerge w:val="continue"/>
            <w:vAlign w:val="center"/>
          </w:tcPr>
          <w:p>
            <w:pPr>
              <w:widowControl/>
              <w:jc w:val="left"/>
              <w:rPr>
                <w:rFonts w:eastAsiaTheme="minorEastAsia"/>
                <w:szCs w:val="21"/>
              </w:rPr>
            </w:pPr>
          </w:p>
        </w:tc>
        <w:tc>
          <w:tcPr>
            <w:tcW w:w="818" w:type="pct"/>
            <w:noWrap/>
            <w:vAlign w:val="center"/>
          </w:tcPr>
          <w:p>
            <w:pPr>
              <w:autoSpaceDE w:val="0"/>
              <w:autoSpaceDN w:val="0"/>
              <w:adjustRightInd w:val="0"/>
              <w:snapToGrid w:val="0"/>
              <w:spacing w:line="240" w:lineRule="atLeast"/>
              <w:jc w:val="center"/>
              <w:rPr>
                <w:rFonts w:eastAsiaTheme="minorEastAsia"/>
                <w:szCs w:val="21"/>
              </w:rPr>
            </w:pPr>
            <w:r>
              <w:rPr>
                <w:rFonts w:eastAsiaTheme="minorEastAsia"/>
                <w:szCs w:val="21"/>
              </w:rPr>
              <w:t>11</w:t>
            </w:r>
            <w:r>
              <w:rPr>
                <w:rFonts w:eastAsiaTheme="minorEastAsia"/>
                <w:szCs w:val="21"/>
                <w:vertAlign w:val="superscript"/>
              </w:rPr>
              <w:t>#</w:t>
            </w:r>
            <w:r>
              <w:rPr>
                <w:rFonts w:eastAsiaTheme="minorEastAsia"/>
                <w:szCs w:val="21"/>
              </w:rPr>
              <w:t xml:space="preserve"> </w:t>
            </w:r>
          </w:p>
        </w:tc>
        <w:tc>
          <w:tcPr>
            <w:tcW w:w="679" w:type="pct"/>
            <w:noWrap/>
            <w:vAlign w:val="center"/>
          </w:tcPr>
          <w:p>
            <w:pPr>
              <w:adjustRightInd w:val="0"/>
              <w:snapToGrid w:val="0"/>
              <w:spacing w:line="240" w:lineRule="exact"/>
              <w:jc w:val="center"/>
              <w:rPr>
                <w:rFonts w:eastAsiaTheme="minorEastAsia"/>
                <w:szCs w:val="21"/>
              </w:rPr>
            </w:pPr>
          </w:p>
        </w:tc>
        <w:tc>
          <w:tcPr>
            <w:tcW w:w="759" w:type="pct"/>
            <w:noWrap/>
            <w:vAlign w:val="center"/>
          </w:tcPr>
          <w:p>
            <w:pPr>
              <w:adjustRightInd w:val="0"/>
              <w:snapToGrid w:val="0"/>
              <w:spacing w:line="240" w:lineRule="exact"/>
              <w:jc w:val="center"/>
              <w:rPr>
                <w:rFonts w:eastAsiaTheme="minorEastAsia"/>
                <w:szCs w:val="21"/>
              </w:rPr>
            </w:pPr>
          </w:p>
        </w:tc>
        <w:tc>
          <w:tcPr>
            <w:tcW w:w="760" w:type="pct"/>
            <w:noWrap/>
            <w:vAlign w:val="center"/>
          </w:tcPr>
          <w:p>
            <w:pPr>
              <w:adjustRightInd w:val="0"/>
              <w:snapToGrid w:val="0"/>
              <w:spacing w:line="240" w:lineRule="exact"/>
              <w:jc w:val="center"/>
              <w:rPr>
                <w:rFonts w:eastAsiaTheme="minorEastAsia"/>
                <w:szCs w:val="21"/>
              </w:rPr>
            </w:pPr>
          </w:p>
        </w:tc>
        <w:tc>
          <w:tcPr>
            <w:tcW w:w="997" w:type="pct"/>
            <w:noWrap/>
            <w:vAlign w:val="center"/>
          </w:tcPr>
          <w:p>
            <w:pPr>
              <w:adjustRightInd w:val="0"/>
              <w:snapToGrid w:val="0"/>
              <w:spacing w:line="240" w:lineRule="exact"/>
              <w:jc w:val="center"/>
              <w:rPr>
                <w:rFonts w:eastAsiaTheme="minorEastAsia"/>
                <w:szCs w:val="21"/>
              </w:rPr>
            </w:pPr>
          </w:p>
        </w:tc>
      </w:tr>
    </w:tbl>
    <w:p>
      <w:pPr>
        <w:spacing w:line="360" w:lineRule="auto"/>
        <w:ind w:firstLine="480" w:firstLineChars="200"/>
        <w:rPr>
          <w:rFonts w:eastAsiaTheme="minorEastAsia"/>
          <w:sz w:val="24"/>
        </w:rPr>
      </w:pPr>
      <w:r>
        <w:rPr>
          <w:rFonts w:hAnsiTheme="minorEastAsia" w:eastAsiaTheme="minorEastAsia"/>
          <w:sz w:val="24"/>
        </w:rPr>
        <w:t>从监测结果可以看出，各场地场地各监测点噪声均满足《工业企业厂界环境噪声排放标准》</w:t>
      </w:r>
      <w:r>
        <w:rPr>
          <w:rFonts w:eastAsiaTheme="minorEastAsia"/>
          <w:sz w:val="24"/>
        </w:rPr>
        <w:t>(GB12348-2008)2</w:t>
      </w:r>
      <w:r>
        <w:rPr>
          <w:rFonts w:hAnsiTheme="minorEastAsia" w:eastAsiaTheme="minorEastAsia"/>
          <w:sz w:val="24"/>
        </w:rPr>
        <w:t>类标准。敏感点</w:t>
      </w:r>
      <w:r>
        <w:rPr>
          <w:rFonts w:hint="eastAsia" w:hAnsiTheme="minorEastAsia" w:eastAsiaTheme="minorEastAsia"/>
          <w:sz w:val="24"/>
        </w:rPr>
        <w:t>高家庄</w:t>
      </w:r>
      <w:r>
        <w:rPr>
          <w:rFonts w:hAnsiTheme="minorEastAsia" w:eastAsiaTheme="minorEastAsia"/>
          <w:sz w:val="24"/>
        </w:rPr>
        <w:t>村昼夜噪声均满足《声环境质量标准》（</w:t>
      </w:r>
      <w:r>
        <w:rPr>
          <w:rFonts w:eastAsiaTheme="minorEastAsia"/>
          <w:sz w:val="24"/>
        </w:rPr>
        <w:t>GB3096-2008</w:t>
      </w:r>
      <w:r>
        <w:rPr>
          <w:rFonts w:hAnsiTheme="minorEastAsia" w:eastAsiaTheme="minorEastAsia"/>
          <w:sz w:val="24"/>
        </w:rPr>
        <w:t>）中</w:t>
      </w:r>
      <w:r>
        <w:rPr>
          <w:rFonts w:eastAsiaTheme="minorEastAsia"/>
          <w:sz w:val="24"/>
        </w:rPr>
        <w:t>1</w:t>
      </w:r>
      <w:r>
        <w:rPr>
          <w:rFonts w:hAnsiTheme="minorEastAsia" w:eastAsiaTheme="minorEastAsia"/>
          <w:sz w:val="24"/>
        </w:rPr>
        <w:t>类标准。</w:t>
      </w:r>
    </w:p>
    <w:p>
      <w:pPr>
        <w:spacing w:line="360" w:lineRule="auto"/>
        <w:outlineLvl w:val="2"/>
        <w:rPr>
          <w:rFonts w:eastAsiaTheme="minorEastAsia"/>
          <w:b/>
          <w:sz w:val="24"/>
        </w:rPr>
      </w:pPr>
      <w:r>
        <w:rPr>
          <w:rFonts w:eastAsiaTheme="minorEastAsia"/>
          <w:b/>
          <w:sz w:val="24"/>
        </w:rPr>
        <w:t>4.3.5</w:t>
      </w:r>
      <w:r>
        <w:rPr>
          <w:rFonts w:hAnsiTheme="minorEastAsia" w:eastAsiaTheme="minorEastAsia"/>
          <w:b/>
          <w:sz w:val="24"/>
        </w:rPr>
        <w:t>土壤现状调查与评价</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、理化特性调查</w:t>
      </w:r>
    </w:p>
    <w:p>
      <w:pPr>
        <w:spacing w:line="360" w:lineRule="auto"/>
        <w:ind w:firstLine="480" w:firstLineChars="200"/>
        <w:rPr>
          <w:rFonts w:eastAsiaTheme="minorEastAsia"/>
          <w:sz w:val="24"/>
        </w:rPr>
      </w:pPr>
      <w:r>
        <w:rPr>
          <w:rFonts w:hAnsiTheme="minorEastAsia" w:eastAsiaTheme="minorEastAsia"/>
          <w:sz w:val="24"/>
        </w:rPr>
        <w:t>根据《环境影响评价技术导则</w:t>
      </w:r>
      <w:r>
        <w:rPr>
          <w:rFonts w:eastAsiaTheme="minorEastAsia"/>
          <w:sz w:val="24"/>
        </w:rPr>
        <w:t xml:space="preserve"> </w:t>
      </w:r>
      <w:r>
        <w:rPr>
          <w:rFonts w:hAnsiTheme="minorEastAsia" w:eastAsiaTheme="minorEastAsia"/>
          <w:sz w:val="24"/>
        </w:rPr>
        <w:t>土壤环境》（</w:t>
      </w:r>
      <w:r>
        <w:rPr>
          <w:rFonts w:eastAsiaTheme="minorEastAsia"/>
          <w:sz w:val="24"/>
        </w:rPr>
        <w:t>HJ964-2018</w:t>
      </w:r>
      <w:r>
        <w:rPr>
          <w:rFonts w:hAnsiTheme="minorEastAsia" w:eastAsiaTheme="minorEastAsia"/>
          <w:sz w:val="24"/>
        </w:rPr>
        <w:t>）要求，通过调查，评价区域内土壤理化特性情况见表</w:t>
      </w:r>
      <w:r>
        <w:rPr>
          <w:rFonts w:eastAsiaTheme="minorEastAsia"/>
          <w:sz w:val="24"/>
        </w:rPr>
        <w:t>4.3-1</w:t>
      </w:r>
      <w:r>
        <w:rPr>
          <w:rFonts w:hint="eastAsia" w:eastAsiaTheme="minorEastAsia"/>
          <w:sz w:val="24"/>
        </w:rPr>
        <w:t>1</w:t>
      </w:r>
      <w:r>
        <w:rPr>
          <w:rFonts w:hAnsiTheme="minorEastAsia" w:eastAsiaTheme="minorEastAsia"/>
          <w:sz w:val="24"/>
        </w:rPr>
        <w:t>。</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4.3-1</w:t>
      </w:r>
      <w:r>
        <w:rPr>
          <w:rFonts w:hint="eastAsia" w:eastAsiaTheme="minorEastAsia"/>
          <w:b/>
          <w:szCs w:val="21"/>
        </w:rPr>
        <w:t>1</w:t>
      </w:r>
      <w:r>
        <w:rPr>
          <w:rFonts w:eastAsiaTheme="minorEastAsia"/>
          <w:b/>
          <w:szCs w:val="21"/>
        </w:rPr>
        <w:t xml:space="preserve">  </w:t>
      </w:r>
      <w:r>
        <w:rPr>
          <w:rFonts w:hAnsiTheme="minorEastAsia" w:eastAsiaTheme="minorEastAsia"/>
          <w:b/>
          <w:szCs w:val="21"/>
        </w:rPr>
        <w:t>土壤理化特性调查表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6"/>
        <w:gridCol w:w="1523"/>
        <w:gridCol w:w="2229"/>
        <w:gridCol w:w="1486"/>
        <w:gridCol w:w="1486"/>
        <w:gridCol w:w="14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atLeast"/>
        </w:trPr>
        <w:tc>
          <w:tcPr>
            <w:tcW w:w="579" w:type="pct"/>
            <w:shd w:val="clear" w:color="auto" w:fill="auto"/>
            <w:vAlign w:val="center"/>
          </w:tcPr>
          <w:p>
            <w:pPr>
              <w:widowControl/>
              <w:jc w:val="center"/>
              <w:rPr>
                <w:rFonts w:eastAsiaTheme="minorEastAsia"/>
                <w:bCs/>
                <w:kern w:val="0"/>
                <w:szCs w:val="21"/>
              </w:rPr>
            </w:pPr>
            <w:r>
              <w:rPr>
                <w:rFonts w:hAnsiTheme="minorEastAsia" w:eastAsiaTheme="minorEastAsia"/>
                <w:bCs/>
                <w:kern w:val="0"/>
                <w:szCs w:val="21"/>
              </w:rPr>
              <w:t>点位编号</w:t>
            </w:r>
          </w:p>
        </w:tc>
        <w:tc>
          <w:tcPr>
            <w:tcW w:w="820" w:type="pct"/>
            <w:shd w:val="clear" w:color="auto" w:fill="auto"/>
            <w:vAlign w:val="center"/>
          </w:tcPr>
          <w:p>
            <w:pPr>
              <w:widowControl/>
              <w:jc w:val="center"/>
              <w:rPr>
                <w:rFonts w:eastAsiaTheme="minorEastAsia"/>
                <w:bCs/>
                <w:kern w:val="0"/>
                <w:szCs w:val="21"/>
              </w:rPr>
            </w:pPr>
            <w:r>
              <w:rPr>
                <w:rFonts w:hAnsiTheme="minorEastAsia" w:eastAsiaTheme="minorEastAsia"/>
                <w:bCs/>
                <w:kern w:val="0"/>
                <w:szCs w:val="21"/>
              </w:rPr>
              <w:t>采样深度（</w:t>
            </w:r>
            <w:r>
              <w:rPr>
                <w:rFonts w:eastAsiaTheme="minorEastAsia"/>
                <w:bCs/>
                <w:kern w:val="0"/>
                <w:szCs w:val="21"/>
              </w:rPr>
              <w:t>m</w:t>
            </w:r>
            <w:r>
              <w:rPr>
                <w:rFonts w:hAnsiTheme="minorEastAsia" w:eastAsiaTheme="minorEastAsia"/>
                <w:bCs/>
                <w:kern w:val="0"/>
                <w:szCs w:val="21"/>
              </w:rPr>
              <w:t>）</w:t>
            </w:r>
          </w:p>
        </w:tc>
        <w:tc>
          <w:tcPr>
            <w:tcW w:w="1200" w:type="pct"/>
            <w:shd w:val="clear" w:color="auto" w:fill="auto"/>
            <w:vAlign w:val="center"/>
          </w:tcPr>
          <w:p>
            <w:pPr>
              <w:widowControl/>
              <w:jc w:val="center"/>
              <w:rPr>
                <w:rFonts w:eastAsiaTheme="minorEastAsia"/>
                <w:bCs/>
                <w:kern w:val="0"/>
                <w:szCs w:val="21"/>
              </w:rPr>
            </w:pPr>
            <w:r>
              <w:rPr>
                <w:rFonts w:hAnsiTheme="minorEastAsia" w:eastAsiaTheme="minorEastAsia"/>
                <w:bCs/>
                <w:kern w:val="0"/>
                <w:szCs w:val="21"/>
              </w:rPr>
              <w:t>样品编号</w:t>
            </w:r>
          </w:p>
        </w:tc>
        <w:tc>
          <w:tcPr>
            <w:tcW w:w="800" w:type="pct"/>
            <w:shd w:val="clear" w:color="auto" w:fill="auto"/>
            <w:vAlign w:val="center"/>
          </w:tcPr>
          <w:p>
            <w:pPr>
              <w:widowControl/>
              <w:jc w:val="center"/>
              <w:rPr>
                <w:rFonts w:eastAsiaTheme="minorEastAsia"/>
                <w:bCs/>
                <w:kern w:val="0"/>
                <w:szCs w:val="21"/>
              </w:rPr>
            </w:pPr>
            <w:r>
              <w:rPr>
                <w:rFonts w:hAnsiTheme="minorEastAsia" w:eastAsiaTheme="minorEastAsia"/>
                <w:bCs/>
                <w:kern w:val="0"/>
                <w:szCs w:val="21"/>
              </w:rPr>
              <w:t>导水率</w:t>
            </w:r>
            <w:r>
              <w:rPr>
                <w:rFonts w:eastAsiaTheme="minorEastAsia"/>
                <w:bCs/>
                <w:kern w:val="0"/>
                <w:szCs w:val="21"/>
              </w:rPr>
              <w:t>(mm/min)</w:t>
            </w:r>
          </w:p>
        </w:tc>
        <w:tc>
          <w:tcPr>
            <w:tcW w:w="800" w:type="pct"/>
            <w:shd w:val="clear" w:color="auto" w:fill="auto"/>
            <w:vAlign w:val="center"/>
          </w:tcPr>
          <w:p>
            <w:pPr>
              <w:widowControl/>
              <w:jc w:val="center"/>
              <w:rPr>
                <w:rFonts w:eastAsiaTheme="minorEastAsia"/>
                <w:bCs/>
                <w:kern w:val="0"/>
                <w:szCs w:val="21"/>
              </w:rPr>
            </w:pPr>
            <w:r>
              <w:rPr>
                <w:rFonts w:hAnsiTheme="minorEastAsia" w:eastAsiaTheme="minorEastAsia"/>
                <w:bCs/>
                <w:kern w:val="0"/>
                <w:szCs w:val="21"/>
              </w:rPr>
              <w:t>容</w:t>
            </w:r>
            <w:r>
              <w:rPr>
                <w:rFonts w:eastAsiaTheme="minorEastAsia"/>
                <w:bCs/>
                <w:kern w:val="0"/>
                <w:szCs w:val="21"/>
              </w:rPr>
              <w:t xml:space="preserve"> </w:t>
            </w:r>
            <w:r>
              <w:rPr>
                <w:rFonts w:hAnsiTheme="minorEastAsia" w:eastAsiaTheme="minorEastAsia"/>
                <w:bCs/>
                <w:kern w:val="0"/>
                <w:szCs w:val="21"/>
              </w:rPr>
              <w:t>重</w:t>
            </w:r>
            <w:r>
              <w:rPr>
                <w:rFonts w:eastAsiaTheme="minorEastAsia"/>
                <w:bCs/>
                <w:kern w:val="0"/>
                <w:szCs w:val="21"/>
              </w:rPr>
              <w:t xml:space="preserve"> (g/</w:t>
            </w:r>
            <w:r>
              <w:rPr>
                <w:rFonts w:hint="eastAsia" w:eastAsiaTheme="minorEastAsia"/>
                <w:bCs/>
                <w:kern w:val="0"/>
                <w:szCs w:val="21"/>
              </w:rPr>
              <w:t>c</w:t>
            </w:r>
            <w:r>
              <w:rPr>
                <w:rFonts w:eastAsiaTheme="minorEastAsia"/>
                <w:bCs/>
                <w:kern w:val="0"/>
                <w:szCs w:val="21"/>
              </w:rPr>
              <w:t>m</w:t>
            </w:r>
            <w:r>
              <w:rPr>
                <w:rFonts w:eastAsiaTheme="minorEastAsia"/>
                <w:bCs/>
                <w:kern w:val="0"/>
                <w:szCs w:val="21"/>
                <w:vertAlign w:val="superscript"/>
              </w:rPr>
              <w:t>3</w:t>
            </w:r>
            <w:r>
              <w:rPr>
                <w:rFonts w:eastAsiaTheme="minorEastAsia"/>
                <w:bCs/>
                <w:kern w:val="0"/>
                <w:szCs w:val="21"/>
              </w:rPr>
              <w:t>)</w:t>
            </w:r>
          </w:p>
        </w:tc>
        <w:tc>
          <w:tcPr>
            <w:tcW w:w="800" w:type="pct"/>
            <w:shd w:val="clear" w:color="auto" w:fill="auto"/>
            <w:vAlign w:val="center"/>
          </w:tcPr>
          <w:p>
            <w:pPr>
              <w:widowControl/>
              <w:jc w:val="center"/>
              <w:rPr>
                <w:rFonts w:eastAsiaTheme="minorEastAsia"/>
                <w:bCs/>
                <w:kern w:val="0"/>
                <w:szCs w:val="21"/>
              </w:rPr>
            </w:pPr>
            <w:r>
              <w:rPr>
                <w:rFonts w:hAnsiTheme="minorEastAsia" w:eastAsiaTheme="minorEastAsia"/>
                <w:bCs/>
                <w:kern w:val="0"/>
                <w:szCs w:val="21"/>
              </w:rPr>
              <w:t>孔隙度</w:t>
            </w:r>
            <w:r>
              <w:rPr>
                <w:rFonts w:eastAsiaTheme="minorEastAsia"/>
                <w:bCs/>
                <w:kern w:val="0"/>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shd w:val="clear" w:color="auto" w:fill="auto"/>
            <w:noWrap/>
            <w:vAlign w:val="center"/>
          </w:tcPr>
          <w:p>
            <w:pPr>
              <w:widowControl/>
              <w:jc w:val="center"/>
              <w:rPr>
                <w:rFonts w:eastAsiaTheme="minorEastAsia"/>
                <w:kern w:val="0"/>
                <w:szCs w:val="21"/>
              </w:rPr>
            </w:pPr>
            <w:r>
              <w:rPr>
                <w:rFonts w:eastAsiaTheme="minorEastAsia"/>
                <w:kern w:val="0"/>
                <w:szCs w:val="21"/>
              </w:rPr>
              <w:t>1</w:t>
            </w:r>
          </w:p>
        </w:tc>
        <w:tc>
          <w:tcPr>
            <w:tcW w:w="820" w:type="pct"/>
            <w:shd w:val="clear" w:color="auto" w:fill="auto"/>
            <w:noWrap/>
            <w:vAlign w:val="center"/>
          </w:tcPr>
          <w:p>
            <w:pPr>
              <w:widowControl/>
              <w:jc w:val="center"/>
              <w:rPr>
                <w:rFonts w:eastAsiaTheme="minorEastAsia"/>
                <w:kern w:val="0"/>
                <w:szCs w:val="21"/>
              </w:rPr>
            </w:pPr>
            <w:r>
              <w:rPr>
                <w:rFonts w:eastAsiaTheme="minorEastAsia"/>
                <w:kern w:val="0"/>
                <w:szCs w:val="21"/>
              </w:rPr>
              <w:t>0~0.2</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-19-07-07-1-1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restart"/>
            <w:shd w:val="clear" w:color="auto" w:fill="auto"/>
            <w:noWrap/>
            <w:vAlign w:val="center"/>
          </w:tcPr>
          <w:p>
            <w:pPr>
              <w:widowControl/>
              <w:jc w:val="center"/>
              <w:rPr>
                <w:rFonts w:eastAsiaTheme="minorEastAsia"/>
                <w:kern w:val="0"/>
                <w:szCs w:val="21"/>
              </w:rPr>
            </w:pPr>
            <w:r>
              <w:rPr>
                <w:rFonts w:eastAsiaTheme="minorEastAsia"/>
                <w:kern w:val="0"/>
                <w:szCs w:val="21"/>
              </w:rPr>
              <w:t>2</w:t>
            </w: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0~0.5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-19-07-07-2-1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0.5~1.5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-19-07-07-2-2</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1.5~3.0</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-19-07-07-2-3</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restart"/>
            <w:shd w:val="clear" w:color="auto" w:fill="auto"/>
            <w:noWrap/>
            <w:vAlign w:val="center"/>
          </w:tcPr>
          <w:p>
            <w:pPr>
              <w:widowControl/>
              <w:jc w:val="center"/>
              <w:rPr>
                <w:rFonts w:eastAsiaTheme="minorEastAsia"/>
                <w:kern w:val="0"/>
                <w:szCs w:val="21"/>
              </w:rPr>
            </w:pPr>
            <w:r>
              <w:rPr>
                <w:rFonts w:eastAsiaTheme="minorEastAsia"/>
                <w:kern w:val="0"/>
                <w:szCs w:val="21"/>
              </w:rPr>
              <w:t>3</w:t>
            </w: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0~0.5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-19-07-07-3-1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0.5~1.5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-19-07-07-3-2</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1.5~3.0</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-19-07-07-3-3</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restart"/>
            <w:shd w:val="clear" w:color="auto" w:fill="auto"/>
            <w:noWrap/>
            <w:vAlign w:val="center"/>
          </w:tcPr>
          <w:p>
            <w:pPr>
              <w:widowControl/>
              <w:jc w:val="center"/>
              <w:rPr>
                <w:rFonts w:eastAsiaTheme="minorEastAsia"/>
                <w:kern w:val="0"/>
                <w:szCs w:val="21"/>
              </w:rPr>
            </w:pPr>
            <w:r>
              <w:rPr>
                <w:rFonts w:eastAsiaTheme="minorEastAsia"/>
                <w:kern w:val="0"/>
                <w:szCs w:val="21"/>
              </w:rPr>
              <w:t>4</w:t>
            </w: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0~0.5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-19-07-07-4-1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0.5~1.5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-19-07-07-4-2</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1.5~3.0</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-19-07-07-4-3</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shd w:val="clear" w:color="auto" w:fill="auto"/>
            <w:noWrap/>
            <w:vAlign w:val="center"/>
          </w:tcPr>
          <w:p>
            <w:pPr>
              <w:widowControl/>
              <w:jc w:val="center"/>
              <w:rPr>
                <w:rFonts w:eastAsiaTheme="minorEastAsia"/>
                <w:kern w:val="0"/>
                <w:szCs w:val="21"/>
              </w:rPr>
            </w:pPr>
            <w:r>
              <w:rPr>
                <w:rFonts w:eastAsiaTheme="minorEastAsia"/>
                <w:kern w:val="0"/>
                <w:szCs w:val="21"/>
              </w:rPr>
              <w:t>5</w:t>
            </w:r>
          </w:p>
        </w:tc>
        <w:tc>
          <w:tcPr>
            <w:tcW w:w="820" w:type="pct"/>
            <w:shd w:val="clear" w:color="auto" w:fill="auto"/>
            <w:noWrap/>
            <w:vAlign w:val="center"/>
          </w:tcPr>
          <w:p>
            <w:pPr>
              <w:widowControl/>
              <w:jc w:val="center"/>
              <w:rPr>
                <w:rFonts w:eastAsiaTheme="minorEastAsia"/>
                <w:kern w:val="0"/>
                <w:szCs w:val="21"/>
              </w:rPr>
            </w:pPr>
            <w:r>
              <w:rPr>
                <w:rFonts w:eastAsiaTheme="minorEastAsia"/>
                <w:kern w:val="0"/>
                <w:szCs w:val="21"/>
              </w:rPr>
              <w:t>0~0.2</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-19-07-07-5-1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shd w:val="clear" w:color="auto" w:fill="auto"/>
            <w:noWrap/>
            <w:vAlign w:val="center"/>
          </w:tcPr>
          <w:p>
            <w:pPr>
              <w:widowControl/>
              <w:jc w:val="center"/>
              <w:rPr>
                <w:rFonts w:eastAsiaTheme="minorEastAsia"/>
                <w:kern w:val="0"/>
                <w:szCs w:val="21"/>
              </w:rPr>
            </w:pPr>
            <w:r>
              <w:rPr>
                <w:rFonts w:eastAsiaTheme="minorEastAsia"/>
                <w:kern w:val="0"/>
                <w:szCs w:val="21"/>
              </w:rPr>
              <w:t>6</w:t>
            </w:r>
          </w:p>
        </w:tc>
        <w:tc>
          <w:tcPr>
            <w:tcW w:w="820" w:type="pct"/>
            <w:shd w:val="clear" w:color="auto" w:fill="auto"/>
            <w:noWrap/>
            <w:vAlign w:val="center"/>
          </w:tcPr>
          <w:p>
            <w:pPr>
              <w:widowControl/>
              <w:jc w:val="center"/>
              <w:rPr>
                <w:rFonts w:eastAsiaTheme="minorEastAsia"/>
                <w:kern w:val="0"/>
                <w:szCs w:val="21"/>
              </w:rPr>
            </w:pPr>
            <w:r>
              <w:rPr>
                <w:rFonts w:eastAsiaTheme="minorEastAsia"/>
                <w:kern w:val="0"/>
                <w:szCs w:val="21"/>
              </w:rPr>
              <w:t>0~0.2</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-19-07-07-6-1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restart"/>
            <w:shd w:val="clear" w:color="auto" w:fill="auto"/>
            <w:noWrap/>
            <w:vAlign w:val="center"/>
          </w:tcPr>
          <w:p>
            <w:pPr>
              <w:widowControl/>
              <w:jc w:val="center"/>
              <w:rPr>
                <w:rFonts w:eastAsiaTheme="minorEastAsia"/>
                <w:kern w:val="0"/>
                <w:szCs w:val="21"/>
              </w:rPr>
            </w:pPr>
            <w:r>
              <w:rPr>
                <w:rFonts w:eastAsiaTheme="minorEastAsia"/>
                <w:kern w:val="0"/>
                <w:szCs w:val="21"/>
              </w:rPr>
              <w:t>7</w:t>
            </w: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0~0.5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-19-07-05-7-1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0.5~1.5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-19-07-05-7-2</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1.5~3.0</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-19-07-05-7-3</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restart"/>
            <w:shd w:val="clear" w:color="auto" w:fill="auto"/>
            <w:noWrap/>
            <w:vAlign w:val="center"/>
          </w:tcPr>
          <w:p>
            <w:pPr>
              <w:widowControl/>
              <w:jc w:val="center"/>
              <w:rPr>
                <w:rFonts w:eastAsiaTheme="minorEastAsia"/>
                <w:kern w:val="0"/>
                <w:szCs w:val="21"/>
              </w:rPr>
            </w:pPr>
            <w:r>
              <w:rPr>
                <w:rFonts w:eastAsiaTheme="minorEastAsia"/>
                <w:kern w:val="0"/>
                <w:szCs w:val="21"/>
              </w:rPr>
              <w:t>8</w:t>
            </w: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0~0.5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-19-07-05-8-1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0.5~1.5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-19-07-05-8-2</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1.5~3.0</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-19-07-05-8-3</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restart"/>
            <w:shd w:val="clear" w:color="auto" w:fill="auto"/>
            <w:noWrap/>
            <w:vAlign w:val="center"/>
          </w:tcPr>
          <w:p>
            <w:pPr>
              <w:widowControl/>
              <w:jc w:val="center"/>
              <w:rPr>
                <w:rFonts w:eastAsiaTheme="minorEastAsia"/>
                <w:kern w:val="0"/>
                <w:szCs w:val="21"/>
              </w:rPr>
            </w:pPr>
            <w:r>
              <w:rPr>
                <w:rFonts w:eastAsiaTheme="minorEastAsia"/>
                <w:kern w:val="0"/>
                <w:szCs w:val="21"/>
              </w:rPr>
              <w:t>9</w:t>
            </w: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0~0.5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-19-07-05-9-1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0.5~1.5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-19-07-05-9-2</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1.5~3.0</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-19-07-05-9-3</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shd w:val="clear" w:color="auto" w:fill="auto"/>
            <w:noWrap/>
            <w:vAlign w:val="center"/>
          </w:tcPr>
          <w:p>
            <w:pPr>
              <w:widowControl/>
              <w:jc w:val="center"/>
              <w:rPr>
                <w:rFonts w:eastAsiaTheme="minorEastAsia"/>
                <w:kern w:val="0"/>
                <w:szCs w:val="21"/>
              </w:rPr>
            </w:pPr>
            <w:r>
              <w:rPr>
                <w:rFonts w:eastAsiaTheme="minorEastAsia"/>
                <w:kern w:val="0"/>
                <w:szCs w:val="21"/>
              </w:rPr>
              <w:t>10</w:t>
            </w:r>
          </w:p>
        </w:tc>
        <w:tc>
          <w:tcPr>
            <w:tcW w:w="820" w:type="pct"/>
            <w:shd w:val="clear" w:color="auto" w:fill="auto"/>
            <w:noWrap/>
            <w:vAlign w:val="center"/>
          </w:tcPr>
          <w:p>
            <w:pPr>
              <w:widowControl/>
              <w:jc w:val="center"/>
              <w:rPr>
                <w:rFonts w:eastAsiaTheme="minorEastAsia"/>
                <w:kern w:val="0"/>
                <w:szCs w:val="21"/>
              </w:rPr>
            </w:pPr>
            <w:r>
              <w:rPr>
                <w:rFonts w:eastAsiaTheme="minorEastAsia"/>
                <w:kern w:val="0"/>
                <w:szCs w:val="21"/>
              </w:rPr>
              <w:t>0~0.2</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-19-07-05-10-1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shd w:val="clear" w:color="auto" w:fill="auto"/>
            <w:noWrap/>
            <w:vAlign w:val="center"/>
          </w:tcPr>
          <w:p>
            <w:pPr>
              <w:widowControl/>
              <w:jc w:val="center"/>
              <w:rPr>
                <w:rFonts w:eastAsiaTheme="minorEastAsia"/>
                <w:kern w:val="0"/>
                <w:szCs w:val="21"/>
              </w:rPr>
            </w:pPr>
            <w:r>
              <w:rPr>
                <w:rFonts w:eastAsiaTheme="minorEastAsia"/>
                <w:kern w:val="0"/>
                <w:szCs w:val="21"/>
              </w:rPr>
              <w:t>11</w:t>
            </w:r>
          </w:p>
        </w:tc>
        <w:tc>
          <w:tcPr>
            <w:tcW w:w="820" w:type="pct"/>
            <w:shd w:val="clear" w:color="auto" w:fill="auto"/>
            <w:noWrap/>
            <w:vAlign w:val="center"/>
          </w:tcPr>
          <w:p>
            <w:pPr>
              <w:widowControl/>
              <w:jc w:val="center"/>
              <w:rPr>
                <w:rFonts w:eastAsiaTheme="minorEastAsia"/>
                <w:kern w:val="0"/>
                <w:szCs w:val="21"/>
              </w:rPr>
            </w:pPr>
            <w:r>
              <w:rPr>
                <w:rFonts w:eastAsiaTheme="minorEastAsia"/>
                <w:kern w:val="0"/>
                <w:szCs w:val="21"/>
              </w:rPr>
              <w:t>0~0.2</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-19-07-05-11-1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restart"/>
            <w:shd w:val="clear" w:color="auto" w:fill="auto"/>
            <w:noWrap/>
            <w:vAlign w:val="center"/>
          </w:tcPr>
          <w:p>
            <w:pPr>
              <w:widowControl/>
              <w:jc w:val="center"/>
              <w:rPr>
                <w:rFonts w:eastAsiaTheme="minorEastAsia"/>
                <w:kern w:val="0"/>
                <w:szCs w:val="21"/>
              </w:rPr>
            </w:pPr>
            <w:r>
              <w:rPr>
                <w:rFonts w:eastAsiaTheme="minorEastAsia"/>
                <w:kern w:val="0"/>
                <w:szCs w:val="21"/>
              </w:rPr>
              <w:t>1</w:t>
            </w:r>
            <w:r>
              <w:rPr>
                <w:rFonts w:hint="eastAsia" w:eastAsiaTheme="minorEastAsia"/>
                <w:kern w:val="0"/>
                <w:szCs w:val="21"/>
              </w:rPr>
              <w:t>2</w:t>
            </w: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0~0.5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-19-07-06-13-1</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0.5~1.5</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-19-07-06-13-2</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79" w:type="pct"/>
            <w:vMerge w:val="continue"/>
            <w:vAlign w:val="center"/>
          </w:tcPr>
          <w:p>
            <w:pPr>
              <w:widowControl/>
              <w:jc w:val="left"/>
              <w:rPr>
                <w:rFonts w:eastAsiaTheme="minorEastAsia"/>
                <w:kern w:val="0"/>
                <w:szCs w:val="21"/>
              </w:rPr>
            </w:pPr>
          </w:p>
        </w:tc>
        <w:tc>
          <w:tcPr>
            <w:tcW w:w="820" w:type="pct"/>
            <w:shd w:val="clear" w:color="auto" w:fill="auto"/>
            <w:vAlign w:val="center"/>
          </w:tcPr>
          <w:p>
            <w:pPr>
              <w:widowControl/>
              <w:jc w:val="center"/>
              <w:rPr>
                <w:rFonts w:eastAsiaTheme="minorEastAsia"/>
                <w:kern w:val="0"/>
                <w:szCs w:val="21"/>
              </w:rPr>
            </w:pPr>
            <w:r>
              <w:rPr>
                <w:rFonts w:eastAsiaTheme="minorEastAsia"/>
                <w:kern w:val="0"/>
                <w:szCs w:val="21"/>
              </w:rPr>
              <w:t>1.5~3.0</w:t>
            </w:r>
          </w:p>
        </w:tc>
        <w:tc>
          <w:tcPr>
            <w:tcW w:w="1200" w:type="pct"/>
            <w:shd w:val="clear" w:color="auto" w:fill="auto"/>
            <w:noWrap/>
            <w:vAlign w:val="center"/>
          </w:tcPr>
          <w:p>
            <w:pPr>
              <w:widowControl/>
              <w:jc w:val="center"/>
              <w:rPr>
                <w:rFonts w:eastAsiaTheme="minorEastAsia"/>
                <w:kern w:val="0"/>
                <w:szCs w:val="21"/>
              </w:rPr>
            </w:pPr>
            <w:r>
              <w:rPr>
                <w:rFonts w:eastAsiaTheme="minorEastAsia"/>
                <w:kern w:val="0"/>
                <w:szCs w:val="21"/>
              </w:rPr>
              <w:t>TR</w:t>
            </w:r>
            <w:r>
              <w:rPr>
                <w:rFonts w:eastAsiaTheme="minorEastAsia"/>
                <w:kern w:val="0"/>
                <w:szCs w:val="21"/>
                <w:vertAlign w:val="subscript"/>
              </w:rPr>
              <w:t>10</w:t>
            </w:r>
            <w:r>
              <w:rPr>
                <w:rFonts w:eastAsiaTheme="minorEastAsia"/>
                <w:kern w:val="0"/>
                <w:szCs w:val="21"/>
              </w:rPr>
              <w:t>-19-07-06-13-3</w:t>
            </w: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c>
          <w:tcPr>
            <w:tcW w:w="800" w:type="pct"/>
            <w:shd w:val="clear" w:color="auto" w:fill="auto"/>
            <w:noWrap/>
            <w:vAlign w:val="center"/>
          </w:tcPr>
          <w:p>
            <w:pPr>
              <w:widowControl/>
              <w:jc w:val="center"/>
              <w:rPr>
                <w:rFonts w:eastAsiaTheme="minorEastAsia"/>
                <w:kern w:val="0"/>
                <w:szCs w:val="21"/>
              </w:rPr>
            </w:pPr>
          </w:p>
        </w:tc>
      </w:tr>
    </w:tbl>
    <w:p>
      <w:pPr>
        <w:spacing w:line="360" w:lineRule="auto"/>
        <w:ind w:firstLine="480" w:firstLineChars="200"/>
        <w:rPr>
          <w:rFonts w:eastAsiaTheme="minorEastAsia"/>
          <w:sz w:val="24"/>
        </w:rPr>
      </w:pPr>
      <w:r>
        <w:rPr>
          <w:rFonts w:hint="eastAsia" w:eastAsiaTheme="minorEastAsia"/>
          <w:sz w:val="24"/>
        </w:rPr>
        <w:t>2、生态影响型土壤调查</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）监测点位</w:t>
      </w:r>
    </w:p>
    <w:p>
      <w:pPr>
        <w:spacing w:line="360" w:lineRule="auto"/>
        <w:ind w:firstLine="480" w:firstLineChars="200"/>
        <w:rPr>
          <w:rFonts w:eastAsiaTheme="minorEastAsia"/>
          <w:sz w:val="24"/>
        </w:rPr>
      </w:pPr>
      <w:r>
        <w:rPr>
          <w:rFonts w:hAnsiTheme="minorEastAsia" w:eastAsiaTheme="minorEastAsia"/>
          <w:sz w:val="24"/>
        </w:rPr>
        <w:t>本项目</w:t>
      </w:r>
      <w:r>
        <w:rPr>
          <w:rFonts w:hint="eastAsia" w:hAnsiTheme="minorEastAsia" w:eastAsiaTheme="minorEastAsia"/>
          <w:sz w:val="24"/>
        </w:rPr>
        <w:t>在井田内各采区上方设监测点，共3个，井田范围外设4个监测点</w:t>
      </w:r>
      <w:r>
        <w:rPr>
          <w:rFonts w:hAnsiTheme="minorEastAsia" w:eastAsiaTheme="minorEastAsia"/>
          <w:sz w:val="24"/>
        </w:rPr>
        <w:t>。本次评价采用</w:t>
      </w:r>
      <w:r>
        <w:rPr>
          <w:rFonts w:hint="eastAsia" w:hAnsiTheme="minorEastAsia" w:eastAsiaTheme="minorEastAsia"/>
          <w:sz w:val="24"/>
        </w:rPr>
        <w:t>山西明朗检测科技有限公司</w:t>
      </w:r>
      <w:r>
        <w:rPr>
          <w:rFonts w:hAnsiTheme="minorEastAsia" w:eastAsiaTheme="minorEastAsia"/>
          <w:sz w:val="24"/>
        </w:rPr>
        <w:t>于</w:t>
      </w:r>
      <w:r>
        <w:rPr>
          <w:rFonts w:eastAsiaTheme="minorEastAsia"/>
          <w:sz w:val="24"/>
        </w:rPr>
        <w:t>20</w:t>
      </w:r>
      <w:r>
        <w:rPr>
          <w:rFonts w:hint="eastAsia" w:eastAsiaTheme="minorEastAsia"/>
          <w:sz w:val="24"/>
        </w:rPr>
        <w:t>21</w:t>
      </w:r>
      <w:r>
        <w:rPr>
          <w:rFonts w:hAnsiTheme="minorEastAsia" w:eastAsiaTheme="minorEastAsia"/>
          <w:sz w:val="24"/>
        </w:rPr>
        <w:t>年</w:t>
      </w:r>
      <w:r>
        <w:rPr>
          <w:rFonts w:hint="eastAsia" w:eastAsiaTheme="minorEastAsia"/>
          <w:sz w:val="24"/>
        </w:rPr>
        <w:t>2</w:t>
      </w:r>
      <w:r>
        <w:rPr>
          <w:rFonts w:hAnsiTheme="minorEastAsia" w:eastAsiaTheme="minorEastAsia"/>
          <w:sz w:val="24"/>
        </w:rPr>
        <w:t>月</w:t>
      </w:r>
      <w:r>
        <w:rPr>
          <w:rFonts w:hint="eastAsia" w:eastAsiaTheme="minorEastAsia"/>
          <w:sz w:val="24"/>
        </w:rPr>
        <w:t>15</w:t>
      </w:r>
      <w:r>
        <w:rPr>
          <w:rFonts w:hAnsiTheme="minorEastAsia" w:eastAsiaTheme="minorEastAsia"/>
          <w:sz w:val="24"/>
        </w:rPr>
        <w:t>日对项目区的土壤进行了现状监测。具体布点位置详见表</w:t>
      </w:r>
      <w:r>
        <w:rPr>
          <w:rFonts w:eastAsiaTheme="minorEastAsia"/>
          <w:sz w:val="24"/>
        </w:rPr>
        <w:t>4.3-1</w:t>
      </w:r>
      <w:r>
        <w:rPr>
          <w:rFonts w:hint="eastAsia" w:eastAsiaTheme="minorEastAsia"/>
          <w:sz w:val="24"/>
        </w:rPr>
        <w:t>2</w:t>
      </w:r>
      <w:r>
        <w:rPr>
          <w:rFonts w:hAnsiTheme="minorEastAsia" w:eastAsiaTheme="minorEastAsia"/>
          <w:sz w:val="24"/>
        </w:rPr>
        <w:t>。土壤监测布点图详见图</w:t>
      </w:r>
      <w:r>
        <w:rPr>
          <w:rFonts w:eastAsiaTheme="minorEastAsia"/>
          <w:sz w:val="24"/>
        </w:rPr>
        <w:t>4.3-</w:t>
      </w:r>
      <w:r>
        <w:rPr>
          <w:rFonts w:hint="eastAsia" w:eastAsiaTheme="minorEastAsia"/>
          <w:sz w:val="24"/>
        </w:rPr>
        <w:t>1</w:t>
      </w:r>
      <w:r>
        <w:rPr>
          <w:rFonts w:hAnsiTheme="minorEastAsia" w:eastAsiaTheme="minorEastAsia"/>
          <w:sz w:val="24"/>
        </w:rPr>
        <w:t>。</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4.3-1</w:t>
      </w:r>
      <w:r>
        <w:rPr>
          <w:rFonts w:hint="eastAsia" w:eastAsiaTheme="minorEastAsia"/>
          <w:b/>
          <w:szCs w:val="21"/>
        </w:rPr>
        <w:t>2</w:t>
      </w:r>
      <w:r>
        <w:rPr>
          <w:rFonts w:eastAsiaTheme="minorEastAsia"/>
          <w:b/>
          <w:szCs w:val="21"/>
        </w:rPr>
        <w:t xml:space="preserve">  </w:t>
      </w:r>
      <w:r>
        <w:rPr>
          <w:rFonts w:hint="eastAsia" w:eastAsiaTheme="minorEastAsia"/>
          <w:b/>
          <w:szCs w:val="21"/>
        </w:rPr>
        <w:t>生态型</w:t>
      </w:r>
      <w:r>
        <w:rPr>
          <w:rFonts w:hAnsiTheme="minorEastAsia" w:eastAsiaTheme="minorEastAsia"/>
          <w:b/>
          <w:szCs w:val="21"/>
        </w:rPr>
        <w:t>土壤监测点位布设</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7"/>
        <w:gridCol w:w="669"/>
        <w:gridCol w:w="1307"/>
        <w:gridCol w:w="919"/>
        <w:gridCol w:w="936"/>
        <w:gridCol w:w="908"/>
        <w:gridCol w:w="1166"/>
        <w:gridCol w:w="927"/>
        <w:gridCol w:w="1001"/>
        <w:gridCol w:w="7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359" w:type="pct"/>
            <w:vMerge w:val="restart"/>
            <w:vAlign w:val="center"/>
          </w:tcPr>
          <w:p>
            <w:pPr>
              <w:jc w:val="center"/>
              <w:rPr>
                <w:rFonts w:eastAsiaTheme="minorEastAsia"/>
                <w:kern w:val="0"/>
                <w:sz w:val="21"/>
                <w:szCs w:val="21"/>
              </w:rPr>
            </w:pPr>
            <w:r>
              <w:rPr>
                <w:rFonts w:hAnsiTheme="minorEastAsia" w:eastAsiaTheme="minorEastAsia"/>
                <w:kern w:val="0"/>
                <w:sz w:val="21"/>
                <w:szCs w:val="21"/>
              </w:rPr>
              <w:t>影响</w:t>
            </w:r>
          </w:p>
          <w:p>
            <w:pPr>
              <w:adjustRightInd w:val="0"/>
              <w:snapToGrid w:val="0"/>
              <w:jc w:val="center"/>
              <w:rPr>
                <w:rFonts w:eastAsiaTheme="minorEastAsia"/>
                <w:kern w:val="0"/>
                <w:sz w:val="21"/>
                <w:szCs w:val="21"/>
              </w:rPr>
            </w:pPr>
            <w:r>
              <w:rPr>
                <w:rFonts w:hAnsiTheme="minorEastAsia" w:eastAsiaTheme="minorEastAsia"/>
                <w:kern w:val="0"/>
                <w:sz w:val="21"/>
                <w:szCs w:val="21"/>
              </w:rPr>
              <w:t>类型</w:t>
            </w:r>
          </w:p>
        </w:tc>
        <w:tc>
          <w:tcPr>
            <w:tcW w:w="360" w:type="pct"/>
            <w:vMerge w:val="restar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场地名称</w:t>
            </w:r>
          </w:p>
        </w:tc>
        <w:tc>
          <w:tcPr>
            <w:tcW w:w="2191" w:type="pct"/>
            <w:gridSpan w:val="4"/>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占地范围内</w:t>
            </w:r>
          </w:p>
        </w:tc>
        <w:tc>
          <w:tcPr>
            <w:tcW w:w="2090" w:type="pct"/>
            <w:gridSpan w:val="4"/>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占地范围外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359" w:type="pct"/>
            <w:vMerge w:val="continue"/>
            <w:vAlign w:val="center"/>
          </w:tcPr>
          <w:p>
            <w:pPr>
              <w:rPr>
                <w:rFonts w:eastAsiaTheme="minorEastAsia"/>
                <w:kern w:val="0"/>
                <w:sz w:val="21"/>
                <w:szCs w:val="21"/>
              </w:rPr>
            </w:pPr>
          </w:p>
        </w:tc>
        <w:tc>
          <w:tcPr>
            <w:tcW w:w="360" w:type="pct"/>
            <w:vMerge w:val="continue"/>
            <w:vAlign w:val="center"/>
          </w:tcPr>
          <w:p>
            <w:pPr>
              <w:rPr>
                <w:rFonts w:eastAsiaTheme="minorEastAsia"/>
                <w:kern w:val="0"/>
                <w:sz w:val="21"/>
                <w:szCs w:val="21"/>
              </w:rPr>
            </w:pPr>
          </w:p>
        </w:tc>
        <w:tc>
          <w:tcPr>
            <w:tcW w:w="704"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监测点位</w:t>
            </w:r>
          </w:p>
        </w:tc>
        <w:tc>
          <w:tcPr>
            <w:tcW w:w="495"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采样深度</w:t>
            </w:r>
          </w:p>
        </w:tc>
        <w:tc>
          <w:tcPr>
            <w:tcW w:w="504"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监测项目</w:t>
            </w:r>
          </w:p>
        </w:tc>
        <w:tc>
          <w:tcPr>
            <w:tcW w:w="489"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监测频次</w:t>
            </w:r>
          </w:p>
        </w:tc>
        <w:tc>
          <w:tcPr>
            <w:tcW w:w="628"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监测点位</w:t>
            </w:r>
          </w:p>
        </w:tc>
        <w:tc>
          <w:tcPr>
            <w:tcW w:w="499"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采样深度</w:t>
            </w:r>
          </w:p>
        </w:tc>
        <w:tc>
          <w:tcPr>
            <w:tcW w:w="539"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监测项目</w:t>
            </w:r>
          </w:p>
        </w:tc>
        <w:tc>
          <w:tcPr>
            <w:tcW w:w="424"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359" w:type="pct"/>
            <w:vMerge w:val="restart"/>
            <w:vAlign w:val="center"/>
          </w:tcPr>
          <w:p>
            <w:pPr>
              <w:jc w:val="center"/>
              <w:rPr>
                <w:rFonts w:eastAsiaTheme="minorEastAsia"/>
                <w:kern w:val="0"/>
                <w:sz w:val="21"/>
                <w:szCs w:val="21"/>
              </w:rPr>
            </w:pPr>
            <w:r>
              <w:rPr>
                <w:rFonts w:hAnsiTheme="minorEastAsia" w:eastAsiaTheme="minorEastAsia"/>
                <w:kern w:val="0"/>
                <w:sz w:val="21"/>
                <w:szCs w:val="21"/>
              </w:rPr>
              <w:t>生态</w:t>
            </w:r>
          </w:p>
          <w:p>
            <w:pPr>
              <w:adjustRightInd w:val="0"/>
              <w:snapToGrid w:val="0"/>
              <w:jc w:val="center"/>
              <w:rPr>
                <w:rFonts w:eastAsiaTheme="minorEastAsia"/>
                <w:kern w:val="0"/>
                <w:sz w:val="21"/>
                <w:szCs w:val="21"/>
              </w:rPr>
            </w:pPr>
            <w:r>
              <w:rPr>
                <w:rFonts w:hAnsiTheme="minorEastAsia" w:eastAsiaTheme="minorEastAsia"/>
                <w:kern w:val="0"/>
                <w:sz w:val="21"/>
                <w:szCs w:val="21"/>
              </w:rPr>
              <w:t>影响</w:t>
            </w:r>
          </w:p>
        </w:tc>
        <w:tc>
          <w:tcPr>
            <w:tcW w:w="360" w:type="pct"/>
            <w:vMerge w:val="restar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井田</w:t>
            </w:r>
            <w:r>
              <w:rPr>
                <w:rFonts w:hint="eastAsia" w:hAnsiTheme="minorEastAsia" w:eastAsiaTheme="minorEastAsia"/>
                <w:kern w:val="0"/>
                <w:sz w:val="21"/>
                <w:szCs w:val="21"/>
              </w:rPr>
              <w:t>内</w:t>
            </w:r>
          </w:p>
        </w:tc>
        <w:tc>
          <w:tcPr>
            <w:tcW w:w="704" w:type="pct"/>
            <w:vAlign w:val="center"/>
          </w:tcPr>
          <w:p>
            <w:pPr>
              <w:adjustRightInd w:val="0"/>
              <w:snapToGrid w:val="0"/>
              <w:spacing w:line="220" w:lineRule="atLeast"/>
              <w:jc w:val="center"/>
              <w:rPr>
                <w:rFonts w:eastAsiaTheme="minorEastAsia"/>
                <w:kern w:val="2"/>
                <w:sz w:val="21"/>
              </w:rPr>
            </w:pPr>
            <w:r>
              <w:rPr>
                <w:rFonts w:hint="eastAsia" w:hAnsiTheme="minorEastAsia" w:eastAsiaTheme="minorEastAsia"/>
                <w:kern w:val="2"/>
                <w:sz w:val="20"/>
              </w:rPr>
              <w:t>井田北部耕地</w:t>
            </w:r>
          </w:p>
        </w:tc>
        <w:tc>
          <w:tcPr>
            <w:tcW w:w="495" w:type="pct"/>
            <w:vAlign w:val="center"/>
          </w:tcPr>
          <w:p>
            <w:pPr>
              <w:adjustRightInd w:val="0"/>
              <w:snapToGrid w:val="0"/>
              <w:jc w:val="center"/>
              <w:rPr>
                <w:rFonts w:eastAsiaTheme="minorEastAsia"/>
                <w:kern w:val="0"/>
                <w:sz w:val="21"/>
                <w:szCs w:val="21"/>
              </w:rPr>
            </w:pPr>
            <w:r>
              <w:rPr>
                <w:rFonts w:eastAsiaTheme="minorEastAsia"/>
                <w:kern w:val="0"/>
                <w:sz w:val="21"/>
                <w:szCs w:val="21"/>
              </w:rPr>
              <w:t>0~0.2m</w:t>
            </w:r>
          </w:p>
        </w:tc>
        <w:tc>
          <w:tcPr>
            <w:tcW w:w="504" w:type="pct"/>
            <w:vAlign w:val="center"/>
          </w:tcPr>
          <w:p>
            <w:pPr>
              <w:adjustRightInd w:val="0"/>
              <w:snapToGrid w:val="0"/>
              <w:jc w:val="center"/>
              <w:rPr>
                <w:rFonts w:eastAsiaTheme="minorEastAsia"/>
                <w:kern w:val="0"/>
                <w:sz w:val="21"/>
                <w:szCs w:val="21"/>
              </w:rPr>
            </w:pPr>
            <w:r>
              <w:rPr>
                <w:rFonts w:eastAsiaTheme="minorEastAsia"/>
                <w:kern w:val="0"/>
                <w:sz w:val="21"/>
                <w:szCs w:val="21"/>
              </w:rPr>
              <w:t>pH</w:t>
            </w:r>
            <w:r>
              <w:rPr>
                <w:rFonts w:hAnsiTheme="minorEastAsia" w:eastAsiaTheme="minorEastAsia"/>
                <w:kern w:val="0"/>
                <w:sz w:val="21"/>
                <w:szCs w:val="21"/>
              </w:rPr>
              <w:t>、含盐量</w:t>
            </w:r>
          </w:p>
        </w:tc>
        <w:tc>
          <w:tcPr>
            <w:tcW w:w="489"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一次</w:t>
            </w:r>
          </w:p>
        </w:tc>
        <w:tc>
          <w:tcPr>
            <w:tcW w:w="628" w:type="pct"/>
            <w:vMerge w:val="restar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井田四周各设</w:t>
            </w:r>
            <w:r>
              <w:rPr>
                <w:rFonts w:eastAsiaTheme="minorEastAsia"/>
                <w:kern w:val="0"/>
                <w:sz w:val="21"/>
                <w:szCs w:val="21"/>
              </w:rPr>
              <w:t>1</w:t>
            </w:r>
            <w:r>
              <w:rPr>
                <w:rFonts w:hAnsiTheme="minorEastAsia" w:eastAsiaTheme="minorEastAsia"/>
                <w:kern w:val="0"/>
                <w:sz w:val="21"/>
                <w:szCs w:val="21"/>
              </w:rPr>
              <w:t>个表层样点，共</w:t>
            </w:r>
            <w:r>
              <w:rPr>
                <w:rFonts w:hint="eastAsia" w:eastAsiaTheme="minorEastAsia"/>
                <w:kern w:val="0"/>
                <w:sz w:val="21"/>
                <w:szCs w:val="21"/>
              </w:rPr>
              <w:t>3</w:t>
            </w:r>
            <w:r>
              <w:rPr>
                <w:rFonts w:hAnsiTheme="minorEastAsia" w:eastAsiaTheme="minorEastAsia"/>
                <w:kern w:val="0"/>
                <w:sz w:val="21"/>
                <w:szCs w:val="21"/>
              </w:rPr>
              <w:t>个</w:t>
            </w:r>
            <w:r>
              <w:rPr>
                <w:rFonts w:hAnsiTheme="minorEastAsia" w:eastAsiaTheme="minorEastAsia"/>
                <w:b/>
                <w:bCs/>
                <w:kern w:val="0"/>
                <w:sz w:val="21"/>
                <w:szCs w:val="21"/>
              </w:rPr>
              <w:t>（</w:t>
            </w:r>
            <w:r>
              <w:rPr>
                <w:rFonts w:hint="eastAsia" w:eastAsiaTheme="minorEastAsia"/>
                <w:b/>
                <w:bCs/>
                <w:kern w:val="0"/>
                <w:sz w:val="21"/>
                <w:szCs w:val="21"/>
              </w:rPr>
              <w:t>1</w:t>
            </w:r>
            <w:r>
              <w:rPr>
                <w:rFonts w:eastAsiaTheme="minorEastAsia"/>
                <w:b/>
                <w:bCs/>
                <w:kern w:val="0"/>
                <w:sz w:val="21"/>
                <w:szCs w:val="21"/>
              </w:rPr>
              <w:t>~</w:t>
            </w:r>
            <w:r>
              <w:rPr>
                <w:rFonts w:hint="eastAsia" w:eastAsiaTheme="minorEastAsia"/>
                <w:b/>
                <w:bCs/>
                <w:kern w:val="0"/>
                <w:sz w:val="21"/>
                <w:szCs w:val="21"/>
              </w:rPr>
              <w:t>3</w:t>
            </w:r>
            <w:r>
              <w:rPr>
                <w:rFonts w:eastAsiaTheme="minorEastAsia"/>
                <w:b/>
                <w:bCs/>
                <w:kern w:val="0"/>
                <w:sz w:val="21"/>
                <w:szCs w:val="21"/>
              </w:rPr>
              <w:t>#</w:t>
            </w:r>
            <w:r>
              <w:rPr>
                <w:rFonts w:hAnsiTheme="minorEastAsia" w:eastAsiaTheme="minorEastAsia"/>
                <w:b/>
                <w:bCs/>
                <w:kern w:val="0"/>
                <w:sz w:val="21"/>
                <w:szCs w:val="21"/>
              </w:rPr>
              <w:t>）</w:t>
            </w:r>
          </w:p>
        </w:tc>
        <w:tc>
          <w:tcPr>
            <w:tcW w:w="499" w:type="pct"/>
            <w:vMerge w:val="restart"/>
            <w:vAlign w:val="center"/>
          </w:tcPr>
          <w:p>
            <w:pPr>
              <w:adjustRightInd w:val="0"/>
              <w:snapToGrid w:val="0"/>
              <w:jc w:val="center"/>
              <w:rPr>
                <w:rFonts w:eastAsiaTheme="minorEastAsia"/>
                <w:kern w:val="0"/>
                <w:sz w:val="21"/>
                <w:szCs w:val="21"/>
              </w:rPr>
            </w:pPr>
            <w:r>
              <w:rPr>
                <w:rFonts w:eastAsiaTheme="minorEastAsia"/>
                <w:kern w:val="0"/>
                <w:sz w:val="21"/>
                <w:szCs w:val="21"/>
              </w:rPr>
              <w:t>0~0.2m</w:t>
            </w:r>
          </w:p>
        </w:tc>
        <w:tc>
          <w:tcPr>
            <w:tcW w:w="539" w:type="pct"/>
            <w:vMerge w:val="restart"/>
            <w:vAlign w:val="center"/>
          </w:tcPr>
          <w:p>
            <w:pPr>
              <w:adjustRightInd w:val="0"/>
              <w:snapToGrid w:val="0"/>
              <w:jc w:val="center"/>
              <w:rPr>
                <w:rFonts w:eastAsiaTheme="minorEastAsia"/>
                <w:kern w:val="0"/>
                <w:sz w:val="21"/>
                <w:szCs w:val="21"/>
              </w:rPr>
            </w:pPr>
            <w:r>
              <w:rPr>
                <w:rFonts w:eastAsiaTheme="minorEastAsia"/>
                <w:kern w:val="0"/>
                <w:sz w:val="21"/>
                <w:szCs w:val="21"/>
              </w:rPr>
              <w:t>pH</w:t>
            </w:r>
            <w:r>
              <w:rPr>
                <w:rFonts w:hAnsiTheme="minorEastAsia" w:eastAsiaTheme="minorEastAsia"/>
                <w:kern w:val="0"/>
                <w:sz w:val="21"/>
                <w:szCs w:val="21"/>
              </w:rPr>
              <w:t>、含盐量</w:t>
            </w:r>
          </w:p>
        </w:tc>
        <w:tc>
          <w:tcPr>
            <w:tcW w:w="424" w:type="pct"/>
            <w:vMerge w:val="restar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359" w:type="pct"/>
            <w:vMerge w:val="continue"/>
            <w:vAlign w:val="center"/>
          </w:tcPr>
          <w:p>
            <w:pPr>
              <w:rPr>
                <w:rFonts w:eastAsiaTheme="minorEastAsia"/>
                <w:kern w:val="0"/>
                <w:sz w:val="21"/>
                <w:szCs w:val="21"/>
              </w:rPr>
            </w:pPr>
          </w:p>
        </w:tc>
        <w:tc>
          <w:tcPr>
            <w:tcW w:w="360" w:type="pct"/>
            <w:vMerge w:val="continue"/>
            <w:vAlign w:val="center"/>
          </w:tcPr>
          <w:p>
            <w:pPr>
              <w:rPr>
                <w:rFonts w:eastAsiaTheme="minorEastAsia"/>
                <w:kern w:val="0"/>
                <w:sz w:val="21"/>
                <w:szCs w:val="21"/>
              </w:rPr>
            </w:pPr>
          </w:p>
        </w:tc>
        <w:tc>
          <w:tcPr>
            <w:tcW w:w="704" w:type="pct"/>
            <w:vAlign w:val="center"/>
          </w:tcPr>
          <w:p>
            <w:pPr>
              <w:adjustRightInd w:val="0"/>
              <w:snapToGrid w:val="0"/>
              <w:spacing w:line="220" w:lineRule="atLeast"/>
              <w:jc w:val="center"/>
              <w:rPr>
                <w:rFonts w:eastAsiaTheme="minorEastAsia"/>
                <w:kern w:val="2"/>
                <w:sz w:val="21"/>
              </w:rPr>
            </w:pPr>
            <w:r>
              <w:rPr>
                <w:rFonts w:hint="eastAsia" w:hAnsiTheme="minorEastAsia" w:eastAsiaTheme="minorEastAsia"/>
                <w:kern w:val="2"/>
                <w:sz w:val="20"/>
              </w:rPr>
              <w:t>井田中部草地（排矸场西侧）</w:t>
            </w:r>
          </w:p>
        </w:tc>
        <w:tc>
          <w:tcPr>
            <w:tcW w:w="495" w:type="pct"/>
            <w:vAlign w:val="center"/>
          </w:tcPr>
          <w:p>
            <w:pPr>
              <w:adjustRightInd w:val="0"/>
              <w:snapToGrid w:val="0"/>
              <w:jc w:val="center"/>
              <w:rPr>
                <w:rFonts w:eastAsiaTheme="minorEastAsia"/>
                <w:kern w:val="0"/>
                <w:sz w:val="21"/>
                <w:szCs w:val="21"/>
              </w:rPr>
            </w:pPr>
            <w:r>
              <w:rPr>
                <w:rFonts w:eastAsiaTheme="minorEastAsia"/>
                <w:kern w:val="0"/>
                <w:sz w:val="21"/>
                <w:szCs w:val="21"/>
              </w:rPr>
              <w:t>0~0.2m</w:t>
            </w:r>
          </w:p>
        </w:tc>
        <w:tc>
          <w:tcPr>
            <w:tcW w:w="504" w:type="pct"/>
            <w:vAlign w:val="center"/>
          </w:tcPr>
          <w:p>
            <w:pPr>
              <w:adjustRightInd w:val="0"/>
              <w:snapToGrid w:val="0"/>
              <w:jc w:val="center"/>
              <w:rPr>
                <w:rFonts w:eastAsiaTheme="minorEastAsia"/>
                <w:kern w:val="0"/>
                <w:sz w:val="21"/>
                <w:szCs w:val="21"/>
              </w:rPr>
            </w:pPr>
            <w:r>
              <w:rPr>
                <w:rFonts w:eastAsiaTheme="minorEastAsia"/>
                <w:kern w:val="0"/>
                <w:sz w:val="21"/>
                <w:szCs w:val="21"/>
              </w:rPr>
              <w:t>pH</w:t>
            </w:r>
            <w:r>
              <w:rPr>
                <w:rFonts w:hAnsiTheme="minorEastAsia" w:eastAsiaTheme="minorEastAsia"/>
                <w:kern w:val="0"/>
                <w:sz w:val="21"/>
                <w:szCs w:val="21"/>
              </w:rPr>
              <w:t>、含盐量</w:t>
            </w:r>
          </w:p>
        </w:tc>
        <w:tc>
          <w:tcPr>
            <w:tcW w:w="489"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一次</w:t>
            </w:r>
          </w:p>
        </w:tc>
        <w:tc>
          <w:tcPr>
            <w:tcW w:w="628" w:type="pct"/>
            <w:vMerge w:val="continue"/>
            <w:vAlign w:val="center"/>
          </w:tcPr>
          <w:p>
            <w:pPr>
              <w:rPr>
                <w:rFonts w:eastAsiaTheme="minorEastAsia"/>
                <w:kern w:val="0"/>
                <w:sz w:val="21"/>
                <w:szCs w:val="21"/>
              </w:rPr>
            </w:pPr>
          </w:p>
        </w:tc>
        <w:tc>
          <w:tcPr>
            <w:tcW w:w="499" w:type="pct"/>
            <w:vMerge w:val="continue"/>
            <w:vAlign w:val="center"/>
          </w:tcPr>
          <w:p>
            <w:pPr>
              <w:rPr>
                <w:rFonts w:eastAsiaTheme="minorEastAsia"/>
                <w:kern w:val="0"/>
                <w:sz w:val="21"/>
                <w:szCs w:val="21"/>
              </w:rPr>
            </w:pPr>
          </w:p>
        </w:tc>
        <w:tc>
          <w:tcPr>
            <w:tcW w:w="539" w:type="pct"/>
            <w:vMerge w:val="continue"/>
            <w:vAlign w:val="center"/>
          </w:tcPr>
          <w:p>
            <w:pPr>
              <w:rPr>
                <w:rFonts w:eastAsiaTheme="minorEastAsia"/>
                <w:kern w:val="0"/>
                <w:sz w:val="21"/>
                <w:szCs w:val="21"/>
              </w:rPr>
            </w:pPr>
          </w:p>
        </w:tc>
        <w:tc>
          <w:tcPr>
            <w:tcW w:w="424" w:type="pct"/>
            <w:vMerge w:val="continue"/>
            <w:vAlign w:val="center"/>
          </w:tcPr>
          <w:p>
            <w:pPr>
              <w:rPr>
                <w:rFonts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359" w:type="pct"/>
            <w:vMerge w:val="continue"/>
            <w:vAlign w:val="center"/>
          </w:tcPr>
          <w:p>
            <w:pPr>
              <w:rPr>
                <w:rFonts w:eastAsiaTheme="minorEastAsia"/>
                <w:kern w:val="0"/>
                <w:sz w:val="21"/>
                <w:szCs w:val="21"/>
              </w:rPr>
            </w:pPr>
          </w:p>
        </w:tc>
        <w:tc>
          <w:tcPr>
            <w:tcW w:w="360" w:type="pct"/>
            <w:vMerge w:val="continue"/>
            <w:vAlign w:val="center"/>
          </w:tcPr>
          <w:p>
            <w:pPr>
              <w:rPr>
                <w:rFonts w:eastAsiaTheme="minorEastAsia"/>
                <w:kern w:val="0"/>
                <w:sz w:val="21"/>
                <w:szCs w:val="21"/>
              </w:rPr>
            </w:pPr>
          </w:p>
        </w:tc>
        <w:tc>
          <w:tcPr>
            <w:tcW w:w="704" w:type="pct"/>
            <w:vAlign w:val="center"/>
          </w:tcPr>
          <w:p>
            <w:pPr>
              <w:adjustRightInd w:val="0"/>
              <w:snapToGrid w:val="0"/>
              <w:spacing w:line="220" w:lineRule="atLeast"/>
              <w:jc w:val="center"/>
              <w:rPr>
                <w:rFonts w:eastAsiaTheme="minorEastAsia"/>
                <w:kern w:val="2"/>
                <w:sz w:val="21"/>
              </w:rPr>
            </w:pPr>
            <w:r>
              <w:rPr>
                <w:rFonts w:hint="eastAsia" w:hAnsiTheme="minorEastAsia" w:eastAsiaTheme="minorEastAsia"/>
                <w:kern w:val="2"/>
                <w:sz w:val="20"/>
              </w:rPr>
              <w:t>井田南部耕地（工业场地东侧）</w:t>
            </w:r>
          </w:p>
        </w:tc>
        <w:tc>
          <w:tcPr>
            <w:tcW w:w="495" w:type="pct"/>
            <w:vAlign w:val="center"/>
          </w:tcPr>
          <w:p>
            <w:pPr>
              <w:adjustRightInd w:val="0"/>
              <w:snapToGrid w:val="0"/>
              <w:jc w:val="center"/>
              <w:rPr>
                <w:rFonts w:eastAsiaTheme="minorEastAsia"/>
                <w:kern w:val="0"/>
                <w:sz w:val="21"/>
                <w:szCs w:val="21"/>
              </w:rPr>
            </w:pPr>
            <w:r>
              <w:rPr>
                <w:rFonts w:eastAsiaTheme="minorEastAsia"/>
                <w:kern w:val="0"/>
                <w:sz w:val="21"/>
                <w:szCs w:val="21"/>
              </w:rPr>
              <w:t>0~0.2m</w:t>
            </w:r>
          </w:p>
        </w:tc>
        <w:tc>
          <w:tcPr>
            <w:tcW w:w="504" w:type="pct"/>
            <w:vAlign w:val="center"/>
          </w:tcPr>
          <w:p>
            <w:pPr>
              <w:adjustRightInd w:val="0"/>
              <w:snapToGrid w:val="0"/>
              <w:jc w:val="center"/>
              <w:rPr>
                <w:rFonts w:eastAsiaTheme="minorEastAsia"/>
                <w:kern w:val="0"/>
                <w:sz w:val="21"/>
                <w:szCs w:val="21"/>
              </w:rPr>
            </w:pPr>
            <w:r>
              <w:rPr>
                <w:rFonts w:eastAsiaTheme="minorEastAsia"/>
                <w:kern w:val="0"/>
                <w:sz w:val="21"/>
                <w:szCs w:val="21"/>
              </w:rPr>
              <w:t>pH</w:t>
            </w:r>
            <w:r>
              <w:rPr>
                <w:rFonts w:hAnsiTheme="minorEastAsia" w:eastAsiaTheme="minorEastAsia"/>
                <w:kern w:val="0"/>
                <w:sz w:val="21"/>
                <w:szCs w:val="21"/>
              </w:rPr>
              <w:t>、含盐量</w:t>
            </w:r>
          </w:p>
        </w:tc>
        <w:tc>
          <w:tcPr>
            <w:tcW w:w="489"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一次</w:t>
            </w:r>
          </w:p>
        </w:tc>
        <w:tc>
          <w:tcPr>
            <w:tcW w:w="628" w:type="pct"/>
            <w:vMerge w:val="continue"/>
            <w:vAlign w:val="center"/>
          </w:tcPr>
          <w:p>
            <w:pPr>
              <w:rPr>
                <w:rFonts w:eastAsiaTheme="minorEastAsia"/>
                <w:kern w:val="0"/>
                <w:sz w:val="21"/>
                <w:szCs w:val="21"/>
              </w:rPr>
            </w:pPr>
          </w:p>
        </w:tc>
        <w:tc>
          <w:tcPr>
            <w:tcW w:w="499" w:type="pct"/>
            <w:vMerge w:val="continue"/>
            <w:vAlign w:val="center"/>
          </w:tcPr>
          <w:p>
            <w:pPr>
              <w:rPr>
                <w:rFonts w:eastAsiaTheme="minorEastAsia"/>
                <w:kern w:val="0"/>
                <w:sz w:val="21"/>
                <w:szCs w:val="21"/>
              </w:rPr>
            </w:pPr>
          </w:p>
        </w:tc>
        <w:tc>
          <w:tcPr>
            <w:tcW w:w="539" w:type="pct"/>
            <w:vMerge w:val="continue"/>
            <w:vAlign w:val="center"/>
          </w:tcPr>
          <w:p>
            <w:pPr>
              <w:rPr>
                <w:rFonts w:eastAsiaTheme="minorEastAsia"/>
                <w:kern w:val="0"/>
                <w:sz w:val="21"/>
                <w:szCs w:val="21"/>
              </w:rPr>
            </w:pPr>
          </w:p>
        </w:tc>
        <w:tc>
          <w:tcPr>
            <w:tcW w:w="424" w:type="pct"/>
            <w:vMerge w:val="continue"/>
            <w:vAlign w:val="center"/>
          </w:tcPr>
          <w:p>
            <w:pPr>
              <w:rPr>
                <w:rFonts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359" w:type="pct"/>
            <w:vMerge w:val="continue"/>
            <w:vAlign w:val="center"/>
          </w:tcPr>
          <w:p>
            <w:pPr>
              <w:rPr>
                <w:rFonts w:eastAsiaTheme="minorEastAsia"/>
                <w:kern w:val="0"/>
                <w:sz w:val="20"/>
                <w:szCs w:val="21"/>
              </w:rPr>
            </w:pPr>
          </w:p>
        </w:tc>
        <w:tc>
          <w:tcPr>
            <w:tcW w:w="360" w:type="pct"/>
            <w:vAlign w:val="center"/>
          </w:tcPr>
          <w:p>
            <w:pPr>
              <w:rPr>
                <w:rFonts w:eastAsiaTheme="minorEastAsia"/>
                <w:kern w:val="0"/>
                <w:sz w:val="20"/>
                <w:szCs w:val="21"/>
              </w:rPr>
            </w:pPr>
            <w:r>
              <w:rPr>
                <w:rFonts w:hint="eastAsia" w:eastAsiaTheme="minorEastAsia"/>
                <w:kern w:val="0"/>
                <w:sz w:val="20"/>
                <w:szCs w:val="21"/>
              </w:rPr>
              <w:t>井田外</w:t>
            </w:r>
          </w:p>
        </w:tc>
        <w:tc>
          <w:tcPr>
            <w:tcW w:w="704" w:type="pct"/>
            <w:vAlign w:val="center"/>
          </w:tcPr>
          <w:p>
            <w:pPr>
              <w:adjustRightInd w:val="0"/>
              <w:snapToGrid w:val="0"/>
              <w:spacing w:line="220" w:lineRule="atLeast"/>
              <w:jc w:val="center"/>
              <w:rPr>
                <w:rFonts w:hAnsiTheme="minorEastAsia" w:eastAsiaTheme="minorEastAsia"/>
                <w:kern w:val="0"/>
                <w:sz w:val="20"/>
              </w:rPr>
            </w:pPr>
            <w:r>
              <w:rPr>
                <w:rFonts w:hint="eastAsia" w:hAnsiTheme="minorEastAsia" w:eastAsiaTheme="minorEastAsia"/>
                <w:kern w:val="0"/>
                <w:sz w:val="20"/>
              </w:rPr>
              <w:t>四周各设一个点，共4个</w:t>
            </w:r>
          </w:p>
        </w:tc>
        <w:tc>
          <w:tcPr>
            <w:tcW w:w="495" w:type="pct"/>
            <w:vAlign w:val="center"/>
          </w:tcPr>
          <w:p>
            <w:pPr>
              <w:adjustRightInd w:val="0"/>
              <w:snapToGrid w:val="0"/>
              <w:jc w:val="center"/>
              <w:rPr>
                <w:rFonts w:eastAsiaTheme="minorEastAsia"/>
                <w:kern w:val="0"/>
                <w:sz w:val="21"/>
                <w:szCs w:val="21"/>
              </w:rPr>
            </w:pPr>
            <w:r>
              <w:rPr>
                <w:rFonts w:eastAsiaTheme="minorEastAsia"/>
                <w:kern w:val="0"/>
                <w:sz w:val="21"/>
                <w:szCs w:val="21"/>
              </w:rPr>
              <w:t>0~0.2m</w:t>
            </w:r>
          </w:p>
        </w:tc>
        <w:tc>
          <w:tcPr>
            <w:tcW w:w="504" w:type="pct"/>
            <w:vAlign w:val="center"/>
          </w:tcPr>
          <w:p>
            <w:pPr>
              <w:adjustRightInd w:val="0"/>
              <w:snapToGrid w:val="0"/>
              <w:jc w:val="center"/>
              <w:rPr>
                <w:rFonts w:eastAsiaTheme="minorEastAsia"/>
                <w:kern w:val="0"/>
                <w:sz w:val="21"/>
                <w:szCs w:val="21"/>
              </w:rPr>
            </w:pPr>
            <w:r>
              <w:rPr>
                <w:rFonts w:eastAsiaTheme="minorEastAsia"/>
                <w:kern w:val="0"/>
                <w:sz w:val="21"/>
                <w:szCs w:val="21"/>
              </w:rPr>
              <w:t>pH</w:t>
            </w:r>
            <w:r>
              <w:rPr>
                <w:rFonts w:hAnsiTheme="minorEastAsia" w:eastAsiaTheme="minorEastAsia"/>
                <w:kern w:val="0"/>
                <w:sz w:val="21"/>
                <w:szCs w:val="21"/>
              </w:rPr>
              <w:t>、含盐量</w:t>
            </w:r>
          </w:p>
        </w:tc>
        <w:tc>
          <w:tcPr>
            <w:tcW w:w="489"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一次</w:t>
            </w:r>
          </w:p>
        </w:tc>
        <w:tc>
          <w:tcPr>
            <w:tcW w:w="628" w:type="pct"/>
            <w:vAlign w:val="center"/>
          </w:tcPr>
          <w:p>
            <w:pPr>
              <w:rPr>
                <w:rFonts w:eastAsiaTheme="minorEastAsia"/>
                <w:kern w:val="0"/>
                <w:sz w:val="20"/>
                <w:szCs w:val="21"/>
              </w:rPr>
            </w:pPr>
            <w:r>
              <w:rPr>
                <w:rFonts w:hint="eastAsia" w:eastAsiaTheme="minorEastAsia"/>
                <w:kern w:val="0"/>
                <w:sz w:val="20"/>
                <w:szCs w:val="21"/>
              </w:rPr>
              <w:t>4-7#</w:t>
            </w:r>
          </w:p>
        </w:tc>
        <w:tc>
          <w:tcPr>
            <w:tcW w:w="499" w:type="pct"/>
            <w:vAlign w:val="center"/>
          </w:tcPr>
          <w:p>
            <w:pPr>
              <w:adjustRightInd w:val="0"/>
              <w:snapToGrid w:val="0"/>
              <w:jc w:val="center"/>
              <w:rPr>
                <w:rFonts w:eastAsiaTheme="minorEastAsia"/>
                <w:kern w:val="0"/>
                <w:sz w:val="21"/>
                <w:szCs w:val="21"/>
              </w:rPr>
            </w:pPr>
            <w:r>
              <w:rPr>
                <w:rFonts w:eastAsiaTheme="minorEastAsia"/>
                <w:kern w:val="0"/>
                <w:sz w:val="21"/>
                <w:szCs w:val="21"/>
              </w:rPr>
              <w:t>0~0.2m</w:t>
            </w:r>
          </w:p>
        </w:tc>
        <w:tc>
          <w:tcPr>
            <w:tcW w:w="539" w:type="pct"/>
            <w:vAlign w:val="center"/>
          </w:tcPr>
          <w:p>
            <w:pPr>
              <w:adjustRightInd w:val="0"/>
              <w:snapToGrid w:val="0"/>
              <w:jc w:val="center"/>
              <w:rPr>
                <w:rFonts w:eastAsiaTheme="minorEastAsia"/>
                <w:kern w:val="0"/>
                <w:sz w:val="21"/>
                <w:szCs w:val="21"/>
              </w:rPr>
            </w:pPr>
            <w:r>
              <w:rPr>
                <w:rFonts w:eastAsiaTheme="minorEastAsia"/>
                <w:kern w:val="0"/>
                <w:sz w:val="21"/>
                <w:szCs w:val="21"/>
              </w:rPr>
              <w:t>pH</w:t>
            </w:r>
            <w:r>
              <w:rPr>
                <w:rFonts w:hAnsiTheme="minorEastAsia" w:eastAsiaTheme="minorEastAsia"/>
                <w:kern w:val="0"/>
                <w:sz w:val="21"/>
                <w:szCs w:val="21"/>
              </w:rPr>
              <w:t>、含盐量</w:t>
            </w:r>
          </w:p>
        </w:tc>
        <w:tc>
          <w:tcPr>
            <w:tcW w:w="424" w:type="pct"/>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一次</w:t>
            </w:r>
          </w:p>
        </w:tc>
      </w:tr>
    </w:tbl>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）监测项目</w:t>
      </w:r>
    </w:p>
    <w:p>
      <w:pPr>
        <w:spacing w:line="360" w:lineRule="auto"/>
        <w:ind w:firstLine="480" w:firstLineChars="200"/>
        <w:rPr>
          <w:rFonts w:eastAsiaTheme="minorEastAsia"/>
          <w:sz w:val="24"/>
        </w:rPr>
      </w:pPr>
      <w:r>
        <w:rPr>
          <w:rFonts w:hint="eastAsia" w:hAnsiTheme="minorEastAsia" w:eastAsiaTheme="minorEastAsia"/>
          <w:sz w:val="24"/>
        </w:rPr>
        <w:t>pH、全盐量</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）监测时间和频次</w:t>
      </w:r>
    </w:p>
    <w:p>
      <w:pPr>
        <w:spacing w:line="360" w:lineRule="auto"/>
        <w:ind w:firstLine="600" w:firstLineChars="250"/>
        <w:rPr>
          <w:rFonts w:eastAsiaTheme="minorEastAsia"/>
          <w:sz w:val="24"/>
        </w:rPr>
      </w:pPr>
      <w:r>
        <w:rPr>
          <w:rFonts w:eastAsiaTheme="minorEastAsia"/>
          <w:sz w:val="24"/>
        </w:rPr>
        <w:t>20</w:t>
      </w:r>
      <w:r>
        <w:rPr>
          <w:rFonts w:hint="eastAsia" w:eastAsiaTheme="minorEastAsia"/>
          <w:sz w:val="24"/>
        </w:rPr>
        <w:t>21</w:t>
      </w:r>
      <w:r>
        <w:rPr>
          <w:rFonts w:hAnsiTheme="minorEastAsia" w:eastAsiaTheme="minorEastAsia"/>
          <w:sz w:val="24"/>
        </w:rPr>
        <w:t>年</w:t>
      </w:r>
      <w:r>
        <w:rPr>
          <w:rFonts w:hint="eastAsia" w:eastAsiaTheme="minorEastAsia"/>
          <w:sz w:val="24"/>
        </w:rPr>
        <w:t>2</w:t>
      </w:r>
      <w:r>
        <w:rPr>
          <w:rFonts w:hAnsiTheme="minorEastAsia" w:eastAsiaTheme="minorEastAsia"/>
          <w:sz w:val="24"/>
        </w:rPr>
        <w:t>月</w:t>
      </w:r>
      <w:r>
        <w:rPr>
          <w:rFonts w:hint="eastAsia" w:eastAsiaTheme="minorEastAsia"/>
          <w:sz w:val="24"/>
        </w:rPr>
        <w:t>15</w:t>
      </w:r>
      <w:r>
        <w:rPr>
          <w:rFonts w:hAnsiTheme="minorEastAsia" w:eastAsiaTheme="minorEastAsia"/>
          <w:sz w:val="24"/>
        </w:rPr>
        <w:t>日，一次。</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）采样和分析方法</w:t>
      </w:r>
    </w:p>
    <w:p>
      <w:pPr>
        <w:spacing w:line="360" w:lineRule="auto"/>
        <w:ind w:firstLine="480" w:firstLineChars="200"/>
        <w:rPr>
          <w:rFonts w:hAnsiTheme="minorEastAsia" w:eastAsiaTheme="minorEastAsia"/>
          <w:sz w:val="24"/>
        </w:rPr>
      </w:pPr>
      <w:r>
        <w:rPr>
          <w:rFonts w:hAnsiTheme="minorEastAsia" w:eastAsiaTheme="minorEastAsia"/>
          <w:sz w:val="24"/>
        </w:rPr>
        <w:t>监测点取样方法参照</w:t>
      </w:r>
      <w:r>
        <w:rPr>
          <w:rFonts w:eastAsiaTheme="minorEastAsia"/>
          <w:sz w:val="24"/>
        </w:rPr>
        <w:t>HJ/T166</w:t>
      </w:r>
      <w:r>
        <w:rPr>
          <w:rFonts w:hAnsiTheme="minorEastAsia" w:eastAsiaTheme="minorEastAsia"/>
          <w:sz w:val="24"/>
        </w:rPr>
        <w:t>执行。</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）监测结果</w:t>
      </w:r>
    </w:p>
    <w:p>
      <w:pPr>
        <w:spacing w:line="360" w:lineRule="auto"/>
        <w:ind w:firstLine="480" w:firstLineChars="200"/>
        <w:rPr>
          <w:rFonts w:eastAsiaTheme="minorEastAsia"/>
          <w:sz w:val="24"/>
        </w:rPr>
      </w:pPr>
      <w:r>
        <w:rPr>
          <w:rFonts w:hAnsiTheme="minorEastAsia" w:eastAsiaTheme="minorEastAsia"/>
          <w:sz w:val="24"/>
        </w:rPr>
        <w:t>土壤检测结果详见表</w:t>
      </w:r>
      <w:r>
        <w:rPr>
          <w:rFonts w:eastAsiaTheme="minorEastAsia"/>
          <w:sz w:val="24"/>
        </w:rPr>
        <w:t>4.3-1</w:t>
      </w:r>
      <w:r>
        <w:rPr>
          <w:rFonts w:hint="eastAsia" w:eastAsiaTheme="minorEastAsia"/>
          <w:sz w:val="24"/>
        </w:rPr>
        <w:t>3</w:t>
      </w:r>
      <w:r>
        <w:rPr>
          <w:rFonts w:hAnsiTheme="minorEastAsia" w:eastAsiaTheme="minorEastAsia"/>
          <w:sz w:val="24"/>
        </w:rPr>
        <w:t>。</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4.3-1</w:t>
      </w:r>
      <w:r>
        <w:rPr>
          <w:rFonts w:hint="eastAsia" w:eastAsiaTheme="minorEastAsia"/>
          <w:b/>
          <w:szCs w:val="21"/>
        </w:rPr>
        <w:t>3</w:t>
      </w:r>
      <w:r>
        <w:rPr>
          <w:rFonts w:eastAsiaTheme="minorEastAsia"/>
          <w:b/>
          <w:szCs w:val="21"/>
        </w:rPr>
        <w:t xml:space="preserve">  </w:t>
      </w:r>
      <w:r>
        <w:rPr>
          <w:rFonts w:hint="eastAsia" w:eastAsiaTheme="minorEastAsia"/>
          <w:b/>
          <w:szCs w:val="21"/>
        </w:rPr>
        <w:t>生态型</w:t>
      </w:r>
      <w:r>
        <w:rPr>
          <w:rFonts w:hAnsiTheme="minorEastAsia" w:eastAsiaTheme="minorEastAsia"/>
          <w:b/>
          <w:szCs w:val="21"/>
        </w:rPr>
        <w:t>土壤监测结果</w:t>
      </w:r>
    </w:p>
    <w:tbl>
      <w:tblPr>
        <w:tblStyle w:val="24"/>
        <w:tblW w:w="4991"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40"/>
        <w:gridCol w:w="3832"/>
        <w:gridCol w:w="1789"/>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9" w:hRule="atLeast"/>
        </w:trPr>
        <w:tc>
          <w:tcPr>
            <w:tcW w:w="885"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样品编号</w:t>
            </w:r>
          </w:p>
        </w:tc>
        <w:tc>
          <w:tcPr>
            <w:tcW w:w="206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煤层占地范围内</w:t>
            </w:r>
          </w:p>
        </w:tc>
        <w:tc>
          <w:tcPr>
            <w:tcW w:w="965"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全盐量（</w:t>
            </w:r>
            <w:r>
              <w:rPr>
                <w:kern w:val="0"/>
                <w:szCs w:val="21"/>
              </w:rPr>
              <w:t>g/kg)</w:t>
            </w:r>
          </w:p>
        </w:tc>
        <w:tc>
          <w:tcPr>
            <w:tcW w:w="1083" w:type="pct"/>
            <w:shd w:val="clear" w:color="auto" w:fill="auto"/>
            <w:noWrap/>
            <w:vAlign w:val="center"/>
          </w:tcPr>
          <w:p>
            <w:pPr>
              <w:widowControl/>
              <w:jc w:val="center"/>
              <w:rPr>
                <w:kern w:val="0"/>
                <w:szCs w:val="21"/>
              </w:rPr>
            </w:pPr>
            <w:r>
              <w:rPr>
                <w:kern w:val="0"/>
                <w:szCs w:val="21"/>
              </w:rPr>
              <w:t>pH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6" w:hRule="atLeast"/>
        </w:trPr>
        <w:tc>
          <w:tcPr>
            <w:tcW w:w="885" w:type="pct"/>
            <w:shd w:val="clear" w:color="auto" w:fill="auto"/>
            <w:noWrap/>
            <w:vAlign w:val="center"/>
          </w:tcPr>
          <w:p>
            <w:pPr>
              <w:widowControl/>
              <w:jc w:val="center"/>
              <w:rPr>
                <w:kern w:val="0"/>
                <w:szCs w:val="21"/>
              </w:rPr>
            </w:pPr>
            <w:r>
              <w:rPr>
                <w:kern w:val="0"/>
                <w:szCs w:val="21"/>
              </w:rPr>
              <w:t>1#</w:t>
            </w:r>
          </w:p>
        </w:tc>
        <w:tc>
          <w:tcPr>
            <w:tcW w:w="2067" w:type="pct"/>
            <w:shd w:val="clear" w:color="auto" w:fill="auto"/>
            <w:noWrap/>
            <w:vAlign w:val="center"/>
          </w:tcPr>
          <w:p>
            <w:pPr>
              <w:widowControl/>
              <w:jc w:val="center"/>
              <w:rPr>
                <w:kern w:val="0"/>
                <w:szCs w:val="21"/>
              </w:rPr>
            </w:pPr>
          </w:p>
        </w:tc>
        <w:tc>
          <w:tcPr>
            <w:tcW w:w="965" w:type="pct"/>
            <w:shd w:val="clear" w:color="auto" w:fill="auto"/>
            <w:noWrap/>
            <w:vAlign w:val="center"/>
          </w:tcPr>
          <w:p>
            <w:pPr>
              <w:widowControl/>
              <w:jc w:val="center"/>
              <w:rPr>
                <w:kern w:val="0"/>
                <w:szCs w:val="21"/>
              </w:rPr>
            </w:pPr>
          </w:p>
        </w:tc>
        <w:tc>
          <w:tcPr>
            <w:tcW w:w="1083" w:type="pct"/>
            <w:shd w:val="clear" w:color="auto" w:fill="auto"/>
            <w:noWrap/>
            <w:vAlign w:val="center"/>
          </w:tcPr>
          <w:p>
            <w:pPr>
              <w:widowControl/>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885" w:type="pct"/>
            <w:shd w:val="clear" w:color="auto" w:fill="auto"/>
            <w:noWrap/>
            <w:vAlign w:val="center"/>
          </w:tcPr>
          <w:p>
            <w:pPr>
              <w:widowControl/>
              <w:jc w:val="center"/>
              <w:rPr>
                <w:kern w:val="0"/>
                <w:szCs w:val="21"/>
              </w:rPr>
            </w:pPr>
            <w:r>
              <w:rPr>
                <w:kern w:val="0"/>
                <w:szCs w:val="21"/>
              </w:rPr>
              <w:t>2#</w:t>
            </w:r>
          </w:p>
        </w:tc>
        <w:tc>
          <w:tcPr>
            <w:tcW w:w="2067" w:type="pct"/>
            <w:shd w:val="clear" w:color="auto" w:fill="auto"/>
            <w:noWrap/>
            <w:vAlign w:val="center"/>
          </w:tcPr>
          <w:p>
            <w:pPr>
              <w:widowControl/>
              <w:jc w:val="center"/>
              <w:rPr>
                <w:kern w:val="0"/>
                <w:szCs w:val="21"/>
              </w:rPr>
            </w:pPr>
          </w:p>
        </w:tc>
        <w:tc>
          <w:tcPr>
            <w:tcW w:w="965" w:type="pct"/>
            <w:shd w:val="clear" w:color="auto" w:fill="auto"/>
            <w:noWrap/>
            <w:vAlign w:val="center"/>
          </w:tcPr>
          <w:p>
            <w:pPr>
              <w:widowControl/>
              <w:jc w:val="center"/>
              <w:rPr>
                <w:kern w:val="0"/>
                <w:szCs w:val="21"/>
              </w:rPr>
            </w:pPr>
          </w:p>
        </w:tc>
        <w:tc>
          <w:tcPr>
            <w:tcW w:w="1083" w:type="pct"/>
            <w:shd w:val="clear" w:color="auto" w:fill="auto"/>
            <w:noWrap/>
            <w:vAlign w:val="center"/>
          </w:tcPr>
          <w:p>
            <w:pPr>
              <w:widowControl/>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885" w:type="pct"/>
            <w:shd w:val="clear" w:color="auto" w:fill="auto"/>
            <w:noWrap/>
            <w:vAlign w:val="center"/>
          </w:tcPr>
          <w:p>
            <w:pPr>
              <w:widowControl/>
              <w:jc w:val="center"/>
              <w:rPr>
                <w:kern w:val="0"/>
                <w:szCs w:val="21"/>
              </w:rPr>
            </w:pPr>
            <w:r>
              <w:rPr>
                <w:kern w:val="0"/>
                <w:szCs w:val="21"/>
              </w:rPr>
              <w:t>3#</w:t>
            </w:r>
          </w:p>
        </w:tc>
        <w:tc>
          <w:tcPr>
            <w:tcW w:w="2067" w:type="pct"/>
            <w:shd w:val="clear" w:color="auto" w:fill="auto"/>
            <w:noWrap/>
            <w:vAlign w:val="center"/>
          </w:tcPr>
          <w:p>
            <w:pPr>
              <w:widowControl/>
              <w:jc w:val="center"/>
              <w:rPr>
                <w:kern w:val="0"/>
                <w:szCs w:val="21"/>
              </w:rPr>
            </w:pPr>
          </w:p>
        </w:tc>
        <w:tc>
          <w:tcPr>
            <w:tcW w:w="965" w:type="pct"/>
            <w:shd w:val="clear" w:color="auto" w:fill="auto"/>
            <w:noWrap/>
            <w:vAlign w:val="center"/>
          </w:tcPr>
          <w:p>
            <w:pPr>
              <w:widowControl/>
              <w:jc w:val="center"/>
              <w:rPr>
                <w:kern w:val="0"/>
                <w:szCs w:val="21"/>
              </w:rPr>
            </w:pPr>
          </w:p>
        </w:tc>
        <w:tc>
          <w:tcPr>
            <w:tcW w:w="1083" w:type="pct"/>
            <w:shd w:val="clear" w:color="auto" w:fill="auto"/>
            <w:noWrap/>
            <w:vAlign w:val="center"/>
          </w:tcPr>
          <w:p>
            <w:pPr>
              <w:widowControl/>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885" w:type="pct"/>
            <w:shd w:val="clear" w:color="auto" w:fill="auto"/>
            <w:noWrap/>
            <w:vAlign w:val="center"/>
          </w:tcPr>
          <w:p>
            <w:pPr>
              <w:widowControl/>
              <w:jc w:val="center"/>
              <w:rPr>
                <w:kern w:val="0"/>
                <w:szCs w:val="21"/>
              </w:rPr>
            </w:pPr>
            <w:r>
              <w:rPr>
                <w:kern w:val="0"/>
                <w:szCs w:val="21"/>
              </w:rPr>
              <w:t>4#</w:t>
            </w:r>
          </w:p>
        </w:tc>
        <w:tc>
          <w:tcPr>
            <w:tcW w:w="2067" w:type="pct"/>
            <w:shd w:val="clear" w:color="auto" w:fill="auto"/>
            <w:noWrap/>
            <w:vAlign w:val="center"/>
          </w:tcPr>
          <w:p>
            <w:pPr>
              <w:widowControl/>
              <w:jc w:val="center"/>
              <w:rPr>
                <w:kern w:val="0"/>
                <w:szCs w:val="21"/>
              </w:rPr>
            </w:pPr>
          </w:p>
        </w:tc>
        <w:tc>
          <w:tcPr>
            <w:tcW w:w="965" w:type="pct"/>
            <w:shd w:val="clear" w:color="auto" w:fill="auto"/>
            <w:noWrap/>
            <w:vAlign w:val="center"/>
          </w:tcPr>
          <w:p>
            <w:pPr>
              <w:widowControl/>
              <w:jc w:val="center"/>
              <w:rPr>
                <w:kern w:val="0"/>
                <w:szCs w:val="21"/>
              </w:rPr>
            </w:pPr>
          </w:p>
        </w:tc>
        <w:tc>
          <w:tcPr>
            <w:tcW w:w="1083" w:type="pct"/>
            <w:shd w:val="clear" w:color="auto" w:fill="auto"/>
            <w:noWrap/>
            <w:vAlign w:val="center"/>
          </w:tcPr>
          <w:p>
            <w:pPr>
              <w:widowControl/>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885"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样品编号</w:t>
            </w:r>
          </w:p>
        </w:tc>
        <w:tc>
          <w:tcPr>
            <w:tcW w:w="206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煤层占地范围外</w:t>
            </w:r>
          </w:p>
        </w:tc>
        <w:tc>
          <w:tcPr>
            <w:tcW w:w="965"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全盐量（</w:t>
            </w:r>
            <w:r>
              <w:rPr>
                <w:kern w:val="0"/>
                <w:szCs w:val="21"/>
              </w:rPr>
              <w:t>g/kg)</w:t>
            </w:r>
          </w:p>
        </w:tc>
        <w:tc>
          <w:tcPr>
            <w:tcW w:w="1083" w:type="pct"/>
            <w:shd w:val="clear" w:color="auto" w:fill="auto"/>
            <w:noWrap/>
            <w:vAlign w:val="center"/>
          </w:tcPr>
          <w:p>
            <w:pPr>
              <w:widowControl/>
              <w:jc w:val="center"/>
              <w:rPr>
                <w:kern w:val="0"/>
                <w:szCs w:val="21"/>
              </w:rPr>
            </w:pPr>
            <w:r>
              <w:rPr>
                <w:kern w:val="0"/>
                <w:szCs w:val="21"/>
              </w:rPr>
              <w:t>pH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885" w:type="pct"/>
            <w:shd w:val="clear" w:color="auto" w:fill="auto"/>
            <w:noWrap/>
            <w:vAlign w:val="center"/>
          </w:tcPr>
          <w:p>
            <w:pPr>
              <w:widowControl/>
              <w:jc w:val="center"/>
              <w:rPr>
                <w:kern w:val="0"/>
                <w:szCs w:val="21"/>
              </w:rPr>
            </w:pPr>
            <w:r>
              <w:rPr>
                <w:rFonts w:hint="eastAsia"/>
                <w:kern w:val="0"/>
                <w:szCs w:val="21"/>
              </w:rPr>
              <w:t>5</w:t>
            </w:r>
            <w:r>
              <w:rPr>
                <w:kern w:val="0"/>
                <w:szCs w:val="21"/>
              </w:rPr>
              <w:t>#</w:t>
            </w:r>
          </w:p>
        </w:tc>
        <w:tc>
          <w:tcPr>
            <w:tcW w:w="2067" w:type="pct"/>
            <w:shd w:val="clear" w:color="auto" w:fill="auto"/>
            <w:vAlign w:val="center"/>
          </w:tcPr>
          <w:p>
            <w:pPr>
              <w:widowControl/>
              <w:jc w:val="center"/>
              <w:rPr>
                <w:rFonts w:ascii="宋体" w:hAnsi="宋体" w:cs="宋体"/>
                <w:kern w:val="0"/>
                <w:szCs w:val="21"/>
              </w:rPr>
            </w:pPr>
          </w:p>
        </w:tc>
        <w:tc>
          <w:tcPr>
            <w:tcW w:w="965" w:type="pct"/>
            <w:shd w:val="clear" w:color="auto" w:fill="auto"/>
            <w:noWrap/>
            <w:vAlign w:val="center"/>
          </w:tcPr>
          <w:p>
            <w:pPr>
              <w:widowControl/>
              <w:jc w:val="center"/>
              <w:rPr>
                <w:kern w:val="0"/>
                <w:szCs w:val="21"/>
              </w:rPr>
            </w:pPr>
          </w:p>
        </w:tc>
        <w:tc>
          <w:tcPr>
            <w:tcW w:w="1083" w:type="pct"/>
            <w:shd w:val="clear" w:color="auto" w:fill="auto"/>
            <w:noWrap/>
            <w:vAlign w:val="center"/>
          </w:tcPr>
          <w:p>
            <w:pPr>
              <w:widowControl/>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885" w:type="pct"/>
            <w:shd w:val="clear" w:color="auto" w:fill="auto"/>
            <w:noWrap/>
            <w:vAlign w:val="center"/>
          </w:tcPr>
          <w:p>
            <w:pPr>
              <w:widowControl/>
              <w:jc w:val="center"/>
              <w:rPr>
                <w:kern w:val="0"/>
                <w:szCs w:val="21"/>
              </w:rPr>
            </w:pPr>
            <w:r>
              <w:rPr>
                <w:rFonts w:hint="eastAsia"/>
                <w:kern w:val="0"/>
                <w:szCs w:val="21"/>
              </w:rPr>
              <w:t>6</w:t>
            </w:r>
            <w:r>
              <w:rPr>
                <w:kern w:val="0"/>
                <w:szCs w:val="21"/>
              </w:rPr>
              <w:t>#</w:t>
            </w:r>
          </w:p>
        </w:tc>
        <w:tc>
          <w:tcPr>
            <w:tcW w:w="2067" w:type="pct"/>
            <w:shd w:val="clear" w:color="auto" w:fill="auto"/>
            <w:vAlign w:val="center"/>
          </w:tcPr>
          <w:p>
            <w:pPr>
              <w:widowControl/>
              <w:jc w:val="center"/>
              <w:rPr>
                <w:rFonts w:ascii="宋体" w:hAnsi="宋体" w:cs="宋体"/>
                <w:kern w:val="0"/>
                <w:szCs w:val="21"/>
              </w:rPr>
            </w:pPr>
          </w:p>
        </w:tc>
        <w:tc>
          <w:tcPr>
            <w:tcW w:w="965" w:type="pct"/>
            <w:shd w:val="clear" w:color="auto" w:fill="auto"/>
            <w:noWrap/>
            <w:vAlign w:val="center"/>
          </w:tcPr>
          <w:p>
            <w:pPr>
              <w:widowControl/>
              <w:jc w:val="center"/>
              <w:rPr>
                <w:kern w:val="0"/>
                <w:szCs w:val="21"/>
              </w:rPr>
            </w:pPr>
          </w:p>
        </w:tc>
        <w:tc>
          <w:tcPr>
            <w:tcW w:w="1083" w:type="pct"/>
            <w:shd w:val="clear" w:color="auto" w:fill="auto"/>
            <w:noWrap/>
            <w:vAlign w:val="center"/>
          </w:tcPr>
          <w:p>
            <w:pPr>
              <w:widowControl/>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885" w:type="pct"/>
            <w:shd w:val="clear" w:color="auto" w:fill="auto"/>
            <w:noWrap/>
            <w:vAlign w:val="center"/>
          </w:tcPr>
          <w:p>
            <w:pPr>
              <w:widowControl/>
              <w:jc w:val="center"/>
              <w:rPr>
                <w:kern w:val="0"/>
                <w:szCs w:val="21"/>
              </w:rPr>
            </w:pPr>
            <w:r>
              <w:rPr>
                <w:rFonts w:hint="eastAsia"/>
                <w:kern w:val="0"/>
                <w:szCs w:val="21"/>
              </w:rPr>
              <w:t>7</w:t>
            </w:r>
            <w:r>
              <w:rPr>
                <w:kern w:val="0"/>
                <w:szCs w:val="21"/>
              </w:rPr>
              <w:t>#</w:t>
            </w:r>
          </w:p>
        </w:tc>
        <w:tc>
          <w:tcPr>
            <w:tcW w:w="2067" w:type="pct"/>
            <w:shd w:val="clear" w:color="auto" w:fill="auto"/>
            <w:vAlign w:val="center"/>
          </w:tcPr>
          <w:p>
            <w:pPr>
              <w:widowControl/>
              <w:jc w:val="center"/>
              <w:rPr>
                <w:rFonts w:ascii="宋体" w:hAnsi="宋体" w:cs="宋体"/>
                <w:kern w:val="0"/>
                <w:szCs w:val="21"/>
              </w:rPr>
            </w:pPr>
          </w:p>
        </w:tc>
        <w:tc>
          <w:tcPr>
            <w:tcW w:w="965" w:type="pct"/>
            <w:shd w:val="clear" w:color="auto" w:fill="auto"/>
            <w:noWrap/>
            <w:vAlign w:val="center"/>
          </w:tcPr>
          <w:p>
            <w:pPr>
              <w:widowControl/>
              <w:jc w:val="center"/>
              <w:rPr>
                <w:kern w:val="0"/>
                <w:szCs w:val="21"/>
              </w:rPr>
            </w:pPr>
          </w:p>
        </w:tc>
        <w:tc>
          <w:tcPr>
            <w:tcW w:w="1083" w:type="pct"/>
            <w:shd w:val="clear" w:color="auto" w:fill="auto"/>
            <w:noWrap/>
            <w:vAlign w:val="center"/>
          </w:tcPr>
          <w:p>
            <w:pPr>
              <w:widowControl/>
              <w:jc w:val="center"/>
              <w:rPr>
                <w:kern w:val="0"/>
                <w:szCs w:val="21"/>
              </w:rPr>
            </w:pPr>
          </w:p>
        </w:tc>
      </w:tr>
    </w:tbl>
    <w:p>
      <w:pPr>
        <w:spacing w:line="360" w:lineRule="auto"/>
        <w:ind w:firstLine="480" w:firstLineChars="200"/>
        <w:rPr>
          <w:rFonts w:eastAsiaTheme="minorEastAsia"/>
          <w:sz w:val="24"/>
        </w:rPr>
      </w:pPr>
      <w:r>
        <w:rPr>
          <w:rFonts w:hint="eastAsia" w:eastAsiaTheme="minorEastAsia"/>
          <w:sz w:val="24"/>
        </w:rPr>
        <w:t>根据监测结果，本项目位于半干旱地区，且井田范围内及周边土壤含盐量SCG为0.84~1.85g/kg，根据导则附录D.1土壤盐化分级标准可知，项目周边地区土壤盐化程度为轻度盐化区；土壤pH为7.03~8.46，根据导则附录D.2土壤酸化、碱化分级标准可知，本项目周边土壤无酸化或碱化现象。</w:t>
      </w:r>
    </w:p>
    <w:p>
      <w:pPr>
        <w:spacing w:line="360" w:lineRule="auto"/>
        <w:ind w:firstLine="480" w:firstLineChars="200"/>
        <w:rPr>
          <w:rFonts w:eastAsiaTheme="minorEastAsia"/>
          <w:sz w:val="24"/>
        </w:rPr>
      </w:pPr>
      <w:r>
        <w:rPr>
          <w:rFonts w:hint="eastAsia" w:eastAsiaTheme="minorEastAsia"/>
          <w:sz w:val="24"/>
        </w:rPr>
        <w:t>3</w:t>
      </w:r>
      <w:r>
        <w:rPr>
          <w:rFonts w:hAnsiTheme="minorEastAsia" w:eastAsiaTheme="minorEastAsia"/>
          <w:sz w:val="24"/>
        </w:rPr>
        <w:t>、</w:t>
      </w:r>
      <w:r>
        <w:rPr>
          <w:rFonts w:hint="eastAsia" w:hAnsiTheme="minorEastAsia" w:eastAsiaTheme="minorEastAsia"/>
          <w:sz w:val="24"/>
        </w:rPr>
        <w:t>污染</w:t>
      </w:r>
      <w:r>
        <w:rPr>
          <w:rFonts w:hint="eastAsia" w:eastAsiaTheme="minorEastAsia"/>
          <w:sz w:val="24"/>
        </w:rPr>
        <w:t>影响型土壤</w:t>
      </w:r>
      <w:r>
        <w:rPr>
          <w:rFonts w:hAnsiTheme="minorEastAsia" w:eastAsiaTheme="minorEastAsia"/>
          <w:sz w:val="24"/>
        </w:rPr>
        <w:t>调查</w:t>
      </w:r>
    </w:p>
    <w:p>
      <w:pPr>
        <w:spacing w:line="360" w:lineRule="auto"/>
        <w:ind w:firstLine="480" w:firstLineChars="200"/>
        <w:rPr>
          <w:rFonts w:eastAsiaTheme="minorEastAsia"/>
          <w:sz w:val="24"/>
        </w:rPr>
      </w:pPr>
      <w:r>
        <w:rPr>
          <w:rFonts w:hAnsiTheme="minorEastAsia" w:eastAsiaTheme="minorEastAsia"/>
          <w:sz w:val="24"/>
        </w:rPr>
        <w:t>本项目存在污染的场地主要有主工业广场的储煤场、矿井水处理站、油脂库，</w:t>
      </w:r>
      <w:r>
        <w:rPr>
          <w:rFonts w:hint="eastAsia" w:hAnsiTheme="minorEastAsia" w:eastAsiaTheme="minorEastAsia"/>
          <w:sz w:val="24"/>
        </w:rPr>
        <w:t>排矸场</w:t>
      </w:r>
      <w:r>
        <w:rPr>
          <w:rFonts w:hAnsiTheme="minorEastAsia" w:eastAsiaTheme="minorEastAsia"/>
          <w:sz w:val="24"/>
        </w:rPr>
        <w:t>等。本次评价采用</w:t>
      </w:r>
      <w:r>
        <w:rPr>
          <w:rFonts w:hint="eastAsia" w:hAnsiTheme="minorEastAsia" w:eastAsiaTheme="minorEastAsia"/>
          <w:sz w:val="24"/>
        </w:rPr>
        <w:t>山西明朗检测科技有限公司</w:t>
      </w:r>
      <w:r>
        <w:rPr>
          <w:rFonts w:hAnsiTheme="minorEastAsia" w:eastAsiaTheme="minorEastAsia"/>
          <w:sz w:val="24"/>
        </w:rPr>
        <w:t>于</w:t>
      </w:r>
      <w:r>
        <w:rPr>
          <w:rFonts w:eastAsiaTheme="minorEastAsia"/>
          <w:sz w:val="24"/>
        </w:rPr>
        <w:t>20</w:t>
      </w:r>
      <w:r>
        <w:rPr>
          <w:rFonts w:hint="eastAsia" w:eastAsiaTheme="minorEastAsia"/>
          <w:sz w:val="24"/>
        </w:rPr>
        <w:t>21</w:t>
      </w:r>
      <w:r>
        <w:rPr>
          <w:rFonts w:hAnsiTheme="minorEastAsia" w:eastAsiaTheme="minorEastAsia"/>
          <w:sz w:val="24"/>
        </w:rPr>
        <w:t>年</w:t>
      </w:r>
      <w:r>
        <w:rPr>
          <w:rFonts w:hint="eastAsia" w:eastAsiaTheme="minorEastAsia"/>
          <w:sz w:val="24"/>
        </w:rPr>
        <w:t>2</w:t>
      </w:r>
      <w:r>
        <w:rPr>
          <w:rFonts w:hAnsiTheme="minorEastAsia" w:eastAsiaTheme="minorEastAsia"/>
          <w:sz w:val="24"/>
        </w:rPr>
        <w:t>月</w:t>
      </w:r>
      <w:r>
        <w:rPr>
          <w:rFonts w:hint="eastAsia" w:eastAsiaTheme="minorEastAsia"/>
          <w:sz w:val="24"/>
        </w:rPr>
        <w:t>25</w:t>
      </w:r>
      <w:r>
        <w:rPr>
          <w:rFonts w:hAnsiTheme="minorEastAsia" w:eastAsiaTheme="minorEastAsia"/>
          <w:sz w:val="24"/>
        </w:rPr>
        <w:t>日对项目可能存在污染区域的土壤进行了现状监测。</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）监测点位</w:t>
      </w:r>
    </w:p>
    <w:p>
      <w:pPr>
        <w:spacing w:line="360" w:lineRule="auto"/>
        <w:ind w:firstLine="480" w:firstLineChars="200"/>
        <w:rPr>
          <w:rFonts w:eastAsiaTheme="minorEastAsia"/>
          <w:sz w:val="24"/>
        </w:rPr>
      </w:pPr>
      <w:r>
        <w:rPr>
          <w:rFonts w:hAnsiTheme="minorEastAsia" w:eastAsiaTheme="minorEastAsia"/>
          <w:sz w:val="24"/>
        </w:rPr>
        <w:t>本次土壤调查在主工业广场内储煤场附近设</w:t>
      </w:r>
      <w:r>
        <w:rPr>
          <w:rFonts w:eastAsiaTheme="minorEastAsia"/>
          <w:sz w:val="24"/>
        </w:rPr>
        <w:t>1</w:t>
      </w:r>
      <w:r>
        <w:rPr>
          <w:rFonts w:hAnsiTheme="minorEastAsia" w:eastAsiaTheme="minorEastAsia"/>
          <w:sz w:val="24"/>
        </w:rPr>
        <w:t>个表层样，矿井水处理站、生活污水处理站、油脂库附各布设</w:t>
      </w:r>
      <w:r>
        <w:rPr>
          <w:rFonts w:eastAsiaTheme="minorEastAsia"/>
          <w:sz w:val="24"/>
        </w:rPr>
        <w:t>1</w:t>
      </w:r>
      <w:r>
        <w:rPr>
          <w:rFonts w:hAnsiTheme="minorEastAsia" w:eastAsiaTheme="minorEastAsia"/>
          <w:sz w:val="24"/>
        </w:rPr>
        <w:t>个柱状样点，主工业广范围外设</w:t>
      </w:r>
      <w:r>
        <w:rPr>
          <w:rFonts w:eastAsiaTheme="minorEastAsia"/>
          <w:sz w:val="24"/>
        </w:rPr>
        <w:t>2</w:t>
      </w:r>
      <w:r>
        <w:rPr>
          <w:rFonts w:hAnsiTheme="minorEastAsia" w:eastAsiaTheme="minorEastAsia"/>
          <w:sz w:val="24"/>
        </w:rPr>
        <w:t>各表层样；</w:t>
      </w:r>
      <w:r>
        <w:rPr>
          <w:rFonts w:hint="eastAsia" w:hAnsiTheme="minorEastAsia" w:eastAsiaTheme="minorEastAsia"/>
          <w:sz w:val="24"/>
        </w:rPr>
        <w:t>排矸场</w:t>
      </w:r>
      <w:r>
        <w:rPr>
          <w:rFonts w:hAnsiTheme="minorEastAsia" w:eastAsiaTheme="minorEastAsia"/>
          <w:sz w:val="24"/>
        </w:rPr>
        <w:t>范围内设</w:t>
      </w:r>
      <w:r>
        <w:rPr>
          <w:rFonts w:eastAsiaTheme="minorEastAsia"/>
          <w:sz w:val="24"/>
        </w:rPr>
        <w:t>3</w:t>
      </w:r>
      <w:r>
        <w:rPr>
          <w:rFonts w:hAnsiTheme="minorEastAsia" w:eastAsiaTheme="minorEastAsia"/>
          <w:sz w:val="24"/>
        </w:rPr>
        <w:t>个柱状样，</w:t>
      </w:r>
      <w:r>
        <w:rPr>
          <w:rFonts w:eastAsiaTheme="minorEastAsia"/>
          <w:sz w:val="24"/>
        </w:rPr>
        <w:t>1</w:t>
      </w:r>
      <w:r>
        <w:rPr>
          <w:rFonts w:hAnsiTheme="minorEastAsia" w:eastAsiaTheme="minorEastAsia"/>
          <w:sz w:val="24"/>
        </w:rPr>
        <w:t>个表层样点。具体布点位置详见表</w:t>
      </w:r>
      <w:r>
        <w:rPr>
          <w:rFonts w:eastAsiaTheme="minorEastAsia"/>
          <w:sz w:val="24"/>
        </w:rPr>
        <w:t>4.3-1</w:t>
      </w:r>
      <w:r>
        <w:rPr>
          <w:rFonts w:hint="eastAsia" w:eastAsiaTheme="minorEastAsia"/>
          <w:sz w:val="24"/>
        </w:rPr>
        <w:t>4</w:t>
      </w:r>
      <w:r>
        <w:rPr>
          <w:rFonts w:hAnsiTheme="minorEastAsia" w:eastAsiaTheme="minorEastAsia"/>
          <w:sz w:val="24"/>
        </w:rPr>
        <w:t>。土壤监测布点图详见图</w:t>
      </w:r>
      <w:r>
        <w:rPr>
          <w:rFonts w:eastAsiaTheme="minorEastAsia"/>
          <w:sz w:val="24"/>
        </w:rPr>
        <w:t>4.3-</w:t>
      </w:r>
      <w:r>
        <w:rPr>
          <w:rFonts w:hint="eastAsia" w:eastAsiaTheme="minorEastAsia"/>
          <w:sz w:val="24"/>
        </w:rPr>
        <w:t>1</w:t>
      </w:r>
      <w:r>
        <w:rPr>
          <w:rFonts w:hAnsiTheme="minorEastAsia" w:eastAsiaTheme="minorEastAsia"/>
          <w:sz w:val="24"/>
        </w:rPr>
        <w:t>。</w:t>
      </w:r>
    </w:p>
    <w:p>
      <w:pPr>
        <w:spacing w:line="288" w:lineRule="auto"/>
        <w:jc w:val="center"/>
        <w:rPr>
          <w:rFonts w:eastAsiaTheme="minorEastAsia"/>
          <w:b/>
          <w:szCs w:val="21"/>
        </w:rPr>
      </w:pPr>
      <w:r>
        <w:rPr>
          <w:rFonts w:hAnsiTheme="minorEastAsia" w:eastAsiaTheme="minorEastAsia"/>
          <w:b/>
          <w:szCs w:val="21"/>
        </w:rPr>
        <w:t>表</w:t>
      </w:r>
      <w:r>
        <w:rPr>
          <w:rFonts w:eastAsiaTheme="minorEastAsia"/>
          <w:b/>
          <w:szCs w:val="21"/>
        </w:rPr>
        <w:t>4.3-1</w:t>
      </w:r>
      <w:r>
        <w:rPr>
          <w:rFonts w:hint="eastAsia" w:eastAsiaTheme="minorEastAsia"/>
          <w:b/>
          <w:szCs w:val="21"/>
        </w:rPr>
        <w:t>4</w:t>
      </w:r>
      <w:r>
        <w:rPr>
          <w:rFonts w:eastAsiaTheme="minorEastAsia"/>
          <w:b/>
          <w:szCs w:val="21"/>
        </w:rPr>
        <w:t xml:space="preserve">  </w:t>
      </w:r>
      <w:r>
        <w:rPr>
          <w:rFonts w:hint="eastAsia" w:eastAsiaTheme="minorEastAsia"/>
          <w:b/>
          <w:szCs w:val="21"/>
        </w:rPr>
        <w:t>污染型</w:t>
      </w:r>
      <w:r>
        <w:rPr>
          <w:rFonts w:hAnsiTheme="minorEastAsia" w:eastAsiaTheme="minorEastAsia"/>
          <w:b/>
          <w:szCs w:val="21"/>
        </w:rPr>
        <w:t>土壤监测点位布设</w:t>
      </w:r>
    </w:p>
    <w:tbl>
      <w:tblPr>
        <w:tblStyle w:val="24"/>
        <w:tblW w:w="50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85" w:type="dxa"/>
          <w:left w:w="108" w:type="dxa"/>
          <w:bottom w:w="85" w:type="dxa"/>
          <w:right w:w="108" w:type="dxa"/>
        </w:tblCellMar>
      </w:tblPr>
      <w:tblGrid>
        <w:gridCol w:w="1516"/>
        <w:gridCol w:w="1365"/>
        <w:gridCol w:w="1504"/>
        <w:gridCol w:w="960"/>
        <w:gridCol w:w="2813"/>
        <w:gridCol w:w="1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108" w:type="dxa"/>
            <w:bottom w:w="85" w:type="dxa"/>
            <w:right w:w="108" w:type="dxa"/>
          </w:tblCellMar>
        </w:tblPrEx>
        <w:trPr>
          <w:trHeight w:val="227" w:hRule="atLeast"/>
          <w:jc w:val="center"/>
        </w:trPr>
        <w:tc>
          <w:tcPr>
            <w:tcW w:w="1537" w:type="pct"/>
            <w:gridSpan w:val="2"/>
            <w:tcBorders>
              <w:top w:val="single" w:color="auto" w:sz="12" w:space="0"/>
              <w:left w:val="single" w:color="auto" w:sz="12" w:space="0"/>
              <w:bottom w:val="single" w:color="auto" w:sz="6" w:space="0"/>
              <w:right w:val="single" w:color="auto" w:sz="6" w:space="0"/>
            </w:tcBorders>
            <w:vAlign w:val="center"/>
          </w:tcPr>
          <w:p>
            <w:pPr>
              <w:jc w:val="center"/>
              <w:rPr>
                <w:rFonts w:eastAsiaTheme="minorEastAsia"/>
                <w:szCs w:val="21"/>
              </w:rPr>
            </w:pPr>
            <w:r>
              <w:rPr>
                <w:rFonts w:hAnsiTheme="minorEastAsia" w:eastAsiaTheme="minorEastAsia"/>
                <w:szCs w:val="21"/>
              </w:rPr>
              <w:t>监测对象</w:t>
            </w:r>
          </w:p>
        </w:tc>
        <w:tc>
          <w:tcPr>
            <w:tcW w:w="1314" w:type="pct"/>
            <w:gridSpan w:val="2"/>
            <w:tcBorders>
              <w:top w:val="single" w:color="auto" w:sz="12" w:space="0"/>
              <w:left w:val="single" w:color="auto" w:sz="4"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监测点位</w:t>
            </w:r>
          </w:p>
        </w:tc>
        <w:tc>
          <w:tcPr>
            <w:tcW w:w="1500" w:type="pct"/>
            <w:tcBorders>
              <w:top w:val="single" w:color="auto" w:sz="12" w:space="0"/>
              <w:left w:val="single" w:color="auto" w:sz="6"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监测项目</w:t>
            </w:r>
          </w:p>
        </w:tc>
        <w:tc>
          <w:tcPr>
            <w:tcW w:w="649" w:type="pct"/>
            <w:tcBorders>
              <w:top w:val="single" w:color="auto" w:sz="12" w:space="0"/>
              <w:left w:val="single" w:color="auto" w:sz="6" w:space="0"/>
              <w:bottom w:val="single" w:color="auto" w:sz="6" w:space="0"/>
              <w:right w:val="single" w:color="auto" w:sz="12"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108" w:type="dxa"/>
            <w:bottom w:w="85" w:type="dxa"/>
            <w:right w:w="108" w:type="dxa"/>
          </w:tblCellMar>
        </w:tblPrEx>
        <w:trPr>
          <w:trHeight w:val="227" w:hRule="atLeast"/>
          <w:jc w:val="center"/>
        </w:trPr>
        <w:tc>
          <w:tcPr>
            <w:tcW w:w="809" w:type="pct"/>
            <w:vMerge w:val="restart"/>
            <w:tcBorders>
              <w:top w:val="single" w:color="auto" w:sz="6" w:space="0"/>
              <w:left w:val="single" w:color="auto" w:sz="12" w:space="0"/>
              <w:bottom w:val="single" w:color="auto" w:sz="6" w:space="0"/>
              <w:right w:val="single" w:color="auto" w:sz="4" w:space="0"/>
            </w:tcBorders>
            <w:vAlign w:val="center"/>
          </w:tcPr>
          <w:p>
            <w:pPr>
              <w:jc w:val="center"/>
              <w:rPr>
                <w:rFonts w:eastAsiaTheme="minorEastAsia"/>
                <w:szCs w:val="21"/>
              </w:rPr>
            </w:pPr>
            <w:r>
              <w:rPr>
                <w:rFonts w:hAnsiTheme="minorEastAsia" w:eastAsiaTheme="minorEastAsia"/>
                <w:szCs w:val="21"/>
              </w:rPr>
              <w:t>工业广场</w:t>
            </w:r>
          </w:p>
        </w:tc>
        <w:tc>
          <w:tcPr>
            <w:tcW w:w="728" w:type="pct"/>
            <w:tcBorders>
              <w:top w:val="single" w:color="auto" w:sz="6" w:space="0"/>
              <w:left w:val="single" w:color="auto" w:sz="4"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int="eastAsia" w:hAnsiTheme="minorEastAsia" w:eastAsiaTheme="minorEastAsia"/>
                <w:szCs w:val="21"/>
              </w:rPr>
              <w:t>办公区</w:t>
            </w:r>
          </w:p>
        </w:tc>
        <w:tc>
          <w:tcPr>
            <w:tcW w:w="802" w:type="pct"/>
            <w:tcBorders>
              <w:top w:val="single" w:color="auto" w:sz="6" w:space="0"/>
              <w:left w:val="single" w:color="auto" w:sz="6" w:space="0"/>
              <w:bottom w:val="single" w:color="auto" w:sz="6" w:space="0"/>
              <w:right w:val="single" w:color="auto" w:sz="4" w:space="0"/>
            </w:tcBorders>
            <w:vAlign w:val="center"/>
          </w:tcPr>
          <w:p>
            <w:pPr>
              <w:adjustRightInd w:val="0"/>
              <w:snapToGrid w:val="0"/>
              <w:spacing w:line="220" w:lineRule="atLeast"/>
              <w:jc w:val="center"/>
              <w:rPr>
                <w:rFonts w:hAnsiTheme="minorEastAsia" w:eastAsiaTheme="minorEastAsia"/>
                <w:sz w:val="22"/>
                <w:szCs w:val="21"/>
              </w:rPr>
            </w:pPr>
            <w:r>
              <w:rPr>
                <w:rFonts w:hAnsiTheme="minorEastAsia" w:eastAsiaTheme="minorEastAsia"/>
                <w:szCs w:val="21"/>
              </w:rPr>
              <w:t>1</w:t>
            </w:r>
            <w:r>
              <w:rPr>
                <w:rFonts w:hint="eastAsia" w:hAnsiTheme="minorEastAsia" w:eastAsiaTheme="minorEastAsia"/>
                <w:szCs w:val="21"/>
              </w:rPr>
              <w:t>个表层样点</w:t>
            </w:r>
          </w:p>
        </w:tc>
        <w:tc>
          <w:tcPr>
            <w:tcW w:w="512" w:type="pct"/>
            <w:tcBorders>
              <w:top w:val="single" w:color="auto" w:sz="6" w:space="0"/>
              <w:left w:val="single" w:color="auto" w:sz="4" w:space="0"/>
              <w:bottom w:val="single" w:color="auto" w:sz="6" w:space="0"/>
              <w:right w:val="single" w:color="auto" w:sz="6" w:space="0"/>
            </w:tcBorders>
            <w:vAlign w:val="center"/>
          </w:tcPr>
          <w:p>
            <w:pPr>
              <w:adjustRightInd w:val="0"/>
              <w:snapToGrid w:val="0"/>
              <w:spacing w:line="220" w:lineRule="atLeast"/>
              <w:jc w:val="center"/>
              <w:rPr>
                <w:rFonts w:hAnsiTheme="minorEastAsia" w:eastAsiaTheme="minorEastAsia"/>
                <w:sz w:val="22"/>
                <w:szCs w:val="21"/>
              </w:rPr>
            </w:pPr>
            <w:r>
              <w:rPr>
                <w:rFonts w:hAnsiTheme="minorEastAsia" w:eastAsiaTheme="minorEastAsia"/>
                <w:szCs w:val="21"/>
              </w:rPr>
              <w:t>1#</w:t>
            </w:r>
          </w:p>
        </w:tc>
        <w:tc>
          <w:tcPr>
            <w:tcW w:w="1500" w:type="pct"/>
            <w:tcBorders>
              <w:top w:val="single" w:color="auto" w:sz="6" w:space="0"/>
              <w:left w:val="single" w:color="auto" w:sz="6" w:space="0"/>
              <w:bottom w:val="single" w:color="auto" w:sz="6" w:space="0"/>
              <w:right w:val="single" w:color="auto" w:sz="6" w:space="0"/>
            </w:tcBorders>
          </w:tcPr>
          <w:p>
            <w:pPr>
              <w:adjustRightInd w:val="0"/>
              <w:snapToGrid w:val="0"/>
              <w:spacing w:line="220" w:lineRule="atLeast"/>
              <w:jc w:val="center"/>
              <w:rPr>
                <w:rFonts w:hAnsiTheme="minorEastAsia" w:eastAsiaTheme="minorEastAsia"/>
                <w:sz w:val="22"/>
                <w:szCs w:val="21"/>
              </w:rPr>
            </w:pPr>
            <w:r>
              <w:rPr>
                <w:rFonts w:hAnsiTheme="minorEastAsia" w:eastAsiaTheme="minorEastAsia"/>
                <w:szCs w:val="21"/>
              </w:rPr>
              <w:t>GB36600</w:t>
            </w:r>
            <w:r>
              <w:rPr>
                <w:rFonts w:hint="eastAsia" w:hAnsiTheme="minorEastAsia" w:eastAsiaTheme="minorEastAsia"/>
                <w:szCs w:val="21"/>
              </w:rPr>
              <w:t>中规定的全部基本</w:t>
            </w:r>
            <w:r>
              <w:rPr>
                <w:rFonts w:hAnsiTheme="minorEastAsia" w:eastAsiaTheme="minorEastAsia"/>
                <w:szCs w:val="21"/>
              </w:rPr>
              <w:t>45</w:t>
            </w:r>
            <w:r>
              <w:rPr>
                <w:rFonts w:hint="eastAsia" w:hAnsiTheme="minorEastAsia" w:eastAsiaTheme="minorEastAsia"/>
                <w:szCs w:val="21"/>
              </w:rPr>
              <w:t>项目</w:t>
            </w:r>
            <w:r>
              <w:rPr>
                <w:rFonts w:hAnsiTheme="minorEastAsia" w:eastAsiaTheme="minorEastAsia"/>
                <w:szCs w:val="21"/>
              </w:rPr>
              <w:t>+ PH</w:t>
            </w:r>
            <w:r>
              <w:rPr>
                <w:rFonts w:hint="eastAsia" w:hAnsiTheme="minorEastAsia" w:eastAsiaTheme="minorEastAsia"/>
                <w:szCs w:val="21"/>
              </w:rPr>
              <w:t>、总铬、锌、铍、钡、氟化物、氰化物</w:t>
            </w:r>
          </w:p>
        </w:tc>
        <w:tc>
          <w:tcPr>
            <w:tcW w:w="649" w:type="pct"/>
            <w:tcBorders>
              <w:top w:val="single" w:color="auto" w:sz="6" w:space="0"/>
              <w:left w:val="single" w:color="auto" w:sz="6" w:space="0"/>
              <w:bottom w:val="single" w:color="auto" w:sz="6" w:space="0"/>
              <w:right w:val="single" w:color="auto" w:sz="12"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108" w:type="dxa"/>
            <w:bottom w:w="85" w:type="dxa"/>
            <w:right w:w="108" w:type="dxa"/>
          </w:tblCellMar>
        </w:tblPrEx>
        <w:trPr>
          <w:trHeight w:val="227" w:hRule="atLeast"/>
          <w:jc w:val="center"/>
        </w:trPr>
        <w:tc>
          <w:tcPr>
            <w:tcW w:w="809" w:type="pct"/>
            <w:vMerge w:val="continue"/>
            <w:tcBorders>
              <w:top w:val="single" w:color="auto" w:sz="6" w:space="0"/>
              <w:left w:val="single" w:color="auto" w:sz="12" w:space="0"/>
              <w:bottom w:val="single" w:color="auto" w:sz="6" w:space="0"/>
              <w:right w:val="single" w:color="auto" w:sz="4" w:space="0"/>
            </w:tcBorders>
            <w:vAlign w:val="center"/>
          </w:tcPr>
          <w:p>
            <w:pPr>
              <w:jc w:val="center"/>
              <w:rPr>
                <w:rFonts w:hAnsiTheme="minorEastAsia" w:eastAsiaTheme="minorEastAsia"/>
                <w:szCs w:val="21"/>
              </w:rPr>
            </w:pPr>
          </w:p>
        </w:tc>
        <w:tc>
          <w:tcPr>
            <w:tcW w:w="728" w:type="pct"/>
            <w:tcBorders>
              <w:top w:val="single" w:color="auto" w:sz="6" w:space="0"/>
              <w:left w:val="single" w:color="auto" w:sz="4" w:space="0"/>
              <w:bottom w:val="single" w:color="auto" w:sz="6" w:space="0"/>
              <w:right w:val="single" w:color="auto" w:sz="6" w:space="0"/>
            </w:tcBorders>
            <w:vAlign w:val="center"/>
          </w:tcPr>
          <w:p>
            <w:pPr>
              <w:jc w:val="center"/>
              <w:rPr>
                <w:rFonts w:eastAsiaTheme="minorEastAsia"/>
                <w:szCs w:val="21"/>
              </w:rPr>
            </w:pPr>
            <w:r>
              <w:rPr>
                <w:rFonts w:hAnsiTheme="minorEastAsia" w:eastAsiaTheme="minorEastAsia"/>
                <w:szCs w:val="21"/>
              </w:rPr>
              <w:t>储煤场</w:t>
            </w:r>
          </w:p>
        </w:tc>
        <w:tc>
          <w:tcPr>
            <w:tcW w:w="802" w:type="pct"/>
            <w:tcBorders>
              <w:top w:val="single" w:color="auto" w:sz="6" w:space="0"/>
              <w:left w:val="single" w:color="auto" w:sz="6" w:space="0"/>
              <w:bottom w:val="single" w:color="auto" w:sz="6" w:space="0"/>
              <w:right w:val="single" w:color="auto" w:sz="4"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1</w:t>
            </w:r>
            <w:r>
              <w:rPr>
                <w:rFonts w:ascii="Times New Roman" w:cs="Times New Roman" w:hAnsiTheme="minorEastAsia" w:eastAsiaTheme="minorEastAsia"/>
              </w:rPr>
              <w:t>个表层样点</w:t>
            </w:r>
          </w:p>
        </w:tc>
        <w:tc>
          <w:tcPr>
            <w:tcW w:w="512" w:type="pct"/>
            <w:tcBorders>
              <w:top w:val="single" w:color="auto" w:sz="6" w:space="0"/>
              <w:left w:val="single" w:color="auto" w:sz="4"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2#</w:t>
            </w:r>
          </w:p>
        </w:tc>
        <w:tc>
          <w:tcPr>
            <w:tcW w:w="1500" w:type="pct"/>
            <w:tcBorders>
              <w:top w:val="single" w:color="auto" w:sz="6" w:space="0"/>
              <w:left w:val="single" w:color="auto" w:sz="6" w:space="0"/>
              <w:bottom w:val="single" w:color="auto" w:sz="6" w:space="0"/>
              <w:right w:val="single" w:color="auto" w:sz="6" w:space="0"/>
            </w:tcBorders>
          </w:tcPr>
          <w:p>
            <w:r>
              <w:rPr>
                <w:rFonts w:hint="eastAsia" w:hAnsiTheme="minorEastAsia" w:eastAsiaTheme="minorEastAsia"/>
                <w:szCs w:val="21"/>
              </w:rPr>
              <w:t>基本</w:t>
            </w:r>
            <w:r>
              <w:rPr>
                <w:rFonts w:hAnsiTheme="minorEastAsia" w:eastAsiaTheme="minorEastAsia"/>
                <w:szCs w:val="21"/>
              </w:rPr>
              <w:t>45</w:t>
            </w:r>
            <w:r>
              <w:rPr>
                <w:rFonts w:hint="eastAsia" w:hAnsiTheme="minorEastAsia" w:eastAsiaTheme="minorEastAsia"/>
                <w:szCs w:val="21"/>
              </w:rPr>
              <w:t>项</w:t>
            </w:r>
            <w:r>
              <w:rPr>
                <w:rFonts w:hAnsiTheme="minorEastAsia" w:eastAsiaTheme="minorEastAsia"/>
                <w:szCs w:val="21"/>
              </w:rPr>
              <w:t>+</w:t>
            </w:r>
            <w:r>
              <w:rPr>
                <w:rFonts w:hint="eastAsia" w:hAnsiTheme="minorEastAsia" w:eastAsiaTheme="minorEastAsia"/>
                <w:szCs w:val="21"/>
              </w:rPr>
              <w:t>石油烃</w:t>
            </w:r>
          </w:p>
        </w:tc>
        <w:tc>
          <w:tcPr>
            <w:tcW w:w="649" w:type="pct"/>
            <w:tcBorders>
              <w:top w:val="single" w:color="auto" w:sz="6" w:space="0"/>
              <w:left w:val="single" w:color="auto" w:sz="6" w:space="0"/>
              <w:bottom w:val="single" w:color="auto" w:sz="6" w:space="0"/>
              <w:right w:val="single" w:color="auto" w:sz="12" w:space="0"/>
            </w:tcBorders>
            <w:vAlign w:val="center"/>
          </w:tcPr>
          <w:p>
            <w:pPr>
              <w:pStyle w:val="103"/>
              <w:adjustRightInd/>
              <w:spacing w:line="240" w:lineRule="auto"/>
              <w:jc w:val="center"/>
              <w:rPr>
                <w:rFonts w:ascii="Times New Roman" w:cs="Times New Roman"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108" w:type="dxa"/>
            <w:bottom w:w="85" w:type="dxa"/>
            <w:right w:w="108" w:type="dxa"/>
          </w:tblCellMar>
        </w:tblPrEx>
        <w:trPr>
          <w:trHeight w:val="227" w:hRule="atLeast"/>
          <w:jc w:val="center"/>
        </w:trPr>
        <w:tc>
          <w:tcPr>
            <w:tcW w:w="809" w:type="pct"/>
            <w:vMerge w:val="continue"/>
            <w:tcBorders>
              <w:top w:val="single" w:color="auto" w:sz="6" w:space="0"/>
              <w:left w:val="single" w:color="auto" w:sz="12" w:space="0"/>
              <w:bottom w:val="single" w:color="auto" w:sz="6" w:space="0"/>
              <w:right w:val="single" w:color="auto" w:sz="4" w:space="0"/>
            </w:tcBorders>
            <w:vAlign w:val="center"/>
          </w:tcPr>
          <w:p>
            <w:pPr>
              <w:widowControl/>
              <w:jc w:val="center"/>
              <w:rPr>
                <w:rFonts w:eastAsiaTheme="minorEastAsia"/>
                <w:szCs w:val="21"/>
              </w:rPr>
            </w:pPr>
          </w:p>
        </w:tc>
        <w:tc>
          <w:tcPr>
            <w:tcW w:w="728" w:type="pct"/>
            <w:tcBorders>
              <w:top w:val="single" w:color="auto" w:sz="6" w:space="0"/>
              <w:left w:val="single" w:color="auto" w:sz="4" w:space="0"/>
              <w:bottom w:val="single" w:color="auto" w:sz="6" w:space="0"/>
              <w:right w:val="single" w:color="auto" w:sz="6" w:space="0"/>
            </w:tcBorders>
            <w:vAlign w:val="center"/>
          </w:tcPr>
          <w:p>
            <w:pPr>
              <w:jc w:val="center"/>
              <w:rPr>
                <w:rFonts w:eastAsiaTheme="minorEastAsia"/>
                <w:szCs w:val="21"/>
              </w:rPr>
            </w:pPr>
            <w:r>
              <w:rPr>
                <w:rFonts w:hint="eastAsia" w:hAnsiTheme="minorEastAsia" w:eastAsiaTheme="minorEastAsia"/>
                <w:szCs w:val="21"/>
              </w:rPr>
              <w:t>危废暂存间</w:t>
            </w:r>
          </w:p>
        </w:tc>
        <w:tc>
          <w:tcPr>
            <w:tcW w:w="802" w:type="pct"/>
            <w:tcBorders>
              <w:top w:val="single" w:color="auto" w:sz="6" w:space="0"/>
              <w:left w:val="single" w:color="auto" w:sz="6" w:space="0"/>
              <w:bottom w:val="single" w:color="auto" w:sz="6" w:space="0"/>
              <w:right w:val="single" w:color="auto" w:sz="4"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1</w:t>
            </w:r>
            <w:r>
              <w:rPr>
                <w:rFonts w:ascii="Times New Roman" w:cs="Times New Roman" w:hAnsiTheme="minorEastAsia" w:eastAsiaTheme="minorEastAsia"/>
              </w:rPr>
              <w:t>个柱状样点</w:t>
            </w:r>
          </w:p>
        </w:tc>
        <w:tc>
          <w:tcPr>
            <w:tcW w:w="512" w:type="pct"/>
            <w:tcBorders>
              <w:top w:val="single" w:color="auto" w:sz="6" w:space="0"/>
              <w:left w:val="single" w:color="auto" w:sz="4"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3#</w:t>
            </w:r>
          </w:p>
        </w:tc>
        <w:tc>
          <w:tcPr>
            <w:tcW w:w="1500" w:type="pct"/>
            <w:tcBorders>
              <w:top w:val="single" w:color="auto" w:sz="6" w:space="0"/>
              <w:left w:val="single" w:color="auto" w:sz="6" w:space="0"/>
              <w:bottom w:val="single" w:color="auto" w:sz="6" w:space="0"/>
              <w:right w:val="single" w:color="auto" w:sz="6" w:space="0"/>
            </w:tcBorders>
          </w:tcPr>
          <w:p>
            <w:r>
              <w:rPr>
                <w:rFonts w:hint="eastAsia" w:hAnsiTheme="minorEastAsia" w:eastAsiaTheme="minorEastAsia"/>
                <w:szCs w:val="21"/>
              </w:rPr>
              <w:t>基本</w:t>
            </w:r>
            <w:r>
              <w:rPr>
                <w:rFonts w:hAnsiTheme="minorEastAsia" w:eastAsiaTheme="minorEastAsia"/>
                <w:szCs w:val="21"/>
              </w:rPr>
              <w:t>45</w:t>
            </w:r>
            <w:r>
              <w:rPr>
                <w:rFonts w:hint="eastAsia" w:hAnsiTheme="minorEastAsia" w:eastAsiaTheme="minorEastAsia"/>
                <w:szCs w:val="21"/>
              </w:rPr>
              <w:t>项</w:t>
            </w:r>
            <w:r>
              <w:rPr>
                <w:rFonts w:hAnsiTheme="minorEastAsia" w:eastAsiaTheme="minorEastAsia"/>
                <w:szCs w:val="21"/>
              </w:rPr>
              <w:t>+</w:t>
            </w:r>
            <w:r>
              <w:rPr>
                <w:rFonts w:hint="eastAsia" w:hAnsiTheme="minorEastAsia" w:eastAsiaTheme="minorEastAsia"/>
                <w:szCs w:val="21"/>
              </w:rPr>
              <w:t>石油烃</w:t>
            </w:r>
          </w:p>
        </w:tc>
        <w:tc>
          <w:tcPr>
            <w:tcW w:w="649" w:type="pct"/>
            <w:tcBorders>
              <w:top w:val="single" w:color="auto" w:sz="6" w:space="0"/>
              <w:left w:val="single" w:color="auto" w:sz="6" w:space="0"/>
              <w:bottom w:val="single" w:color="auto" w:sz="6" w:space="0"/>
              <w:right w:val="single" w:color="auto" w:sz="12"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27" w:hRule="atLeast"/>
          <w:jc w:val="center"/>
        </w:trPr>
        <w:tc>
          <w:tcPr>
            <w:tcW w:w="809" w:type="pct"/>
            <w:vMerge w:val="continue"/>
            <w:tcBorders>
              <w:top w:val="single" w:color="auto" w:sz="6" w:space="0"/>
              <w:left w:val="single" w:color="auto" w:sz="12" w:space="0"/>
              <w:bottom w:val="single" w:color="auto" w:sz="6" w:space="0"/>
              <w:right w:val="single" w:color="auto" w:sz="4" w:space="0"/>
            </w:tcBorders>
            <w:vAlign w:val="center"/>
          </w:tcPr>
          <w:p>
            <w:pPr>
              <w:widowControl/>
              <w:jc w:val="center"/>
              <w:rPr>
                <w:rFonts w:eastAsiaTheme="minorEastAsia"/>
                <w:szCs w:val="21"/>
              </w:rPr>
            </w:pPr>
          </w:p>
        </w:tc>
        <w:tc>
          <w:tcPr>
            <w:tcW w:w="728" w:type="pct"/>
            <w:tcBorders>
              <w:top w:val="single" w:color="auto" w:sz="6" w:space="0"/>
              <w:left w:val="single" w:color="auto" w:sz="4" w:space="0"/>
              <w:bottom w:val="single" w:color="auto" w:sz="6" w:space="0"/>
              <w:right w:val="single" w:color="auto" w:sz="6" w:space="0"/>
            </w:tcBorders>
            <w:vAlign w:val="center"/>
          </w:tcPr>
          <w:p>
            <w:pPr>
              <w:jc w:val="center"/>
              <w:rPr>
                <w:rFonts w:eastAsiaTheme="minorEastAsia"/>
                <w:szCs w:val="21"/>
              </w:rPr>
            </w:pPr>
            <w:r>
              <w:rPr>
                <w:rFonts w:hint="eastAsia" w:hAnsiTheme="minorEastAsia" w:eastAsiaTheme="minorEastAsia"/>
                <w:szCs w:val="21"/>
              </w:rPr>
              <w:t>生活污水</w:t>
            </w:r>
            <w:r>
              <w:rPr>
                <w:rFonts w:hAnsiTheme="minorEastAsia" w:eastAsiaTheme="minorEastAsia"/>
                <w:szCs w:val="21"/>
              </w:rPr>
              <w:t>处理站（新增）</w:t>
            </w:r>
          </w:p>
        </w:tc>
        <w:tc>
          <w:tcPr>
            <w:tcW w:w="802" w:type="pct"/>
            <w:tcBorders>
              <w:top w:val="single" w:color="auto" w:sz="6" w:space="0"/>
              <w:left w:val="single" w:color="auto" w:sz="6" w:space="0"/>
              <w:bottom w:val="single" w:color="auto" w:sz="6" w:space="0"/>
              <w:right w:val="single" w:color="auto" w:sz="4"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1</w:t>
            </w:r>
            <w:r>
              <w:rPr>
                <w:rFonts w:ascii="Times New Roman" w:cs="Times New Roman" w:hAnsiTheme="minorEastAsia" w:eastAsiaTheme="minorEastAsia"/>
              </w:rPr>
              <w:t>个柱层样点</w:t>
            </w:r>
          </w:p>
        </w:tc>
        <w:tc>
          <w:tcPr>
            <w:tcW w:w="512" w:type="pct"/>
            <w:tcBorders>
              <w:top w:val="single" w:color="auto" w:sz="6" w:space="0"/>
              <w:left w:val="single" w:color="auto" w:sz="4"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4#</w:t>
            </w:r>
          </w:p>
        </w:tc>
        <w:tc>
          <w:tcPr>
            <w:tcW w:w="1500" w:type="pct"/>
            <w:tcBorders>
              <w:top w:val="single" w:color="auto" w:sz="6" w:space="0"/>
              <w:left w:val="single" w:color="auto" w:sz="6"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基本</w:t>
            </w:r>
            <w:r>
              <w:rPr>
                <w:rFonts w:ascii="Times New Roman" w:hAnsi="Times New Roman" w:cs="Times New Roman" w:eastAsiaTheme="minorEastAsia"/>
              </w:rPr>
              <w:t>45</w:t>
            </w:r>
            <w:r>
              <w:rPr>
                <w:rFonts w:ascii="Times New Roman" w:cs="Times New Roman" w:hAnsiTheme="minorEastAsia" w:eastAsiaTheme="minorEastAsia"/>
              </w:rPr>
              <w:t>项</w:t>
            </w:r>
          </w:p>
        </w:tc>
        <w:tc>
          <w:tcPr>
            <w:tcW w:w="649" w:type="pct"/>
            <w:tcBorders>
              <w:top w:val="single" w:color="auto" w:sz="6" w:space="0"/>
              <w:left w:val="single" w:color="auto" w:sz="6" w:space="0"/>
              <w:bottom w:val="single" w:color="auto" w:sz="6" w:space="0"/>
              <w:right w:val="single" w:color="auto" w:sz="12"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108" w:type="dxa"/>
            <w:bottom w:w="85" w:type="dxa"/>
            <w:right w:w="108" w:type="dxa"/>
          </w:tblCellMar>
        </w:tblPrEx>
        <w:trPr>
          <w:trHeight w:val="227" w:hRule="atLeast"/>
          <w:jc w:val="center"/>
        </w:trPr>
        <w:tc>
          <w:tcPr>
            <w:tcW w:w="809" w:type="pct"/>
            <w:vMerge w:val="continue"/>
            <w:tcBorders>
              <w:top w:val="single" w:color="auto" w:sz="6" w:space="0"/>
              <w:left w:val="single" w:color="auto" w:sz="12" w:space="0"/>
              <w:bottom w:val="single" w:color="auto" w:sz="6" w:space="0"/>
              <w:right w:val="single" w:color="auto" w:sz="4" w:space="0"/>
            </w:tcBorders>
            <w:vAlign w:val="center"/>
          </w:tcPr>
          <w:p>
            <w:pPr>
              <w:widowControl/>
              <w:jc w:val="center"/>
              <w:rPr>
                <w:rFonts w:eastAsiaTheme="minorEastAsia"/>
                <w:szCs w:val="21"/>
              </w:rPr>
            </w:pPr>
          </w:p>
        </w:tc>
        <w:tc>
          <w:tcPr>
            <w:tcW w:w="728" w:type="pct"/>
            <w:tcBorders>
              <w:top w:val="single" w:color="auto" w:sz="6" w:space="0"/>
              <w:left w:val="single" w:color="auto" w:sz="4" w:space="0"/>
              <w:bottom w:val="single" w:color="auto" w:sz="6" w:space="0"/>
              <w:right w:val="single" w:color="auto" w:sz="6" w:space="0"/>
            </w:tcBorders>
            <w:vAlign w:val="center"/>
          </w:tcPr>
          <w:p>
            <w:pPr>
              <w:jc w:val="center"/>
              <w:rPr>
                <w:rFonts w:eastAsiaTheme="minorEastAsia"/>
                <w:szCs w:val="21"/>
              </w:rPr>
            </w:pPr>
            <w:r>
              <w:rPr>
                <w:rFonts w:hAnsiTheme="minorEastAsia" w:eastAsiaTheme="minorEastAsia"/>
                <w:szCs w:val="21"/>
              </w:rPr>
              <w:t>范围外</w:t>
            </w:r>
          </w:p>
        </w:tc>
        <w:tc>
          <w:tcPr>
            <w:tcW w:w="802" w:type="pct"/>
            <w:tcBorders>
              <w:top w:val="single" w:color="auto" w:sz="6" w:space="0"/>
              <w:left w:val="single" w:color="auto" w:sz="6" w:space="0"/>
              <w:bottom w:val="single" w:color="auto" w:sz="6" w:space="0"/>
              <w:right w:val="single" w:color="auto" w:sz="4"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2</w:t>
            </w:r>
            <w:r>
              <w:rPr>
                <w:rFonts w:ascii="Times New Roman" w:cs="Times New Roman" w:hAnsiTheme="minorEastAsia" w:eastAsiaTheme="minorEastAsia"/>
              </w:rPr>
              <w:t>个表层样点</w:t>
            </w:r>
          </w:p>
        </w:tc>
        <w:tc>
          <w:tcPr>
            <w:tcW w:w="512" w:type="pct"/>
            <w:tcBorders>
              <w:top w:val="single" w:color="auto" w:sz="6" w:space="0"/>
              <w:left w:val="single" w:color="auto" w:sz="4"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5#~6#</w:t>
            </w:r>
          </w:p>
        </w:tc>
        <w:tc>
          <w:tcPr>
            <w:tcW w:w="1500" w:type="pct"/>
            <w:tcBorders>
              <w:top w:val="single" w:color="auto" w:sz="6" w:space="0"/>
              <w:left w:val="single" w:color="auto" w:sz="6"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镉、汞、砷、铜、铅、铬、镍、锌</w:t>
            </w:r>
          </w:p>
        </w:tc>
        <w:tc>
          <w:tcPr>
            <w:tcW w:w="649" w:type="pct"/>
            <w:tcBorders>
              <w:top w:val="single" w:color="auto" w:sz="6" w:space="0"/>
              <w:left w:val="single" w:color="auto" w:sz="6" w:space="0"/>
              <w:bottom w:val="single" w:color="auto" w:sz="6" w:space="0"/>
              <w:right w:val="single" w:color="auto" w:sz="12"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27" w:hRule="atLeast"/>
          <w:jc w:val="center"/>
        </w:trPr>
        <w:tc>
          <w:tcPr>
            <w:tcW w:w="809" w:type="pct"/>
            <w:vMerge w:val="restart"/>
            <w:tcBorders>
              <w:top w:val="single" w:color="auto" w:sz="6" w:space="0"/>
              <w:left w:val="single" w:color="auto" w:sz="12" w:space="0"/>
              <w:bottom w:val="single" w:color="auto" w:sz="6" w:space="0"/>
              <w:right w:val="single" w:color="auto" w:sz="4" w:space="0"/>
            </w:tcBorders>
            <w:vAlign w:val="center"/>
          </w:tcPr>
          <w:p>
            <w:pPr>
              <w:jc w:val="center"/>
              <w:rPr>
                <w:rFonts w:eastAsiaTheme="minorEastAsia"/>
                <w:szCs w:val="21"/>
              </w:rPr>
            </w:pPr>
            <w:r>
              <w:rPr>
                <w:rFonts w:hint="eastAsia" w:hAnsiTheme="minorEastAsia" w:eastAsiaTheme="minorEastAsia"/>
                <w:szCs w:val="21"/>
              </w:rPr>
              <w:t>排矸场</w:t>
            </w:r>
          </w:p>
        </w:tc>
        <w:tc>
          <w:tcPr>
            <w:tcW w:w="728" w:type="pct"/>
            <w:vMerge w:val="restart"/>
            <w:tcBorders>
              <w:top w:val="single" w:color="auto" w:sz="6" w:space="0"/>
              <w:left w:val="single" w:color="auto" w:sz="4" w:space="0"/>
              <w:bottom w:val="single" w:color="auto" w:sz="6" w:space="0"/>
              <w:right w:val="single" w:color="auto" w:sz="6" w:space="0"/>
            </w:tcBorders>
            <w:vAlign w:val="center"/>
          </w:tcPr>
          <w:p>
            <w:pPr>
              <w:jc w:val="center"/>
              <w:rPr>
                <w:rFonts w:eastAsiaTheme="minorEastAsia"/>
                <w:szCs w:val="21"/>
              </w:rPr>
            </w:pPr>
            <w:r>
              <w:rPr>
                <w:rFonts w:hAnsiTheme="minorEastAsia" w:eastAsiaTheme="minorEastAsia"/>
                <w:szCs w:val="21"/>
              </w:rPr>
              <w:t>范围内</w:t>
            </w:r>
          </w:p>
          <w:p>
            <w:pPr>
              <w:jc w:val="center"/>
              <w:rPr>
                <w:rFonts w:eastAsiaTheme="minorEastAsia"/>
                <w:szCs w:val="21"/>
              </w:rPr>
            </w:pPr>
          </w:p>
        </w:tc>
        <w:tc>
          <w:tcPr>
            <w:tcW w:w="802" w:type="pct"/>
            <w:tcBorders>
              <w:top w:val="single" w:color="auto" w:sz="6" w:space="0"/>
              <w:left w:val="single" w:color="auto" w:sz="6" w:space="0"/>
              <w:bottom w:val="single" w:color="auto" w:sz="6" w:space="0"/>
              <w:right w:val="single" w:color="auto" w:sz="4"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3</w:t>
            </w:r>
            <w:r>
              <w:rPr>
                <w:rFonts w:ascii="Times New Roman" w:cs="Times New Roman" w:hAnsiTheme="minorEastAsia" w:eastAsiaTheme="minorEastAsia"/>
              </w:rPr>
              <w:t>个柱状样点</w:t>
            </w:r>
          </w:p>
        </w:tc>
        <w:tc>
          <w:tcPr>
            <w:tcW w:w="512" w:type="pct"/>
            <w:tcBorders>
              <w:top w:val="single" w:color="auto" w:sz="6" w:space="0"/>
              <w:left w:val="single" w:color="auto" w:sz="4" w:space="0"/>
              <w:bottom w:val="single" w:color="auto" w:sz="6" w:space="0"/>
              <w:right w:val="single" w:color="auto" w:sz="6" w:space="0"/>
            </w:tcBorders>
            <w:vAlign w:val="center"/>
          </w:tcPr>
          <w:p>
            <w:pPr>
              <w:jc w:val="center"/>
              <w:rPr>
                <w:rFonts w:eastAsiaTheme="minorEastAsia"/>
              </w:rPr>
            </w:pPr>
            <w:r>
              <w:rPr>
                <w:rFonts w:eastAsiaTheme="minorEastAsia"/>
              </w:rPr>
              <w:t>7#~9#</w:t>
            </w:r>
          </w:p>
        </w:tc>
        <w:tc>
          <w:tcPr>
            <w:tcW w:w="1500" w:type="pct"/>
            <w:tcBorders>
              <w:top w:val="single" w:color="auto" w:sz="6" w:space="0"/>
              <w:left w:val="single" w:color="auto" w:sz="6"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基本</w:t>
            </w:r>
            <w:r>
              <w:rPr>
                <w:rFonts w:ascii="Times New Roman" w:hAnsi="Times New Roman" w:cs="Times New Roman" w:eastAsiaTheme="minorEastAsia"/>
              </w:rPr>
              <w:t>45</w:t>
            </w:r>
            <w:r>
              <w:rPr>
                <w:rFonts w:ascii="Times New Roman" w:cs="Times New Roman" w:hAnsiTheme="minorEastAsia" w:eastAsiaTheme="minorEastAsia"/>
              </w:rPr>
              <w:t>项</w:t>
            </w:r>
            <w:r>
              <w:rPr>
                <w:rFonts w:ascii="Times New Roman" w:hAnsi="Times New Roman" w:cs="Times New Roman" w:eastAsiaTheme="minorEastAsia"/>
              </w:rPr>
              <w:t>+ pH</w:t>
            </w:r>
            <w:r>
              <w:rPr>
                <w:rFonts w:ascii="Times New Roman" w:cs="Times New Roman" w:hAnsiTheme="minorEastAsia" w:eastAsiaTheme="minorEastAsia"/>
              </w:rPr>
              <w:t>、总铬、锌、铍、钡、氟化物、氰化物</w:t>
            </w:r>
          </w:p>
        </w:tc>
        <w:tc>
          <w:tcPr>
            <w:tcW w:w="649" w:type="pct"/>
            <w:vMerge w:val="restart"/>
            <w:tcBorders>
              <w:top w:val="single" w:color="auto" w:sz="6" w:space="0"/>
              <w:left w:val="single" w:color="auto" w:sz="6" w:space="0"/>
              <w:bottom w:val="single" w:color="auto" w:sz="6" w:space="0"/>
              <w:right w:val="single" w:color="auto" w:sz="12"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108" w:type="dxa"/>
            <w:bottom w:w="85" w:type="dxa"/>
            <w:right w:w="108" w:type="dxa"/>
          </w:tblCellMar>
        </w:tblPrEx>
        <w:trPr>
          <w:trHeight w:val="227" w:hRule="atLeast"/>
          <w:jc w:val="center"/>
        </w:trPr>
        <w:tc>
          <w:tcPr>
            <w:tcW w:w="809" w:type="pct"/>
            <w:vMerge w:val="continue"/>
            <w:tcBorders>
              <w:top w:val="single" w:color="auto" w:sz="6" w:space="0"/>
              <w:left w:val="single" w:color="auto" w:sz="12" w:space="0"/>
              <w:bottom w:val="single" w:color="auto" w:sz="6" w:space="0"/>
              <w:right w:val="single" w:color="auto" w:sz="4" w:space="0"/>
            </w:tcBorders>
            <w:vAlign w:val="center"/>
          </w:tcPr>
          <w:p>
            <w:pPr>
              <w:widowControl/>
              <w:jc w:val="center"/>
              <w:rPr>
                <w:rFonts w:eastAsiaTheme="minorEastAsia"/>
                <w:szCs w:val="21"/>
              </w:rPr>
            </w:pPr>
          </w:p>
        </w:tc>
        <w:tc>
          <w:tcPr>
            <w:tcW w:w="728" w:type="pct"/>
            <w:vMerge w:val="continue"/>
            <w:tcBorders>
              <w:top w:val="single" w:color="auto" w:sz="6" w:space="0"/>
              <w:left w:val="single" w:color="auto" w:sz="4" w:space="0"/>
              <w:bottom w:val="single" w:color="auto" w:sz="6" w:space="0"/>
              <w:right w:val="single" w:color="auto" w:sz="6" w:space="0"/>
            </w:tcBorders>
            <w:vAlign w:val="center"/>
          </w:tcPr>
          <w:p>
            <w:pPr>
              <w:widowControl/>
              <w:jc w:val="center"/>
              <w:rPr>
                <w:rFonts w:eastAsiaTheme="minorEastAsia"/>
                <w:szCs w:val="21"/>
              </w:rPr>
            </w:pPr>
          </w:p>
        </w:tc>
        <w:tc>
          <w:tcPr>
            <w:tcW w:w="802" w:type="pct"/>
            <w:tcBorders>
              <w:top w:val="single" w:color="auto" w:sz="6" w:space="0"/>
              <w:left w:val="single" w:color="auto" w:sz="6" w:space="0"/>
              <w:bottom w:val="single" w:color="auto" w:sz="6" w:space="0"/>
              <w:right w:val="single" w:color="auto" w:sz="4"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1</w:t>
            </w:r>
            <w:r>
              <w:rPr>
                <w:rFonts w:ascii="Times New Roman" w:cs="Times New Roman" w:hAnsiTheme="minorEastAsia" w:eastAsiaTheme="minorEastAsia"/>
              </w:rPr>
              <w:t>个表层样点</w:t>
            </w:r>
          </w:p>
        </w:tc>
        <w:tc>
          <w:tcPr>
            <w:tcW w:w="512" w:type="pct"/>
            <w:tcBorders>
              <w:top w:val="single" w:color="auto" w:sz="6" w:space="0"/>
              <w:left w:val="single" w:color="auto" w:sz="4"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10#</w:t>
            </w:r>
          </w:p>
        </w:tc>
        <w:tc>
          <w:tcPr>
            <w:tcW w:w="1500" w:type="pct"/>
            <w:tcBorders>
              <w:top w:val="single" w:color="auto" w:sz="6" w:space="0"/>
              <w:left w:val="single" w:color="auto" w:sz="6"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cs="Times New Roman" w:hAnsiTheme="minorEastAsia" w:eastAsiaTheme="minorEastAsia"/>
              </w:rPr>
              <w:t>基本</w:t>
            </w:r>
            <w:r>
              <w:rPr>
                <w:rFonts w:ascii="Times New Roman" w:hAnsi="Times New Roman" w:cs="Times New Roman" w:eastAsiaTheme="minorEastAsia"/>
              </w:rPr>
              <w:t>45</w:t>
            </w:r>
            <w:r>
              <w:rPr>
                <w:rFonts w:ascii="Times New Roman" w:cs="Times New Roman" w:hAnsiTheme="minorEastAsia" w:eastAsiaTheme="minorEastAsia"/>
              </w:rPr>
              <w:t>项</w:t>
            </w:r>
            <w:r>
              <w:rPr>
                <w:rFonts w:ascii="Times New Roman" w:hAnsi="Times New Roman" w:cs="Times New Roman" w:eastAsiaTheme="minorEastAsia"/>
              </w:rPr>
              <w:t>+ pH</w:t>
            </w:r>
            <w:r>
              <w:rPr>
                <w:rFonts w:ascii="Times New Roman" w:cs="Times New Roman" w:hAnsiTheme="minorEastAsia" w:eastAsiaTheme="minorEastAsia"/>
              </w:rPr>
              <w:t>、总铬、锌、铍、钡、氟化物、氰化物</w:t>
            </w:r>
          </w:p>
        </w:tc>
        <w:tc>
          <w:tcPr>
            <w:tcW w:w="0" w:type="auto"/>
            <w:vMerge w:val="continue"/>
            <w:tcBorders>
              <w:top w:val="single" w:color="auto" w:sz="6" w:space="0"/>
              <w:left w:val="single" w:color="auto" w:sz="6" w:space="0"/>
              <w:bottom w:val="single" w:color="auto" w:sz="6" w:space="0"/>
              <w:right w:val="single" w:color="auto" w:sz="12" w:space="0"/>
            </w:tcBorders>
            <w:vAlign w:val="center"/>
          </w:tcPr>
          <w:p>
            <w:pPr>
              <w:widowControl/>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108" w:type="dxa"/>
            <w:bottom w:w="85" w:type="dxa"/>
            <w:right w:w="108" w:type="dxa"/>
          </w:tblCellMar>
        </w:tblPrEx>
        <w:trPr>
          <w:trHeight w:val="227" w:hRule="atLeast"/>
          <w:jc w:val="center"/>
        </w:trPr>
        <w:tc>
          <w:tcPr>
            <w:tcW w:w="809" w:type="pct"/>
            <w:vMerge w:val="continue"/>
            <w:tcBorders>
              <w:top w:val="single" w:color="auto" w:sz="6" w:space="0"/>
              <w:left w:val="single" w:color="auto" w:sz="12" w:space="0"/>
              <w:bottom w:val="single" w:color="auto" w:sz="6" w:space="0"/>
              <w:right w:val="single" w:color="auto" w:sz="4" w:space="0"/>
            </w:tcBorders>
            <w:vAlign w:val="center"/>
          </w:tcPr>
          <w:p>
            <w:pPr>
              <w:widowControl/>
              <w:jc w:val="center"/>
              <w:rPr>
                <w:rFonts w:eastAsiaTheme="minorEastAsia"/>
                <w:szCs w:val="21"/>
              </w:rPr>
            </w:pPr>
          </w:p>
        </w:tc>
        <w:tc>
          <w:tcPr>
            <w:tcW w:w="728" w:type="pct"/>
            <w:tcBorders>
              <w:top w:val="single" w:color="auto" w:sz="6" w:space="0"/>
              <w:left w:val="single" w:color="auto" w:sz="4" w:space="0"/>
              <w:bottom w:val="single" w:color="auto" w:sz="6" w:space="0"/>
              <w:right w:val="single" w:color="auto" w:sz="6" w:space="0"/>
            </w:tcBorders>
            <w:vAlign w:val="center"/>
          </w:tcPr>
          <w:p>
            <w:pPr>
              <w:jc w:val="center"/>
              <w:rPr>
                <w:rFonts w:eastAsiaTheme="minorEastAsia"/>
                <w:szCs w:val="21"/>
              </w:rPr>
            </w:pPr>
            <w:r>
              <w:rPr>
                <w:rFonts w:hAnsiTheme="minorEastAsia" w:eastAsiaTheme="minorEastAsia"/>
                <w:szCs w:val="21"/>
              </w:rPr>
              <w:t>范围外</w:t>
            </w:r>
          </w:p>
        </w:tc>
        <w:tc>
          <w:tcPr>
            <w:tcW w:w="802" w:type="pct"/>
            <w:tcBorders>
              <w:top w:val="single" w:color="auto" w:sz="6" w:space="0"/>
              <w:left w:val="single" w:color="auto" w:sz="6" w:space="0"/>
              <w:bottom w:val="single" w:color="auto" w:sz="6" w:space="0"/>
              <w:right w:val="single" w:color="auto" w:sz="4"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2</w:t>
            </w:r>
            <w:r>
              <w:rPr>
                <w:rFonts w:ascii="Times New Roman" w:cs="Times New Roman" w:hAnsiTheme="minorEastAsia" w:eastAsiaTheme="minorEastAsia"/>
              </w:rPr>
              <w:t>个表层样点</w:t>
            </w:r>
          </w:p>
        </w:tc>
        <w:tc>
          <w:tcPr>
            <w:tcW w:w="512" w:type="pct"/>
            <w:tcBorders>
              <w:top w:val="single" w:color="auto" w:sz="6" w:space="0"/>
              <w:left w:val="single" w:color="auto" w:sz="4"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11#~12#</w:t>
            </w:r>
          </w:p>
        </w:tc>
        <w:tc>
          <w:tcPr>
            <w:tcW w:w="1500" w:type="pct"/>
            <w:tcBorders>
              <w:top w:val="single" w:color="auto" w:sz="6" w:space="0"/>
              <w:left w:val="single" w:color="auto" w:sz="6" w:space="0"/>
              <w:bottom w:val="single" w:color="auto" w:sz="6" w:space="0"/>
              <w:right w:val="single" w:color="auto" w:sz="6" w:space="0"/>
            </w:tcBorders>
            <w:vAlign w:val="center"/>
          </w:tcPr>
          <w:p>
            <w:pPr>
              <w:pStyle w:val="103"/>
              <w:adjustRightInd/>
              <w:spacing w:line="240" w:lineRule="auto"/>
              <w:jc w:val="center"/>
              <w:rPr>
                <w:rFonts w:ascii="Times New Roman" w:hAnsi="Times New Roman" w:cs="Times New Roman" w:eastAsiaTheme="minorEastAsia"/>
              </w:rPr>
            </w:pPr>
            <w:r>
              <w:rPr>
                <w:rFonts w:ascii="Times New Roman" w:hAnsi="Times New Roman" w:cs="Times New Roman" w:eastAsiaTheme="minorEastAsia"/>
              </w:rPr>
              <w:t>pH</w:t>
            </w:r>
            <w:r>
              <w:rPr>
                <w:rFonts w:ascii="Times New Roman" w:cs="Times New Roman" w:hAnsiTheme="minorEastAsia" w:eastAsiaTheme="minorEastAsia"/>
              </w:rPr>
              <w:t>、汞、铅、镉、总铬、铜、锌、铍、钡、镍、砷、氟化物、氰化物</w:t>
            </w:r>
          </w:p>
        </w:tc>
        <w:tc>
          <w:tcPr>
            <w:tcW w:w="0" w:type="auto"/>
            <w:vMerge w:val="continue"/>
            <w:tcBorders>
              <w:top w:val="single" w:color="auto" w:sz="6" w:space="0"/>
              <w:left w:val="single" w:color="auto" w:sz="6" w:space="0"/>
              <w:bottom w:val="single" w:color="auto" w:sz="6" w:space="0"/>
              <w:right w:val="single" w:color="auto" w:sz="12" w:space="0"/>
            </w:tcBorders>
            <w:vAlign w:val="center"/>
          </w:tcPr>
          <w:p>
            <w:pPr>
              <w:widowControl/>
              <w:jc w:val="center"/>
              <w:rPr>
                <w:rFonts w:eastAsiaTheme="minorEastAsia"/>
                <w:szCs w:val="21"/>
              </w:rPr>
            </w:pPr>
          </w:p>
        </w:tc>
      </w:tr>
    </w:tbl>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）监测项目</w:t>
      </w:r>
    </w:p>
    <w:p>
      <w:pPr>
        <w:spacing w:line="360" w:lineRule="auto"/>
        <w:ind w:firstLine="480" w:firstLineChars="200"/>
        <w:rPr>
          <w:rFonts w:eastAsiaTheme="minorEastAsia"/>
          <w:sz w:val="24"/>
        </w:rPr>
      </w:pPr>
      <w:r>
        <w:rPr>
          <w:rFonts w:hAnsiTheme="minorEastAsia" w:eastAsiaTheme="minorEastAsia"/>
          <w:sz w:val="24"/>
        </w:rPr>
        <w:t>基本项目：镉、汞、砷、铜、铅、六价铬、镍、四氯化碳、氯仿、氯甲烷、</w:t>
      </w:r>
      <w:r>
        <w:rPr>
          <w:rFonts w:eastAsiaTheme="minorEastAsia"/>
          <w:sz w:val="24"/>
        </w:rPr>
        <w:t>1,1-</w:t>
      </w:r>
      <w:r>
        <w:rPr>
          <w:rFonts w:hAnsiTheme="minorEastAsia" w:eastAsiaTheme="minorEastAsia"/>
          <w:sz w:val="24"/>
        </w:rPr>
        <w:t>二氯乙烷、</w:t>
      </w:r>
      <w:r>
        <w:rPr>
          <w:rFonts w:eastAsiaTheme="minorEastAsia"/>
          <w:sz w:val="24"/>
        </w:rPr>
        <w:t>1,2-</w:t>
      </w:r>
      <w:r>
        <w:rPr>
          <w:rFonts w:hAnsiTheme="minorEastAsia" w:eastAsiaTheme="minorEastAsia"/>
          <w:sz w:val="24"/>
        </w:rPr>
        <w:t>二氯乙烷、</w:t>
      </w:r>
      <w:r>
        <w:rPr>
          <w:rFonts w:eastAsiaTheme="minorEastAsia"/>
          <w:sz w:val="24"/>
        </w:rPr>
        <w:t>1,1-</w:t>
      </w:r>
      <w:r>
        <w:rPr>
          <w:rFonts w:hAnsiTheme="minorEastAsia" w:eastAsiaTheme="minorEastAsia"/>
          <w:sz w:val="24"/>
        </w:rPr>
        <w:t>二氯乙烯、顺</w:t>
      </w:r>
      <w:r>
        <w:rPr>
          <w:rFonts w:eastAsiaTheme="minorEastAsia"/>
          <w:sz w:val="24"/>
        </w:rPr>
        <w:t>-1,2-</w:t>
      </w:r>
      <w:r>
        <w:rPr>
          <w:rFonts w:hAnsiTheme="minorEastAsia" w:eastAsiaTheme="minorEastAsia"/>
          <w:sz w:val="24"/>
        </w:rPr>
        <w:t>二氯乙烯、反</w:t>
      </w:r>
      <w:r>
        <w:rPr>
          <w:rFonts w:eastAsiaTheme="minorEastAsia"/>
          <w:sz w:val="24"/>
        </w:rPr>
        <w:t>-1,2-</w:t>
      </w:r>
      <w:r>
        <w:rPr>
          <w:rFonts w:hAnsiTheme="minorEastAsia" w:eastAsiaTheme="minorEastAsia"/>
          <w:sz w:val="24"/>
        </w:rPr>
        <w:t>二氯乙烯、二氯甲烷、</w:t>
      </w:r>
      <w:r>
        <w:rPr>
          <w:rFonts w:eastAsiaTheme="minorEastAsia"/>
          <w:sz w:val="24"/>
        </w:rPr>
        <w:t>1,2-</w:t>
      </w:r>
      <w:r>
        <w:rPr>
          <w:rFonts w:hAnsiTheme="minorEastAsia" w:eastAsiaTheme="minorEastAsia"/>
          <w:sz w:val="24"/>
        </w:rPr>
        <w:t>二氯丙烷、</w:t>
      </w:r>
      <w:r>
        <w:rPr>
          <w:rFonts w:eastAsiaTheme="minorEastAsia"/>
          <w:sz w:val="24"/>
        </w:rPr>
        <w:t>1,1,1,2-</w:t>
      </w:r>
      <w:r>
        <w:rPr>
          <w:rFonts w:hAnsiTheme="minorEastAsia" w:eastAsiaTheme="minorEastAsia"/>
          <w:sz w:val="24"/>
        </w:rPr>
        <w:t>四氯乙烷、</w:t>
      </w:r>
      <w:r>
        <w:rPr>
          <w:rFonts w:eastAsiaTheme="minorEastAsia"/>
          <w:sz w:val="24"/>
        </w:rPr>
        <w:t>1,1,2,2-</w:t>
      </w:r>
      <w:r>
        <w:rPr>
          <w:rFonts w:hAnsiTheme="minorEastAsia" w:eastAsiaTheme="minorEastAsia"/>
          <w:sz w:val="24"/>
        </w:rPr>
        <w:t>四氯乙烷、四氯乙烯、</w:t>
      </w:r>
      <w:r>
        <w:rPr>
          <w:rFonts w:eastAsiaTheme="minorEastAsia"/>
          <w:sz w:val="24"/>
        </w:rPr>
        <w:t>1,1,1-</w:t>
      </w:r>
      <w:r>
        <w:rPr>
          <w:rFonts w:hAnsiTheme="minorEastAsia" w:eastAsiaTheme="minorEastAsia"/>
          <w:sz w:val="24"/>
        </w:rPr>
        <w:t>三氯乙烷、</w:t>
      </w:r>
      <w:r>
        <w:rPr>
          <w:rFonts w:eastAsiaTheme="minorEastAsia"/>
          <w:sz w:val="24"/>
        </w:rPr>
        <w:t>1,1,2-</w:t>
      </w:r>
      <w:r>
        <w:rPr>
          <w:rFonts w:hAnsiTheme="minorEastAsia" w:eastAsiaTheme="minorEastAsia"/>
          <w:sz w:val="24"/>
        </w:rPr>
        <w:t>三氯乙烷、三氯乙烯、</w:t>
      </w:r>
      <w:r>
        <w:rPr>
          <w:rFonts w:eastAsiaTheme="minorEastAsia"/>
          <w:sz w:val="24"/>
        </w:rPr>
        <w:t>1,2,3,-</w:t>
      </w:r>
      <w:r>
        <w:rPr>
          <w:rFonts w:hAnsiTheme="minorEastAsia" w:eastAsiaTheme="minorEastAsia"/>
          <w:sz w:val="24"/>
        </w:rPr>
        <w:t>三氯丙烷、氯乙烯、苯、氯苯、</w:t>
      </w:r>
      <w:r>
        <w:rPr>
          <w:rFonts w:eastAsiaTheme="minorEastAsia"/>
          <w:sz w:val="24"/>
        </w:rPr>
        <w:t>1,2-</w:t>
      </w:r>
      <w:r>
        <w:rPr>
          <w:rFonts w:hAnsiTheme="minorEastAsia" w:eastAsiaTheme="minorEastAsia"/>
          <w:sz w:val="24"/>
        </w:rPr>
        <w:t>二氯苯、</w:t>
      </w:r>
      <w:r>
        <w:rPr>
          <w:rFonts w:eastAsiaTheme="minorEastAsia"/>
          <w:sz w:val="24"/>
        </w:rPr>
        <w:t>1,4-</w:t>
      </w:r>
      <w:r>
        <w:rPr>
          <w:rFonts w:hAnsiTheme="minorEastAsia" w:eastAsiaTheme="minorEastAsia"/>
          <w:sz w:val="24"/>
        </w:rPr>
        <w:t>二氯苯、乙苯、苯乙烯、甲苯、间二甲苯</w:t>
      </w:r>
      <w:r>
        <w:rPr>
          <w:rFonts w:eastAsiaTheme="minorEastAsia"/>
          <w:sz w:val="24"/>
        </w:rPr>
        <w:t>+</w:t>
      </w:r>
      <w:r>
        <w:rPr>
          <w:rFonts w:hAnsiTheme="minorEastAsia" w:eastAsiaTheme="minorEastAsia"/>
          <w:sz w:val="24"/>
        </w:rPr>
        <w:t>对二甲苯、邻二甲苯、硝基苯、苯胺、</w:t>
      </w:r>
      <w:r>
        <w:rPr>
          <w:rFonts w:eastAsiaTheme="minorEastAsia"/>
          <w:sz w:val="24"/>
        </w:rPr>
        <w:t>2-</w:t>
      </w:r>
      <w:r>
        <w:rPr>
          <w:rFonts w:hAnsiTheme="minorEastAsia" w:eastAsiaTheme="minorEastAsia"/>
          <w:sz w:val="24"/>
        </w:rPr>
        <w:t>氯酚、苯并</w:t>
      </w:r>
      <w:r>
        <w:rPr>
          <w:rFonts w:eastAsiaTheme="minorEastAsia"/>
          <w:sz w:val="24"/>
        </w:rPr>
        <w:t>[a]</w:t>
      </w:r>
      <w:r>
        <w:rPr>
          <w:rFonts w:hAnsiTheme="minorEastAsia" w:eastAsiaTheme="minorEastAsia"/>
          <w:sz w:val="24"/>
        </w:rPr>
        <w:t>蒽、苯并</w:t>
      </w:r>
      <w:r>
        <w:rPr>
          <w:rFonts w:eastAsiaTheme="minorEastAsia"/>
          <w:sz w:val="24"/>
        </w:rPr>
        <w:t>[a]</w:t>
      </w:r>
      <w:r>
        <w:rPr>
          <w:rFonts w:hAnsiTheme="minorEastAsia" w:eastAsiaTheme="minorEastAsia"/>
          <w:sz w:val="24"/>
        </w:rPr>
        <w:t>芘、苯并</w:t>
      </w:r>
      <w:r>
        <w:rPr>
          <w:rFonts w:eastAsiaTheme="minorEastAsia"/>
          <w:sz w:val="24"/>
        </w:rPr>
        <w:t>[b]</w:t>
      </w:r>
      <w:r>
        <w:rPr>
          <w:rFonts w:hAnsiTheme="minorEastAsia" w:eastAsiaTheme="minorEastAsia"/>
          <w:sz w:val="24"/>
        </w:rPr>
        <w:t>荧蒽、苯并</w:t>
      </w:r>
      <w:r>
        <w:rPr>
          <w:rFonts w:eastAsiaTheme="minorEastAsia"/>
          <w:sz w:val="24"/>
        </w:rPr>
        <w:t>[k]</w:t>
      </w:r>
      <w:r>
        <w:rPr>
          <w:rFonts w:hAnsiTheme="minorEastAsia" w:eastAsiaTheme="minorEastAsia"/>
          <w:sz w:val="24"/>
        </w:rPr>
        <w:t>荧蒽、䓛、二苯并</w:t>
      </w:r>
      <w:r>
        <w:rPr>
          <w:rFonts w:eastAsiaTheme="minorEastAsia"/>
          <w:sz w:val="24"/>
        </w:rPr>
        <w:t>[a,h]</w:t>
      </w:r>
      <w:r>
        <w:rPr>
          <w:rFonts w:hAnsiTheme="minorEastAsia" w:eastAsiaTheme="minorEastAsia"/>
          <w:sz w:val="24"/>
        </w:rPr>
        <w:t>蒽、茚并</w:t>
      </w:r>
      <w:r>
        <w:rPr>
          <w:rFonts w:eastAsiaTheme="minorEastAsia"/>
          <w:sz w:val="24"/>
        </w:rPr>
        <w:t>[1,2,3-cd]</w:t>
      </w:r>
      <w:r>
        <w:rPr>
          <w:rFonts w:hAnsiTheme="minorEastAsia" w:eastAsiaTheme="minorEastAsia"/>
          <w:sz w:val="24"/>
        </w:rPr>
        <w:t>芘、萘。共</w:t>
      </w:r>
      <w:r>
        <w:rPr>
          <w:rFonts w:eastAsiaTheme="minorEastAsia"/>
          <w:sz w:val="24"/>
        </w:rPr>
        <w:t>45</w:t>
      </w:r>
      <w:r>
        <w:rPr>
          <w:rFonts w:hAnsiTheme="minorEastAsia" w:eastAsiaTheme="minorEastAsia"/>
          <w:sz w:val="24"/>
        </w:rPr>
        <w:t>项基本项。</w:t>
      </w:r>
    </w:p>
    <w:p>
      <w:pPr>
        <w:spacing w:line="360" w:lineRule="auto"/>
        <w:ind w:firstLine="480" w:firstLineChars="200"/>
        <w:rPr>
          <w:rFonts w:eastAsiaTheme="minorEastAsia"/>
          <w:sz w:val="24"/>
        </w:rPr>
      </w:pPr>
      <w:r>
        <w:rPr>
          <w:rFonts w:hAnsiTheme="minorEastAsia" w:eastAsiaTheme="minorEastAsia"/>
          <w:sz w:val="24"/>
        </w:rPr>
        <w:t>特征污染因子：汞、铅、镉、总铬、铜、锌、铍、钡、镍、砷、氟化物、氰化物</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）监测时间和频次</w:t>
      </w:r>
    </w:p>
    <w:p>
      <w:pPr>
        <w:spacing w:line="360" w:lineRule="auto"/>
        <w:ind w:firstLine="600" w:firstLineChars="250"/>
        <w:rPr>
          <w:rFonts w:eastAsiaTheme="minorEastAsia"/>
          <w:sz w:val="24"/>
        </w:rPr>
      </w:pPr>
      <w:r>
        <w:rPr>
          <w:rFonts w:eastAsiaTheme="minorEastAsia"/>
          <w:sz w:val="24"/>
        </w:rPr>
        <w:t>20</w:t>
      </w:r>
      <w:r>
        <w:rPr>
          <w:rFonts w:hint="eastAsia" w:eastAsiaTheme="minorEastAsia"/>
          <w:sz w:val="24"/>
        </w:rPr>
        <w:t>21</w:t>
      </w:r>
      <w:r>
        <w:rPr>
          <w:rFonts w:hAnsiTheme="minorEastAsia" w:eastAsiaTheme="minorEastAsia"/>
          <w:sz w:val="24"/>
        </w:rPr>
        <w:t>年</w:t>
      </w:r>
      <w:r>
        <w:rPr>
          <w:rFonts w:hint="eastAsia" w:eastAsiaTheme="minorEastAsia"/>
          <w:sz w:val="24"/>
        </w:rPr>
        <w:t>2</w:t>
      </w:r>
      <w:r>
        <w:rPr>
          <w:rFonts w:hAnsiTheme="minorEastAsia" w:eastAsiaTheme="minorEastAsia"/>
          <w:sz w:val="24"/>
        </w:rPr>
        <w:t>月</w:t>
      </w:r>
      <w:r>
        <w:rPr>
          <w:rFonts w:hint="eastAsia" w:eastAsiaTheme="minorEastAsia"/>
          <w:sz w:val="24"/>
        </w:rPr>
        <w:t>25</w:t>
      </w:r>
      <w:r>
        <w:rPr>
          <w:rFonts w:hAnsiTheme="minorEastAsia" w:eastAsiaTheme="minorEastAsia"/>
          <w:sz w:val="24"/>
        </w:rPr>
        <w:t>日，一次。</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）采样和分析方法</w:t>
      </w:r>
    </w:p>
    <w:p>
      <w:pPr>
        <w:spacing w:line="360" w:lineRule="auto"/>
        <w:ind w:firstLine="480" w:firstLineChars="200"/>
        <w:rPr>
          <w:rFonts w:eastAsiaTheme="minorEastAsia"/>
          <w:sz w:val="24"/>
        </w:rPr>
      </w:pPr>
      <w:r>
        <w:rPr>
          <w:rFonts w:hAnsiTheme="minorEastAsia" w:eastAsiaTheme="minorEastAsia"/>
          <w:sz w:val="24"/>
        </w:rPr>
        <w:t>表层样监测点取样方法参照</w:t>
      </w:r>
      <w:r>
        <w:rPr>
          <w:rFonts w:eastAsiaTheme="minorEastAsia"/>
          <w:sz w:val="24"/>
        </w:rPr>
        <w:t>HJ/T166</w:t>
      </w:r>
      <w:r>
        <w:rPr>
          <w:rFonts w:hAnsiTheme="minorEastAsia" w:eastAsiaTheme="minorEastAsia"/>
          <w:sz w:val="24"/>
        </w:rPr>
        <w:t>执行。柱状样监测点取样方法参照</w:t>
      </w:r>
      <w:r>
        <w:rPr>
          <w:rFonts w:eastAsiaTheme="minorEastAsia"/>
          <w:sz w:val="24"/>
        </w:rPr>
        <w:t>HJ25.1</w:t>
      </w:r>
      <w:r>
        <w:rPr>
          <w:rFonts w:hAnsiTheme="minorEastAsia" w:eastAsiaTheme="minorEastAsia"/>
          <w:sz w:val="24"/>
        </w:rPr>
        <w:t>、</w:t>
      </w:r>
      <w:r>
        <w:rPr>
          <w:rFonts w:eastAsiaTheme="minorEastAsia"/>
          <w:sz w:val="24"/>
        </w:rPr>
        <w:t>HJ25.2</w:t>
      </w:r>
      <w:r>
        <w:rPr>
          <w:rFonts w:hAnsiTheme="minorEastAsia" w:eastAsiaTheme="minorEastAsia"/>
          <w:sz w:val="24"/>
        </w:rPr>
        <w:t>执行。</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）监测结果</w:t>
      </w:r>
    </w:p>
    <w:p>
      <w:pPr>
        <w:spacing w:line="360" w:lineRule="auto"/>
        <w:ind w:firstLine="480" w:firstLineChars="200"/>
        <w:rPr>
          <w:rFonts w:eastAsiaTheme="minorEastAsia"/>
          <w:sz w:val="24"/>
        </w:rPr>
      </w:pPr>
      <w:r>
        <w:rPr>
          <w:rFonts w:hAnsiTheme="minorEastAsia" w:eastAsiaTheme="minorEastAsia"/>
          <w:sz w:val="24"/>
        </w:rPr>
        <w:t>土壤检测结果详见表</w:t>
      </w:r>
      <w:r>
        <w:rPr>
          <w:rFonts w:eastAsiaTheme="minorEastAsia"/>
          <w:sz w:val="24"/>
        </w:rPr>
        <w:t>4.3-1</w:t>
      </w:r>
      <w:r>
        <w:rPr>
          <w:rFonts w:hint="eastAsia" w:eastAsiaTheme="minorEastAsia"/>
          <w:sz w:val="24"/>
        </w:rPr>
        <w:t>5</w:t>
      </w:r>
      <w:r>
        <w:rPr>
          <w:rFonts w:hAnsiTheme="minorEastAsia" w:eastAsiaTheme="minorEastAsia"/>
          <w:sz w:val="24"/>
        </w:rPr>
        <w:t>。</w:t>
      </w:r>
    </w:p>
    <w:p>
      <w:pPr>
        <w:spacing w:line="360" w:lineRule="auto"/>
        <w:jc w:val="center"/>
        <w:rPr>
          <w:rFonts w:eastAsiaTheme="minorEastAsia"/>
          <w:b/>
          <w:szCs w:val="21"/>
        </w:rPr>
        <w:sectPr>
          <w:headerReference r:id="rId24" w:type="default"/>
          <w:footerReference r:id="rId25" w:type="default"/>
          <w:pgSz w:w="11906" w:h="16838"/>
          <w:pgMar w:top="1701" w:right="1418" w:bottom="1701" w:left="1418" w:header="1134" w:footer="992" w:gutter="0"/>
          <w:cols w:space="425" w:num="1"/>
          <w:docGrid w:type="lines" w:linePitch="312" w:charSpace="0"/>
        </w:sectPr>
      </w:pP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4.3-1</w:t>
      </w:r>
      <w:r>
        <w:rPr>
          <w:rFonts w:hint="eastAsia" w:eastAsiaTheme="minorEastAsia"/>
          <w:b/>
          <w:szCs w:val="21"/>
        </w:rPr>
        <w:t>5 污染性</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409"/>
        <w:gridCol w:w="508"/>
        <w:gridCol w:w="792"/>
        <w:gridCol w:w="919"/>
        <w:gridCol w:w="858"/>
        <w:gridCol w:w="858"/>
        <w:gridCol w:w="858"/>
        <w:gridCol w:w="858"/>
        <w:gridCol w:w="877"/>
        <w:gridCol w:w="844"/>
        <w:gridCol w:w="905"/>
        <w:gridCol w:w="919"/>
        <w:gridCol w:w="858"/>
        <w:gridCol w:w="905"/>
        <w:gridCol w:w="75"/>
        <w:gridCol w:w="8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25" w:hRule="exact"/>
          <w:jc w:val="center"/>
        </w:trPr>
        <w:tc>
          <w:tcPr>
            <w:tcW w:w="675"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09"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点位</w:t>
            </w:r>
          </w:p>
        </w:tc>
        <w:tc>
          <w:tcPr>
            <w:tcW w:w="508"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4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40" w:lineRule="exact"/>
              <w:ind w:left="-105" w:leftChars="-50" w:right="-105" w:rightChars="-50"/>
              <w:jc w:val="center"/>
              <w:rPr>
                <w:rFonts w:eastAsiaTheme="minorEastAsia"/>
                <w:bCs/>
                <w:szCs w:val="21"/>
              </w:rPr>
            </w:pPr>
            <w:r>
              <w:rPr>
                <w:rFonts w:eastAsiaTheme="minorEastAsia"/>
                <w:bCs/>
                <w:szCs w:val="21"/>
              </w:rPr>
              <w:t>(m)</w:t>
            </w:r>
          </w:p>
        </w:tc>
        <w:tc>
          <w:tcPr>
            <w:tcW w:w="11373"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exact"/>
          <w:jc w:val="center"/>
        </w:trPr>
        <w:tc>
          <w:tcPr>
            <w:tcW w:w="675" w:type="dxa"/>
            <w:vMerge w:val="continue"/>
            <w:vAlign w:val="center"/>
          </w:tcPr>
          <w:p>
            <w:pPr>
              <w:widowControl/>
              <w:jc w:val="left"/>
              <w:rPr>
                <w:rFonts w:eastAsiaTheme="minorEastAsia"/>
                <w:bCs/>
                <w:szCs w:val="21"/>
              </w:rPr>
            </w:pPr>
          </w:p>
        </w:tc>
        <w:tc>
          <w:tcPr>
            <w:tcW w:w="1409" w:type="dxa"/>
            <w:vMerge w:val="continue"/>
            <w:vAlign w:val="center"/>
          </w:tcPr>
          <w:p>
            <w:pPr>
              <w:widowControl/>
              <w:jc w:val="left"/>
              <w:rPr>
                <w:rFonts w:eastAsiaTheme="minorEastAsia"/>
                <w:bCs/>
                <w:szCs w:val="21"/>
              </w:rPr>
            </w:pPr>
          </w:p>
        </w:tc>
        <w:tc>
          <w:tcPr>
            <w:tcW w:w="508" w:type="dxa"/>
            <w:vMerge w:val="continue"/>
            <w:vAlign w:val="center"/>
          </w:tcPr>
          <w:p>
            <w:pPr>
              <w:widowControl/>
              <w:jc w:val="left"/>
              <w:rPr>
                <w:rFonts w:eastAsiaTheme="minorEastAsia"/>
                <w:bCs/>
                <w:szCs w:val="21"/>
              </w:rPr>
            </w:pPr>
          </w:p>
        </w:tc>
        <w:tc>
          <w:tcPr>
            <w:tcW w:w="792"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铅</w:t>
            </w:r>
          </w:p>
          <w:p>
            <w:pPr>
              <w:widowControl/>
              <w:spacing w:line="240" w:lineRule="exact"/>
              <w:ind w:left="-105" w:leftChars="-50" w:right="-105" w:rightChars="-50"/>
              <w:jc w:val="center"/>
              <w:rPr>
                <w:rFonts w:eastAsiaTheme="minorEastAsia"/>
                <w:kern w:val="0"/>
                <w:szCs w:val="21"/>
              </w:rPr>
            </w:pPr>
            <w:r>
              <w:rPr>
                <w:rFonts w:eastAsiaTheme="minorEastAsia"/>
                <w:szCs w:val="21"/>
              </w:rPr>
              <w:t>(mg/kg)</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widowControl/>
              <w:spacing w:line="240" w:lineRule="exact"/>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7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钡</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4"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锌</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砷</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氰化物</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22" w:type="dxa"/>
            <w:gridSpan w:val="2"/>
            <w:vAlign w:val="center"/>
          </w:tcPr>
          <w:p>
            <w:pPr>
              <w:pStyle w:val="48"/>
              <w:ind w:firstLine="0" w:firstLineChars="0"/>
              <w:rPr>
                <w:rFonts w:eastAsiaTheme="minorEastAsia"/>
                <w:kern w:val="0"/>
                <w:szCs w:val="21"/>
              </w:rPr>
            </w:pPr>
            <w:r>
              <w:rPr>
                <w:rFonts w:hAnsiTheme="minorEastAsia" w:eastAsiaTheme="minorEastAsia"/>
                <w:kern w:val="0"/>
                <w:szCs w:val="21"/>
              </w:rPr>
              <w:t>氟化物</w:t>
            </w:r>
            <w:r>
              <w:rPr>
                <w:rFonts w:eastAsiaTheme="minorEastAsia"/>
                <w:kern w:val="0"/>
                <w:szCs w:val="21"/>
              </w:rPr>
              <w:t>(mg/kg)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675" w:type="dxa"/>
            <w:vMerge w:val="restart"/>
            <w:vAlign w:val="center"/>
          </w:tcPr>
          <w:p>
            <w:pPr>
              <w:spacing w:line="240" w:lineRule="exact"/>
              <w:ind w:left="-105" w:leftChars="-50" w:right="-105" w:rightChars="-50"/>
              <w:jc w:val="center"/>
              <w:rPr>
                <w:rFonts w:eastAsiaTheme="minorEastAsia"/>
                <w:bCs/>
                <w:szCs w:val="21"/>
              </w:rPr>
            </w:pPr>
            <w:r>
              <w:rPr>
                <w:rFonts w:eastAsiaTheme="minorEastAsia"/>
                <w:bCs/>
                <w:szCs w:val="21"/>
              </w:rPr>
              <w:t>20</w:t>
            </w:r>
            <w:r>
              <w:rPr>
                <w:rFonts w:hint="eastAsia" w:eastAsiaTheme="minorEastAsia"/>
                <w:bCs/>
                <w:szCs w:val="21"/>
              </w:rPr>
              <w:t>21</w:t>
            </w:r>
            <w:r>
              <w:rPr>
                <w:rFonts w:eastAsiaTheme="minorEastAsia"/>
                <w:bCs/>
                <w:szCs w:val="21"/>
              </w:rPr>
              <w:t>-</w:t>
            </w:r>
          </w:p>
          <w:p>
            <w:pPr>
              <w:adjustRightInd w:val="0"/>
              <w:snapToGrid w:val="0"/>
              <w:spacing w:line="240" w:lineRule="exact"/>
              <w:ind w:left="-105" w:leftChars="-50" w:right="-105" w:rightChars="-50"/>
              <w:jc w:val="center"/>
              <w:rPr>
                <w:rFonts w:eastAsiaTheme="minorEastAsia"/>
                <w:szCs w:val="21"/>
              </w:rPr>
            </w:pPr>
            <w:r>
              <w:rPr>
                <w:rFonts w:hint="eastAsia" w:eastAsiaTheme="minorEastAsia"/>
                <w:bCs/>
                <w:szCs w:val="21"/>
              </w:rPr>
              <w:t>2</w:t>
            </w:r>
            <w:r>
              <w:rPr>
                <w:rFonts w:eastAsiaTheme="minorEastAsia"/>
                <w:bCs/>
                <w:szCs w:val="21"/>
              </w:rPr>
              <w:t>-</w:t>
            </w:r>
            <w:r>
              <w:rPr>
                <w:rFonts w:hint="eastAsia" w:eastAsiaTheme="minorEastAsia"/>
                <w:bCs/>
                <w:szCs w:val="21"/>
              </w:rPr>
              <w:t>25</w:t>
            </w:r>
          </w:p>
        </w:tc>
        <w:tc>
          <w:tcPr>
            <w:tcW w:w="1409"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1</w:t>
            </w:r>
            <w:r>
              <w:rPr>
                <w:rFonts w:eastAsiaTheme="minorEastAsia"/>
                <w:szCs w:val="21"/>
                <w:vertAlign w:val="superscript"/>
              </w:rPr>
              <w:t>#</w:t>
            </w:r>
          </w:p>
          <w:p>
            <w:pPr>
              <w:adjustRightInd w:val="0"/>
              <w:snapToGrid w:val="0"/>
              <w:spacing w:line="240" w:lineRule="exact"/>
              <w:ind w:left="-105" w:leftChars="-50" w:right="-105" w:rightChars="-50"/>
              <w:jc w:val="center"/>
              <w:rPr>
                <w:rFonts w:eastAsiaTheme="minorEastAsia"/>
                <w:szCs w:val="21"/>
              </w:rPr>
            </w:pPr>
          </w:p>
        </w:tc>
        <w:tc>
          <w:tcPr>
            <w:tcW w:w="508" w:type="dxa"/>
            <w:vMerge w:val="restart"/>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0~0.2</w:t>
            </w:r>
          </w:p>
        </w:tc>
        <w:tc>
          <w:tcPr>
            <w:tcW w:w="792"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rPr>
            </w:pPr>
          </w:p>
        </w:tc>
        <w:tc>
          <w:tcPr>
            <w:tcW w:w="919"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rPr>
            </w:pPr>
          </w:p>
        </w:tc>
        <w:tc>
          <w:tcPr>
            <w:tcW w:w="858"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rPr>
            </w:pPr>
          </w:p>
        </w:tc>
        <w:tc>
          <w:tcPr>
            <w:tcW w:w="858"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rPr>
            </w:pPr>
          </w:p>
        </w:tc>
        <w:tc>
          <w:tcPr>
            <w:tcW w:w="858"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rPr>
            </w:pPr>
          </w:p>
        </w:tc>
        <w:tc>
          <w:tcPr>
            <w:tcW w:w="858" w:type="dxa"/>
            <w:vAlign w:val="center"/>
          </w:tcPr>
          <w:p>
            <w:pPr>
              <w:adjustRightInd w:val="0"/>
              <w:snapToGrid w:val="0"/>
              <w:spacing w:line="240" w:lineRule="exact"/>
              <w:ind w:left="-105" w:leftChars="-50" w:right="-105" w:rightChars="-50"/>
              <w:jc w:val="center"/>
              <w:rPr>
                <w:rFonts w:eastAsiaTheme="minorEastAsia"/>
                <w:szCs w:val="21"/>
              </w:rPr>
            </w:pPr>
          </w:p>
        </w:tc>
        <w:tc>
          <w:tcPr>
            <w:tcW w:w="877" w:type="dxa"/>
            <w:vAlign w:val="center"/>
          </w:tcPr>
          <w:p>
            <w:pPr>
              <w:adjustRightInd w:val="0"/>
              <w:snapToGrid w:val="0"/>
              <w:spacing w:line="240" w:lineRule="exact"/>
              <w:ind w:left="-105" w:leftChars="-50" w:right="-105" w:rightChars="-50"/>
              <w:jc w:val="center"/>
              <w:rPr>
                <w:rFonts w:eastAsiaTheme="minorEastAsia"/>
                <w:szCs w:val="21"/>
              </w:rPr>
            </w:pPr>
          </w:p>
        </w:tc>
        <w:tc>
          <w:tcPr>
            <w:tcW w:w="844" w:type="dxa"/>
            <w:vAlign w:val="center"/>
          </w:tcPr>
          <w:p>
            <w:pPr>
              <w:widowControl/>
              <w:spacing w:line="240" w:lineRule="exact"/>
              <w:ind w:left="-105" w:leftChars="-50" w:right="-105" w:rightChars="-50"/>
              <w:jc w:val="center"/>
              <w:rPr>
                <w:rFonts w:eastAsiaTheme="minorEastAsia"/>
                <w:kern w:val="0"/>
                <w:szCs w:val="21"/>
              </w:rPr>
            </w:pPr>
          </w:p>
        </w:tc>
        <w:tc>
          <w:tcPr>
            <w:tcW w:w="905" w:type="dxa"/>
            <w:vAlign w:val="center"/>
          </w:tcPr>
          <w:p>
            <w:pPr>
              <w:adjustRightInd w:val="0"/>
              <w:snapToGrid w:val="0"/>
              <w:spacing w:line="240" w:lineRule="exact"/>
              <w:ind w:left="-105" w:leftChars="-50" w:right="-105" w:rightChars="-50"/>
              <w:jc w:val="center"/>
              <w:rPr>
                <w:rFonts w:eastAsiaTheme="minorEastAsia"/>
                <w:szCs w:val="21"/>
              </w:rPr>
            </w:pPr>
          </w:p>
        </w:tc>
        <w:tc>
          <w:tcPr>
            <w:tcW w:w="919"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58" w:type="dxa"/>
            <w:vAlign w:val="center"/>
          </w:tcPr>
          <w:p>
            <w:pPr>
              <w:adjustRightInd w:val="0"/>
              <w:snapToGrid w:val="0"/>
              <w:spacing w:line="240" w:lineRule="exact"/>
              <w:ind w:left="-105" w:leftChars="-50" w:right="-105" w:rightChars="-50"/>
              <w:jc w:val="center"/>
              <w:rPr>
                <w:rFonts w:eastAsiaTheme="minorEastAsia"/>
                <w:szCs w:val="21"/>
              </w:rPr>
            </w:pPr>
          </w:p>
        </w:tc>
        <w:tc>
          <w:tcPr>
            <w:tcW w:w="905" w:type="dxa"/>
            <w:vAlign w:val="center"/>
          </w:tcPr>
          <w:p>
            <w:pPr>
              <w:adjustRightInd w:val="0"/>
              <w:snapToGrid w:val="0"/>
              <w:spacing w:line="240" w:lineRule="exact"/>
              <w:ind w:left="-105" w:leftChars="-50" w:right="-105" w:rightChars="-50"/>
              <w:jc w:val="center"/>
              <w:rPr>
                <w:rFonts w:eastAsiaTheme="minorEastAsia"/>
                <w:szCs w:val="21"/>
              </w:rPr>
            </w:pPr>
          </w:p>
        </w:tc>
        <w:tc>
          <w:tcPr>
            <w:tcW w:w="922" w:type="dxa"/>
            <w:gridSpan w:val="2"/>
            <w:vAlign w:val="center"/>
          </w:tcPr>
          <w:p>
            <w:pPr>
              <w:pStyle w:val="48"/>
              <w:ind w:firstLine="0" w:firstLineChars="0"/>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675" w:type="dxa"/>
            <w:vMerge w:val="continue"/>
            <w:vAlign w:val="center"/>
          </w:tcPr>
          <w:p>
            <w:pPr>
              <w:widowControl/>
              <w:jc w:val="left"/>
              <w:rPr>
                <w:rFonts w:eastAsiaTheme="minorEastAsia"/>
                <w:szCs w:val="21"/>
              </w:rPr>
            </w:pPr>
          </w:p>
        </w:tc>
        <w:tc>
          <w:tcPr>
            <w:tcW w:w="1409" w:type="dxa"/>
            <w:vMerge w:val="continue"/>
            <w:vAlign w:val="center"/>
          </w:tcPr>
          <w:p>
            <w:pPr>
              <w:widowControl/>
              <w:jc w:val="left"/>
              <w:rPr>
                <w:rFonts w:eastAsiaTheme="minorEastAsia"/>
                <w:szCs w:val="21"/>
              </w:rPr>
            </w:pPr>
          </w:p>
        </w:tc>
        <w:tc>
          <w:tcPr>
            <w:tcW w:w="508" w:type="dxa"/>
            <w:vMerge w:val="continue"/>
            <w:vAlign w:val="center"/>
          </w:tcPr>
          <w:p>
            <w:pPr>
              <w:widowControl/>
              <w:jc w:val="left"/>
              <w:rPr>
                <w:rFonts w:eastAsiaTheme="minorEastAsia"/>
                <w:szCs w:val="21"/>
              </w:rPr>
            </w:pPr>
          </w:p>
        </w:tc>
        <w:tc>
          <w:tcPr>
            <w:tcW w:w="11373"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75" w:type="dxa"/>
            <w:vMerge w:val="continue"/>
            <w:vAlign w:val="center"/>
          </w:tcPr>
          <w:p>
            <w:pPr>
              <w:widowControl/>
              <w:jc w:val="left"/>
              <w:rPr>
                <w:rFonts w:eastAsiaTheme="minorEastAsia"/>
                <w:szCs w:val="21"/>
              </w:rPr>
            </w:pPr>
          </w:p>
        </w:tc>
        <w:tc>
          <w:tcPr>
            <w:tcW w:w="1409" w:type="dxa"/>
            <w:vMerge w:val="continue"/>
            <w:vAlign w:val="center"/>
          </w:tcPr>
          <w:p>
            <w:pPr>
              <w:widowControl/>
              <w:jc w:val="left"/>
              <w:rPr>
                <w:rFonts w:eastAsiaTheme="minorEastAsia"/>
                <w:szCs w:val="21"/>
              </w:rPr>
            </w:pPr>
          </w:p>
        </w:tc>
        <w:tc>
          <w:tcPr>
            <w:tcW w:w="508" w:type="dxa"/>
            <w:vMerge w:val="continue"/>
            <w:vAlign w:val="center"/>
          </w:tcPr>
          <w:p>
            <w:pPr>
              <w:widowControl/>
              <w:jc w:val="left"/>
              <w:rPr>
                <w:rFonts w:eastAsiaTheme="minorEastAsia"/>
                <w:szCs w:val="21"/>
              </w:rPr>
            </w:pPr>
          </w:p>
        </w:tc>
        <w:tc>
          <w:tcPr>
            <w:tcW w:w="792" w:type="dxa"/>
            <w:vAlign w:val="center"/>
          </w:tcPr>
          <w:p>
            <w:pPr>
              <w:spacing w:line="240" w:lineRule="exact"/>
              <w:ind w:left="-105" w:leftChars="-50" w:right="-105" w:rightChars="-50"/>
              <w:jc w:val="center"/>
              <w:rPr>
                <w:rFonts w:eastAsiaTheme="minorEastAsia"/>
                <w:szCs w:val="21"/>
              </w:rPr>
            </w:pPr>
            <w:r>
              <w:rPr>
                <w:rFonts w:eastAsiaTheme="minorEastAsia"/>
                <w:szCs w:val="21"/>
              </w:rPr>
              <w:t>pH</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w:t>
            </w:r>
            <w:r>
              <w:rPr>
                <w:rFonts w:hAnsiTheme="minorEastAsia" w:eastAsiaTheme="minorEastAsia"/>
                <w:szCs w:val="21"/>
              </w:rPr>
              <w:t>无量纲</w:t>
            </w:r>
            <w:r>
              <w:rPr>
                <w:rFonts w:eastAsiaTheme="minorEastAsia"/>
                <w:szCs w:val="21"/>
              </w:rPr>
              <w:t>)</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硝基苯</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苯胺</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氯甲烷</w:t>
            </w:r>
          </w:p>
        </w:tc>
        <w:tc>
          <w:tcPr>
            <w:tcW w:w="858" w:type="dxa"/>
            <w:vAlign w:val="center"/>
          </w:tcPr>
          <w:p>
            <w:pPr>
              <w:widowControl/>
              <w:spacing w:line="240" w:lineRule="exact"/>
              <w:ind w:left="-105" w:leftChars="-50" w:right="-105" w:rightChars="-50"/>
              <w:jc w:val="center"/>
              <w:rPr>
                <w:rFonts w:eastAsiaTheme="minorEastAsia"/>
                <w:kern w:val="0"/>
                <w:szCs w:val="21"/>
              </w:rPr>
            </w:pPr>
            <w:r>
              <w:rPr>
                <w:rFonts w:hAnsiTheme="minorEastAsia" w:eastAsiaTheme="minorEastAsia"/>
                <w:szCs w:val="21"/>
              </w:rPr>
              <w:t>氯乙烯</w:t>
            </w:r>
          </w:p>
        </w:tc>
        <w:tc>
          <w:tcPr>
            <w:tcW w:w="877"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844"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甲烷</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氯乙烯</w:t>
            </w:r>
          </w:p>
        </w:tc>
        <w:tc>
          <w:tcPr>
            <w:tcW w:w="919"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乙烷</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二氯乙烯</w:t>
            </w:r>
          </w:p>
        </w:tc>
        <w:tc>
          <w:tcPr>
            <w:tcW w:w="905"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氯仿</w:t>
            </w:r>
          </w:p>
        </w:tc>
        <w:tc>
          <w:tcPr>
            <w:tcW w:w="922" w:type="dxa"/>
            <w:gridSpan w:val="2"/>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675" w:type="dxa"/>
            <w:vMerge w:val="continue"/>
            <w:vAlign w:val="center"/>
          </w:tcPr>
          <w:p>
            <w:pPr>
              <w:widowControl/>
              <w:jc w:val="left"/>
              <w:rPr>
                <w:rFonts w:eastAsiaTheme="minorEastAsia"/>
                <w:szCs w:val="21"/>
              </w:rPr>
            </w:pPr>
          </w:p>
        </w:tc>
        <w:tc>
          <w:tcPr>
            <w:tcW w:w="1409" w:type="dxa"/>
            <w:vMerge w:val="continue"/>
            <w:vAlign w:val="center"/>
          </w:tcPr>
          <w:p>
            <w:pPr>
              <w:widowControl/>
              <w:jc w:val="left"/>
              <w:rPr>
                <w:rFonts w:eastAsiaTheme="minorEastAsia"/>
                <w:szCs w:val="21"/>
              </w:rPr>
            </w:pPr>
          </w:p>
        </w:tc>
        <w:tc>
          <w:tcPr>
            <w:tcW w:w="508" w:type="dxa"/>
            <w:vMerge w:val="continue"/>
            <w:vAlign w:val="center"/>
          </w:tcPr>
          <w:p>
            <w:pPr>
              <w:widowControl/>
              <w:jc w:val="left"/>
              <w:rPr>
                <w:rFonts w:eastAsiaTheme="minorEastAsia"/>
                <w:szCs w:val="21"/>
              </w:rPr>
            </w:pPr>
          </w:p>
        </w:tc>
        <w:tc>
          <w:tcPr>
            <w:tcW w:w="792" w:type="dxa"/>
            <w:vAlign w:val="center"/>
          </w:tcPr>
          <w:p>
            <w:pPr>
              <w:adjustRightInd w:val="0"/>
              <w:snapToGrid w:val="0"/>
              <w:spacing w:line="240" w:lineRule="exact"/>
              <w:ind w:left="-105" w:leftChars="-50" w:right="-105" w:rightChars="-50"/>
              <w:jc w:val="center"/>
              <w:rPr>
                <w:rFonts w:eastAsiaTheme="minorEastAsia"/>
                <w:szCs w:val="21"/>
              </w:rPr>
            </w:pPr>
          </w:p>
        </w:tc>
        <w:tc>
          <w:tcPr>
            <w:tcW w:w="919"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widowControl/>
              <w:spacing w:line="240" w:lineRule="exact"/>
              <w:ind w:left="-105" w:leftChars="-50" w:right="-105" w:rightChars="-50"/>
              <w:jc w:val="center"/>
              <w:rPr>
                <w:rFonts w:eastAsiaTheme="minorEastAsia"/>
                <w:kern w:val="0"/>
                <w:sz w:val="24"/>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77" w:type="dxa"/>
            <w:vAlign w:val="center"/>
          </w:tcPr>
          <w:p>
            <w:pPr>
              <w:adjustRightInd w:val="0"/>
              <w:snapToGrid w:val="0"/>
              <w:spacing w:line="240" w:lineRule="exact"/>
              <w:ind w:left="-105" w:leftChars="-50" w:right="-105" w:rightChars="-50"/>
              <w:jc w:val="center"/>
              <w:rPr>
                <w:rFonts w:eastAsiaTheme="minorEastAsia"/>
              </w:rPr>
            </w:pPr>
          </w:p>
        </w:tc>
        <w:tc>
          <w:tcPr>
            <w:tcW w:w="844" w:type="dxa"/>
            <w:vAlign w:val="center"/>
          </w:tcPr>
          <w:p>
            <w:pPr>
              <w:adjustRightInd w:val="0"/>
              <w:snapToGrid w:val="0"/>
              <w:spacing w:line="240" w:lineRule="exact"/>
              <w:ind w:left="-105" w:leftChars="-50" w:right="-105" w:rightChars="-50"/>
              <w:jc w:val="center"/>
              <w:rPr>
                <w:rFonts w:eastAsiaTheme="minorEastAsia"/>
              </w:rPr>
            </w:pPr>
          </w:p>
        </w:tc>
        <w:tc>
          <w:tcPr>
            <w:tcW w:w="905" w:type="dxa"/>
            <w:vAlign w:val="center"/>
          </w:tcPr>
          <w:p>
            <w:pPr>
              <w:adjustRightInd w:val="0"/>
              <w:snapToGrid w:val="0"/>
              <w:spacing w:line="240" w:lineRule="exact"/>
              <w:ind w:left="-105" w:leftChars="-50" w:right="-105" w:rightChars="-50"/>
              <w:jc w:val="center"/>
              <w:rPr>
                <w:rFonts w:eastAsiaTheme="minorEastAsia"/>
              </w:rPr>
            </w:pPr>
          </w:p>
        </w:tc>
        <w:tc>
          <w:tcPr>
            <w:tcW w:w="919"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905" w:type="dxa"/>
            <w:vAlign w:val="center"/>
          </w:tcPr>
          <w:p>
            <w:pPr>
              <w:adjustRightInd w:val="0"/>
              <w:snapToGrid w:val="0"/>
              <w:spacing w:line="240" w:lineRule="exact"/>
              <w:ind w:left="-105" w:leftChars="-50" w:right="-105" w:rightChars="-50"/>
              <w:jc w:val="center"/>
              <w:rPr>
                <w:rFonts w:eastAsiaTheme="minorEastAsia"/>
              </w:rPr>
            </w:pPr>
          </w:p>
        </w:tc>
        <w:tc>
          <w:tcPr>
            <w:tcW w:w="922" w:type="dxa"/>
            <w:gridSpan w:val="2"/>
            <w:vAlign w:val="center"/>
          </w:tcPr>
          <w:p>
            <w:pPr>
              <w:widowControl/>
              <w:spacing w:line="240" w:lineRule="exact"/>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675" w:type="dxa"/>
            <w:vMerge w:val="continue"/>
            <w:vAlign w:val="center"/>
          </w:tcPr>
          <w:p>
            <w:pPr>
              <w:widowControl/>
              <w:jc w:val="left"/>
              <w:rPr>
                <w:rFonts w:eastAsiaTheme="minorEastAsia"/>
                <w:szCs w:val="21"/>
              </w:rPr>
            </w:pPr>
          </w:p>
        </w:tc>
        <w:tc>
          <w:tcPr>
            <w:tcW w:w="1409" w:type="dxa"/>
            <w:vMerge w:val="continue"/>
            <w:vAlign w:val="center"/>
          </w:tcPr>
          <w:p>
            <w:pPr>
              <w:widowControl/>
              <w:jc w:val="left"/>
              <w:rPr>
                <w:rFonts w:eastAsiaTheme="minorEastAsia"/>
                <w:szCs w:val="21"/>
              </w:rPr>
            </w:pPr>
          </w:p>
        </w:tc>
        <w:tc>
          <w:tcPr>
            <w:tcW w:w="508" w:type="dxa"/>
            <w:vMerge w:val="continue"/>
            <w:vAlign w:val="center"/>
          </w:tcPr>
          <w:p>
            <w:pPr>
              <w:widowControl/>
              <w:jc w:val="left"/>
              <w:rPr>
                <w:rFonts w:eastAsiaTheme="minorEastAsia"/>
                <w:szCs w:val="21"/>
              </w:rPr>
            </w:pPr>
          </w:p>
        </w:tc>
        <w:tc>
          <w:tcPr>
            <w:tcW w:w="11373"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75" w:type="dxa"/>
            <w:vMerge w:val="continue"/>
            <w:vAlign w:val="center"/>
          </w:tcPr>
          <w:p>
            <w:pPr>
              <w:widowControl/>
              <w:jc w:val="left"/>
              <w:rPr>
                <w:rFonts w:eastAsiaTheme="minorEastAsia"/>
                <w:szCs w:val="21"/>
              </w:rPr>
            </w:pPr>
          </w:p>
        </w:tc>
        <w:tc>
          <w:tcPr>
            <w:tcW w:w="1409" w:type="dxa"/>
            <w:vMerge w:val="continue"/>
            <w:vAlign w:val="center"/>
          </w:tcPr>
          <w:p>
            <w:pPr>
              <w:widowControl/>
              <w:jc w:val="left"/>
              <w:rPr>
                <w:rFonts w:eastAsiaTheme="minorEastAsia"/>
                <w:szCs w:val="21"/>
              </w:rPr>
            </w:pPr>
          </w:p>
        </w:tc>
        <w:tc>
          <w:tcPr>
            <w:tcW w:w="508" w:type="dxa"/>
            <w:vMerge w:val="continue"/>
            <w:vAlign w:val="center"/>
          </w:tcPr>
          <w:p>
            <w:pPr>
              <w:widowControl/>
              <w:jc w:val="left"/>
              <w:rPr>
                <w:rFonts w:eastAsiaTheme="minorEastAsia"/>
                <w:szCs w:val="21"/>
              </w:rPr>
            </w:pPr>
          </w:p>
        </w:tc>
        <w:tc>
          <w:tcPr>
            <w:tcW w:w="792"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化碳</w:t>
            </w:r>
          </w:p>
        </w:tc>
        <w:tc>
          <w:tcPr>
            <w:tcW w:w="91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苯</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乙烷</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三氯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widowControl/>
              <w:spacing w:line="240" w:lineRule="exact"/>
              <w:ind w:left="-105" w:leftChars="-50" w:right="-105" w:rightChars="-50"/>
              <w:jc w:val="center"/>
              <w:rPr>
                <w:rFonts w:eastAsiaTheme="minorEastAsia"/>
                <w:kern w:val="0"/>
                <w:szCs w:val="21"/>
              </w:rPr>
            </w:pPr>
            <w:r>
              <w:rPr>
                <w:rFonts w:hAnsiTheme="minorEastAsia" w:eastAsiaTheme="minorEastAsia"/>
                <w:szCs w:val="21"/>
              </w:rPr>
              <w:t>丙烷</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甲苯</w:t>
            </w:r>
          </w:p>
        </w:tc>
        <w:tc>
          <w:tcPr>
            <w:tcW w:w="877" w:type="dxa"/>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844"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905"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氯苯</w:t>
            </w:r>
          </w:p>
        </w:tc>
        <w:tc>
          <w:tcPr>
            <w:tcW w:w="91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乙苯</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980" w:type="dxa"/>
            <w:gridSpan w:val="2"/>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847"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邻二甲苯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675" w:type="dxa"/>
            <w:vMerge w:val="continue"/>
            <w:vAlign w:val="center"/>
          </w:tcPr>
          <w:p>
            <w:pPr>
              <w:widowControl/>
              <w:jc w:val="left"/>
              <w:rPr>
                <w:rFonts w:eastAsiaTheme="minorEastAsia"/>
                <w:szCs w:val="21"/>
              </w:rPr>
            </w:pPr>
          </w:p>
        </w:tc>
        <w:tc>
          <w:tcPr>
            <w:tcW w:w="1409" w:type="dxa"/>
            <w:vMerge w:val="continue"/>
            <w:vAlign w:val="center"/>
          </w:tcPr>
          <w:p>
            <w:pPr>
              <w:widowControl/>
              <w:jc w:val="left"/>
              <w:rPr>
                <w:rFonts w:eastAsiaTheme="minorEastAsia"/>
                <w:szCs w:val="21"/>
              </w:rPr>
            </w:pPr>
          </w:p>
        </w:tc>
        <w:tc>
          <w:tcPr>
            <w:tcW w:w="508" w:type="dxa"/>
            <w:vMerge w:val="continue"/>
            <w:vAlign w:val="center"/>
          </w:tcPr>
          <w:p>
            <w:pPr>
              <w:widowControl/>
              <w:jc w:val="left"/>
              <w:rPr>
                <w:rFonts w:eastAsiaTheme="minorEastAsia"/>
                <w:szCs w:val="21"/>
              </w:rPr>
            </w:pPr>
          </w:p>
        </w:tc>
        <w:tc>
          <w:tcPr>
            <w:tcW w:w="792" w:type="dxa"/>
            <w:vAlign w:val="center"/>
          </w:tcPr>
          <w:p>
            <w:pPr>
              <w:adjustRightInd w:val="0"/>
              <w:snapToGrid w:val="0"/>
              <w:spacing w:line="240" w:lineRule="exact"/>
              <w:ind w:left="-105" w:leftChars="-50" w:right="-105" w:rightChars="-50"/>
              <w:jc w:val="center"/>
              <w:rPr>
                <w:rFonts w:eastAsiaTheme="minorEastAsia"/>
              </w:rPr>
            </w:pPr>
          </w:p>
        </w:tc>
        <w:tc>
          <w:tcPr>
            <w:tcW w:w="919"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77" w:type="dxa"/>
            <w:vAlign w:val="center"/>
          </w:tcPr>
          <w:p>
            <w:pPr>
              <w:adjustRightInd w:val="0"/>
              <w:snapToGrid w:val="0"/>
              <w:spacing w:line="240" w:lineRule="exact"/>
              <w:ind w:left="-105" w:leftChars="-50" w:right="-105" w:rightChars="-50"/>
              <w:jc w:val="center"/>
              <w:rPr>
                <w:rFonts w:eastAsiaTheme="minorEastAsia"/>
              </w:rPr>
            </w:pPr>
          </w:p>
        </w:tc>
        <w:tc>
          <w:tcPr>
            <w:tcW w:w="844" w:type="dxa"/>
            <w:vAlign w:val="center"/>
          </w:tcPr>
          <w:p>
            <w:pPr>
              <w:adjustRightInd w:val="0"/>
              <w:snapToGrid w:val="0"/>
              <w:spacing w:line="240" w:lineRule="exact"/>
              <w:ind w:left="-105" w:leftChars="-50" w:right="-105" w:rightChars="-50"/>
              <w:jc w:val="center"/>
              <w:rPr>
                <w:rFonts w:eastAsiaTheme="minorEastAsia"/>
              </w:rPr>
            </w:pPr>
          </w:p>
        </w:tc>
        <w:tc>
          <w:tcPr>
            <w:tcW w:w="905" w:type="dxa"/>
            <w:vAlign w:val="center"/>
          </w:tcPr>
          <w:p>
            <w:pPr>
              <w:adjustRightInd w:val="0"/>
              <w:snapToGrid w:val="0"/>
              <w:spacing w:line="240" w:lineRule="exact"/>
              <w:ind w:left="-105" w:leftChars="-50" w:right="-105" w:rightChars="-50"/>
              <w:jc w:val="center"/>
              <w:rPr>
                <w:rFonts w:eastAsiaTheme="minorEastAsia"/>
              </w:rPr>
            </w:pPr>
          </w:p>
        </w:tc>
        <w:tc>
          <w:tcPr>
            <w:tcW w:w="919"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980" w:type="dxa"/>
            <w:gridSpan w:val="2"/>
            <w:vAlign w:val="center"/>
          </w:tcPr>
          <w:p>
            <w:pPr>
              <w:adjustRightInd w:val="0"/>
              <w:snapToGrid w:val="0"/>
              <w:spacing w:line="240" w:lineRule="exact"/>
              <w:ind w:left="-105" w:leftChars="-50" w:right="-105" w:rightChars="-50"/>
              <w:jc w:val="center"/>
              <w:rPr>
                <w:rFonts w:eastAsiaTheme="minorEastAsia"/>
              </w:rPr>
            </w:pPr>
          </w:p>
        </w:tc>
        <w:tc>
          <w:tcPr>
            <w:tcW w:w="847" w:type="dxa"/>
            <w:vAlign w:val="center"/>
          </w:tcPr>
          <w:p>
            <w:pPr>
              <w:widowControl/>
              <w:spacing w:line="240" w:lineRule="exact"/>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675" w:type="dxa"/>
            <w:vMerge w:val="continue"/>
            <w:vAlign w:val="center"/>
          </w:tcPr>
          <w:p>
            <w:pPr>
              <w:widowControl/>
              <w:jc w:val="left"/>
              <w:rPr>
                <w:rFonts w:eastAsiaTheme="minorEastAsia"/>
                <w:szCs w:val="21"/>
              </w:rPr>
            </w:pPr>
          </w:p>
        </w:tc>
        <w:tc>
          <w:tcPr>
            <w:tcW w:w="1409" w:type="dxa"/>
            <w:vMerge w:val="continue"/>
            <w:vAlign w:val="center"/>
          </w:tcPr>
          <w:p>
            <w:pPr>
              <w:widowControl/>
              <w:jc w:val="left"/>
              <w:rPr>
                <w:rFonts w:eastAsiaTheme="minorEastAsia"/>
                <w:szCs w:val="21"/>
              </w:rPr>
            </w:pPr>
          </w:p>
        </w:tc>
        <w:tc>
          <w:tcPr>
            <w:tcW w:w="508" w:type="dxa"/>
            <w:vMerge w:val="continue"/>
            <w:vAlign w:val="center"/>
          </w:tcPr>
          <w:p>
            <w:pPr>
              <w:widowControl/>
              <w:jc w:val="left"/>
              <w:rPr>
                <w:rFonts w:eastAsiaTheme="minorEastAsia"/>
                <w:szCs w:val="21"/>
              </w:rPr>
            </w:pPr>
          </w:p>
        </w:tc>
        <w:tc>
          <w:tcPr>
            <w:tcW w:w="11373"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exact"/>
          <w:jc w:val="center"/>
        </w:trPr>
        <w:tc>
          <w:tcPr>
            <w:tcW w:w="675" w:type="dxa"/>
            <w:vMerge w:val="continue"/>
            <w:vAlign w:val="center"/>
          </w:tcPr>
          <w:p>
            <w:pPr>
              <w:widowControl/>
              <w:jc w:val="left"/>
              <w:rPr>
                <w:rFonts w:eastAsiaTheme="minorEastAsia"/>
                <w:szCs w:val="21"/>
              </w:rPr>
            </w:pPr>
          </w:p>
        </w:tc>
        <w:tc>
          <w:tcPr>
            <w:tcW w:w="1409" w:type="dxa"/>
            <w:vMerge w:val="continue"/>
            <w:vAlign w:val="center"/>
          </w:tcPr>
          <w:p>
            <w:pPr>
              <w:widowControl/>
              <w:jc w:val="left"/>
              <w:rPr>
                <w:rFonts w:eastAsiaTheme="minorEastAsia"/>
                <w:szCs w:val="21"/>
              </w:rPr>
            </w:pPr>
          </w:p>
        </w:tc>
        <w:tc>
          <w:tcPr>
            <w:tcW w:w="508" w:type="dxa"/>
            <w:vMerge w:val="continue"/>
            <w:vAlign w:val="center"/>
          </w:tcPr>
          <w:p>
            <w:pPr>
              <w:widowControl/>
              <w:jc w:val="left"/>
              <w:rPr>
                <w:rFonts w:eastAsiaTheme="minorEastAsia"/>
                <w:szCs w:val="21"/>
              </w:rPr>
            </w:pPr>
          </w:p>
        </w:tc>
        <w:tc>
          <w:tcPr>
            <w:tcW w:w="792"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苯乙烯</w:t>
            </w:r>
          </w:p>
        </w:tc>
        <w:tc>
          <w:tcPr>
            <w:tcW w:w="919" w:type="dxa"/>
            <w:vAlign w:val="center"/>
          </w:tcPr>
          <w:p>
            <w:pPr>
              <w:spacing w:line="240" w:lineRule="exact"/>
              <w:ind w:left="-105" w:leftChars="-50" w:right="-105" w:rightChars="-50"/>
              <w:jc w:val="center"/>
              <w:rPr>
                <w:rFonts w:eastAsiaTheme="minorEastAsia"/>
                <w:szCs w:val="21"/>
              </w:rPr>
            </w:pPr>
            <w:r>
              <w:rPr>
                <w:rFonts w:eastAsiaTheme="minorEastAsia"/>
                <w:szCs w:val="21"/>
              </w:rPr>
              <w:t>1,1,2,2-</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四氯乙烷</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1,2,3-</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三氯丙烷</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1,4-</w:t>
            </w:r>
          </w:p>
          <w:p>
            <w:pPr>
              <w:adjustRightInd w:val="0"/>
              <w:snapToGrid w:val="0"/>
              <w:spacing w:line="240" w:lineRule="exact"/>
              <w:ind w:left="-105" w:leftChars="-50" w:right="-105" w:rightChars="-50"/>
              <w:jc w:val="center"/>
              <w:rPr>
                <w:rFonts w:eastAsiaTheme="minorEastAsia"/>
                <w:kern w:val="0"/>
                <w:szCs w:val="21"/>
              </w:rPr>
            </w:pPr>
            <w:r>
              <w:rPr>
                <w:rFonts w:hAnsiTheme="minorEastAsia" w:eastAsiaTheme="minorEastAsia"/>
                <w:szCs w:val="21"/>
              </w:rPr>
              <w:t>二氯苯</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二氯苯</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萘</w:t>
            </w:r>
          </w:p>
        </w:tc>
        <w:tc>
          <w:tcPr>
            <w:tcW w:w="87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[a]</w:t>
            </w:r>
            <w:r>
              <w:rPr>
                <w:rFonts w:hAnsiTheme="minorEastAsia" w:eastAsiaTheme="minorEastAsia"/>
                <w:szCs w:val="21"/>
              </w:rPr>
              <w:t>蒽</w:t>
            </w:r>
          </w:p>
        </w:tc>
        <w:tc>
          <w:tcPr>
            <w:tcW w:w="844"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䓛</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荧蒽</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荧蒽</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[a]</w:t>
            </w:r>
            <w:r>
              <w:rPr>
                <w:rFonts w:hAnsiTheme="minorEastAsia" w:eastAsiaTheme="minorEastAsia"/>
                <w:szCs w:val="21"/>
              </w:rPr>
              <w:t>芘</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二苯并</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[a,h]</w:t>
            </w:r>
            <w:r>
              <w:rPr>
                <w:rFonts w:hAnsiTheme="minorEastAsia" w:eastAsiaTheme="minorEastAsia"/>
                <w:szCs w:val="21"/>
              </w:rPr>
              <w:t>蒽</w:t>
            </w:r>
          </w:p>
        </w:tc>
        <w:tc>
          <w:tcPr>
            <w:tcW w:w="922" w:type="dxa"/>
            <w:gridSpan w:val="2"/>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675" w:type="dxa"/>
            <w:vMerge w:val="continue"/>
            <w:vAlign w:val="center"/>
          </w:tcPr>
          <w:p>
            <w:pPr>
              <w:widowControl/>
              <w:jc w:val="left"/>
              <w:rPr>
                <w:rFonts w:eastAsiaTheme="minorEastAsia"/>
                <w:szCs w:val="21"/>
              </w:rPr>
            </w:pPr>
          </w:p>
        </w:tc>
        <w:tc>
          <w:tcPr>
            <w:tcW w:w="1409" w:type="dxa"/>
            <w:vMerge w:val="continue"/>
            <w:vAlign w:val="center"/>
          </w:tcPr>
          <w:p>
            <w:pPr>
              <w:widowControl/>
              <w:jc w:val="left"/>
              <w:rPr>
                <w:rFonts w:eastAsiaTheme="minorEastAsia"/>
                <w:szCs w:val="21"/>
              </w:rPr>
            </w:pPr>
          </w:p>
        </w:tc>
        <w:tc>
          <w:tcPr>
            <w:tcW w:w="508" w:type="dxa"/>
            <w:vMerge w:val="continue"/>
            <w:vAlign w:val="center"/>
          </w:tcPr>
          <w:p>
            <w:pPr>
              <w:widowControl/>
              <w:jc w:val="left"/>
              <w:rPr>
                <w:rFonts w:eastAsiaTheme="minorEastAsia"/>
                <w:szCs w:val="21"/>
              </w:rPr>
            </w:pPr>
          </w:p>
        </w:tc>
        <w:tc>
          <w:tcPr>
            <w:tcW w:w="792" w:type="dxa"/>
            <w:vAlign w:val="center"/>
          </w:tcPr>
          <w:p>
            <w:pPr>
              <w:adjustRightInd w:val="0"/>
              <w:snapToGrid w:val="0"/>
              <w:spacing w:line="240" w:lineRule="exact"/>
              <w:ind w:left="-105" w:leftChars="-50" w:right="-105" w:rightChars="-50"/>
              <w:jc w:val="center"/>
              <w:rPr>
                <w:rFonts w:eastAsiaTheme="minorEastAsia"/>
              </w:rPr>
            </w:pPr>
          </w:p>
        </w:tc>
        <w:tc>
          <w:tcPr>
            <w:tcW w:w="919"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widowControl/>
              <w:spacing w:line="240" w:lineRule="exact"/>
              <w:ind w:left="-105" w:leftChars="-50" w:right="-105" w:rightChars="-50"/>
              <w:jc w:val="center"/>
              <w:rPr>
                <w:rFonts w:eastAsiaTheme="minorEastAsia"/>
                <w:kern w:val="0"/>
                <w:sz w:val="22"/>
                <w:szCs w:val="22"/>
              </w:rPr>
            </w:pPr>
          </w:p>
        </w:tc>
        <w:tc>
          <w:tcPr>
            <w:tcW w:w="877" w:type="dxa"/>
            <w:vAlign w:val="center"/>
          </w:tcPr>
          <w:p>
            <w:pPr>
              <w:adjustRightInd w:val="0"/>
              <w:snapToGrid w:val="0"/>
              <w:spacing w:line="240" w:lineRule="exact"/>
              <w:ind w:left="-105" w:leftChars="-50" w:right="-105" w:rightChars="-50"/>
              <w:jc w:val="center"/>
              <w:rPr>
                <w:rFonts w:eastAsiaTheme="minorEastAsia"/>
                <w:sz w:val="22"/>
                <w:szCs w:val="22"/>
              </w:rPr>
            </w:pPr>
          </w:p>
        </w:tc>
        <w:tc>
          <w:tcPr>
            <w:tcW w:w="844" w:type="dxa"/>
            <w:vAlign w:val="center"/>
          </w:tcPr>
          <w:p>
            <w:pPr>
              <w:adjustRightInd w:val="0"/>
              <w:snapToGrid w:val="0"/>
              <w:spacing w:line="240" w:lineRule="exact"/>
              <w:ind w:left="-105" w:leftChars="-50" w:right="-105" w:rightChars="-50"/>
              <w:jc w:val="center"/>
              <w:rPr>
                <w:rFonts w:eastAsiaTheme="minorEastAsia"/>
                <w:sz w:val="22"/>
                <w:szCs w:val="22"/>
              </w:rPr>
            </w:pPr>
          </w:p>
        </w:tc>
        <w:tc>
          <w:tcPr>
            <w:tcW w:w="905" w:type="dxa"/>
            <w:vAlign w:val="center"/>
          </w:tcPr>
          <w:p>
            <w:pPr>
              <w:adjustRightInd w:val="0"/>
              <w:snapToGrid w:val="0"/>
              <w:spacing w:line="240" w:lineRule="exact"/>
              <w:ind w:left="-105" w:leftChars="-50" w:right="-105" w:rightChars="-50"/>
              <w:jc w:val="center"/>
              <w:rPr>
                <w:rFonts w:eastAsiaTheme="minorEastAsia"/>
                <w:sz w:val="22"/>
                <w:szCs w:val="22"/>
              </w:rPr>
            </w:pPr>
          </w:p>
        </w:tc>
        <w:tc>
          <w:tcPr>
            <w:tcW w:w="919" w:type="dxa"/>
            <w:vAlign w:val="center"/>
          </w:tcPr>
          <w:p>
            <w:pPr>
              <w:adjustRightInd w:val="0"/>
              <w:snapToGrid w:val="0"/>
              <w:spacing w:line="240" w:lineRule="exact"/>
              <w:ind w:left="-105" w:leftChars="-50" w:right="-105" w:rightChars="-50"/>
              <w:jc w:val="center"/>
              <w:rPr>
                <w:rFonts w:eastAsiaTheme="minorEastAsia"/>
                <w:sz w:val="22"/>
                <w:szCs w:val="22"/>
              </w:rPr>
            </w:pPr>
          </w:p>
        </w:tc>
        <w:tc>
          <w:tcPr>
            <w:tcW w:w="858" w:type="dxa"/>
            <w:vAlign w:val="center"/>
          </w:tcPr>
          <w:p>
            <w:pPr>
              <w:adjustRightInd w:val="0"/>
              <w:snapToGrid w:val="0"/>
              <w:spacing w:line="240" w:lineRule="exact"/>
              <w:ind w:left="-105" w:leftChars="-50" w:right="-105" w:rightChars="-50"/>
              <w:jc w:val="center"/>
              <w:rPr>
                <w:rFonts w:eastAsiaTheme="minorEastAsia"/>
                <w:sz w:val="22"/>
                <w:szCs w:val="22"/>
              </w:rPr>
            </w:pPr>
          </w:p>
        </w:tc>
        <w:tc>
          <w:tcPr>
            <w:tcW w:w="905" w:type="dxa"/>
            <w:vAlign w:val="center"/>
          </w:tcPr>
          <w:p>
            <w:pPr>
              <w:adjustRightInd w:val="0"/>
              <w:snapToGrid w:val="0"/>
              <w:spacing w:line="240" w:lineRule="exact"/>
              <w:ind w:left="-105" w:leftChars="-50" w:right="-105" w:rightChars="-50"/>
              <w:jc w:val="center"/>
              <w:rPr>
                <w:rFonts w:eastAsiaTheme="minorEastAsia"/>
                <w:sz w:val="22"/>
                <w:szCs w:val="22"/>
              </w:rPr>
            </w:pPr>
          </w:p>
        </w:tc>
        <w:tc>
          <w:tcPr>
            <w:tcW w:w="922" w:type="dxa"/>
            <w:gridSpan w:val="2"/>
            <w:vAlign w:val="center"/>
          </w:tcPr>
          <w:p>
            <w:pPr>
              <w:adjustRightInd w:val="0"/>
              <w:snapToGrid w:val="0"/>
              <w:spacing w:line="240" w:lineRule="exac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4" w:hRule="atLeast"/>
          <w:jc w:val="center"/>
        </w:trPr>
        <w:tc>
          <w:tcPr>
            <w:tcW w:w="675" w:type="dxa"/>
            <w:vAlign w:val="center"/>
          </w:tcPr>
          <w:p>
            <w:pPr>
              <w:adjustRightInd w:val="0"/>
              <w:snapToGrid w:val="0"/>
              <w:spacing w:line="240" w:lineRule="exact"/>
              <w:ind w:left="-105" w:leftChars="-50" w:right="-105" w:rightChars="-50"/>
              <w:jc w:val="center"/>
              <w:rPr>
                <w:rFonts w:eastAsiaTheme="minorEastAsia"/>
                <w:szCs w:val="21"/>
              </w:rPr>
            </w:pPr>
          </w:p>
        </w:tc>
        <w:tc>
          <w:tcPr>
            <w:tcW w:w="13290" w:type="dxa"/>
            <w:gridSpan w:val="16"/>
            <w:vAlign w:val="center"/>
          </w:tcPr>
          <w:p>
            <w:pPr>
              <w:pStyle w:val="48"/>
              <w:numPr>
                <w:ilvl w:val="0"/>
                <w:numId w:val="1"/>
              </w:numPr>
              <w:adjustRightInd w:val="0"/>
              <w:snapToGrid w:val="0"/>
              <w:spacing w:line="240" w:lineRule="exact"/>
              <w:ind w:left="0" w:firstLine="0" w:firstLineChars="0"/>
              <w:rPr>
                <w:rFonts w:eastAsiaTheme="minorEastAsia"/>
                <w:kern w:val="0"/>
                <w:szCs w:val="21"/>
              </w:rPr>
            </w:pPr>
          </w:p>
        </w:tc>
      </w:tr>
    </w:tbl>
    <w:p>
      <w:pPr>
        <w:widowControl/>
        <w:jc w:val="left"/>
        <w:rPr>
          <w:rFonts w:eastAsiaTheme="minorEastAsia"/>
          <w:sz w:val="24"/>
        </w:rPr>
      </w:pPr>
    </w:p>
    <w:p>
      <w:pPr>
        <w:spacing w:line="360" w:lineRule="auto"/>
        <w:jc w:val="center"/>
        <w:rPr>
          <w:rFonts w:eastAsiaTheme="minorEastAsia"/>
          <w:b/>
          <w:szCs w:val="21"/>
        </w:rPr>
      </w:pPr>
    </w:p>
    <w:p>
      <w:pPr>
        <w:spacing w:line="360" w:lineRule="auto"/>
        <w:jc w:val="center"/>
        <w:rPr>
          <w:rFonts w:eastAsiaTheme="minorEastAsia"/>
          <w:b/>
          <w:szCs w:val="21"/>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458"/>
        <w:gridCol w:w="925"/>
        <w:gridCol w:w="834"/>
        <w:gridCol w:w="84"/>
        <w:gridCol w:w="833"/>
        <w:gridCol w:w="165"/>
        <w:gridCol w:w="752"/>
        <w:gridCol w:w="246"/>
        <w:gridCol w:w="671"/>
        <w:gridCol w:w="327"/>
        <w:gridCol w:w="590"/>
        <w:gridCol w:w="408"/>
        <w:gridCol w:w="509"/>
        <w:gridCol w:w="489"/>
        <w:gridCol w:w="427"/>
        <w:gridCol w:w="570"/>
        <w:gridCol w:w="346"/>
        <w:gridCol w:w="651"/>
        <w:gridCol w:w="265"/>
        <w:gridCol w:w="732"/>
        <w:gridCol w:w="184"/>
        <w:gridCol w:w="813"/>
        <w:gridCol w:w="103"/>
        <w:gridCol w:w="9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73"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60" w:type="dxa"/>
            <w:vMerge w:val="restart"/>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监测点位</w:t>
            </w:r>
          </w:p>
        </w:tc>
        <w:tc>
          <w:tcPr>
            <w:tcW w:w="926"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911" w:type="dxa"/>
            <w:gridSpan w:val="22"/>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exact"/>
          <w:jc w:val="center"/>
        </w:trPr>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919" w:type="dxa"/>
            <w:gridSpan w:val="2"/>
            <w:vAlign w:val="center"/>
          </w:tcPr>
          <w:p>
            <w:pPr>
              <w:ind w:left="-105" w:leftChars="-50" w:right="-105" w:rightChars="-50"/>
              <w:jc w:val="center"/>
              <w:rPr>
                <w:rFonts w:eastAsiaTheme="minorEastAsia"/>
                <w:szCs w:val="21"/>
              </w:rPr>
            </w:pPr>
            <w:r>
              <w:rPr>
                <w:rFonts w:hAnsiTheme="minorEastAsia" w:eastAsiaTheme="minorEastAsia"/>
                <w:szCs w:val="21"/>
              </w:rPr>
              <w:t>铅</w:t>
            </w:r>
          </w:p>
          <w:p>
            <w:pPr>
              <w:widowControl/>
              <w:ind w:left="-105" w:leftChars="-50" w:right="-105" w:rightChars="-50"/>
              <w:jc w:val="center"/>
              <w:rPr>
                <w:rFonts w:eastAsiaTheme="minorEastAsia"/>
                <w:kern w:val="0"/>
                <w:szCs w:val="21"/>
              </w:rPr>
            </w:pPr>
            <w:r>
              <w:rPr>
                <w:rFonts w:eastAsiaTheme="minorEastAsia"/>
                <w:szCs w:val="21"/>
              </w:rPr>
              <w:t xml:space="preserve"> (</w:t>
            </w:r>
            <w:r>
              <w:rPr>
                <w:rFonts w:eastAsiaTheme="minorEastAsia"/>
                <w:bCs/>
                <w:szCs w:val="21"/>
              </w:rPr>
              <w:t>mg/kg</w:t>
            </w:r>
            <w:r>
              <w:rPr>
                <w:rFonts w:eastAsiaTheme="minorEastAsia"/>
                <w:szCs w:val="21"/>
              </w:rPr>
              <w:t>)</w:t>
            </w:r>
          </w:p>
        </w:tc>
        <w:tc>
          <w:tcPr>
            <w:tcW w:w="998" w:type="dxa"/>
            <w:gridSpan w:val="2"/>
            <w:vAlign w:val="center"/>
          </w:tcPr>
          <w:p>
            <w:pPr>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8" w:type="dxa"/>
            <w:gridSpan w:val="2"/>
            <w:vAlign w:val="center"/>
          </w:tcPr>
          <w:p>
            <w:pPr>
              <w:widowControl/>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 xml:space="preserve"> (</w:t>
            </w:r>
            <w:r>
              <w:rPr>
                <w:rFonts w:eastAsiaTheme="minorEastAsia"/>
                <w:bCs/>
                <w:szCs w:val="21"/>
              </w:rPr>
              <w:t>mg/kg</w:t>
            </w:r>
            <w:r>
              <w:rPr>
                <w:rFonts w:eastAsiaTheme="minorEastAsia"/>
                <w:szCs w:val="21"/>
              </w:rPr>
              <w:t>)</w:t>
            </w:r>
          </w:p>
        </w:tc>
        <w:tc>
          <w:tcPr>
            <w:tcW w:w="998" w:type="dxa"/>
            <w:gridSpan w:val="2"/>
            <w:vAlign w:val="center"/>
          </w:tcPr>
          <w:p>
            <w:pPr>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8" w:type="dxa"/>
            <w:gridSpan w:val="2"/>
            <w:vAlign w:val="center"/>
          </w:tcPr>
          <w:p>
            <w:pPr>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8" w:type="dxa"/>
            <w:gridSpan w:val="2"/>
            <w:vAlign w:val="center"/>
          </w:tcPr>
          <w:p>
            <w:pPr>
              <w:ind w:left="-105" w:leftChars="-50" w:right="-105" w:rightChars="-50"/>
              <w:jc w:val="center"/>
              <w:rPr>
                <w:rFonts w:eastAsiaTheme="minorEastAsia"/>
                <w:szCs w:val="21"/>
              </w:rPr>
            </w:pPr>
            <w:r>
              <w:rPr>
                <w:rFonts w:hAnsiTheme="minorEastAsia" w:eastAsiaTheme="minorEastAsia"/>
                <w:szCs w:val="21"/>
              </w:rPr>
              <w:t>砷</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7" w:type="dxa"/>
            <w:gridSpan w:val="2"/>
            <w:vAlign w:val="center"/>
          </w:tcPr>
          <w:p>
            <w:pPr>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7" w:type="dxa"/>
            <w:gridSpan w:val="2"/>
            <w:vAlign w:val="center"/>
          </w:tcPr>
          <w:p>
            <w:pPr>
              <w:ind w:left="-105" w:leftChars="-50" w:right="-105" w:rightChars="-50"/>
              <w:jc w:val="center"/>
              <w:rPr>
                <w:rFonts w:eastAsiaTheme="minorEastAsia"/>
                <w:szCs w:val="21"/>
              </w:rPr>
            </w:pPr>
            <w:r>
              <w:rPr>
                <w:rFonts w:hAnsiTheme="minorEastAsia" w:eastAsiaTheme="minorEastAsia"/>
                <w:szCs w:val="21"/>
              </w:rPr>
              <w:t>苯胺</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7" w:type="dxa"/>
            <w:gridSpan w:val="2"/>
            <w:vAlign w:val="center"/>
          </w:tcPr>
          <w:p>
            <w:pPr>
              <w:ind w:left="-105" w:leftChars="-50" w:right="-105" w:rightChars="-50"/>
              <w:jc w:val="center"/>
              <w:rPr>
                <w:rFonts w:eastAsiaTheme="minorEastAsia"/>
                <w:szCs w:val="21"/>
              </w:rPr>
            </w:pPr>
            <w:r>
              <w:rPr>
                <w:rFonts w:hAnsiTheme="minorEastAsia" w:eastAsiaTheme="minorEastAsia"/>
                <w:szCs w:val="21"/>
              </w:rPr>
              <w:t>硝基苯</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7" w:type="dxa"/>
            <w:gridSpan w:val="2"/>
            <w:vAlign w:val="center"/>
          </w:tcPr>
          <w:p>
            <w:pPr>
              <w:ind w:left="-105" w:leftChars="-50" w:right="-105" w:rightChars="-50"/>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1014"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氯甲烷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73"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460" w:type="dxa"/>
            <w:vMerge w:val="restart"/>
            <w:vAlign w:val="center"/>
          </w:tcPr>
          <w:p>
            <w:pPr>
              <w:adjustRightInd w:val="0"/>
              <w:snapToGrid w:val="0"/>
              <w:spacing w:line="240" w:lineRule="exact"/>
              <w:ind w:left="-105" w:leftChars="-50" w:right="-105" w:rightChars="-50"/>
              <w:jc w:val="center"/>
              <w:rPr>
                <w:rFonts w:eastAsiaTheme="minorEastAsia"/>
                <w:szCs w:val="21"/>
              </w:rPr>
            </w:pPr>
            <w:r>
              <w:rPr>
                <w:rFonts w:hint="eastAsia" w:eastAsiaTheme="minorEastAsia"/>
                <w:szCs w:val="21"/>
              </w:rPr>
              <w:t>2#</w:t>
            </w:r>
          </w:p>
        </w:tc>
        <w:tc>
          <w:tcPr>
            <w:tcW w:w="926"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9"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7"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1014" w:type="dxa"/>
            <w:gridSpan w:val="2"/>
            <w:vAlign w:val="center"/>
          </w:tcPr>
          <w:p>
            <w:pPr>
              <w:widowControl/>
              <w:ind w:left="-105" w:leftChars="-50" w:right="-105" w:rightChars="-50"/>
              <w:jc w:val="center"/>
              <w:rPr>
                <w:rFonts w:eastAsiaTheme="minorEastAsia"/>
                <w:kern w:val="0"/>
                <w:sz w:val="24"/>
              </w:rPr>
            </w:pPr>
            <w:r>
              <w:rPr>
                <w:rFonts w:eastAsiaTheme="minorEastAsia"/>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926"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9"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7"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1014" w:type="dxa"/>
            <w:gridSpan w:val="2"/>
            <w:vAlign w:val="center"/>
          </w:tcPr>
          <w:p>
            <w:pPr>
              <w:adjustRightInd w:val="0"/>
              <w:snapToGrid w:val="0"/>
              <w:spacing w:line="240" w:lineRule="atLeast"/>
              <w:ind w:left="-105" w:leftChars="-50" w:right="-105" w:rightChars="-50"/>
              <w:jc w:val="center"/>
              <w:rPr>
                <w:rFonts w:eastAsiaTheme="minorEastAsia"/>
              </w:rPr>
            </w:pPr>
            <w:r>
              <w:rPr>
                <w:rFonts w:eastAsiaTheme="minorEastAsia"/>
              </w:rPr>
              <w:t>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926"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9"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7"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1014" w:type="dxa"/>
            <w:gridSpan w:val="2"/>
            <w:vAlign w:val="center"/>
          </w:tcPr>
          <w:p>
            <w:pPr>
              <w:adjustRightInd w:val="0"/>
              <w:snapToGrid w:val="0"/>
              <w:spacing w:line="240" w:lineRule="atLeast"/>
              <w:ind w:left="-105" w:leftChars="-50" w:right="-105" w:rightChars="-50"/>
              <w:jc w:val="center"/>
              <w:rPr>
                <w:rFonts w:eastAsiaTheme="minorEastAsia"/>
              </w:rPr>
            </w:pPr>
            <w:r>
              <w:rPr>
                <w:rFonts w:eastAsiaTheme="minorEastAsia"/>
              </w:rPr>
              <w:t>75.4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926"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911" w:type="dxa"/>
            <w:gridSpan w:val="22"/>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bCs/>
                <w:szCs w:val="21"/>
              </w:rPr>
            </w:pPr>
          </w:p>
        </w:tc>
        <w:tc>
          <w:tcPr>
            <w:tcW w:w="835" w:type="dxa"/>
            <w:vAlign w:val="center"/>
          </w:tcPr>
          <w:p>
            <w:pPr>
              <w:widowControl/>
              <w:ind w:left="-105" w:leftChars="-50" w:right="-105" w:rightChars="-50"/>
              <w:jc w:val="center"/>
              <w:rPr>
                <w:rFonts w:eastAsiaTheme="minorEastAsia"/>
                <w:kern w:val="0"/>
                <w:szCs w:val="21"/>
              </w:rPr>
            </w:pPr>
            <w:r>
              <w:rPr>
                <w:rFonts w:hAnsiTheme="minorEastAsia" w:eastAsiaTheme="minorEastAsia"/>
                <w:szCs w:val="21"/>
              </w:rPr>
              <w:t>氯乙烯</w:t>
            </w:r>
          </w:p>
        </w:tc>
        <w:tc>
          <w:tcPr>
            <w:tcW w:w="917" w:type="dxa"/>
            <w:gridSpan w:val="2"/>
            <w:vAlign w:val="center"/>
          </w:tcPr>
          <w:p>
            <w:pPr>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917" w:type="dxa"/>
            <w:gridSpan w:val="2"/>
            <w:vAlign w:val="center"/>
          </w:tcPr>
          <w:p>
            <w:pPr>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甲烷</w:t>
            </w:r>
          </w:p>
        </w:tc>
        <w:tc>
          <w:tcPr>
            <w:tcW w:w="917" w:type="dxa"/>
            <w:gridSpan w:val="2"/>
            <w:vAlign w:val="center"/>
          </w:tcPr>
          <w:p>
            <w:pPr>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氯乙烯</w:t>
            </w:r>
          </w:p>
        </w:tc>
        <w:tc>
          <w:tcPr>
            <w:tcW w:w="917" w:type="dxa"/>
            <w:gridSpan w:val="2"/>
            <w:vAlign w:val="center"/>
          </w:tcPr>
          <w:p>
            <w:pPr>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917" w:type="dxa"/>
            <w:gridSpan w:val="2"/>
            <w:vAlign w:val="center"/>
          </w:tcPr>
          <w:p>
            <w:pPr>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氯乙烯</w:t>
            </w:r>
          </w:p>
        </w:tc>
        <w:tc>
          <w:tcPr>
            <w:tcW w:w="916"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氯仿</w:t>
            </w:r>
          </w:p>
        </w:tc>
        <w:tc>
          <w:tcPr>
            <w:tcW w:w="916"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c>
          <w:tcPr>
            <w:tcW w:w="916" w:type="dxa"/>
            <w:gridSpan w:val="2"/>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化碳</w:t>
            </w:r>
          </w:p>
        </w:tc>
        <w:tc>
          <w:tcPr>
            <w:tcW w:w="916"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w:t>
            </w:r>
          </w:p>
        </w:tc>
        <w:tc>
          <w:tcPr>
            <w:tcW w:w="916" w:type="dxa"/>
            <w:gridSpan w:val="2"/>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911" w:type="dxa"/>
            <w:vAlign w:val="center"/>
          </w:tcPr>
          <w:p>
            <w:pPr>
              <w:ind w:left="-105" w:leftChars="-50" w:right="-105" w:rightChars="-50"/>
              <w:jc w:val="center"/>
              <w:rPr>
                <w:rFonts w:eastAsiaTheme="minorEastAsia"/>
                <w:szCs w:val="21"/>
              </w:rPr>
            </w:pPr>
            <w:r>
              <w:rPr>
                <w:rFonts w:hAnsiTheme="minorEastAsia" w:eastAsiaTheme="minorEastAsia"/>
                <w:szCs w:val="21"/>
              </w:rPr>
              <w:t>三氯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926"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835" w:type="dxa"/>
            <w:vAlign w:val="center"/>
          </w:tcPr>
          <w:p>
            <w:pPr>
              <w:widowControl/>
              <w:ind w:left="-105" w:leftChars="-50" w:right="-105" w:rightChars="-50"/>
              <w:jc w:val="center"/>
              <w:rPr>
                <w:rFonts w:eastAsiaTheme="minorEastAsia"/>
                <w:kern w:val="0"/>
                <w:sz w:val="24"/>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926"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926"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7"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6" w:type="dxa"/>
            <w:gridSpan w:val="2"/>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0" w:hRule="atLeast"/>
          <w:jc w:val="center"/>
        </w:trPr>
        <w:tc>
          <w:tcPr>
            <w:tcW w:w="673" w:type="dxa"/>
            <w:vAlign w:val="center"/>
          </w:tcPr>
          <w:p>
            <w:pPr>
              <w:adjustRightInd w:val="0"/>
              <w:snapToGrid w:val="0"/>
              <w:ind w:left="-105" w:leftChars="-50" w:right="-105" w:rightChars="-50"/>
              <w:jc w:val="center"/>
              <w:rPr>
                <w:rFonts w:eastAsiaTheme="minorEastAsia"/>
                <w:szCs w:val="21"/>
              </w:rPr>
            </w:pPr>
          </w:p>
        </w:tc>
        <w:tc>
          <w:tcPr>
            <w:tcW w:w="13297" w:type="dxa"/>
            <w:gridSpan w:val="24"/>
            <w:vAlign w:val="center"/>
          </w:tcPr>
          <w:p>
            <w:pPr>
              <w:pStyle w:val="48"/>
              <w:numPr>
                <w:ilvl w:val="0"/>
                <w:numId w:val="2"/>
              </w:numPr>
              <w:adjustRightInd w:val="0"/>
              <w:snapToGrid w:val="0"/>
              <w:ind w:right="-105" w:rightChars="-50" w:firstLineChars="0"/>
              <w:rPr>
                <w:rFonts w:eastAsiaTheme="minorEastAsia"/>
                <w:kern w:val="0"/>
                <w:szCs w:val="21"/>
              </w:rPr>
            </w:pPr>
          </w:p>
        </w:tc>
      </w:tr>
    </w:tbl>
    <w:p>
      <w:pPr>
        <w:spacing w:line="360" w:lineRule="auto"/>
        <w:jc w:val="center"/>
        <w:rPr>
          <w:rFonts w:eastAsiaTheme="minorEastAsia"/>
          <w:b/>
          <w:szCs w:val="21"/>
        </w:rPr>
      </w:pPr>
    </w:p>
    <w:p>
      <w:pPr>
        <w:widowControl/>
        <w:jc w:val="left"/>
        <w:rPr>
          <w:rFonts w:eastAsiaTheme="minorEastAsia"/>
          <w:sz w:val="24"/>
        </w:rPr>
      </w:pPr>
    </w:p>
    <w:p>
      <w:pPr>
        <w:spacing w:line="360" w:lineRule="auto"/>
        <w:jc w:val="center"/>
        <w:rPr>
          <w:rFonts w:eastAsiaTheme="minorEastAsia"/>
          <w:b/>
          <w:szCs w:val="21"/>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530"/>
        <w:gridCol w:w="799"/>
        <w:gridCol w:w="1013"/>
        <w:gridCol w:w="894"/>
        <w:gridCol w:w="1000"/>
        <w:gridCol w:w="1000"/>
        <w:gridCol w:w="1000"/>
        <w:gridCol w:w="1000"/>
        <w:gridCol w:w="1000"/>
        <w:gridCol w:w="1000"/>
        <w:gridCol w:w="1000"/>
        <w:gridCol w:w="1000"/>
        <w:gridCol w:w="10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730"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bCs/>
                <w:szCs w:val="21"/>
              </w:rPr>
              <w:t>日期</w:t>
            </w:r>
          </w:p>
        </w:tc>
        <w:tc>
          <w:tcPr>
            <w:tcW w:w="1532" w:type="dxa"/>
            <w:vMerge w:val="restart"/>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监测点位</w:t>
            </w:r>
          </w:p>
        </w:tc>
        <w:tc>
          <w:tcPr>
            <w:tcW w:w="800"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908" w:type="dxa"/>
            <w:gridSpan w:val="11"/>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1014" w:type="dxa"/>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widowControl/>
              <w:ind w:left="-105" w:leftChars="-50" w:right="-105" w:rightChars="-50"/>
              <w:jc w:val="center"/>
              <w:rPr>
                <w:rFonts w:eastAsiaTheme="minorEastAsia"/>
                <w:kern w:val="0"/>
                <w:szCs w:val="21"/>
              </w:rPr>
            </w:pPr>
            <w:r>
              <w:rPr>
                <w:rFonts w:hAnsiTheme="minorEastAsia" w:eastAsiaTheme="minorEastAsia"/>
                <w:szCs w:val="21"/>
              </w:rPr>
              <w:t>丙烷</w:t>
            </w:r>
          </w:p>
        </w:tc>
        <w:tc>
          <w:tcPr>
            <w:tcW w:w="894"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1000"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邻二甲苯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苯乙烯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1,1,2,2-</w:t>
            </w:r>
            <w:r>
              <w:rPr>
                <w:rFonts w:hAnsiTheme="minorEastAsia" w:eastAsiaTheme="minorEastAsia"/>
                <w:szCs w:val="21"/>
              </w:rPr>
              <w:t>四氯乙烷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exact"/>
          <w:jc w:val="center"/>
        </w:trPr>
        <w:tc>
          <w:tcPr>
            <w:tcW w:w="730"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532"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2</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vertAlign w:val="superscript"/>
              </w:rPr>
            </w:pPr>
          </w:p>
        </w:tc>
        <w:tc>
          <w:tcPr>
            <w:tcW w:w="80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1014" w:type="dxa"/>
            <w:vAlign w:val="center"/>
          </w:tcPr>
          <w:p>
            <w:pPr>
              <w:widowControl/>
              <w:ind w:left="-105" w:leftChars="-50" w:right="-105" w:rightChars="-50"/>
              <w:jc w:val="center"/>
              <w:rPr>
                <w:rFonts w:eastAsiaTheme="minorEastAsia"/>
                <w:kern w:val="0"/>
                <w:sz w:val="24"/>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80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1014"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80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1014"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800"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908" w:type="dxa"/>
            <w:gridSpan w:val="11"/>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300" w:type="dxa"/>
            <w:vMerge w:val="continue"/>
            <w:vAlign w:val="center"/>
          </w:tcPr>
          <w:p>
            <w:pPr>
              <w:widowControl/>
              <w:jc w:val="left"/>
              <w:rPr>
                <w:rFonts w:eastAsiaTheme="minorEastAsia"/>
                <w:bCs/>
                <w:szCs w:val="21"/>
              </w:rPr>
            </w:pPr>
          </w:p>
        </w:tc>
        <w:tc>
          <w:tcPr>
            <w:tcW w:w="1014"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1,2,3-</w:t>
            </w:r>
            <w:r>
              <w:rPr>
                <w:rFonts w:hAnsiTheme="minorEastAsia" w:eastAsiaTheme="minorEastAsia"/>
                <w:szCs w:val="21"/>
              </w:rPr>
              <w:t>三氯丙烷</w:t>
            </w:r>
          </w:p>
        </w:tc>
        <w:tc>
          <w:tcPr>
            <w:tcW w:w="894" w:type="dxa"/>
            <w:vAlign w:val="center"/>
          </w:tcPr>
          <w:p>
            <w:pPr>
              <w:ind w:left="-105" w:leftChars="-50" w:right="-105" w:rightChars="-50"/>
              <w:jc w:val="center"/>
              <w:rPr>
                <w:rFonts w:eastAsiaTheme="minorEastAsia"/>
                <w:szCs w:val="21"/>
              </w:rPr>
            </w:pPr>
            <w:r>
              <w:rPr>
                <w:rFonts w:eastAsiaTheme="minorEastAsia"/>
                <w:szCs w:val="21"/>
              </w:rPr>
              <w:t>1,4-</w:t>
            </w:r>
          </w:p>
          <w:p>
            <w:pPr>
              <w:adjustRightInd w:val="0"/>
              <w:snapToGrid w:val="0"/>
              <w:spacing w:line="240" w:lineRule="atLeast"/>
              <w:ind w:left="-105" w:leftChars="-50" w:right="-105" w:rightChars="-50"/>
              <w:jc w:val="center"/>
              <w:rPr>
                <w:rFonts w:eastAsiaTheme="minorEastAsia"/>
                <w:kern w:val="0"/>
                <w:szCs w:val="21"/>
              </w:rPr>
            </w:pPr>
            <w:r>
              <w:rPr>
                <w:rFonts w:hAnsiTheme="minorEastAsia" w:eastAsiaTheme="minorEastAsia"/>
                <w:szCs w:val="21"/>
              </w:rPr>
              <w:t>二氯苯</w:t>
            </w:r>
          </w:p>
        </w:tc>
        <w:tc>
          <w:tcPr>
            <w:tcW w:w="1000" w:type="dxa"/>
            <w:vAlign w:val="center"/>
          </w:tcPr>
          <w:p>
            <w:pPr>
              <w:ind w:left="-105" w:leftChars="-50" w:right="-105" w:rightChars="-50"/>
              <w:jc w:val="center"/>
              <w:rPr>
                <w:rFonts w:eastAsiaTheme="minorEastAsia"/>
                <w:szCs w:val="21"/>
              </w:rPr>
            </w:pPr>
            <w:r>
              <w:rPr>
                <w:rFonts w:eastAsiaTheme="minorEastAsia"/>
                <w:szCs w:val="21"/>
              </w:rPr>
              <w:t>1,2-</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二氯苯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萘</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蒽</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䓛</w:t>
            </w:r>
          </w:p>
        </w:tc>
        <w:tc>
          <w:tcPr>
            <w:tcW w:w="100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100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芘</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二苯并</w:t>
            </w:r>
            <w:r>
              <w:rPr>
                <w:rFonts w:eastAsiaTheme="minorEastAsia"/>
                <w:szCs w:val="21"/>
              </w:rPr>
              <w:t>[a,h]</w:t>
            </w:r>
            <w:r>
              <w:rPr>
                <w:rFonts w:hAnsiTheme="minorEastAsia" w:eastAsiaTheme="minorEastAsia"/>
                <w:szCs w:val="21"/>
              </w:rPr>
              <w:t>蒽</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80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1014" w:type="dxa"/>
            <w:vAlign w:val="center"/>
          </w:tcPr>
          <w:p>
            <w:pPr>
              <w:widowControl/>
              <w:ind w:left="-105" w:leftChars="-50" w:right="-105" w:rightChars="-50"/>
              <w:jc w:val="center"/>
              <w:rPr>
                <w:rFonts w:eastAsiaTheme="minorEastAsia"/>
                <w:kern w:val="0"/>
                <w:sz w:val="24"/>
              </w:rPr>
            </w:pPr>
            <w:r>
              <w:rPr>
                <w:rFonts w:eastAsiaTheme="minorEastAsia"/>
              </w:rPr>
              <w:t>ND</w:t>
            </w:r>
          </w:p>
        </w:tc>
        <w:tc>
          <w:tcPr>
            <w:tcW w:w="894"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c>
          <w:tcPr>
            <w:tcW w:w="1000"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c>
          <w:tcPr>
            <w:tcW w:w="1000" w:type="dxa"/>
            <w:vAlign w:val="center"/>
          </w:tcPr>
          <w:p>
            <w:pPr>
              <w:widowControl/>
              <w:ind w:left="-105" w:leftChars="-50" w:right="-105" w:rightChars="-50"/>
              <w:jc w:val="center"/>
              <w:rPr>
                <w:rFonts w:eastAsiaTheme="minorEastAsia"/>
                <w:kern w:val="0"/>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0.7</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0.9</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1.7</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0.5</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1.0</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80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1014"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c>
          <w:tcPr>
            <w:tcW w:w="894"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c>
          <w:tcPr>
            <w:tcW w:w="1000"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1.7</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0.5</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0.9</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80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1014"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c>
          <w:tcPr>
            <w:tcW w:w="894"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c>
          <w:tcPr>
            <w:tcW w:w="1000"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0.6</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r>
              <w:rPr>
                <w:rFonts w:eastAsiaTheme="minorEastAsia"/>
                <w:sz w:val="22"/>
                <w:szCs w:val="22"/>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730" w:type="dxa"/>
            <w:vAlign w:val="center"/>
          </w:tcPr>
          <w:p>
            <w:pPr>
              <w:adjustRightInd w:val="0"/>
              <w:snapToGrid w:val="0"/>
              <w:ind w:left="-105" w:leftChars="-50" w:right="-105" w:rightChars="-50"/>
              <w:jc w:val="center"/>
              <w:rPr>
                <w:rFonts w:eastAsiaTheme="minorEastAsia"/>
                <w:szCs w:val="21"/>
              </w:rPr>
            </w:pPr>
            <w:r>
              <w:rPr>
                <w:rFonts w:hAnsiTheme="minorEastAsia" w:eastAsiaTheme="minorEastAsia"/>
                <w:szCs w:val="21"/>
              </w:rPr>
              <w:t>备注</w:t>
            </w:r>
          </w:p>
        </w:tc>
        <w:tc>
          <w:tcPr>
            <w:tcW w:w="13240" w:type="dxa"/>
            <w:gridSpan w:val="13"/>
            <w:vAlign w:val="center"/>
          </w:tcPr>
          <w:p>
            <w:pPr>
              <w:adjustRightInd w:val="0"/>
              <w:snapToGrid w:val="0"/>
              <w:rPr>
                <w:rFonts w:eastAsiaTheme="minorEastAsia"/>
                <w:kern w:val="0"/>
                <w:szCs w:val="21"/>
              </w:rPr>
            </w:pPr>
            <w:r>
              <w:rPr>
                <w:rFonts w:eastAsiaTheme="minorEastAsia"/>
                <w:kern w:val="0"/>
                <w:szCs w:val="21"/>
              </w:rPr>
              <w:t>“ND”</w:t>
            </w:r>
            <w:r>
              <w:rPr>
                <w:rFonts w:hAnsiTheme="minorEastAsia" w:eastAsiaTheme="minorEastAsia"/>
                <w:kern w:val="0"/>
                <w:szCs w:val="21"/>
              </w:rPr>
              <w:t>表示未检出，检出限详见表</w:t>
            </w:r>
            <w:r>
              <w:rPr>
                <w:rFonts w:eastAsiaTheme="minorEastAsia"/>
                <w:kern w:val="0"/>
                <w:szCs w:val="21"/>
              </w:rPr>
              <w:t>3-1</w:t>
            </w:r>
            <w:r>
              <w:rPr>
                <w:rFonts w:hAnsiTheme="minorEastAsia" w:eastAsiaTheme="minorEastAsia"/>
                <w:kern w:val="0"/>
                <w:szCs w:val="21"/>
              </w:rPr>
              <w:t>。</w:t>
            </w:r>
          </w:p>
        </w:tc>
      </w:tr>
    </w:tbl>
    <w:p>
      <w:pPr>
        <w:widowControl/>
        <w:jc w:val="left"/>
        <w:rPr>
          <w:rFonts w:eastAsiaTheme="minorEastAsia"/>
          <w:sz w:val="24"/>
        </w:rPr>
      </w:pPr>
      <w:r>
        <w:rPr>
          <w:rFonts w:eastAsiaTheme="minorEastAsia"/>
          <w:sz w:val="24"/>
        </w:rPr>
        <w:br w:type="page"/>
      </w:r>
    </w:p>
    <w:p>
      <w:pPr>
        <w:spacing w:line="360" w:lineRule="auto"/>
        <w:jc w:val="center"/>
        <w:rPr>
          <w:rFonts w:eastAsiaTheme="minorEastAsia"/>
          <w:b/>
          <w:szCs w:val="21"/>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1"/>
        <w:gridCol w:w="1552"/>
        <w:gridCol w:w="849"/>
        <w:gridCol w:w="827"/>
        <w:gridCol w:w="79"/>
        <w:gridCol w:w="836"/>
        <w:gridCol w:w="159"/>
        <w:gridCol w:w="754"/>
        <w:gridCol w:w="240"/>
        <w:gridCol w:w="673"/>
        <w:gridCol w:w="321"/>
        <w:gridCol w:w="592"/>
        <w:gridCol w:w="402"/>
        <w:gridCol w:w="511"/>
        <w:gridCol w:w="483"/>
        <w:gridCol w:w="430"/>
        <w:gridCol w:w="564"/>
        <w:gridCol w:w="349"/>
        <w:gridCol w:w="645"/>
        <w:gridCol w:w="268"/>
        <w:gridCol w:w="726"/>
        <w:gridCol w:w="187"/>
        <w:gridCol w:w="807"/>
        <w:gridCol w:w="106"/>
        <w:gridCol w:w="9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91" w:type="dxa"/>
            <w:vMerge w:val="restart"/>
            <w:vAlign w:val="center"/>
          </w:tcPr>
          <w:p>
            <w:pPr>
              <w:spacing w:line="280" w:lineRule="exact"/>
              <w:jc w:val="center"/>
              <w:rPr>
                <w:rFonts w:eastAsiaTheme="minorEastAsia"/>
                <w:bCs/>
                <w:szCs w:val="21"/>
              </w:rPr>
            </w:pPr>
            <w:r>
              <w:rPr>
                <w:rFonts w:eastAsiaTheme="minorEastAsia"/>
                <w:sz w:val="24"/>
              </w:rPr>
              <w:br w:type="page"/>
            </w:r>
            <w:r>
              <w:rPr>
                <w:rFonts w:hAnsiTheme="minorEastAsia" w:eastAsiaTheme="minorEastAsia"/>
                <w:bCs/>
                <w:szCs w:val="21"/>
              </w:rPr>
              <w:t>监测</w:t>
            </w:r>
          </w:p>
          <w:p>
            <w:pPr>
              <w:adjustRightInd w:val="0"/>
              <w:snapToGrid w:val="0"/>
              <w:spacing w:line="280" w:lineRule="exact"/>
              <w:jc w:val="center"/>
              <w:rPr>
                <w:rFonts w:eastAsiaTheme="minorEastAsia"/>
                <w:bCs/>
                <w:szCs w:val="21"/>
              </w:rPr>
            </w:pPr>
            <w:r>
              <w:rPr>
                <w:rFonts w:hAnsiTheme="minorEastAsia" w:eastAsiaTheme="minorEastAsia"/>
                <w:bCs/>
                <w:szCs w:val="21"/>
              </w:rPr>
              <w:t>日期</w:t>
            </w:r>
          </w:p>
        </w:tc>
        <w:tc>
          <w:tcPr>
            <w:tcW w:w="1552" w:type="dxa"/>
            <w:vMerge w:val="restart"/>
            <w:vAlign w:val="center"/>
          </w:tcPr>
          <w:p>
            <w:pPr>
              <w:adjustRightInd w:val="0"/>
              <w:snapToGrid w:val="0"/>
              <w:spacing w:line="280" w:lineRule="exact"/>
              <w:jc w:val="center"/>
              <w:rPr>
                <w:rFonts w:eastAsiaTheme="minorEastAsia"/>
                <w:bCs/>
                <w:szCs w:val="21"/>
              </w:rPr>
            </w:pPr>
            <w:r>
              <w:rPr>
                <w:rFonts w:hAnsiTheme="minorEastAsia" w:eastAsiaTheme="minorEastAsia"/>
                <w:bCs/>
                <w:szCs w:val="21"/>
              </w:rPr>
              <w:t>监测点位</w:t>
            </w:r>
          </w:p>
        </w:tc>
        <w:tc>
          <w:tcPr>
            <w:tcW w:w="849" w:type="dxa"/>
            <w:vMerge w:val="restart"/>
            <w:vAlign w:val="center"/>
          </w:tcPr>
          <w:p>
            <w:pPr>
              <w:spacing w:line="280" w:lineRule="exact"/>
              <w:jc w:val="center"/>
              <w:rPr>
                <w:rFonts w:eastAsiaTheme="minorEastAsia"/>
                <w:bCs/>
                <w:szCs w:val="21"/>
              </w:rPr>
            </w:pPr>
            <w:r>
              <w:rPr>
                <w:rFonts w:hAnsiTheme="minorEastAsia" w:eastAsiaTheme="minorEastAsia"/>
                <w:bCs/>
                <w:szCs w:val="21"/>
              </w:rPr>
              <w:t>采样</w:t>
            </w:r>
          </w:p>
          <w:p>
            <w:pPr>
              <w:spacing w:line="280" w:lineRule="exact"/>
              <w:jc w:val="center"/>
              <w:rPr>
                <w:rFonts w:eastAsiaTheme="minorEastAsia"/>
                <w:bCs/>
                <w:szCs w:val="21"/>
              </w:rPr>
            </w:pPr>
            <w:r>
              <w:rPr>
                <w:rFonts w:hAnsiTheme="minorEastAsia" w:eastAsiaTheme="minorEastAsia"/>
                <w:bCs/>
                <w:szCs w:val="21"/>
              </w:rPr>
              <w:t>深度</w:t>
            </w:r>
          </w:p>
          <w:p>
            <w:pPr>
              <w:adjustRightInd w:val="0"/>
              <w:snapToGrid w:val="0"/>
              <w:spacing w:line="280" w:lineRule="exact"/>
              <w:jc w:val="center"/>
              <w:rPr>
                <w:rFonts w:eastAsiaTheme="minorEastAsia"/>
                <w:bCs/>
                <w:szCs w:val="21"/>
              </w:rPr>
            </w:pPr>
            <w:r>
              <w:rPr>
                <w:rFonts w:eastAsiaTheme="minorEastAsia"/>
                <w:bCs/>
                <w:szCs w:val="21"/>
              </w:rPr>
              <w:t>(m)</w:t>
            </w:r>
          </w:p>
        </w:tc>
        <w:tc>
          <w:tcPr>
            <w:tcW w:w="10873" w:type="dxa"/>
            <w:gridSpan w:val="22"/>
            <w:vAlign w:val="center"/>
          </w:tcPr>
          <w:p>
            <w:pPr>
              <w:adjustRightInd w:val="0"/>
              <w:snapToGrid w:val="0"/>
              <w:spacing w:line="280" w:lineRule="exact"/>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continue"/>
            <w:vAlign w:val="center"/>
          </w:tcPr>
          <w:p>
            <w:pPr>
              <w:widowControl/>
              <w:jc w:val="left"/>
              <w:rPr>
                <w:rFonts w:eastAsiaTheme="minorEastAsia"/>
                <w:bCs/>
                <w:szCs w:val="21"/>
              </w:rPr>
            </w:pPr>
          </w:p>
        </w:tc>
        <w:tc>
          <w:tcPr>
            <w:tcW w:w="1552" w:type="dxa"/>
            <w:vMerge w:val="continue"/>
            <w:vAlign w:val="center"/>
          </w:tcPr>
          <w:p>
            <w:pPr>
              <w:widowControl/>
              <w:jc w:val="left"/>
              <w:rPr>
                <w:rFonts w:eastAsiaTheme="minorEastAsia"/>
                <w:bCs/>
                <w:szCs w:val="21"/>
              </w:rPr>
            </w:pPr>
          </w:p>
        </w:tc>
        <w:tc>
          <w:tcPr>
            <w:tcW w:w="849" w:type="dxa"/>
            <w:vMerge w:val="continue"/>
            <w:vAlign w:val="center"/>
          </w:tcPr>
          <w:p>
            <w:pPr>
              <w:widowControl/>
              <w:jc w:val="left"/>
              <w:rPr>
                <w:rFonts w:eastAsiaTheme="minorEastAsia"/>
                <w:bCs/>
                <w:szCs w:val="21"/>
              </w:rPr>
            </w:pPr>
          </w:p>
        </w:tc>
        <w:tc>
          <w:tcPr>
            <w:tcW w:w="906" w:type="dxa"/>
            <w:gridSpan w:val="2"/>
            <w:vAlign w:val="center"/>
          </w:tcPr>
          <w:p>
            <w:pPr>
              <w:ind w:left="-105" w:leftChars="-50" w:right="-105" w:rightChars="-50"/>
              <w:jc w:val="center"/>
              <w:rPr>
                <w:rFonts w:eastAsiaTheme="minorEastAsia"/>
                <w:szCs w:val="21"/>
              </w:rPr>
            </w:pPr>
            <w:r>
              <w:rPr>
                <w:rFonts w:hAnsiTheme="minorEastAsia" w:eastAsiaTheme="minorEastAsia"/>
                <w:szCs w:val="21"/>
              </w:rPr>
              <w:t>铅</w:t>
            </w:r>
          </w:p>
          <w:p>
            <w:pPr>
              <w:widowControl/>
              <w:adjustRightInd w:val="0"/>
              <w:snapToGrid w:val="0"/>
              <w:ind w:left="-105" w:leftChars="-50" w:right="-105" w:rightChars="-50"/>
              <w:jc w:val="center"/>
              <w:rPr>
                <w:rFonts w:eastAsiaTheme="minorEastAsia"/>
                <w:kern w:val="0"/>
                <w:szCs w:val="21"/>
              </w:rPr>
            </w:pPr>
            <w:r>
              <w:rPr>
                <w:rFonts w:eastAsiaTheme="minorEastAsia"/>
                <w:szCs w:val="21"/>
              </w:rPr>
              <w:t>(</w:t>
            </w:r>
            <w:r>
              <w:rPr>
                <w:rFonts w:eastAsiaTheme="minorEastAsia"/>
                <w:bCs/>
                <w:szCs w:val="21"/>
              </w:rPr>
              <w:t>mg/kg</w:t>
            </w:r>
            <w:r>
              <w:rPr>
                <w:rFonts w:eastAsiaTheme="minorEastAsia"/>
                <w:szCs w:val="21"/>
              </w:rPr>
              <w:t>)</w:t>
            </w:r>
          </w:p>
        </w:tc>
        <w:tc>
          <w:tcPr>
            <w:tcW w:w="995" w:type="dxa"/>
            <w:gridSpan w:val="2"/>
            <w:vAlign w:val="center"/>
          </w:tcPr>
          <w:p>
            <w:pPr>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4" w:type="dxa"/>
            <w:gridSpan w:val="2"/>
            <w:vAlign w:val="center"/>
          </w:tcPr>
          <w:p>
            <w:pPr>
              <w:widowControl/>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 xml:space="preserve"> (</w:t>
            </w:r>
            <w:r>
              <w:rPr>
                <w:rFonts w:eastAsiaTheme="minorEastAsia"/>
                <w:bCs/>
                <w:szCs w:val="21"/>
              </w:rPr>
              <w:t>mg/kg</w:t>
            </w:r>
            <w:r>
              <w:rPr>
                <w:rFonts w:eastAsiaTheme="minorEastAsia"/>
                <w:szCs w:val="21"/>
              </w:rPr>
              <w:t>)</w:t>
            </w:r>
          </w:p>
        </w:tc>
        <w:tc>
          <w:tcPr>
            <w:tcW w:w="994" w:type="dxa"/>
            <w:gridSpan w:val="2"/>
            <w:vAlign w:val="center"/>
          </w:tcPr>
          <w:p>
            <w:pPr>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4" w:type="dxa"/>
            <w:gridSpan w:val="2"/>
            <w:vAlign w:val="center"/>
          </w:tcPr>
          <w:p>
            <w:pPr>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4" w:type="dxa"/>
            <w:gridSpan w:val="2"/>
            <w:vAlign w:val="center"/>
          </w:tcPr>
          <w:p>
            <w:pPr>
              <w:ind w:left="-105" w:leftChars="-50" w:right="-105" w:rightChars="-50"/>
              <w:jc w:val="center"/>
              <w:rPr>
                <w:rFonts w:eastAsiaTheme="minorEastAsia"/>
                <w:szCs w:val="21"/>
              </w:rPr>
            </w:pPr>
            <w:r>
              <w:rPr>
                <w:rFonts w:hAnsiTheme="minorEastAsia" w:eastAsiaTheme="minorEastAsia"/>
                <w:szCs w:val="21"/>
              </w:rPr>
              <w:t>砷</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4" w:type="dxa"/>
            <w:gridSpan w:val="2"/>
            <w:vAlign w:val="center"/>
          </w:tcPr>
          <w:p>
            <w:pPr>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atLeast"/>
              <w:ind w:left="-50" w:right="-50"/>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4" w:type="dxa"/>
            <w:gridSpan w:val="2"/>
            <w:vAlign w:val="center"/>
          </w:tcPr>
          <w:p>
            <w:pPr>
              <w:jc w:val="center"/>
              <w:rPr>
                <w:rFonts w:eastAsiaTheme="minorEastAsia"/>
                <w:szCs w:val="21"/>
              </w:rPr>
            </w:pPr>
            <w:r>
              <w:rPr>
                <w:rFonts w:hAnsiTheme="minorEastAsia" w:eastAsiaTheme="minorEastAsia"/>
                <w:szCs w:val="21"/>
              </w:rPr>
              <w:t>苯胺</w:t>
            </w:r>
          </w:p>
          <w:p>
            <w:pPr>
              <w:adjustRightInd w:val="0"/>
              <w:snapToGrid w:val="0"/>
              <w:spacing w:line="240" w:lineRule="atLeast"/>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4" w:type="dxa"/>
            <w:gridSpan w:val="2"/>
            <w:vAlign w:val="center"/>
          </w:tcPr>
          <w:p>
            <w:pPr>
              <w:jc w:val="center"/>
              <w:rPr>
                <w:rFonts w:eastAsiaTheme="minorEastAsia"/>
                <w:szCs w:val="21"/>
              </w:rPr>
            </w:pPr>
            <w:r>
              <w:rPr>
                <w:rFonts w:hAnsiTheme="minorEastAsia" w:eastAsiaTheme="minorEastAsia"/>
                <w:szCs w:val="21"/>
              </w:rPr>
              <w:t>硝基苯</w:t>
            </w:r>
          </w:p>
          <w:p>
            <w:pPr>
              <w:adjustRightInd w:val="0"/>
              <w:snapToGrid w:val="0"/>
              <w:spacing w:line="240" w:lineRule="atLeast"/>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994" w:type="dxa"/>
            <w:gridSpan w:val="2"/>
            <w:vAlign w:val="center"/>
          </w:tcPr>
          <w:p>
            <w:pPr>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atLeast"/>
              <w:jc w:val="center"/>
              <w:rPr>
                <w:rFonts w:eastAsiaTheme="minorEastAsia"/>
                <w:szCs w:val="21"/>
              </w:rPr>
            </w:pPr>
            <w:r>
              <w:rPr>
                <w:rFonts w:eastAsiaTheme="minorEastAsia"/>
                <w:szCs w:val="21"/>
              </w:rPr>
              <w:t>(</w:t>
            </w:r>
            <w:r>
              <w:rPr>
                <w:rFonts w:eastAsiaTheme="minorEastAsia"/>
                <w:bCs/>
                <w:szCs w:val="21"/>
              </w:rPr>
              <w:t>mg/kg</w:t>
            </w:r>
            <w:r>
              <w:rPr>
                <w:rFonts w:eastAsiaTheme="minorEastAsia"/>
                <w:szCs w:val="21"/>
              </w:rPr>
              <w:t>)</w:t>
            </w:r>
          </w:p>
        </w:tc>
        <w:tc>
          <w:tcPr>
            <w:tcW w:w="1020" w:type="dxa"/>
            <w:gridSpan w:val="2"/>
            <w:vAlign w:val="center"/>
          </w:tcPr>
          <w:p>
            <w:pPr>
              <w:adjustRightInd w:val="0"/>
              <w:snapToGrid w:val="0"/>
              <w:spacing w:line="240" w:lineRule="atLeast"/>
              <w:jc w:val="center"/>
              <w:rPr>
                <w:rFonts w:eastAsiaTheme="minorEastAsia"/>
                <w:szCs w:val="21"/>
              </w:rPr>
            </w:pPr>
            <w:r>
              <w:rPr>
                <w:rFonts w:hAnsiTheme="minorEastAsia" w:eastAsiaTheme="minorEastAsia"/>
                <w:szCs w:val="21"/>
              </w:rPr>
              <w:t>氯甲烷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restart"/>
            <w:vAlign w:val="center"/>
          </w:tcPr>
          <w:p>
            <w:pPr>
              <w:adjustRightInd w:val="0"/>
              <w:snapToGrid w:val="0"/>
              <w:spacing w:line="280" w:lineRule="exact"/>
              <w:jc w:val="center"/>
              <w:rPr>
                <w:rFonts w:eastAsiaTheme="minorEastAsia"/>
                <w:szCs w:val="21"/>
              </w:rPr>
            </w:pPr>
          </w:p>
        </w:tc>
        <w:tc>
          <w:tcPr>
            <w:tcW w:w="1552" w:type="dxa"/>
            <w:vMerge w:val="restart"/>
            <w:vAlign w:val="center"/>
          </w:tcPr>
          <w:p>
            <w:pPr>
              <w:spacing w:line="240" w:lineRule="exact"/>
              <w:jc w:val="center"/>
              <w:rPr>
                <w:rFonts w:eastAsiaTheme="minorEastAsia"/>
                <w:szCs w:val="21"/>
                <w:vertAlign w:val="superscript"/>
              </w:rPr>
            </w:pPr>
            <w:r>
              <w:rPr>
                <w:rFonts w:eastAsiaTheme="minorEastAsia"/>
                <w:szCs w:val="21"/>
              </w:rPr>
              <w:t>3</w:t>
            </w:r>
            <w:r>
              <w:rPr>
                <w:rFonts w:eastAsiaTheme="minorEastAsia"/>
                <w:szCs w:val="21"/>
                <w:vertAlign w:val="superscript"/>
              </w:rPr>
              <w:t xml:space="preserve"># </w:t>
            </w:r>
          </w:p>
          <w:p>
            <w:pPr>
              <w:adjustRightInd w:val="0"/>
              <w:snapToGrid w:val="0"/>
              <w:spacing w:line="240" w:lineRule="exact"/>
              <w:jc w:val="center"/>
              <w:rPr>
                <w:rFonts w:eastAsiaTheme="minorEastAsia"/>
                <w:szCs w:val="21"/>
                <w:vertAlign w:val="superscript"/>
              </w:rPr>
            </w:pPr>
            <w:r>
              <w:rPr>
                <w:rFonts w:eastAsiaTheme="minorEastAsia"/>
                <w:szCs w:val="21"/>
              </w:rPr>
              <w:t>″</w:t>
            </w: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06" w:type="dxa"/>
            <w:gridSpan w:val="2"/>
            <w:vAlign w:val="center"/>
          </w:tcPr>
          <w:p>
            <w:pPr>
              <w:adjustRightInd w:val="0"/>
              <w:snapToGrid w:val="0"/>
              <w:spacing w:line="240" w:lineRule="atLeast"/>
              <w:jc w:val="center"/>
              <w:rPr>
                <w:rFonts w:eastAsiaTheme="minorEastAsia"/>
                <w:szCs w:val="21"/>
              </w:rPr>
            </w:pPr>
          </w:p>
        </w:tc>
        <w:tc>
          <w:tcPr>
            <w:tcW w:w="995"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adjustRightInd w:val="0"/>
              <w:snapToGrid w:val="0"/>
              <w:spacing w:line="240" w:lineRule="atLeast"/>
              <w:jc w:val="center"/>
              <w:rPr>
                <w:rFonts w:eastAsiaTheme="minorEastAsia"/>
                <w:szCs w:val="21"/>
              </w:rPr>
            </w:pPr>
          </w:p>
        </w:tc>
        <w:tc>
          <w:tcPr>
            <w:tcW w:w="994"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adjustRightInd w:val="0"/>
              <w:snapToGrid w:val="0"/>
              <w:spacing w:line="240" w:lineRule="atLeast"/>
              <w:jc w:val="center"/>
              <w:rPr>
                <w:rFonts w:eastAsiaTheme="minorEastAsia"/>
                <w:szCs w:val="21"/>
              </w:rPr>
            </w:pPr>
          </w:p>
        </w:tc>
        <w:tc>
          <w:tcPr>
            <w:tcW w:w="994" w:type="dxa"/>
            <w:gridSpan w:val="2"/>
            <w:vAlign w:val="center"/>
          </w:tcPr>
          <w:p>
            <w:pPr>
              <w:adjustRightInd w:val="0"/>
              <w:snapToGrid w:val="0"/>
              <w:spacing w:line="240" w:lineRule="atLeast"/>
              <w:jc w:val="center"/>
              <w:rPr>
                <w:rFonts w:eastAsiaTheme="minorEastAsia"/>
                <w:szCs w:val="21"/>
              </w:rPr>
            </w:pPr>
          </w:p>
        </w:tc>
        <w:tc>
          <w:tcPr>
            <w:tcW w:w="994"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adjustRightInd w:val="0"/>
              <w:snapToGrid w:val="0"/>
              <w:spacing w:line="240" w:lineRule="atLeast"/>
              <w:jc w:val="center"/>
              <w:rPr>
                <w:rFonts w:eastAsiaTheme="minorEastAsia"/>
              </w:rPr>
            </w:pPr>
          </w:p>
        </w:tc>
        <w:tc>
          <w:tcPr>
            <w:tcW w:w="994" w:type="dxa"/>
            <w:gridSpan w:val="2"/>
            <w:vAlign w:val="center"/>
          </w:tcPr>
          <w:p>
            <w:pPr>
              <w:adjustRightInd w:val="0"/>
              <w:snapToGrid w:val="0"/>
              <w:spacing w:line="240" w:lineRule="atLeast"/>
              <w:jc w:val="center"/>
              <w:rPr>
                <w:rFonts w:eastAsiaTheme="minorEastAsia"/>
              </w:rPr>
            </w:pPr>
          </w:p>
        </w:tc>
        <w:tc>
          <w:tcPr>
            <w:tcW w:w="1020" w:type="dxa"/>
            <w:gridSpan w:val="2"/>
            <w:vAlign w:val="center"/>
          </w:tcPr>
          <w:p>
            <w:pPr>
              <w:widowControl/>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continue"/>
            <w:vAlign w:val="center"/>
          </w:tcPr>
          <w:p>
            <w:pPr>
              <w:widowControl/>
              <w:jc w:val="left"/>
              <w:rPr>
                <w:rFonts w:eastAsiaTheme="minorEastAsia"/>
                <w:szCs w:val="21"/>
              </w:rPr>
            </w:pPr>
          </w:p>
        </w:tc>
        <w:tc>
          <w:tcPr>
            <w:tcW w:w="1552" w:type="dxa"/>
            <w:vMerge w:val="continue"/>
            <w:vAlign w:val="center"/>
          </w:tcPr>
          <w:p>
            <w:pPr>
              <w:widowControl/>
              <w:jc w:val="left"/>
              <w:rPr>
                <w:rFonts w:eastAsiaTheme="minorEastAsia"/>
                <w:szCs w:val="21"/>
                <w:vertAlign w:val="superscript"/>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06" w:type="dxa"/>
            <w:gridSpan w:val="2"/>
            <w:vAlign w:val="center"/>
          </w:tcPr>
          <w:p>
            <w:pPr>
              <w:adjustRightInd w:val="0"/>
              <w:snapToGrid w:val="0"/>
              <w:spacing w:line="240" w:lineRule="atLeast"/>
              <w:jc w:val="center"/>
              <w:rPr>
                <w:rFonts w:eastAsiaTheme="minorEastAsia"/>
                <w:szCs w:val="21"/>
              </w:rPr>
            </w:pPr>
          </w:p>
        </w:tc>
        <w:tc>
          <w:tcPr>
            <w:tcW w:w="995"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adjustRightInd w:val="0"/>
              <w:snapToGrid w:val="0"/>
              <w:spacing w:line="240" w:lineRule="atLeast"/>
              <w:jc w:val="center"/>
              <w:rPr>
                <w:rFonts w:eastAsiaTheme="minorEastAsia"/>
                <w:szCs w:val="21"/>
              </w:rPr>
            </w:pPr>
          </w:p>
        </w:tc>
        <w:tc>
          <w:tcPr>
            <w:tcW w:w="994"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adjustRightInd w:val="0"/>
              <w:snapToGrid w:val="0"/>
              <w:spacing w:line="240" w:lineRule="atLeast"/>
              <w:jc w:val="center"/>
              <w:rPr>
                <w:rFonts w:eastAsiaTheme="minorEastAsia"/>
                <w:szCs w:val="21"/>
              </w:rPr>
            </w:pPr>
          </w:p>
        </w:tc>
        <w:tc>
          <w:tcPr>
            <w:tcW w:w="994" w:type="dxa"/>
            <w:gridSpan w:val="2"/>
            <w:vAlign w:val="center"/>
          </w:tcPr>
          <w:p>
            <w:pPr>
              <w:adjustRightInd w:val="0"/>
              <w:snapToGrid w:val="0"/>
              <w:spacing w:line="240" w:lineRule="atLeast"/>
              <w:jc w:val="center"/>
              <w:rPr>
                <w:rFonts w:eastAsiaTheme="minorEastAsia"/>
                <w:szCs w:val="21"/>
              </w:rPr>
            </w:pPr>
          </w:p>
        </w:tc>
        <w:tc>
          <w:tcPr>
            <w:tcW w:w="994"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adjustRightInd w:val="0"/>
              <w:snapToGrid w:val="0"/>
              <w:spacing w:line="240" w:lineRule="atLeast"/>
              <w:jc w:val="center"/>
              <w:rPr>
                <w:rFonts w:eastAsiaTheme="minorEastAsia"/>
              </w:rPr>
            </w:pPr>
          </w:p>
        </w:tc>
        <w:tc>
          <w:tcPr>
            <w:tcW w:w="994" w:type="dxa"/>
            <w:gridSpan w:val="2"/>
            <w:vAlign w:val="center"/>
          </w:tcPr>
          <w:p>
            <w:pPr>
              <w:adjustRightInd w:val="0"/>
              <w:snapToGrid w:val="0"/>
              <w:spacing w:line="240" w:lineRule="atLeast"/>
              <w:jc w:val="center"/>
              <w:rPr>
                <w:rFonts w:eastAsiaTheme="minorEastAsia"/>
              </w:rPr>
            </w:pPr>
          </w:p>
        </w:tc>
        <w:tc>
          <w:tcPr>
            <w:tcW w:w="1020" w:type="dxa"/>
            <w:gridSpan w:val="2"/>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continue"/>
            <w:vAlign w:val="center"/>
          </w:tcPr>
          <w:p>
            <w:pPr>
              <w:widowControl/>
              <w:jc w:val="left"/>
              <w:rPr>
                <w:rFonts w:eastAsiaTheme="minorEastAsia"/>
                <w:szCs w:val="21"/>
              </w:rPr>
            </w:pPr>
          </w:p>
        </w:tc>
        <w:tc>
          <w:tcPr>
            <w:tcW w:w="1552" w:type="dxa"/>
            <w:vMerge w:val="continue"/>
            <w:vAlign w:val="center"/>
          </w:tcPr>
          <w:p>
            <w:pPr>
              <w:widowControl/>
              <w:jc w:val="left"/>
              <w:rPr>
                <w:rFonts w:eastAsiaTheme="minorEastAsia"/>
                <w:szCs w:val="21"/>
                <w:vertAlign w:val="superscript"/>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06" w:type="dxa"/>
            <w:gridSpan w:val="2"/>
            <w:vAlign w:val="center"/>
          </w:tcPr>
          <w:p>
            <w:pPr>
              <w:adjustRightInd w:val="0"/>
              <w:snapToGrid w:val="0"/>
              <w:spacing w:line="240" w:lineRule="atLeast"/>
              <w:jc w:val="center"/>
              <w:rPr>
                <w:rFonts w:eastAsiaTheme="minorEastAsia"/>
                <w:szCs w:val="21"/>
              </w:rPr>
            </w:pPr>
          </w:p>
        </w:tc>
        <w:tc>
          <w:tcPr>
            <w:tcW w:w="995"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adjustRightInd w:val="0"/>
              <w:snapToGrid w:val="0"/>
              <w:spacing w:line="240" w:lineRule="atLeast"/>
              <w:jc w:val="center"/>
              <w:rPr>
                <w:rFonts w:eastAsiaTheme="minorEastAsia"/>
                <w:szCs w:val="21"/>
              </w:rPr>
            </w:pPr>
          </w:p>
        </w:tc>
        <w:tc>
          <w:tcPr>
            <w:tcW w:w="994"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adjustRightInd w:val="0"/>
              <w:snapToGrid w:val="0"/>
              <w:spacing w:line="240" w:lineRule="atLeast"/>
              <w:jc w:val="center"/>
              <w:rPr>
                <w:rFonts w:eastAsiaTheme="minorEastAsia"/>
                <w:szCs w:val="21"/>
              </w:rPr>
            </w:pPr>
          </w:p>
        </w:tc>
        <w:tc>
          <w:tcPr>
            <w:tcW w:w="994" w:type="dxa"/>
            <w:gridSpan w:val="2"/>
            <w:vAlign w:val="center"/>
          </w:tcPr>
          <w:p>
            <w:pPr>
              <w:adjustRightInd w:val="0"/>
              <w:snapToGrid w:val="0"/>
              <w:spacing w:line="240" w:lineRule="atLeast"/>
              <w:jc w:val="center"/>
              <w:rPr>
                <w:rFonts w:eastAsiaTheme="minorEastAsia"/>
                <w:szCs w:val="21"/>
              </w:rPr>
            </w:pPr>
          </w:p>
        </w:tc>
        <w:tc>
          <w:tcPr>
            <w:tcW w:w="994"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94" w:type="dxa"/>
            <w:gridSpan w:val="2"/>
            <w:vAlign w:val="center"/>
          </w:tcPr>
          <w:p>
            <w:pPr>
              <w:adjustRightInd w:val="0"/>
              <w:snapToGrid w:val="0"/>
              <w:spacing w:line="240" w:lineRule="atLeast"/>
              <w:jc w:val="center"/>
              <w:rPr>
                <w:rFonts w:eastAsiaTheme="minorEastAsia"/>
              </w:rPr>
            </w:pPr>
          </w:p>
        </w:tc>
        <w:tc>
          <w:tcPr>
            <w:tcW w:w="994" w:type="dxa"/>
            <w:gridSpan w:val="2"/>
            <w:vAlign w:val="center"/>
          </w:tcPr>
          <w:p>
            <w:pPr>
              <w:adjustRightInd w:val="0"/>
              <w:snapToGrid w:val="0"/>
              <w:spacing w:line="240" w:lineRule="atLeast"/>
              <w:jc w:val="center"/>
              <w:rPr>
                <w:rFonts w:eastAsiaTheme="minorEastAsia"/>
              </w:rPr>
            </w:pPr>
          </w:p>
        </w:tc>
        <w:tc>
          <w:tcPr>
            <w:tcW w:w="1020" w:type="dxa"/>
            <w:gridSpan w:val="2"/>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91" w:type="dxa"/>
            <w:vMerge w:val="continue"/>
            <w:vAlign w:val="center"/>
          </w:tcPr>
          <w:p>
            <w:pPr>
              <w:widowControl/>
              <w:jc w:val="left"/>
              <w:rPr>
                <w:rFonts w:eastAsiaTheme="minorEastAsia"/>
                <w:szCs w:val="21"/>
              </w:rPr>
            </w:pPr>
          </w:p>
        </w:tc>
        <w:tc>
          <w:tcPr>
            <w:tcW w:w="1552" w:type="dxa"/>
            <w:vMerge w:val="continue"/>
            <w:vAlign w:val="center"/>
          </w:tcPr>
          <w:p>
            <w:pPr>
              <w:widowControl/>
              <w:jc w:val="left"/>
              <w:rPr>
                <w:rFonts w:eastAsiaTheme="minorEastAsia"/>
                <w:szCs w:val="21"/>
                <w:vertAlign w:val="superscript"/>
              </w:rPr>
            </w:pPr>
          </w:p>
        </w:tc>
        <w:tc>
          <w:tcPr>
            <w:tcW w:w="849" w:type="dxa"/>
            <w:vMerge w:val="restart"/>
            <w:vAlign w:val="center"/>
          </w:tcPr>
          <w:p>
            <w:pPr>
              <w:spacing w:line="280" w:lineRule="exact"/>
              <w:jc w:val="center"/>
              <w:rPr>
                <w:rFonts w:eastAsiaTheme="minorEastAsia"/>
                <w:bCs/>
                <w:szCs w:val="21"/>
              </w:rPr>
            </w:pPr>
            <w:r>
              <w:rPr>
                <w:rFonts w:hAnsiTheme="minorEastAsia" w:eastAsiaTheme="minorEastAsia"/>
                <w:bCs/>
                <w:szCs w:val="21"/>
              </w:rPr>
              <w:t>采样</w:t>
            </w:r>
          </w:p>
          <w:p>
            <w:pPr>
              <w:spacing w:line="280" w:lineRule="exact"/>
              <w:jc w:val="center"/>
              <w:rPr>
                <w:rFonts w:eastAsiaTheme="minorEastAsia"/>
                <w:bCs/>
                <w:szCs w:val="21"/>
              </w:rPr>
            </w:pPr>
            <w:r>
              <w:rPr>
                <w:rFonts w:hAnsiTheme="minorEastAsia" w:eastAsiaTheme="minorEastAsia"/>
                <w:bCs/>
                <w:szCs w:val="21"/>
              </w:rPr>
              <w:t>深度</w:t>
            </w:r>
          </w:p>
          <w:p>
            <w:pPr>
              <w:adjustRightInd w:val="0"/>
              <w:snapToGrid w:val="0"/>
              <w:spacing w:line="280" w:lineRule="exact"/>
              <w:jc w:val="center"/>
              <w:rPr>
                <w:rFonts w:eastAsiaTheme="minorEastAsia"/>
                <w:bCs/>
                <w:szCs w:val="21"/>
              </w:rPr>
            </w:pPr>
            <w:r>
              <w:rPr>
                <w:rFonts w:eastAsiaTheme="minorEastAsia"/>
                <w:bCs/>
                <w:szCs w:val="21"/>
              </w:rPr>
              <w:t>(m)</w:t>
            </w:r>
          </w:p>
        </w:tc>
        <w:tc>
          <w:tcPr>
            <w:tcW w:w="10873" w:type="dxa"/>
            <w:gridSpan w:val="22"/>
            <w:vAlign w:val="center"/>
          </w:tcPr>
          <w:p>
            <w:pPr>
              <w:adjustRightInd w:val="0"/>
              <w:snapToGrid w:val="0"/>
              <w:spacing w:line="280" w:lineRule="exact"/>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continue"/>
            <w:vAlign w:val="center"/>
          </w:tcPr>
          <w:p>
            <w:pPr>
              <w:widowControl/>
              <w:jc w:val="left"/>
              <w:rPr>
                <w:rFonts w:eastAsiaTheme="minorEastAsia"/>
                <w:szCs w:val="21"/>
              </w:rPr>
            </w:pPr>
          </w:p>
        </w:tc>
        <w:tc>
          <w:tcPr>
            <w:tcW w:w="1552" w:type="dxa"/>
            <w:vMerge w:val="continue"/>
            <w:vAlign w:val="center"/>
          </w:tcPr>
          <w:p>
            <w:pPr>
              <w:widowControl/>
              <w:jc w:val="left"/>
              <w:rPr>
                <w:rFonts w:eastAsiaTheme="minorEastAsia"/>
                <w:szCs w:val="21"/>
                <w:vertAlign w:val="superscript"/>
              </w:rPr>
            </w:pPr>
          </w:p>
        </w:tc>
        <w:tc>
          <w:tcPr>
            <w:tcW w:w="849" w:type="dxa"/>
            <w:vMerge w:val="continue"/>
            <w:vAlign w:val="center"/>
          </w:tcPr>
          <w:p>
            <w:pPr>
              <w:widowControl/>
              <w:jc w:val="left"/>
              <w:rPr>
                <w:rFonts w:eastAsiaTheme="minorEastAsia"/>
                <w:bCs/>
                <w:szCs w:val="21"/>
              </w:rPr>
            </w:pPr>
          </w:p>
        </w:tc>
        <w:tc>
          <w:tcPr>
            <w:tcW w:w="827" w:type="dxa"/>
            <w:vAlign w:val="center"/>
          </w:tcPr>
          <w:p>
            <w:pPr>
              <w:widowControl/>
              <w:jc w:val="center"/>
              <w:rPr>
                <w:rFonts w:eastAsiaTheme="minorEastAsia"/>
                <w:kern w:val="0"/>
                <w:szCs w:val="21"/>
              </w:rPr>
            </w:pPr>
            <w:r>
              <w:rPr>
                <w:rFonts w:hAnsiTheme="minorEastAsia" w:eastAsiaTheme="minorEastAsia"/>
                <w:szCs w:val="21"/>
              </w:rPr>
              <w:t>氯乙烯</w:t>
            </w:r>
          </w:p>
        </w:tc>
        <w:tc>
          <w:tcPr>
            <w:tcW w:w="915" w:type="dxa"/>
            <w:gridSpan w:val="2"/>
            <w:vAlign w:val="center"/>
          </w:tcPr>
          <w:p>
            <w:pPr>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atLeast"/>
              <w:jc w:val="center"/>
              <w:rPr>
                <w:rFonts w:eastAsiaTheme="minorEastAsia"/>
                <w:szCs w:val="21"/>
              </w:rPr>
            </w:pPr>
            <w:r>
              <w:rPr>
                <w:rFonts w:hAnsiTheme="minorEastAsia" w:eastAsiaTheme="minorEastAsia"/>
                <w:szCs w:val="21"/>
              </w:rPr>
              <w:t>乙烯</w:t>
            </w:r>
          </w:p>
        </w:tc>
        <w:tc>
          <w:tcPr>
            <w:tcW w:w="913" w:type="dxa"/>
            <w:gridSpan w:val="2"/>
            <w:vAlign w:val="center"/>
          </w:tcPr>
          <w:p>
            <w:pPr>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甲烷</w:t>
            </w:r>
          </w:p>
        </w:tc>
        <w:tc>
          <w:tcPr>
            <w:tcW w:w="913" w:type="dxa"/>
            <w:gridSpan w:val="2"/>
            <w:vAlign w:val="center"/>
          </w:tcPr>
          <w:p>
            <w:pPr>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氯乙烯</w:t>
            </w:r>
          </w:p>
        </w:tc>
        <w:tc>
          <w:tcPr>
            <w:tcW w:w="913" w:type="dxa"/>
            <w:gridSpan w:val="2"/>
            <w:vAlign w:val="center"/>
          </w:tcPr>
          <w:p>
            <w:pPr>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913" w:type="dxa"/>
            <w:gridSpan w:val="2"/>
            <w:vAlign w:val="center"/>
          </w:tcPr>
          <w:p>
            <w:pPr>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氯乙烯</w:t>
            </w:r>
          </w:p>
        </w:tc>
        <w:tc>
          <w:tcPr>
            <w:tcW w:w="913"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氯仿</w:t>
            </w:r>
          </w:p>
        </w:tc>
        <w:tc>
          <w:tcPr>
            <w:tcW w:w="913"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c>
          <w:tcPr>
            <w:tcW w:w="913" w:type="dxa"/>
            <w:gridSpan w:val="2"/>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化碳</w:t>
            </w:r>
          </w:p>
        </w:tc>
        <w:tc>
          <w:tcPr>
            <w:tcW w:w="913"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w:t>
            </w:r>
          </w:p>
        </w:tc>
        <w:tc>
          <w:tcPr>
            <w:tcW w:w="913" w:type="dxa"/>
            <w:gridSpan w:val="2"/>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914" w:type="dxa"/>
            <w:vAlign w:val="center"/>
          </w:tcPr>
          <w:p>
            <w:pPr>
              <w:jc w:val="center"/>
              <w:rPr>
                <w:rFonts w:eastAsiaTheme="minorEastAsia"/>
                <w:szCs w:val="21"/>
              </w:rPr>
            </w:pPr>
            <w:r>
              <w:rPr>
                <w:rFonts w:hAnsiTheme="minorEastAsia" w:eastAsiaTheme="minorEastAsia"/>
                <w:szCs w:val="21"/>
              </w:rPr>
              <w:t>三氯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continue"/>
            <w:vAlign w:val="center"/>
          </w:tcPr>
          <w:p>
            <w:pPr>
              <w:widowControl/>
              <w:jc w:val="left"/>
              <w:rPr>
                <w:rFonts w:eastAsiaTheme="minorEastAsia"/>
                <w:szCs w:val="21"/>
              </w:rPr>
            </w:pPr>
          </w:p>
        </w:tc>
        <w:tc>
          <w:tcPr>
            <w:tcW w:w="1552" w:type="dxa"/>
            <w:vMerge w:val="continue"/>
            <w:vAlign w:val="center"/>
          </w:tcPr>
          <w:p>
            <w:pPr>
              <w:widowControl/>
              <w:jc w:val="left"/>
              <w:rPr>
                <w:rFonts w:eastAsiaTheme="minorEastAsia"/>
                <w:szCs w:val="21"/>
                <w:vertAlign w:val="superscript"/>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827" w:type="dxa"/>
            <w:vAlign w:val="center"/>
          </w:tcPr>
          <w:p>
            <w:pPr>
              <w:widowControl/>
              <w:jc w:val="center"/>
              <w:rPr>
                <w:rFonts w:eastAsiaTheme="minorEastAsia"/>
                <w:kern w:val="0"/>
                <w:sz w:val="24"/>
              </w:rPr>
            </w:pPr>
          </w:p>
        </w:tc>
        <w:tc>
          <w:tcPr>
            <w:tcW w:w="915"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4" w:type="dxa"/>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continue"/>
            <w:vAlign w:val="center"/>
          </w:tcPr>
          <w:p>
            <w:pPr>
              <w:widowControl/>
              <w:jc w:val="left"/>
              <w:rPr>
                <w:rFonts w:eastAsiaTheme="minorEastAsia"/>
                <w:szCs w:val="21"/>
              </w:rPr>
            </w:pPr>
          </w:p>
        </w:tc>
        <w:tc>
          <w:tcPr>
            <w:tcW w:w="1552" w:type="dxa"/>
            <w:vMerge w:val="continue"/>
            <w:vAlign w:val="center"/>
          </w:tcPr>
          <w:p>
            <w:pPr>
              <w:widowControl/>
              <w:jc w:val="left"/>
              <w:rPr>
                <w:rFonts w:eastAsiaTheme="minorEastAsia"/>
                <w:szCs w:val="21"/>
                <w:vertAlign w:val="superscript"/>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827" w:type="dxa"/>
            <w:vAlign w:val="center"/>
          </w:tcPr>
          <w:p>
            <w:pPr>
              <w:adjustRightInd w:val="0"/>
              <w:snapToGrid w:val="0"/>
              <w:spacing w:line="240" w:lineRule="atLeast"/>
              <w:jc w:val="center"/>
              <w:rPr>
                <w:rFonts w:eastAsiaTheme="minorEastAsia"/>
              </w:rPr>
            </w:pPr>
          </w:p>
        </w:tc>
        <w:tc>
          <w:tcPr>
            <w:tcW w:w="915"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4" w:type="dxa"/>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continue"/>
            <w:vAlign w:val="center"/>
          </w:tcPr>
          <w:p>
            <w:pPr>
              <w:widowControl/>
              <w:jc w:val="left"/>
              <w:rPr>
                <w:rFonts w:eastAsiaTheme="minorEastAsia"/>
                <w:szCs w:val="21"/>
              </w:rPr>
            </w:pPr>
          </w:p>
        </w:tc>
        <w:tc>
          <w:tcPr>
            <w:tcW w:w="1552" w:type="dxa"/>
            <w:vMerge w:val="continue"/>
            <w:vAlign w:val="center"/>
          </w:tcPr>
          <w:p>
            <w:pPr>
              <w:widowControl/>
              <w:jc w:val="left"/>
              <w:rPr>
                <w:rFonts w:eastAsiaTheme="minorEastAsia"/>
                <w:szCs w:val="21"/>
                <w:vertAlign w:val="superscript"/>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827" w:type="dxa"/>
            <w:vAlign w:val="center"/>
          </w:tcPr>
          <w:p>
            <w:pPr>
              <w:adjustRightInd w:val="0"/>
              <w:snapToGrid w:val="0"/>
              <w:spacing w:line="240" w:lineRule="atLeast"/>
              <w:jc w:val="center"/>
              <w:rPr>
                <w:rFonts w:eastAsiaTheme="minorEastAsia"/>
              </w:rPr>
            </w:pPr>
          </w:p>
        </w:tc>
        <w:tc>
          <w:tcPr>
            <w:tcW w:w="915"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3" w:type="dxa"/>
            <w:gridSpan w:val="2"/>
            <w:vAlign w:val="center"/>
          </w:tcPr>
          <w:p>
            <w:pPr>
              <w:adjustRightInd w:val="0"/>
              <w:snapToGrid w:val="0"/>
              <w:spacing w:line="240" w:lineRule="atLeast"/>
              <w:jc w:val="center"/>
              <w:rPr>
                <w:rFonts w:eastAsiaTheme="minorEastAsia"/>
              </w:rPr>
            </w:pPr>
          </w:p>
        </w:tc>
        <w:tc>
          <w:tcPr>
            <w:tcW w:w="914" w:type="dxa"/>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77" w:hRule="atLeast"/>
          <w:jc w:val="center"/>
        </w:trPr>
        <w:tc>
          <w:tcPr>
            <w:tcW w:w="691" w:type="dxa"/>
            <w:vAlign w:val="center"/>
          </w:tcPr>
          <w:p>
            <w:pPr>
              <w:adjustRightInd w:val="0"/>
              <w:snapToGrid w:val="0"/>
              <w:spacing w:line="280" w:lineRule="exact"/>
              <w:jc w:val="center"/>
              <w:rPr>
                <w:rFonts w:eastAsiaTheme="minorEastAsia"/>
                <w:szCs w:val="21"/>
              </w:rPr>
            </w:pPr>
            <w:r>
              <w:rPr>
                <w:rFonts w:hAnsiTheme="minorEastAsia" w:eastAsiaTheme="minorEastAsia"/>
                <w:szCs w:val="21"/>
              </w:rPr>
              <w:t>备注</w:t>
            </w:r>
          </w:p>
        </w:tc>
        <w:tc>
          <w:tcPr>
            <w:tcW w:w="13274" w:type="dxa"/>
            <w:gridSpan w:val="24"/>
            <w:vAlign w:val="center"/>
          </w:tcPr>
          <w:p>
            <w:pPr>
              <w:adjustRightInd w:val="0"/>
              <w:snapToGrid w:val="0"/>
              <w:spacing w:line="240" w:lineRule="atLeast"/>
              <w:rPr>
                <w:rFonts w:eastAsiaTheme="minorEastAsia"/>
                <w:szCs w:val="21"/>
              </w:rPr>
            </w:pPr>
          </w:p>
        </w:tc>
      </w:tr>
    </w:tbl>
    <w:p>
      <w:pPr>
        <w:widowControl/>
        <w:jc w:val="left"/>
        <w:rPr>
          <w:rFonts w:eastAsiaTheme="minorEastAsia"/>
          <w:sz w:val="24"/>
        </w:rPr>
      </w:pPr>
    </w:p>
    <w:p>
      <w:pPr>
        <w:spacing w:line="360" w:lineRule="auto"/>
        <w:jc w:val="center"/>
        <w:rPr>
          <w:rFonts w:eastAsiaTheme="minorEastAsia"/>
          <w:b/>
          <w:szCs w:val="21"/>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6"/>
        <w:gridCol w:w="1527"/>
        <w:gridCol w:w="793"/>
        <w:gridCol w:w="913"/>
        <w:gridCol w:w="1000"/>
        <w:gridCol w:w="1000"/>
        <w:gridCol w:w="1000"/>
        <w:gridCol w:w="1000"/>
        <w:gridCol w:w="1000"/>
        <w:gridCol w:w="1000"/>
        <w:gridCol w:w="1000"/>
        <w:gridCol w:w="1000"/>
        <w:gridCol w:w="1000"/>
        <w:gridCol w:w="1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26" w:type="dxa"/>
            <w:vMerge w:val="restart"/>
            <w:vAlign w:val="center"/>
          </w:tcPr>
          <w:p>
            <w:pPr>
              <w:spacing w:line="280" w:lineRule="exact"/>
              <w:ind w:left="-105" w:leftChars="-50" w:right="-105" w:rightChars="-50"/>
              <w:jc w:val="center"/>
              <w:rPr>
                <w:rFonts w:eastAsiaTheme="minorEastAsia"/>
                <w:bCs/>
                <w:szCs w:val="21"/>
              </w:rPr>
            </w:pPr>
            <w:r>
              <w:rPr>
                <w:rFonts w:eastAsiaTheme="minorEastAsia"/>
                <w:sz w:val="24"/>
              </w:rPr>
              <w:br w:type="page"/>
            </w: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bCs/>
                <w:szCs w:val="21"/>
              </w:rPr>
              <w:t>日期</w:t>
            </w:r>
          </w:p>
        </w:tc>
        <w:tc>
          <w:tcPr>
            <w:tcW w:w="1527" w:type="dxa"/>
            <w:vMerge w:val="restart"/>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监测点位</w:t>
            </w:r>
          </w:p>
        </w:tc>
        <w:tc>
          <w:tcPr>
            <w:tcW w:w="793"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919" w:type="dxa"/>
            <w:gridSpan w:val="11"/>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726" w:type="dxa"/>
            <w:vMerge w:val="continue"/>
            <w:vAlign w:val="center"/>
          </w:tcPr>
          <w:p>
            <w:pPr>
              <w:widowControl/>
              <w:jc w:val="left"/>
              <w:rPr>
                <w:rFonts w:eastAsiaTheme="minorEastAsia"/>
                <w:szCs w:val="21"/>
              </w:rPr>
            </w:pPr>
          </w:p>
        </w:tc>
        <w:tc>
          <w:tcPr>
            <w:tcW w:w="1527" w:type="dxa"/>
            <w:vMerge w:val="continue"/>
            <w:vAlign w:val="center"/>
          </w:tcPr>
          <w:p>
            <w:pPr>
              <w:widowControl/>
              <w:jc w:val="left"/>
              <w:rPr>
                <w:rFonts w:eastAsiaTheme="minorEastAsia"/>
                <w:bCs/>
                <w:szCs w:val="21"/>
              </w:rPr>
            </w:pPr>
          </w:p>
        </w:tc>
        <w:tc>
          <w:tcPr>
            <w:tcW w:w="793" w:type="dxa"/>
            <w:vMerge w:val="continue"/>
            <w:vAlign w:val="center"/>
          </w:tcPr>
          <w:p>
            <w:pPr>
              <w:widowControl/>
              <w:jc w:val="left"/>
              <w:rPr>
                <w:rFonts w:eastAsiaTheme="minorEastAsia"/>
                <w:bCs/>
                <w:szCs w:val="21"/>
              </w:rPr>
            </w:pPr>
          </w:p>
        </w:tc>
        <w:tc>
          <w:tcPr>
            <w:tcW w:w="913" w:type="dxa"/>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widowControl/>
              <w:ind w:left="-105" w:leftChars="-50" w:right="-105" w:rightChars="-50"/>
              <w:jc w:val="center"/>
              <w:rPr>
                <w:rFonts w:eastAsiaTheme="minorEastAsia"/>
                <w:kern w:val="0"/>
                <w:szCs w:val="21"/>
              </w:rPr>
            </w:pPr>
            <w:r>
              <w:rPr>
                <w:rFonts w:hAnsiTheme="minorEastAsia" w:eastAsiaTheme="minorEastAsia"/>
                <w:szCs w:val="21"/>
              </w:rPr>
              <w:t>丙烷</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1000"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邻二甲苯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苯乙烯</w:t>
            </w:r>
          </w:p>
        </w:tc>
        <w:tc>
          <w:tcPr>
            <w:tcW w:w="1006" w:type="dxa"/>
            <w:vAlign w:val="center"/>
          </w:tcPr>
          <w:p>
            <w:pPr>
              <w:ind w:left="-105" w:leftChars="-50" w:right="-105" w:rightChars="-50"/>
              <w:jc w:val="center"/>
              <w:rPr>
                <w:rFonts w:eastAsiaTheme="minorEastAsia"/>
                <w:szCs w:val="21"/>
              </w:rPr>
            </w:pPr>
            <w:r>
              <w:rPr>
                <w:rFonts w:eastAsiaTheme="minorEastAsia"/>
                <w:szCs w:val="21"/>
              </w:rPr>
              <w:t>1,1,2,2-</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四氯乙烷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26"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527" w:type="dxa"/>
            <w:vMerge w:val="restart"/>
            <w:vAlign w:val="center"/>
          </w:tcPr>
          <w:p>
            <w:pPr>
              <w:spacing w:line="240" w:lineRule="exact"/>
              <w:jc w:val="center"/>
              <w:rPr>
                <w:rFonts w:eastAsiaTheme="minorEastAsia"/>
                <w:szCs w:val="21"/>
                <w:vertAlign w:val="superscript"/>
              </w:rPr>
            </w:pPr>
            <w:r>
              <w:rPr>
                <w:rFonts w:eastAsiaTheme="minorEastAsia"/>
                <w:szCs w:val="21"/>
              </w:rPr>
              <w:t>3</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rPr>
            </w:pPr>
          </w:p>
        </w:tc>
        <w:tc>
          <w:tcPr>
            <w:tcW w:w="79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13" w:type="dxa"/>
            <w:vAlign w:val="center"/>
          </w:tcPr>
          <w:p>
            <w:pPr>
              <w:widowControl/>
              <w:ind w:left="-105" w:leftChars="-50" w:right="-105" w:rightChars="-50"/>
              <w:jc w:val="center"/>
              <w:rPr>
                <w:rFonts w:eastAsiaTheme="minorEastAsia"/>
                <w:kern w:val="0"/>
                <w:sz w:val="24"/>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6"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26" w:type="dxa"/>
            <w:vMerge w:val="continue"/>
            <w:vAlign w:val="center"/>
          </w:tcPr>
          <w:p>
            <w:pPr>
              <w:widowControl/>
              <w:jc w:val="left"/>
              <w:rPr>
                <w:rFonts w:eastAsiaTheme="minorEastAsia"/>
                <w:szCs w:val="21"/>
              </w:rPr>
            </w:pPr>
          </w:p>
        </w:tc>
        <w:tc>
          <w:tcPr>
            <w:tcW w:w="1527" w:type="dxa"/>
            <w:vMerge w:val="continue"/>
            <w:vAlign w:val="center"/>
          </w:tcPr>
          <w:p>
            <w:pPr>
              <w:widowControl/>
              <w:jc w:val="left"/>
              <w:rPr>
                <w:rFonts w:eastAsiaTheme="minorEastAsia"/>
                <w:szCs w:val="21"/>
              </w:rPr>
            </w:pPr>
          </w:p>
        </w:tc>
        <w:tc>
          <w:tcPr>
            <w:tcW w:w="79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13"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6"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26" w:type="dxa"/>
            <w:vMerge w:val="continue"/>
            <w:vAlign w:val="center"/>
          </w:tcPr>
          <w:p>
            <w:pPr>
              <w:widowControl/>
              <w:jc w:val="left"/>
              <w:rPr>
                <w:rFonts w:eastAsiaTheme="minorEastAsia"/>
                <w:szCs w:val="21"/>
              </w:rPr>
            </w:pPr>
          </w:p>
        </w:tc>
        <w:tc>
          <w:tcPr>
            <w:tcW w:w="1527" w:type="dxa"/>
            <w:vMerge w:val="continue"/>
            <w:vAlign w:val="center"/>
          </w:tcPr>
          <w:p>
            <w:pPr>
              <w:widowControl/>
              <w:jc w:val="left"/>
              <w:rPr>
                <w:rFonts w:eastAsiaTheme="minorEastAsia"/>
                <w:szCs w:val="21"/>
              </w:rPr>
            </w:pPr>
          </w:p>
        </w:tc>
        <w:tc>
          <w:tcPr>
            <w:tcW w:w="79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13"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6" w:type="dxa"/>
            <w:vAlign w:val="center"/>
          </w:tcPr>
          <w:p>
            <w:pPr>
              <w:adjustRightInd w:val="0"/>
              <w:snapToGrid w:val="0"/>
              <w:spacing w:line="240" w:lineRule="atLeast"/>
              <w:ind w:left="-105" w:leftChars="-50" w:right="-105" w:rightChars="-50"/>
              <w:jc w:val="center"/>
              <w:rPr>
                <w:rFonts w:eastAsiaTheme="minorEastAsia"/>
              </w:rPr>
            </w:pPr>
            <w:r>
              <w:rPr>
                <w:rFonts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726" w:type="dxa"/>
            <w:vMerge w:val="continue"/>
            <w:vAlign w:val="center"/>
          </w:tcPr>
          <w:p>
            <w:pPr>
              <w:widowControl/>
              <w:jc w:val="left"/>
              <w:rPr>
                <w:rFonts w:eastAsiaTheme="minorEastAsia"/>
                <w:szCs w:val="21"/>
              </w:rPr>
            </w:pPr>
          </w:p>
        </w:tc>
        <w:tc>
          <w:tcPr>
            <w:tcW w:w="1527" w:type="dxa"/>
            <w:vMerge w:val="continue"/>
            <w:vAlign w:val="center"/>
          </w:tcPr>
          <w:p>
            <w:pPr>
              <w:widowControl/>
              <w:jc w:val="left"/>
              <w:rPr>
                <w:rFonts w:eastAsiaTheme="minorEastAsia"/>
                <w:szCs w:val="21"/>
              </w:rPr>
            </w:pPr>
          </w:p>
        </w:tc>
        <w:tc>
          <w:tcPr>
            <w:tcW w:w="793"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919" w:type="dxa"/>
            <w:gridSpan w:val="11"/>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3" w:hRule="atLeast"/>
          <w:jc w:val="center"/>
        </w:trPr>
        <w:tc>
          <w:tcPr>
            <w:tcW w:w="726" w:type="dxa"/>
            <w:vMerge w:val="continue"/>
            <w:vAlign w:val="center"/>
          </w:tcPr>
          <w:p>
            <w:pPr>
              <w:widowControl/>
              <w:jc w:val="left"/>
              <w:rPr>
                <w:rFonts w:eastAsiaTheme="minorEastAsia"/>
                <w:szCs w:val="21"/>
              </w:rPr>
            </w:pPr>
          </w:p>
        </w:tc>
        <w:tc>
          <w:tcPr>
            <w:tcW w:w="1527" w:type="dxa"/>
            <w:vMerge w:val="continue"/>
            <w:vAlign w:val="center"/>
          </w:tcPr>
          <w:p>
            <w:pPr>
              <w:widowControl/>
              <w:jc w:val="left"/>
              <w:rPr>
                <w:rFonts w:eastAsiaTheme="minorEastAsia"/>
                <w:szCs w:val="21"/>
              </w:rPr>
            </w:pPr>
          </w:p>
        </w:tc>
        <w:tc>
          <w:tcPr>
            <w:tcW w:w="793" w:type="dxa"/>
            <w:vMerge w:val="continue"/>
            <w:vAlign w:val="center"/>
          </w:tcPr>
          <w:p>
            <w:pPr>
              <w:widowControl/>
              <w:jc w:val="left"/>
              <w:rPr>
                <w:rFonts w:eastAsiaTheme="minorEastAsia"/>
                <w:bCs/>
                <w:szCs w:val="21"/>
              </w:rPr>
            </w:pPr>
          </w:p>
        </w:tc>
        <w:tc>
          <w:tcPr>
            <w:tcW w:w="913"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1,2,3-</w:t>
            </w:r>
            <w:r>
              <w:rPr>
                <w:rFonts w:hAnsiTheme="minorEastAsia" w:eastAsiaTheme="minorEastAsia"/>
                <w:szCs w:val="21"/>
              </w:rPr>
              <w:t>三氯丙烷</w:t>
            </w:r>
          </w:p>
        </w:tc>
        <w:tc>
          <w:tcPr>
            <w:tcW w:w="1000" w:type="dxa"/>
            <w:vAlign w:val="center"/>
          </w:tcPr>
          <w:p>
            <w:pPr>
              <w:adjustRightInd w:val="0"/>
              <w:snapToGrid w:val="0"/>
              <w:spacing w:line="240" w:lineRule="atLeast"/>
              <w:ind w:left="-105" w:leftChars="-50" w:right="-105" w:rightChars="-50"/>
              <w:jc w:val="center"/>
              <w:rPr>
                <w:rFonts w:eastAsiaTheme="minorEastAsia"/>
                <w:kern w:val="0"/>
                <w:szCs w:val="21"/>
              </w:rPr>
            </w:pPr>
            <w:r>
              <w:rPr>
                <w:rFonts w:eastAsiaTheme="minorEastAsia"/>
                <w:szCs w:val="21"/>
              </w:rPr>
              <w:t>1,4-</w:t>
            </w:r>
            <w:r>
              <w:rPr>
                <w:rFonts w:hAnsiTheme="minorEastAsia" w:eastAsiaTheme="minorEastAsia"/>
                <w:szCs w:val="21"/>
              </w:rPr>
              <w:t>二氯苯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二氯苯</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萘</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蒽</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䓛</w:t>
            </w:r>
          </w:p>
        </w:tc>
        <w:tc>
          <w:tcPr>
            <w:tcW w:w="100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100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芘</w:t>
            </w:r>
          </w:p>
        </w:tc>
        <w:tc>
          <w:tcPr>
            <w:tcW w:w="100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二苯并</w:t>
            </w:r>
            <w:r>
              <w:rPr>
                <w:rFonts w:eastAsiaTheme="minorEastAsia"/>
                <w:szCs w:val="21"/>
              </w:rPr>
              <w:t>[a,h]</w:t>
            </w:r>
            <w:r>
              <w:rPr>
                <w:rFonts w:hAnsiTheme="minorEastAsia" w:eastAsiaTheme="minorEastAsia"/>
                <w:szCs w:val="21"/>
              </w:rPr>
              <w:t>蒽</w:t>
            </w:r>
          </w:p>
        </w:tc>
        <w:tc>
          <w:tcPr>
            <w:tcW w:w="1006"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26" w:type="dxa"/>
            <w:vMerge w:val="continue"/>
            <w:vAlign w:val="center"/>
          </w:tcPr>
          <w:p>
            <w:pPr>
              <w:widowControl/>
              <w:jc w:val="left"/>
              <w:rPr>
                <w:rFonts w:eastAsiaTheme="minorEastAsia"/>
                <w:szCs w:val="21"/>
              </w:rPr>
            </w:pPr>
          </w:p>
        </w:tc>
        <w:tc>
          <w:tcPr>
            <w:tcW w:w="1527" w:type="dxa"/>
            <w:vMerge w:val="continue"/>
            <w:vAlign w:val="center"/>
          </w:tcPr>
          <w:p>
            <w:pPr>
              <w:widowControl/>
              <w:jc w:val="left"/>
              <w:rPr>
                <w:rFonts w:eastAsiaTheme="minorEastAsia"/>
                <w:szCs w:val="21"/>
              </w:rPr>
            </w:pPr>
          </w:p>
        </w:tc>
        <w:tc>
          <w:tcPr>
            <w:tcW w:w="79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13" w:type="dxa"/>
            <w:vAlign w:val="center"/>
          </w:tcPr>
          <w:p>
            <w:pPr>
              <w:widowControl/>
              <w:ind w:left="-105" w:leftChars="-50" w:right="-105" w:rightChars="-50"/>
              <w:jc w:val="center"/>
              <w:rPr>
                <w:rFonts w:eastAsiaTheme="minorEastAsia"/>
                <w:kern w:val="0"/>
                <w:sz w:val="24"/>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widowControl/>
              <w:ind w:left="-105" w:leftChars="-50" w:right="-105" w:rightChars="-50"/>
              <w:jc w:val="center"/>
              <w:rPr>
                <w:rFonts w:eastAsiaTheme="minorEastAsia"/>
                <w:kern w:val="0"/>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6"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26" w:type="dxa"/>
            <w:vMerge w:val="continue"/>
            <w:vAlign w:val="center"/>
          </w:tcPr>
          <w:p>
            <w:pPr>
              <w:widowControl/>
              <w:jc w:val="left"/>
              <w:rPr>
                <w:rFonts w:eastAsiaTheme="minorEastAsia"/>
                <w:szCs w:val="21"/>
              </w:rPr>
            </w:pPr>
          </w:p>
        </w:tc>
        <w:tc>
          <w:tcPr>
            <w:tcW w:w="1527" w:type="dxa"/>
            <w:vMerge w:val="continue"/>
            <w:vAlign w:val="center"/>
          </w:tcPr>
          <w:p>
            <w:pPr>
              <w:widowControl/>
              <w:jc w:val="left"/>
              <w:rPr>
                <w:rFonts w:eastAsiaTheme="minorEastAsia"/>
                <w:szCs w:val="21"/>
              </w:rPr>
            </w:pPr>
          </w:p>
        </w:tc>
        <w:tc>
          <w:tcPr>
            <w:tcW w:w="79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13"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6"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26" w:type="dxa"/>
            <w:vMerge w:val="continue"/>
            <w:vAlign w:val="center"/>
          </w:tcPr>
          <w:p>
            <w:pPr>
              <w:widowControl/>
              <w:jc w:val="left"/>
              <w:rPr>
                <w:rFonts w:eastAsiaTheme="minorEastAsia"/>
                <w:szCs w:val="21"/>
              </w:rPr>
            </w:pPr>
          </w:p>
        </w:tc>
        <w:tc>
          <w:tcPr>
            <w:tcW w:w="1527" w:type="dxa"/>
            <w:vMerge w:val="continue"/>
            <w:vAlign w:val="center"/>
          </w:tcPr>
          <w:p>
            <w:pPr>
              <w:widowControl/>
              <w:jc w:val="left"/>
              <w:rPr>
                <w:rFonts w:eastAsiaTheme="minorEastAsia"/>
                <w:szCs w:val="21"/>
              </w:rPr>
            </w:pPr>
          </w:p>
        </w:tc>
        <w:tc>
          <w:tcPr>
            <w:tcW w:w="79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13"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06"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726" w:type="dxa"/>
            <w:vAlign w:val="center"/>
          </w:tcPr>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szCs w:val="21"/>
              </w:rPr>
              <w:t>备注</w:t>
            </w:r>
          </w:p>
        </w:tc>
        <w:tc>
          <w:tcPr>
            <w:tcW w:w="13239" w:type="dxa"/>
            <w:gridSpan w:val="13"/>
            <w:vAlign w:val="center"/>
          </w:tcPr>
          <w:p>
            <w:pPr>
              <w:adjustRightInd w:val="0"/>
              <w:snapToGrid w:val="0"/>
              <w:spacing w:line="240" w:lineRule="atLeast"/>
              <w:rPr>
                <w:rFonts w:eastAsiaTheme="minorEastAsia"/>
                <w:kern w:val="0"/>
                <w:szCs w:val="21"/>
              </w:rPr>
            </w:pPr>
            <w:r>
              <w:rPr>
                <w:rFonts w:eastAsiaTheme="minorEastAsia"/>
                <w:kern w:val="0"/>
                <w:szCs w:val="21"/>
              </w:rPr>
              <w:t>“ND”</w:t>
            </w:r>
            <w:r>
              <w:rPr>
                <w:rFonts w:hAnsiTheme="minorEastAsia" w:eastAsiaTheme="minorEastAsia"/>
                <w:kern w:val="0"/>
                <w:szCs w:val="21"/>
              </w:rPr>
              <w:t>表示未检出，检出限详见表</w:t>
            </w:r>
            <w:r>
              <w:rPr>
                <w:rFonts w:eastAsiaTheme="minorEastAsia"/>
                <w:kern w:val="0"/>
                <w:szCs w:val="21"/>
              </w:rPr>
              <w:t>3-1</w:t>
            </w:r>
            <w:r>
              <w:rPr>
                <w:rFonts w:hAnsiTheme="minorEastAsia" w:eastAsiaTheme="minorEastAsia"/>
                <w:kern w:val="0"/>
                <w:szCs w:val="21"/>
              </w:rPr>
              <w:t>。</w:t>
            </w:r>
          </w:p>
        </w:tc>
      </w:tr>
    </w:tbl>
    <w:p>
      <w:pPr>
        <w:widowControl/>
        <w:jc w:val="left"/>
        <w:rPr>
          <w:rFonts w:eastAsiaTheme="minorEastAsia"/>
          <w:sz w:val="24"/>
        </w:rPr>
      </w:pPr>
    </w:p>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w:t>
      </w:r>
      <w:r>
        <w:rPr>
          <w:rFonts w:hint="eastAsia" w:eastAsiaTheme="minorEastAsia"/>
          <w:b/>
          <w:szCs w:val="21"/>
        </w:rPr>
        <w:t>15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540"/>
        <w:gridCol w:w="773"/>
        <w:gridCol w:w="913"/>
        <w:gridCol w:w="84"/>
        <w:gridCol w:w="830"/>
        <w:gridCol w:w="168"/>
        <w:gridCol w:w="746"/>
        <w:gridCol w:w="251"/>
        <w:gridCol w:w="662"/>
        <w:gridCol w:w="335"/>
        <w:gridCol w:w="578"/>
        <w:gridCol w:w="419"/>
        <w:gridCol w:w="495"/>
        <w:gridCol w:w="503"/>
        <w:gridCol w:w="411"/>
        <w:gridCol w:w="587"/>
        <w:gridCol w:w="327"/>
        <w:gridCol w:w="671"/>
        <w:gridCol w:w="243"/>
        <w:gridCol w:w="754"/>
        <w:gridCol w:w="159"/>
        <w:gridCol w:w="838"/>
        <w:gridCol w:w="75"/>
        <w:gridCol w:w="9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675"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540" w:type="dxa"/>
            <w:vMerge w:val="restart"/>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监测点位</w:t>
            </w:r>
          </w:p>
        </w:tc>
        <w:tc>
          <w:tcPr>
            <w:tcW w:w="773"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977" w:type="dxa"/>
            <w:gridSpan w:val="22"/>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675" w:type="dxa"/>
            <w:vMerge w:val="continue"/>
            <w:vAlign w:val="center"/>
          </w:tcPr>
          <w:p>
            <w:pPr>
              <w:widowControl/>
              <w:jc w:val="left"/>
              <w:rPr>
                <w:rFonts w:eastAsiaTheme="minorEastAsia"/>
                <w:bCs/>
                <w:szCs w:val="21"/>
              </w:rPr>
            </w:pPr>
          </w:p>
        </w:tc>
        <w:tc>
          <w:tcPr>
            <w:tcW w:w="1540" w:type="dxa"/>
            <w:vMerge w:val="continue"/>
            <w:vAlign w:val="center"/>
          </w:tcPr>
          <w:p>
            <w:pPr>
              <w:widowControl/>
              <w:jc w:val="left"/>
              <w:rPr>
                <w:rFonts w:eastAsiaTheme="minorEastAsia"/>
                <w:bCs/>
                <w:szCs w:val="21"/>
              </w:rPr>
            </w:pPr>
          </w:p>
        </w:tc>
        <w:tc>
          <w:tcPr>
            <w:tcW w:w="773" w:type="dxa"/>
            <w:vMerge w:val="continue"/>
            <w:vAlign w:val="center"/>
          </w:tcPr>
          <w:p>
            <w:pPr>
              <w:widowControl/>
              <w:jc w:val="left"/>
              <w:rPr>
                <w:rFonts w:eastAsiaTheme="minorEastAsia"/>
                <w:bCs/>
                <w:szCs w:val="21"/>
              </w:rPr>
            </w:pPr>
          </w:p>
        </w:tc>
        <w:tc>
          <w:tcPr>
            <w:tcW w:w="997" w:type="dxa"/>
            <w:gridSpan w:val="2"/>
            <w:vAlign w:val="center"/>
          </w:tcPr>
          <w:p>
            <w:pPr>
              <w:ind w:left="-105" w:leftChars="-50" w:right="-105" w:rightChars="-50"/>
              <w:jc w:val="center"/>
              <w:rPr>
                <w:rFonts w:eastAsiaTheme="minorEastAsia"/>
                <w:szCs w:val="21"/>
              </w:rPr>
            </w:pPr>
            <w:r>
              <w:rPr>
                <w:rFonts w:hAnsiTheme="minorEastAsia" w:eastAsiaTheme="minorEastAsia"/>
                <w:szCs w:val="21"/>
              </w:rPr>
              <w:t>铅</w:t>
            </w:r>
          </w:p>
          <w:p>
            <w:pPr>
              <w:widowControl/>
              <w:ind w:left="-105" w:leftChars="-50" w:right="-105" w:rightChars="-50"/>
              <w:jc w:val="center"/>
              <w:rPr>
                <w:rFonts w:eastAsiaTheme="minorEastAsia"/>
                <w:kern w:val="0"/>
                <w:szCs w:val="21"/>
              </w:rPr>
            </w:pPr>
            <w:r>
              <w:rPr>
                <w:rFonts w:eastAsiaTheme="minorEastAsia"/>
                <w:szCs w:val="21"/>
              </w:rPr>
              <w:t xml:space="preserve"> (mg/kg)</w:t>
            </w:r>
          </w:p>
        </w:tc>
        <w:tc>
          <w:tcPr>
            <w:tcW w:w="998" w:type="dxa"/>
            <w:gridSpan w:val="2"/>
            <w:vAlign w:val="center"/>
          </w:tcPr>
          <w:p>
            <w:pPr>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97" w:type="dxa"/>
            <w:gridSpan w:val="2"/>
            <w:vAlign w:val="center"/>
          </w:tcPr>
          <w:p>
            <w:pPr>
              <w:widowControl/>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 xml:space="preserve"> (mg/kg)</w:t>
            </w:r>
          </w:p>
        </w:tc>
        <w:tc>
          <w:tcPr>
            <w:tcW w:w="997" w:type="dxa"/>
            <w:gridSpan w:val="2"/>
            <w:vAlign w:val="center"/>
          </w:tcPr>
          <w:p>
            <w:pPr>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97" w:type="dxa"/>
            <w:gridSpan w:val="2"/>
            <w:vAlign w:val="center"/>
          </w:tcPr>
          <w:p>
            <w:pPr>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98" w:type="dxa"/>
            <w:gridSpan w:val="2"/>
            <w:vAlign w:val="center"/>
          </w:tcPr>
          <w:p>
            <w:pPr>
              <w:ind w:left="-105" w:leftChars="-50" w:right="-105" w:rightChars="-50"/>
              <w:jc w:val="center"/>
              <w:rPr>
                <w:rFonts w:eastAsiaTheme="minorEastAsia"/>
                <w:szCs w:val="21"/>
              </w:rPr>
            </w:pPr>
            <w:r>
              <w:rPr>
                <w:rFonts w:hAnsiTheme="minorEastAsia" w:eastAsiaTheme="minorEastAsia"/>
                <w:szCs w:val="21"/>
              </w:rPr>
              <w:t>砷</w:t>
            </w:r>
            <w:r>
              <w:rPr>
                <w:rFonts w:eastAsiaTheme="minorEastAsia"/>
                <w:szCs w:val="21"/>
              </w:rPr>
              <w:t xml:space="preserve"> </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98" w:type="dxa"/>
            <w:gridSpan w:val="2"/>
            <w:vAlign w:val="center"/>
          </w:tcPr>
          <w:p>
            <w:pPr>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98" w:type="dxa"/>
            <w:gridSpan w:val="2"/>
            <w:vAlign w:val="center"/>
          </w:tcPr>
          <w:p>
            <w:pPr>
              <w:ind w:left="-105" w:leftChars="-50" w:right="-105" w:rightChars="-50"/>
              <w:jc w:val="center"/>
              <w:rPr>
                <w:rFonts w:eastAsiaTheme="minorEastAsia"/>
                <w:szCs w:val="21"/>
              </w:rPr>
            </w:pPr>
            <w:r>
              <w:rPr>
                <w:rFonts w:hAnsiTheme="minorEastAsia" w:eastAsiaTheme="minorEastAsia"/>
                <w:szCs w:val="21"/>
              </w:rPr>
              <w:t>苯胺</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97" w:type="dxa"/>
            <w:gridSpan w:val="2"/>
            <w:vAlign w:val="center"/>
          </w:tcPr>
          <w:p>
            <w:pPr>
              <w:ind w:left="-105" w:leftChars="-50" w:right="-105" w:rightChars="-50"/>
              <w:jc w:val="center"/>
              <w:rPr>
                <w:rFonts w:eastAsiaTheme="minorEastAsia"/>
                <w:szCs w:val="21"/>
              </w:rPr>
            </w:pPr>
            <w:r>
              <w:rPr>
                <w:rFonts w:hAnsiTheme="minorEastAsia" w:eastAsiaTheme="minorEastAsia"/>
                <w:szCs w:val="21"/>
              </w:rPr>
              <w:t>硝基苯</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97" w:type="dxa"/>
            <w:gridSpan w:val="2"/>
            <w:vAlign w:val="center"/>
          </w:tcPr>
          <w:p>
            <w:pPr>
              <w:ind w:left="-105" w:leftChars="-50" w:right="-105" w:rightChars="-50"/>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1003"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氯甲烷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675" w:type="dxa"/>
            <w:vMerge w:val="restart"/>
            <w:vAlign w:val="center"/>
          </w:tcPr>
          <w:p>
            <w:pPr>
              <w:spacing w:line="280" w:lineRule="exact"/>
              <w:ind w:left="-105" w:leftChars="-50" w:right="-105" w:rightChars="-50"/>
              <w:jc w:val="center"/>
              <w:rPr>
                <w:rFonts w:eastAsiaTheme="minorEastAsia"/>
                <w:szCs w:val="21"/>
              </w:rPr>
            </w:pPr>
          </w:p>
        </w:tc>
        <w:tc>
          <w:tcPr>
            <w:tcW w:w="1540"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4</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vertAlign w:val="superscript"/>
              </w:rPr>
            </w:pPr>
          </w:p>
        </w:tc>
        <w:tc>
          <w:tcPr>
            <w:tcW w:w="77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97"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7"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1003" w:type="dxa"/>
            <w:gridSpan w:val="2"/>
            <w:vAlign w:val="center"/>
          </w:tcPr>
          <w:p>
            <w:pPr>
              <w:widowControl/>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675" w:type="dxa"/>
            <w:vMerge w:val="continue"/>
            <w:vAlign w:val="center"/>
          </w:tcPr>
          <w:p>
            <w:pPr>
              <w:widowControl/>
              <w:jc w:val="left"/>
              <w:rPr>
                <w:rFonts w:eastAsiaTheme="minorEastAsia"/>
                <w:szCs w:val="21"/>
              </w:rPr>
            </w:pPr>
          </w:p>
        </w:tc>
        <w:tc>
          <w:tcPr>
            <w:tcW w:w="1540" w:type="dxa"/>
            <w:vMerge w:val="continue"/>
            <w:vAlign w:val="center"/>
          </w:tcPr>
          <w:p>
            <w:pPr>
              <w:widowControl/>
              <w:jc w:val="left"/>
              <w:rPr>
                <w:rFonts w:eastAsiaTheme="minorEastAsia"/>
                <w:szCs w:val="21"/>
                <w:vertAlign w:val="superscript"/>
              </w:rPr>
            </w:pPr>
          </w:p>
        </w:tc>
        <w:tc>
          <w:tcPr>
            <w:tcW w:w="77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97"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7"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1003" w:type="dxa"/>
            <w:gridSpan w:val="2"/>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675" w:type="dxa"/>
            <w:vMerge w:val="continue"/>
            <w:vAlign w:val="center"/>
          </w:tcPr>
          <w:p>
            <w:pPr>
              <w:widowControl/>
              <w:jc w:val="left"/>
              <w:rPr>
                <w:rFonts w:eastAsiaTheme="minorEastAsia"/>
                <w:szCs w:val="21"/>
              </w:rPr>
            </w:pPr>
          </w:p>
        </w:tc>
        <w:tc>
          <w:tcPr>
            <w:tcW w:w="1540" w:type="dxa"/>
            <w:vMerge w:val="continue"/>
            <w:vAlign w:val="center"/>
          </w:tcPr>
          <w:p>
            <w:pPr>
              <w:widowControl/>
              <w:jc w:val="left"/>
              <w:rPr>
                <w:rFonts w:eastAsiaTheme="minorEastAsia"/>
                <w:szCs w:val="21"/>
                <w:vertAlign w:val="superscript"/>
              </w:rPr>
            </w:pPr>
          </w:p>
        </w:tc>
        <w:tc>
          <w:tcPr>
            <w:tcW w:w="77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97"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7"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adjustRightInd w:val="0"/>
              <w:snapToGrid w:val="0"/>
              <w:spacing w:line="240" w:lineRule="atLeast"/>
              <w:ind w:left="-105" w:leftChars="-50" w:right="-105" w:rightChars="-50"/>
              <w:jc w:val="center"/>
              <w:rPr>
                <w:rFonts w:eastAsiaTheme="minorEastAsia"/>
                <w:szCs w:val="21"/>
              </w:rPr>
            </w:pPr>
          </w:p>
        </w:tc>
        <w:tc>
          <w:tcPr>
            <w:tcW w:w="998" w:type="dxa"/>
            <w:gridSpan w:val="2"/>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997" w:type="dxa"/>
            <w:gridSpan w:val="2"/>
            <w:vAlign w:val="center"/>
          </w:tcPr>
          <w:p>
            <w:pPr>
              <w:adjustRightInd w:val="0"/>
              <w:snapToGrid w:val="0"/>
              <w:spacing w:line="240" w:lineRule="atLeast"/>
              <w:ind w:left="-105" w:leftChars="-50" w:right="-105" w:rightChars="-50"/>
              <w:jc w:val="center"/>
              <w:rPr>
                <w:rFonts w:eastAsiaTheme="minorEastAsia"/>
              </w:rPr>
            </w:pPr>
          </w:p>
        </w:tc>
        <w:tc>
          <w:tcPr>
            <w:tcW w:w="1003" w:type="dxa"/>
            <w:gridSpan w:val="2"/>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675" w:type="dxa"/>
            <w:vMerge w:val="continue"/>
            <w:vAlign w:val="center"/>
          </w:tcPr>
          <w:p>
            <w:pPr>
              <w:widowControl/>
              <w:jc w:val="left"/>
              <w:rPr>
                <w:rFonts w:eastAsiaTheme="minorEastAsia"/>
                <w:szCs w:val="21"/>
              </w:rPr>
            </w:pPr>
          </w:p>
        </w:tc>
        <w:tc>
          <w:tcPr>
            <w:tcW w:w="1540" w:type="dxa"/>
            <w:vMerge w:val="continue"/>
            <w:vAlign w:val="center"/>
          </w:tcPr>
          <w:p>
            <w:pPr>
              <w:widowControl/>
              <w:jc w:val="left"/>
              <w:rPr>
                <w:rFonts w:eastAsiaTheme="minorEastAsia"/>
                <w:szCs w:val="21"/>
                <w:vertAlign w:val="superscript"/>
              </w:rPr>
            </w:pPr>
          </w:p>
        </w:tc>
        <w:tc>
          <w:tcPr>
            <w:tcW w:w="773"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977" w:type="dxa"/>
            <w:gridSpan w:val="22"/>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5" w:type="dxa"/>
            <w:vMerge w:val="continue"/>
            <w:vAlign w:val="center"/>
          </w:tcPr>
          <w:p>
            <w:pPr>
              <w:widowControl/>
              <w:jc w:val="left"/>
              <w:rPr>
                <w:rFonts w:eastAsiaTheme="minorEastAsia"/>
                <w:szCs w:val="21"/>
              </w:rPr>
            </w:pPr>
          </w:p>
        </w:tc>
        <w:tc>
          <w:tcPr>
            <w:tcW w:w="1540" w:type="dxa"/>
            <w:vMerge w:val="continue"/>
            <w:vAlign w:val="center"/>
          </w:tcPr>
          <w:p>
            <w:pPr>
              <w:widowControl/>
              <w:jc w:val="left"/>
              <w:rPr>
                <w:rFonts w:eastAsiaTheme="minorEastAsia"/>
                <w:szCs w:val="21"/>
                <w:vertAlign w:val="superscript"/>
              </w:rPr>
            </w:pPr>
          </w:p>
        </w:tc>
        <w:tc>
          <w:tcPr>
            <w:tcW w:w="773" w:type="dxa"/>
            <w:vMerge w:val="continue"/>
            <w:vAlign w:val="center"/>
          </w:tcPr>
          <w:p>
            <w:pPr>
              <w:widowControl/>
              <w:jc w:val="left"/>
              <w:rPr>
                <w:rFonts w:eastAsiaTheme="minorEastAsia"/>
                <w:bCs/>
                <w:szCs w:val="21"/>
              </w:rPr>
            </w:pPr>
          </w:p>
        </w:tc>
        <w:tc>
          <w:tcPr>
            <w:tcW w:w="913" w:type="dxa"/>
            <w:vAlign w:val="center"/>
          </w:tcPr>
          <w:p>
            <w:pPr>
              <w:widowControl/>
              <w:ind w:left="-105" w:leftChars="-50" w:right="-105" w:rightChars="-50"/>
              <w:jc w:val="center"/>
              <w:rPr>
                <w:rFonts w:eastAsiaTheme="minorEastAsia"/>
                <w:kern w:val="0"/>
                <w:szCs w:val="21"/>
              </w:rPr>
            </w:pPr>
            <w:r>
              <w:rPr>
                <w:rFonts w:hAnsiTheme="minorEastAsia" w:eastAsiaTheme="minorEastAsia"/>
                <w:szCs w:val="21"/>
              </w:rPr>
              <w:t>氯乙烯</w:t>
            </w:r>
          </w:p>
        </w:tc>
        <w:tc>
          <w:tcPr>
            <w:tcW w:w="914" w:type="dxa"/>
            <w:gridSpan w:val="2"/>
            <w:vAlign w:val="center"/>
          </w:tcPr>
          <w:p>
            <w:pPr>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914" w:type="dxa"/>
            <w:gridSpan w:val="2"/>
            <w:vAlign w:val="center"/>
          </w:tcPr>
          <w:p>
            <w:pPr>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甲烷</w:t>
            </w:r>
          </w:p>
        </w:tc>
        <w:tc>
          <w:tcPr>
            <w:tcW w:w="913" w:type="dxa"/>
            <w:gridSpan w:val="2"/>
            <w:vAlign w:val="center"/>
          </w:tcPr>
          <w:p>
            <w:pPr>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氯乙烯</w:t>
            </w:r>
          </w:p>
        </w:tc>
        <w:tc>
          <w:tcPr>
            <w:tcW w:w="913" w:type="dxa"/>
            <w:gridSpan w:val="2"/>
            <w:vAlign w:val="center"/>
          </w:tcPr>
          <w:p>
            <w:pPr>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914" w:type="dxa"/>
            <w:gridSpan w:val="2"/>
            <w:vAlign w:val="center"/>
          </w:tcPr>
          <w:p>
            <w:pPr>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氯乙烯</w:t>
            </w:r>
          </w:p>
        </w:tc>
        <w:tc>
          <w:tcPr>
            <w:tcW w:w="914"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氯仿</w:t>
            </w:r>
          </w:p>
        </w:tc>
        <w:tc>
          <w:tcPr>
            <w:tcW w:w="914"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c>
          <w:tcPr>
            <w:tcW w:w="914" w:type="dxa"/>
            <w:gridSpan w:val="2"/>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化碳</w:t>
            </w:r>
          </w:p>
        </w:tc>
        <w:tc>
          <w:tcPr>
            <w:tcW w:w="913"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w:t>
            </w:r>
          </w:p>
        </w:tc>
        <w:tc>
          <w:tcPr>
            <w:tcW w:w="913" w:type="dxa"/>
            <w:gridSpan w:val="2"/>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928" w:type="dxa"/>
            <w:vAlign w:val="center"/>
          </w:tcPr>
          <w:p>
            <w:pPr>
              <w:ind w:left="-105" w:leftChars="-50" w:right="-105" w:rightChars="-50"/>
              <w:jc w:val="center"/>
              <w:rPr>
                <w:rFonts w:eastAsiaTheme="minorEastAsia"/>
                <w:szCs w:val="21"/>
              </w:rPr>
            </w:pPr>
            <w:r>
              <w:rPr>
                <w:rFonts w:hAnsiTheme="minorEastAsia" w:eastAsiaTheme="minorEastAsia"/>
                <w:szCs w:val="21"/>
              </w:rPr>
              <w:t>三氯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5" w:type="dxa"/>
            <w:vMerge w:val="continue"/>
            <w:vAlign w:val="center"/>
          </w:tcPr>
          <w:p>
            <w:pPr>
              <w:widowControl/>
              <w:jc w:val="left"/>
              <w:rPr>
                <w:rFonts w:eastAsiaTheme="minorEastAsia"/>
                <w:szCs w:val="21"/>
              </w:rPr>
            </w:pPr>
          </w:p>
        </w:tc>
        <w:tc>
          <w:tcPr>
            <w:tcW w:w="1540" w:type="dxa"/>
            <w:vMerge w:val="continue"/>
            <w:vAlign w:val="center"/>
          </w:tcPr>
          <w:p>
            <w:pPr>
              <w:widowControl/>
              <w:jc w:val="left"/>
              <w:rPr>
                <w:rFonts w:eastAsiaTheme="minorEastAsia"/>
                <w:szCs w:val="21"/>
                <w:vertAlign w:val="superscript"/>
              </w:rPr>
            </w:pPr>
          </w:p>
        </w:tc>
        <w:tc>
          <w:tcPr>
            <w:tcW w:w="77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13" w:type="dxa"/>
            <w:vAlign w:val="center"/>
          </w:tcPr>
          <w:p>
            <w:pPr>
              <w:widowControl/>
              <w:ind w:left="-105" w:leftChars="-50" w:right="-105" w:rightChars="-50"/>
              <w:jc w:val="center"/>
              <w:rPr>
                <w:rFonts w:eastAsiaTheme="minorEastAsia"/>
                <w:kern w:val="0"/>
                <w:sz w:val="24"/>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28"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5" w:type="dxa"/>
            <w:vMerge w:val="continue"/>
            <w:vAlign w:val="center"/>
          </w:tcPr>
          <w:p>
            <w:pPr>
              <w:widowControl/>
              <w:jc w:val="left"/>
              <w:rPr>
                <w:rFonts w:eastAsiaTheme="minorEastAsia"/>
                <w:szCs w:val="21"/>
              </w:rPr>
            </w:pPr>
          </w:p>
        </w:tc>
        <w:tc>
          <w:tcPr>
            <w:tcW w:w="1540" w:type="dxa"/>
            <w:vMerge w:val="continue"/>
            <w:vAlign w:val="center"/>
          </w:tcPr>
          <w:p>
            <w:pPr>
              <w:widowControl/>
              <w:jc w:val="left"/>
              <w:rPr>
                <w:rFonts w:eastAsiaTheme="minorEastAsia"/>
                <w:szCs w:val="21"/>
                <w:vertAlign w:val="superscript"/>
              </w:rPr>
            </w:pPr>
          </w:p>
        </w:tc>
        <w:tc>
          <w:tcPr>
            <w:tcW w:w="77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13" w:type="dxa"/>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28"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5" w:type="dxa"/>
            <w:vMerge w:val="continue"/>
            <w:vAlign w:val="center"/>
          </w:tcPr>
          <w:p>
            <w:pPr>
              <w:widowControl/>
              <w:jc w:val="left"/>
              <w:rPr>
                <w:rFonts w:eastAsiaTheme="minorEastAsia"/>
                <w:szCs w:val="21"/>
              </w:rPr>
            </w:pPr>
          </w:p>
        </w:tc>
        <w:tc>
          <w:tcPr>
            <w:tcW w:w="1540" w:type="dxa"/>
            <w:vMerge w:val="continue"/>
            <w:vAlign w:val="center"/>
          </w:tcPr>
          <w:p>
            <w:pPr>
              <w:widowControl/>
              <w:jc w:val="left"/>
              <w:rPr>
                <w:rFonts w:eastAsiaTheme="minorEastAsia"/>
                <w:szCs w:val="21"/>
                <w:vertAlign w:val="superscript"/>
              </w:rPr>
            </w:pPr>
          </w:p>
        </w:tc>
        <w:tc>
          <w:tcPr>
            <w:tcW w:w="77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13" w:type="dxa"/>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4"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13" w:type="dxa"/>
            <w:gridSpan w:val="2"/>
            <w:vAlign w:val="center"/>
          </w:tcPr>
          <w:p>
            <w:pPr>
              <w:adjustRightInd w:val="0"/>
              <w:snapToGrid w:val="0"/>
              <w:spacing w:line="240" w:lineRule="atLeast"/>
              <w:ind w:left="-105" w:leftChars="-50" w:right="-105" w:rightChars="-50"/>
              <w:jc w:val="center"/>
              <w:rPr>
                <w:rFonts w:eastAsiaTheme="minorEastAsia"/>
              </w:rPr>
            </w:pPr>
          </w:p>
        </w:tc>
        <w:tc>
          <w:tcPr>
            <w:tcW w:w="928"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0" w:hRule="atLeast"/>
          <w:jc w:val="center"/>
        </w:trPr>
        <w:tc>
          <w:tcPr>
            <w:tcW w:w="675" w:type="dxa"/>
            <w:vAlign w:val="center"/>
          </w:tcPr>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szCs w:val="21"/>
              </w:rPr>
              <w:t>备注</w:t>
            </w:r>
          </w:p>
        </w:tc>
        <w:tc>
          <w:tcPr>
            <w:tcW w:w="13290" w:type="dxa"/>
            <w:gridSpan w:val="24"/>
            <w:vAlign w:val="center"/>
          </w:tcPr>
          <w:p>
            <w:pPr>
              <w:adjustRightInd w:val="0"/>
              <w:snapToGrid w:val="0"/>
              <w:spacing w:line="240" w:lineRule="atLeast"/>
              <w:rPr>
                <w:rFonts w:eastAsiaTheme="minorEastAsia"/>
                <w:szCs w:val="21"/>
              </w:rPr>
            </w:pPr>
          </w:p>
        </w:tc>
      </w:tr>
    </w:tbl>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7"/>
        <w:gridCol w:w="1574"/>
        <w:gridCol w:w="818"/>
        <w:gridCol w:w="960"/>
        <w:gridCol w:w="1017"/>
        <w:gridCol w:w="983"/>
        <w:gridCol w:w="958"/>
        <w:gridCol w:w="939"/>
        <w:gridCol w:w="813"/>
        <w:gridCol w:w="1065"/>
        <w:gridCol w:w="1037"/>
        <w:gridCol w:w="894"/>
        <w:gridCol w:w="936"/>
        <w:gridCol w:w="12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748"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bCs/>
                <w:szCs w:val="21"/>
              </w:rPr>
              <w:t>日期</w:t>
            </w:r>
          </w:p>
        </w:tc>
        <w:tc>
          <w:tcPr>
            <w:tcW w:w="1576" w:type="dxa"/>
            <w:vMerge w:val="restart"/>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监测点位</w:t>
            </w:r>
          </w:p>
        </w:tc>
        <w:tc>
          <w:tcPr>
            <w:tcW w:w="819"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827" w:type="dxa"/>
            <w:gridSpan w:val="11"/>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961" w:type="dxa"/>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widowControl/>
              <w:ind w:left="-105" w:leftChars="-50" w:right="-105" w:rightChars="-50"/>
              <w:jc w:val="center"/>
              <w:rPr>
                <w:rFonts w:eastAsiaTheme="minorEastAsia"/>
                <w:kern w:val="0"/>
                <w:szCs w:val="21"/>
              </w:rPr>
            </w:pPr>
            <w:r>
              <w:rPr>
                <w:rFonts w:hAnsiTheme="minorEastAsia" w:eastAsiaTheme="minorEastAsia"/>
                <w:szCs w:val="21"/>
              </w:rPr>
              <w:t>丙烷</w:t>
            </w:r>
          </w:p>
        </w:tc>
        <w:tc>
          <w:tcPr>
            <w:tcW w:w="1017"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958"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939"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氯苯</w:t>
            </w:r>
          </w:p>
        </w:tc>
        <w:tc>
          <w:tcPr>
            <w:tcW w:w="81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乙苯</w:t>
            </w:r>
          </w:p>
        </w:tc>
        <w:tc>
          <w:tcPr>
            <w:tcW w:w="1065"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1037"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894"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邻二甲苯</w:t>
            </w:r>
          </w:p>
        </w:tc>
        <w:tc>
          <w:tcPr>
            <w:tcW w:w="936"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苯乙烯</w:t>
            </w:r>
          </w:p>
        </w:tc>
        <w:tc>
          <w:tcPr>
            <w:tcW w:w="1224" w:type="dxa"/>
            <w:vAlign w:val="center"/>
          </w:tcPr>
          <w:p>
            <w:pPr>
              <w:ind w:left="-105" w:leftChars="-50" w:right="-105" w:rightChars="-50"/>
              <w:jc w:val="center"/>
              <w:rPr>
                <w:rFonts w:eastAsiaTheme="minorEastAsia"/>
                <w:szCs w:val="21"/>
              </w:rPr>
            </w:pPr>
            <w:r>
              <w:rPr>
                <w:rFonts w:eastAsiaTheme="minorEastAsia"/>
                <w:szCs w:val="21"/>
              </w:rPr>
              <w:t>1,1,2,2-</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四氯乙烷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748"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576"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4</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rPr>
            </w:pPr>
          </w:p>
        </w:tc>
        <w:tc>
          <w:tcPr>
            <w:tcW w:w="81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61" w:type="dxa"/>
            <w:vAlign w:val="center"/>
          </w:tcPr>
          <w:p>
            <w:pPr>
              <w:widowControl/>
              <w:ind w:left="-105" w:leftChars="-50" w:right="-105" w:rightChars="-50"/>
              <w:jc w:val="center"/>
              <w:rPr>
                <w:rFonts w:eastAsiaTheme="minorEastAsia"/>
                <w:kern w:val="0"/>
                <w:sz w:val="24"/>
              </w:rPr>
            </w:pPr>
          </w:p>
        </w:tc>
        <w:tc>
          <w:tcPr>
            <w:tcW w:w="1017"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58" w:type="dxa"/>
            <w:vAlign w:val="center"/>
          </w:tcPr>
          <w:p>
            <w:pPr>
              <w:adjustRightInd w:val="0"/>
              <w:snapToGrid w:val="0"/>
              <w:spacing w:line="240" w:lineRule="atLeast"/>
              <w:ind w:left="-105" w:leftChars="-50" w:right="-105" w:rightChars="-50"/>
              <w:jc w:val="center"/>
              <w:rPr>
                <w:rFonts w:eastAsiaTheme="minorEastAsia"/>
              </w:rPr>
            </w:pPr>
          </w:p>
        </w:tc>
        <w:tc>
          <w:tcPr>
            <w:tcW w:w="939" w:type="dxa"/>
            <w:vAlign w:val="center"/>
          </w:tcPr>
          <w:p>
            <w:pPr>
              <w:adjustRightInd w:val="0"/>
              <w:snapToGrid w:val="0"/>
              <w:spacing w:line="240" w:lineRule="atLeast"/>
              <w:ind w:left="-105" w:leftChars="-50" w:right="-105" w:rightChars="-50"/>
              <w:jc w:val="center"/>
              <w:rPr>
                <w:rFonts w:eastAsiaTheme="minorEastAsia"/>
              </w:rPr>
            </w:pPr>
          </w:p>
        </w:tc>
        <w:tc>
          <w:tcPr>
            <w:tcW w:w="813" w:type="dxa"/>
            <w:vAlign w:val="center"/>
          </w:tcPr>
          <w:p>
            <w:pPr>
              <w:adjustRightInd w:val="0"/>
              <w:snapToGrid w:val="0"/>
              <w:spacing w:line="240" w:lineRule="atLeast"/>
              <w:ind w:left="-105" w:leftChars="-50" w:right="-105" w:rightChars="-50"/>
              <w:jc w:val="center"/>
              <w:rPr>
                <w:rFonts w:eastAsiaTheme="minorEastAsia"/>
              </w:rPr>
            </w:pPr>
          </w:p>
        </w:tc>
        <w:tc>
          <w:tcPr>
            <w:tcW w:w="1065" w:type="dxa"/>
            <w:vAlign w:val="center"/>
          </w:tcPr>
          <w:p>
            <w:pPr>
              <w:adjustRightInd w:val="0"/>
              <w:snapToGrid w:val="0"/>
              <w:spacing w:line="240" w:lineRule="atLeast"/>
              <w:ind w:left="-105" w:leftChars="-50" w:right="-105" w:rightChars="-50"/>
              <w:jc w:val="center"/>
              <w:rPr>
                <w:rFonts w:eastAsiaTheme="minorEastAsia"/>
              </w:rPr>
            </w:pPr>
          </w:p>
        </w:tc>
        <w:tc>
          <w:tcPr>
            <w:tcW w:w="1037"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1224"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81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61" w:type="dxa"/>
            <w:vAlign w:val="center"/>
          </w:tcPr>
          <w:p>
            <w:pPr>
              <w:adjustRightInd w:val="0"/>
              <w:snapToGrid w:val="0"/>
              <w:spacing w:line="240" w:lineRule="atLeast"/>
              <w:ind w:left="-105" w:leftChars="-50" w:right="-105" w:rightChars="-50"/>
              <w:jc w:val="center"/>
              <w:rPr>
                <w:rFonts w:eastAsiaTheme="minorEastAsia"/>
              </w:rPr>
            </w:pPr>
          </w:p>
        </w:tc>
        <w:tc>
          <w:tcPr>
            <w:tcW w:w="1017"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58" w:type="dxa"/>
            <w:vAlign w:val="center"/>
          </w:tcPr>
          <w:p>
            <w:pPr>
              <w:adjustRightInd w:val="0"/>
              <w:snapToGrid w:val="0"/>
              <w:spacing w:line="240" w:lineRule="atLeast"/>
              <w:ind w:left="-105" w:leftChars="-50" w:right="-105" w:rightChars="-50"/>
              <w:jc w:val="center"/>
              <w:rPr>
                <w:rFonts w:eastAsiaTheme="minorEastAsia"/>
              </w:rPr>
            </w:pPr>
          </w:p>
        </w:tc>
        <w:tc>
          <w:tcPr>
            <w:tcW w:w="939" w:type="dxa"/>
            <w:vAlign w:val="center"/>
          </w:tcPr>
          <w:p>
            <w:pPr>
              <w:adjustRightInd w:val="0"/>
              <w:snapToGrid w:val="0"/>
              <w:spacing w:line="240" w:lineRule="atLeast"/>
              <w:ind w:left="-105" w:leftChars="-50" w:right="-105" w:rightChars="-50"/>
              <w:jc w:val="center"/>
              <w:rPr>
                <w:rFonts w:eastAsiaTheme="minorEastAsia"/>
              </w:rPr>
            </w:pPr>
          </w:p>
        </w:tc>
        <w:tc>
          <w:tcPr>
            <w:tcW w:w="813" w:type="dxa"/>
            <w:vAlign w:val="center"/>
          </w:tcPr>
          <w:p>
            <w:pPr>
              <w:adjustRightInd w:val="0"/>
              <w:snapToGrid w:val="0"/>
              <w:spacing w:line="240" w:lineRule="atLeast"/>
              <w:ind w:left="-105" w:leftChars="-50" w:right="-105" w:rightChars="-50"/>
              <w:jc w:val="center"/>
              <w:rPr>
                <w:rFonts w:eastAsiaTheme="minorEastAsia"/>
              </w:rPr>
            </w:pPr>
          </w:p>
        </w:tc>
        <w:tc>
          <w:tcPr>
            <w:tcW w:w="1065" w:type="dxa"/>
            <w:vAlign w:val="center"/>
          </w:tcPr>
          <w:p>
            <w:pPr>
              <w:adjustRightInd w:val="0"/>
              <w:snapToGrid w:val="0"/>
              <w:spacing w:line="240" w:lineRule="atLeast"/>
              <w:ind w:left="-105" w:leftChars="-50" w:right="-105" w:rightChars="-50"/>
              <w:jc w:val="center"/>
              <w:rPr>
                <w:rFonts w:eastAsiaTheme="minorEastAsia"/>
              </w:rPr>
            </w:pPr>
          </w:p>
        </w:tc>
        <w:tc>
          <w:tcPr>
            <w:tcW w:w="1037"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1224"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81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61" w:type="dxa"/>
            <w:vAlign w:val="center"/>
          </w:tcPr>
          <w:p>
            <w:pPr>
              <w:adjustRightInd w:val="0"/>
              <w:snapToGrid w:val="0"/>
              <w:spacing w:line="240" w:lineRule="atLeast"/>
              <w:ind w:left="-105" w:leftChars="-50" w:right="-105" w:rightChars="-50"/>
              <w:jc w:val="center"/>
              <w:rPr>
                <w:rFonts w:eastAsiaTheme="minorEastAsia"/>
              </w:rPr>
            </w:pPr>
          </w:p>
        </w:tc>
        <w:tc>
          <w:tcPr>
            <w:tcW w:w="1017"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58" w:type="dxa"/>
            <w:vAlign w:val="center"/>
          </w:tcPr>
          <w:p>
            <w:pPr>
              <w:adjustRightInd w:val="0"/>
              <w:snapToGrid w:val="0"/>
              <w:spacing w:line="240" w:lineRule="atLeast"/>
              <w:ind w:left="-105" w:leftChars="-50" w:right="-105" w:rightChars="-50"/>
              <w:jc w:val="center"/>
              <w:rPr>
                <w:rFonts w:eastAsiaTheme="minorEastAsia"/>
              </w:rPr>
            </w:pPr>
          </w:p>
        </w:tc>
        <w:tc>
          <w:tcPr>
            <w:tcW w:w="939" w:type="dxa"/>
            <w:vAlign w:val="center"/>
          </w:tcPr>
          <w:p>
            <w:pPr>
              <w:adjustRightInd w:val="0"/>
              <w:snapToGrid w:val="0"/>
              <w:spacing w:line="240" w:lineRule="atLeast"/>
              <w:ind w:left="-105" w:leftChars="-50" w:right="-105" w:rightChars="-50"/>
              <w:jc w:val="center"/>
              <w:rPr>
                <w:rFonts w:eastAsiaTheme="minorEastAsia"/>
              </w:rPr>
            </w:pPr>
          </w:p>
        </w:tc>
        <w:tc>
          <w:tcPr>
            <w:tcW w:w="813" w:type="dxa"/>
            <w:vAlign w:val="center"/>
          </w:tcPr>
          <w:p>
            <w:pPr>
              <w:adjustRightInd w:val="0"/>
              <w:snapToGrid w:val="0"/>
              <w:spacing w:line="240" w:lineRule="atLeast"/>
              <w:ind w:left="-105" w:leftChars="-50" w:right="-105" w:rightChars="-50"/>
              <w:jc w:val="center"/>
              <w:rPr>
                <w:rFonts w:eastAsiaTheme="minorEastAsia"/>
              </w:rPr>
            </w:pPr>
          </w:p>
        </w:tc>
        <w:tc>
          <w:tcPr>
            <w:tcW w:w="1065" w:type="dxa"/>
            <w:vAlign w:val="center"/>
          </w:tcPr>
          <w:p>
            <w:pPr>
              <w:adjustRightInd w:val="0"/>
              <w:snapToGrid w:val="0"/>
              <w:spacing w:line="240" w:lineRule="atLeast"/>
              <w:ind w:left="-105" w:leftChars="-50" w:right="-105" w:rightChars="-50"/>
              <w:jc w:val="center"/>
              <w:rPr>
                <w:rFonts w:eastAsiaTheme="minorEastAsia"/>
              </w:rPr>
            </w:pPr>
          </w:p>
        </w:tc>
        <w:tc>
          <w:tcPr>
            <w:tcW w:w="1037"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1224"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819"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827" w:type="dxa"/>
            <w:gridSpan w:val="11"/>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bCs/>
                <w:szCs w:val="21"/>
              </w:rPr>
            </w:pPr>
          </w:p>
        </w:tc>
        <w:tc>
          <w:tcPr>
            <w:tcW w:w="961" w:type="dxa"/>
            <w:vAlign w:val="center"/>
          </w:tcPr>
          <w:p>
            <w:pPr>
              <w:ind w:left="-105" w:leftChars="-50" w:right="-105" w:rightChars="-50"/>
              <w:jc w:val="center"/>
              <w:rPr>
                <w:rFonts w:eastAsiaTheme="minorEastAsia"/>
                <w:szCs w:val="21"/>
              </w:rPr>
            </w:pPr>
            <w:r>
              <w:rPr>
                <w:rFonts w:eastAsiaTheme="minorEastAsia"/>
                <w:szCs w:val="21"/>
              </w:rPr>
              <w:t>1,2,3-</w:t>
            </w:r>
            <w:r>
              <w:rPr>
                <w:rFonts w:hAnsiTheme="minorEastAsia" w:eastAsiaTheme="minorEastAsia"/>
                <w:szCs w:val="21"/>
              </w:rPr>
              <w:t>三</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氯丙烷</w:t>
            </w:r>
          </w:p>
        </w:tc>
        <w:tc>
          <w:tcPr>
            <w:tcW w:w="1017" w:type="dxa"/>
            <w:vAlign w:val="center"/>
          </w:tcPr>
          <w:p>
            <w:pPr>
              <w:adjustRightInd w:val="0"/>
              <w:snapToGrid w:val="0"/>
              <w:spacing w:line="240" w:lineRule="atLeast"/>
              <w:ind w:left="-105" w:leftChars="-50" w:right="-105" w:rightChars="-50"/>
              <w:jc w:val="center"/>
              <w:rPr>
                <w:rFonts w:eastAsiaTheme="minorEastAsia"/>
                <w:kern w:val="0"/>
                <w:szCs w:val="21"/>
              </w:rPr>
            </w:pPr>
            <w:r>
              <w:rPr>
                <w:rFonts w:eastAsiaTheme="minorEastAsia"/>
                <w:szCs w:val="21"/>
              </w:rPr>
              <w:t>1,4-</w:t>
            </w:r>
            <w:r>
              <w:rPr>
                <w:rFonts w:hAnsiTheme="minorEastAsia" w:eastAsiaTheme="minorEastAsia"/>
                <w:szCs w:val="21"/>
              </w:rPr>
              <w:t>二氯苯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二氯苯</w:t>
            </w:r>
          </w:p>
        </w:tc>
        <w:tc>
          <w:tcPr>
            <w:tcW w:w="958"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萘</w:t>
            </w:r>
          </w:p>
        </w:tc>
        <w:tc>
          <w:tcPr>
            <w:tcW w:w="939"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蒽</w:t>
            </w:r>
          </w:p>
        </w:tc>
        <w:tc>
          <w:tcPr>
            <w:tcW w:w="81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䓛</w:t>
            </w:r>
          </w:p>
        </w:tc>
        <w:tc>
          <w:tcPr>
            <w:tcW w:w="1065"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1037"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894"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芘</w:t>
            </w:r>
          </w:p>
        </w:tc>
        <w:tc>
          <w:tcPr>
            <w:tcW w:w="936"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二苯并</w:t>
            </w:r>
            <w:r>
              <w:rPr>
                <w:rFonts w:eastAsiaTheme="minorEastAsia"/>
                <w:szCs w:val="21"/>
              </w:rPr>
              <w:t>[a,h]</w:t>
            </w:r>
            <w:r>
              <w:rPr>
                <w:rFonts w:hAnsiTheme="minorEastAsia" w:eastAsiaTheme="minorEastAsia"/>
                <w:szCs w:val="21"/>
              </w:rPr>
              <w:t>蒽</w:t>
            </w:r>
          </w:p>
        </w:tc>
        <w:tc>
          <w:tcPr>
            <w:tcW w:w="1224"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81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61" w:type="dxa"/>
            <w:vAlign w:val="center"/>
          </w:tcPr>
          <w:p>
            <w:pPr>
              <w:widowControl/>
              <w:ind w:left="-105" w:leftChars="-50" w:right="-105" w:rightChars="-50"/>
              <w:jc w:val="center"/>
              <w:rPr>
                <w:rFonts w:eastAsiaTheme="minorEastAsia"/>
                <w:kern w:val="0"/>
                <w:sz w:val="24"/>
              </w:rPr>
            </w:pPr>
          </w:p>
        </w:tc>
        <w:tc>
          <w:tcPr>
            <w:tcW w:w="1017"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58" w:type="dxa"/>
            <w:vAlign w:val="center"/>
          </w:tcPr>
          <w:p>
            <w:pPr>
              <w:widowControl/>
              <w:ind w:left="-105" w:leftChars="-50" w:right="-105" w:rightChars="-50"/>
              <w:jc w:val="center"/>
              <w:rPr>
                <w:rFonts w:eastAsiaTheme="minorEastAsia"/>
                <w:kern w:val="0"/>
                <w:sz w:val="22"/>
                <w:szCs w:val="22"/>
              </w:rPr>
            </w:pPr>
          </w:p>
        </w:tc>
        <w:tc>
          <w:tcPr>
            <w:tcW w:w="939"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6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7"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36"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224"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81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61" w:type="dxa"/>
            <w:vAlign w:val="center"/>
          </w:tcPr>
          <w:p>
            <w:pPr>
              <w:adjustRightInd w:val="0"/>
              <w:snapToGrid w:val="0"/>
              <w:spacing w:line="240" w:lineRule="atLeast"/>
              <w:ind w:left="-105" w:leftChars="-50" w:right="-105" w:rightChars="-50"/>
              <w:jc w:val="center"/>
              <w:rPr>
                <w:rFonts w:eastAsiaTheme="minorEastAsia"/>
              </w:rPr>
            </w:pPr>
          </w:p>
        </w:tc>
        <w:tc>
          <w:tcPr>
            <w:tcW w:w="1017"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5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39"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6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7"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36"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224"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81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61" w:type="dxa"/>
            <w:vAlign w:val="center"/>
          </w:tcPr>
          <w:p>
            <w:pPr>
              <w:adjustRightInd w:val="0"/>
              <w:snapToGrid w:val="0"/>
              <w:spacing w:line="240" w:lineRule="atLeast"/>
              <w:ind w:left="-105" w:leftChars="-50" w:right="-105" w:rightChars="-50"/>
              <w:jc w:val="center"/>
              <w:rPr>
                <w:rFonts w:eastAsiaTheme="minorEastAsia"/>
              </w:rPr>
            </w:pPr>
          </w:p>
        </w:tc>
        <w:tc>
          <w:tcPr>
            <w:tcW w:w="1017"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5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39"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6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7"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36"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224"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748" w:type="dxa"/>
            <w:vAlign w:val="center"/>
          </w:tcPr>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szCs w:val="21"/>
              </w:rPr>
              <w:t>备注</w:t>
            </w:r>
          </w:p>
        </w:tc>
        <w:tc>
          <w:tcPr>
            <w:tcW w:w="13222" w:type="dxa"/>
            <w:gridSpan w:val="13"/>
            <w:vAlign w:val="center"/>
          </w:tcPr>
          <w:p>
            <w:pPr>
              <w:adjustRightInd w:val="0"/>
              <w:snapToGrid w:val="0"/>
              <w:spacing w:line="240" w:lineRule="atLeast"/>
              <w:rPr>
                <w:rFonts w:eastAsiaTheme="minorEastAsia"/>
                <w:kern w:val="0"/>
                <w:szCs w:val="21"/>
              </w:rPr>
            </w:pPr>
            <w:r>
              <w:rPr>
                <w:rFonts w:eastAsiaTheme="minorEastAsia"/>
                <w:kern w:val="0"/>
                <w:szCs w:val="21"/>
              </w:rPr>
              <w:t>“ND”</w:t>
            </w:r>
            <w:r>
              <w:rPr>
                <w:rFonts w:hAnsiTheme="minorEastAsia" w:eastAsiaTheme="minorEastAsia"/>
                <w:kern w:val="0"/>
                <w:szCs w:val="21"/>
              </w:rPr>
              <w:t>表示未检出，检出限详见表</w:t>
            </w:r>
            <w:r>
              <w:rPr>
                <w:rFonts w:eastAsiaTheme="minorEastAsia"/>
                <w:kern w:val="0"/>
                <w:szCs w:val="21"/>
              </w:rPr>
              <w:t>3-1</w:t>
            </w:r>
            <w:r>
              <w:rPr>
                <w:rFonts w:hAnsiTheme="minorEastAsia" w:eastAsiaTheme="minorEastAsia"/>
                <w:kern w:val="0"/>
                <w:szCs w:val="21"/>
              </w:rPr>
              <w:t>。</w:t>
            </w:r>
          </w:p>
        </w:tc>
      </w:tr>
    </w:tbl>
    <w:p>
      <w:pPr>
        <w:widowControl/>
        <w:spacing w:line="360" w:lineRule="auto"/>
        <w:ind w:firstLine="480" w:firstLineChars="200"/>
        <w:jc w:val="left"/>
        <w:rPr>
          <w:rFonts w:eastAsiaTheme="minorEastAsia"/>
          <w:sz w:val="24"/>
        </w:rPr>
      </w:pPr>
    </w:p>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w:t>
      </w:r>
      <w:r>
        <w:rPr>
          <w:rFonts w:hint="eastAsia" w:eastAsiaTheme="minorEastAsia"/>
          <w:b/>
          <w:szCs w:val="21"/>
        </w:rPr>
        <w:t>15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3"/>
        <w:gridCol w:w="1398"/>
        <w:gridCol w:w="644"/>
        <w:gridCol w:w="780"/>
        <w:gridCol w:w="910"/>
        <w:gridCol w:w="849"/>
        <w:gridCol w:w="849"/>
        <w:gridCol w:w="849"/>
        <w:gridCol w:w="849"/>
        <w:gridCol w:w="869"/>
        <w:gridCol w:w="835"/>
        <w:gridCol w:w="897"/>
        <w:gridCol w:w="911"/>
        <w:gridCol w:w="849"/>
        <w:gridCol w:w="897"/>
        <w:gridCol w:w="9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exact"/>
          <w:jc w:val="center"/>
        </w:trPr>
        <w:tc>
          <w:tcPr>
            <w:tcW w:w="664"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00"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点位</w:t>
            </w:r>
          </w:p>
        </w:tc>
        <w:tc>
          <w:tcPr>
            <w:tcW w:w="645"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4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40" w:lineRule="exact"/>
              <w:ind w:left="-105" w:leftChars="-50" w:right="-105" w:rightChars="-50"/>
              <w:jc w:val="center"/>
              <w:rPr>
                <w:rFonts w:eastAsiaTheme="minorEastAsia"/>
                <w:bCs/>
                <w:szCs w:val="21"/>
              </w:rPr>
            </w:pPr>
            <w:r>
              <w:rPr>
                <w:rFonts w:eastAsiaTheme="minorEastAsia"/>
                <w:bCs/>
                <w:szCs w:val="21"/>
              </w:rPr>
              <w:t>(m)</w:t>
            </w:r>
          </w:p>
        </w:tc>
        <w:tc>
          <w:tcPr>
            <w:tcW w:w="11261" w:type="dxa"/>
            <w:gridSpan w:val="13"/>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exact"/>
          <w:jc w:val="center"/>
        </w:trPr>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781"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铅</w:t>
            </w:r>
          </w:p>
          <w:p>
            <w:pPr>
              <w:widowControl/>
              <w:spacing w:line="240" w:lineRule="exact"/>
              <w:ind w:left="-105" w:leftChars="-50" w:right="-105" w:rightChars="-50"/>
              <w:jc w:val="center"/>
              <w:rPr>
                <w:rFonts w:eastAsiaTheme="minorEastAsia"/>
                <w:kern w:val="0"/>
                <w:szCs w:val="21"/>
              </w:rPr>
            </w:pPr>
            <w:r>
              <w:rPr>
                <w:rFonts w:eastAsiaTheme="minorEastAsia"/>
                <w:szCs w:val="21"/>
              </w:rPr>
              <w:t>(mg/kg)</w:t>
            </w:r>
          </w:p>
        </w:tc>
        <w:tc>
          <w:tcPr>
            <w:tcW w:w="910"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widowControl/>
              <w:spacing w:line="240" w:lineRule="exact"/>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6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钡</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3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锌</w:t>
            </w:r>
            <w:r>
              <w:rPr>
                <w:rFonts w:eastAsiaTheme="minorEastAsia"/>
                <w:szCs w:val="21"/>
              </w:rPr>
              <w:t xml:space="preserve"> </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9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11"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砷</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9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氰化物</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16" w:type="dxa"/>
            <w:vAlign w:val="center"/>
          </w:tcPr>
          <w:p>
            <w:pPr>
              <w:pStyle w:val="48"/>
              <w:ind w:firstLine="0" w:firstLineChars="0"/>
              <w:rPr>
                <w:rFonts w:eastAsiaTheme="minorEastAsia"/>
                <w:kern w:val="0"/>
                <w:szCs w:val="21"/>
              </w:rPr>
            </w:pPr>
            <w:r>
              <w:rPr>
                <w:rFonts w:hAnsiTheme="minorEastAsia" w:eastAsiaTheme="minorEastAsia"/>
                <w:kern w:val="0"/>
                <w:szCs w:val="21"/>
              </w:rPr>
              <w:t>氟化物</w:t>
            </w:r>
            <w:r>
              <w:rPr>
                <w:rFonts w:eastAsiaTheme="minorEastAsia"/>
                <w:kern w:val="0"/>
                <w:szCs w:val="21"/>
              </w:rPr>
              <w:t>(mg/kg)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64"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400"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7</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vertAlign w:val="superscript"/>
              </w:rPr>
            </w:pPr>
            <w:r>
              <w:rPr>
                <w:rFonts w:eastAsiaTheme="minorEastAsia"/>
                <w:szCs w:val="21"/>
              </w:rPr>
              <w:t>″</w:t>
            </w: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ind w:left="-105" w:leftChars="-50" w:right="-105" w:rightChars="-50"/>
              <w:jc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69" w:type="dxa"/>
            <w:vAlign w:val="center"/>
          </w:tcPr>
          <w:p>
            <w:pPr>
              <w:adjustRightInd w:val="0"/>
              <w:snapToGrid w:val="0"/>
              <w:spacing w:line="240" w:lineRule="atLeast"/>
              <w:ind w:left="-105" w:leftChars="-50" w:right="-105" w:rightChars="-50"/>
              <w:jc w:val="center"/>
              <w:rPr>
                <w:rFonts w:eastAsiaTheme="minorEastAsia"/>
                <w:szCs w:val="21"/>
              </w:rPr>
            </w:pPr>
          </w:p>
        </w:tc>
        <w:tc>
          <w:tcPr>
            <w:tcW w:w="83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97" w:type="dxa"/>
            <w:vAlign w:val="center"/>
          </w:tcPr>
          <w:p>
            <w:pPr>
              <w:adjustRightInd w:val="0"/>
              <w:snapToGrid w:val="0"/>
              <w:spacing w:line="240" w:lineRule="atLeast"/>
              <w:ind w:left="-105" w:leftChars="-50" w:right="-105" w:rightChars="-50"/>
              <w:jc w:val="center"/>
              <w:rPr>
                <w:rFonts w:eastAsiaTheme="minorEastAsia"/>
                <w:szCs w:val="21"/>
              </w:rPr>
            </w:pPr>
          </w:p>
        </w:tc>
        <w:tc>
          <w:tcPr>
            <w:tcW w:w="911"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ind w:left="-105" w:leftChars="-50" w:right="-105" w:rightChars="-50"/>
              <w:jc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69" w:type="dxa"/>
            <w:vAlign w:val="center"/>
          </w:tcPr>
          <w:p>
            <w:pPr>
              <w:adjustRightInd w:val="0"/>
              <w:snapToGrid w:val="0"/>
              <w:spacing w:line="240" w:lineRule="atLeast"/>
              <w:ind w:left="-105" w:leftChars="-50" w:right="-105" w:rightChars="-50"/>
              <w:jc w:val="center"/>
              <w:rPr>
                <w:rFonts w:eastAsiaTheme="minorEastAsia"/>
                <w:szCs w:val="21"/>
              </w:rPr>
            </w:pPr>
          </w:p>
        </w:tc>
        <w:tc>
          <w:tcPr>
            <w:tcW w:w="83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97" w:type="dxa"/>
            <w:vAlign w:val="center"/>
          </w:tcPr>
          <w:p>
            <w:pPr>
              <w:adjustRightInd w:val="0"/>
              <w:snapToGrid w:val="0"/>
              <w:spacing w:line="240" w:lineRule="atLeast"/>
              <w:ind w:left="-105" w:leftChars="-50" w:right="-105" w:rightChars="-50"/>
              <w:jc w:val="center"/>
              <w:rPr>
                <w:rFonts w:eastAsiaTheme="minorEastAsia"/>
                <w:szCs w:val="21"/>
              </w:rPr>
            </w:pPr>
          </w:p>
        </w:tc>
        <w:tc>
          <w:tcPr>
            <w:tcW w:w="911"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ind w:left="-105" w:leftChars="-50" w:right="-105" w:rightChars="-50"/>
              <w:jc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69" w:type="dxa"/>
            <w:vAlign w:val="center"/>
          </w:tcPr>
          <w:p>
            <w:pPr>
              <w:adjustRightInd w:val="0"/>
              <w:snapToGrid w:val="0"/>
              <w:spacing w:line="240" w:lineRule="atLeast"/>
              <w:ind w:left="-105" w:leftChars="-50" w:right="-105" w:rightChars="-50"/>
              <w:jc w:val="center"/>
              <w:rPr>
                <w:rFonts w:eastAsiaTheme="minorEastAsia"/>
                <w:szCs w:val="21"/>
              </w:rPr>
            </w:pPr>
          </w:p>
        </w:tc>
        <w:tc>
          <w:tcPr>
            <w:tcW w:w="83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97" w:type="dxa"/>
            <w:vAlign w:val="center"/>
          </w:tcPr>
          <w:p>
            <w:pPr>
              <w:adjustRightInd w:val="0"/>
              <w:snapToGrid w:val="0"/>
              <w:spacing w:line="240" w:lineRule="atLeast"/>
              <w:ind w:left="-105" w:leftChars="-50" w:right="-105" w:rightChars="-50"/>
              <w:jc w:val="center"/>
              <w:rPr>
                <w:rFonts w:eastAsiaTheme="minorEastAsia"/>
                <w:szCs w:val="21"/>
              </w:rPr>
            </w:pPr>
          </w:p>
        </w:tc>
        <w:tc>
          <w:tcPr>
            <w:tcW w:w="911"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4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40" w:lineRule="exact"/>
              <w:ind w:left="-105" w:leftChars="-50" w:right="-105" w:rightChars="-50"/>
              <w:jc w:val="center"/>
              <w:rPr>
                <w:rFonts w:eastAsiaTheme="minorEastAsia"/>
                <w:bCs/>
                <w:szCs w:val="21"/>
              </w:rPr>
            </w:pPr>
            <w:r>
              <w:rPr>
                <w:rFonts w:eastAsiaTheme="minorEastAsia"/>
                <w:bCs/>
                <w:szCs w:val="21"/>
              </w:rPr>
              <w:t>(m)</w:t>
            </w:r>
          </w:p>
        </w:tc>
        <w:tc>
          <w:tcPr>
            <w:tcW w:w="11261" w:type="dxa"/>
            <w:gridSpan w:val="13"/>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300" w:type="dxa"/>
            <w:vMerge w:val="continue"/>
            <w:vAlign w:val="center"/>
          </w:tcPr>
          <w:p>
            <w:pPr>
              <w:widowControl/>
              <w:jc w:val="left"/>
              <w:rPr>
                <w:rFonts w:eastAsiaTheme="minorEastAsia"/>
                <w:bCs/>
                <w:szCs w:val="21"/>
              </w:rPr>
            </w:pPr>
          </w:p>
        </w:tc>
        <w:tc>
          <w:tcPr>
            <w:tcW w:w="781" w:type="dxa"/>
            <w:vAlign w:val="center"/>
          </w:tcPr>
          <w:p>
            <w:pPr>
              <w:spacing w:line="240" w:lineRule="exact"/>
              <w:ind w:left="-105" w:leftChars="-50" w:right="-105" w:rightChars="-50"/>
              <w:jc w:val="center"/>
              <w:rPr>
                <w:rFonts w:eastAsiaTheme="minorEastAsia"/>
                <w:szCs w:val="21"/>
              </w:rPr>
            </w:pPr>
            <w:r>
              <w:rPr>
                <w:rFonts w:eastAsiaTheme="minorEastAsia"/>
                <w:szCs w:val="21"/>
              </w:rPr>
              <w:t>pH</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w:t>
            </w:r>
            <w:r>
              <w:rPr>
                <w:rFonts w:hAnsiTheme="minorEastAsia" w:eastAsiaTheme="minorEastAsia"/>
                <w:szCs w:val="21"/>
              </w:rPr>
              <w:t>无量纲</w:t>
            </w:r>
            <w:r>
              <w:rPr>
                <w:rFonts w:eastAsiaTheme="minorEastAsia"/>
                <w:szCs w:val="21"/>
              </w:rPr>
              <w:t>)</w:t>
            </w:r>
          </w:p>
        </w:tc>
        <w:tc>
          <w:tcPr>
            <w:tcW w:w="910"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硝基苯</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苯胺</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氯甲烷</w:t>
            </w:r>
          </w:p>
        </w:tc>
        <w:tc>
          <w:tcPr>
            <w:tcW w:w="849" w:type="dxa"/>
            <w:vAlign w:val="center"/>
          </w:tcPr>
          <w:p>
            <w:pPr>
              <w:widowControl/>
              <w:spacing w:line="240" w:lineRule="exact"/>
              <w:ind w:left="-105" w:leftChars="-50" w:right="-105" w:rightChars="-50"/>
              <w:jc w:val="center"/>
              <w:rPr>
                <w:rFonts w:eastAsiaTheme="minorEastAsia"/>
                <w:kern w:val="0"/>
                <w:szCs w:val="21"/>
              </w:rPr>
            </w:pPr>
            <w:r>
              <w:rPr>
                <w:rFonts w:hAnsiTheme="minorEastAsia" w:eastAsiaTheme="minorEastAsia"/>
                <w:szCs w:val="21"/>
              </w:rPr>
              <w:t>氯乙烯</w:t>
            </w:r>
          </w:p>
        </w:tc>
        <w:tc>
          <w:tcPr>
            <w:tcW w:w="869"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83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甲烷</w:t>
            </w:r>
          </w:p>
        </w:tc>
        <w:tc>
          <w:tcPr>
            <w:tcW w:w="89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氯乙烯</w:t>
            </w:r>
          </w:p>
        </w:tc>
        <w:tc>
          <w:tcPr>
            <w:tcW w:w="911"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乙烷</w:t>
            </w:r>
          </w:p>
        </w:tc>
        <w:tc>
          <w:tcPr>
            <w:tcW w:w="84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二氯乙烯</w:t>
            </w:r>
          </w:p>
        </w:tc>
        <w:tc>
          <w:tcPr>
            <w:tcW w:w="897"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氯仿</w:t>
            </w:r>
          </w:p>
        </w:tc>
        <w:tc>
          <w:tcPr>
            <w:tcW w:w="916" w:type="dxa"/>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81" w:type="dxa"/>
            <w:vAlign w:val="center"/>
          </w:tcPr>
          <w:p>
            <w:pPr>
              <w:adjustRightInd w:val="0"/>
              <w:snapToGrid w:val="0"/>
              <w:spacing w:line="240" w:lineRule="atLeast"/>
              <w:ind w:left="-105" w:leftChars="-50" w:right="-105" w:rightChars="-50"/>
              <w:jc w:val="center"/>
              <w:rPr>
                <w:rFonts w:eastAsiaTheme="minorEastAsia"/>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widowControl/>
              <w:ind w:left="-105" w:leftChars="-50" w:right="-105" w:rightChars="-50"/>
              <w:jc w:val="center"/>
              <w:rPr>
                <w:rFonts w:eastAsiaTheme="minorEastAsia"/>
                <w:kern w:val="0"/>
                <w:sz w:val="24"/>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69" w:type="dxa"/>
            <w:vAlign w:val="center"/>
          </w:tcPr>
          <w:p>
            <w:pPr>
              <w:adjustRightInd w:val="0"/>
              <w:snapToGrid w:val="0"/>
              <w:spacing w:line="240" w:lineRule="atLeast"/>
              <w:ind w:left="-105" w:leftChars="-50" w:right="-105" w:rightChars="-50"/>
              <w:jc w:val="center"/>
              <w:rPr>
                <w:rFonts w:eastAsiaTheme="minorEastAsia"/>
              </w:rPr>
            </w:pP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81" w:type="dxa"/>
            <w:vAlign w:val="center"/>
          </w:tcPr>
          <w:p>
            <w:pPr>
              <w:adjustRightInd w:val="0"/>
              <w:snapToGrid w:val="0"/>
              <w:spacing w:line="240" w:lineRule="atLeast"/>
              <w:ind w:left="-105" w:leftChars="-50" w:right="-105" w:rightChars="-50"/>
              <w:jc w:val="center"/>
              <w:rPr>
                <w:rFonts w:eastAsiaTheme="minorEastAsia"/>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69" w:type="dxa"/>
            <w:vAlign w:val="center"/>
          </w:tcPr>
          <w:p>
            <w:pPr>
              <w:adjustRightInd w:val="0"/>
              <w:snapToGrid w:val="0"/>
              <w:spacing w:line="240" w:lineRule="atLeast"/>
              <w:ind w:left="-105" w:leftChars="-50" w:right="-105" w:rightChars="-50"/>
              <w:jc w:val="center"/>
              <w:rPr>
                <w:rFonts w:eastAsiaTheme="minorEastAsia"/>
              </w:rPr>
            </w:pP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81" w:type="dxa"/>
            <w:vAlign w:val="center"/>
          </w:tcPr>
          <w:p>
            <w:pPr>
              <w:adjustRightInd w:val="0"/>
              <w:snapToGrid w:val="0"/>
              <w:spacing w:line="240" w:lineRule="atLeast"/>
              <w:ind w:left="-105" w:leftChars="-50" w:right="-105" w:rightChars="-50"/>
              <w:jc w:val="center"/>
              <w:rPr>
                <w:rFonts w:eastAsiaTheme="minorEastAsia"/>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69" w:type="dxa"/>
            <w:vAlign w:val="center"/>
          </w:tcPr>
          <w:p>
            <w:pPr>
              <w:adjustRightInd w:val="0"/>
              <w:snapToGrid w:val="0"/>
              <w:spacing w:line="240" w:lineRule="atLeast"/>
              <w:ind w:left="-105" w:leftChars="-50" w:right="-105" w:rightChars="-50"/>
              <w:jc w:val="center"/>
              <w:rPr>
                <w:rFonts w:eastAsiaTheme="minorEastAsia"/>
              </w:rPr>
            </w:pP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1191" w:hRule="atLeast"/>
          <w:jc w:val="center"/>
        </w:trPr>
        <w:tc>
          <w:tcPr>
            <w:tcW w:w="664"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备注</w:t>
            </w:r>
          </w:p>
        </w:tc>
        <w:tc>
          <w:tcPr>
            <w:tcW w:w="13306" w:type="dxa"/>
            <w:gridSpan w:val="15"/>
            <w:vAlign w:val="center"/>
          </w:tcPr>
          <w:p>
            <w:pPr>
              <w:adjustRightInd w:val="0"/>
              <w:snapToGrid w:val="0"/>
              <w:spacing w:line="240" w:lineRule="atLeast"/>
              <w:rPr>
                <w:rFonts w:eastAsiaTheme="minorEastAsia"/>
                <w:szCs w:val="21"/>
              </w:rPr>
            </w:pPr>
          </w:p>
        </w:tc>
      </w:tr>
    </w:tbl>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1398"/>
        <w:gridCol w:w="723"/>
        <w:gridCol w:w="725"/>
        <w:gridCol w:w="936"/>
        <w:gridCol w:w="911"/>
        <w:gridCol w:w="782"/>
        <w:gridCol w:w="757"/>
        <w:gridCol w:w="810"/>
        <w:gridCol w:w="855"/>
        <w:gridCol w:w="838"/>
        <w:gridCol w:w="810"/>
        <w:gridCol w:w="810"/>
        <w:gridCol w:w="894"/>
        <w:gridCol w:w="1031"/>
        <w:gridCol w:w="9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00"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点位</w:t>
            </w:r>
          </w:p>
        </w:tc>
        <w:tc>
          <w:tcPr>
            <w:tcW w:w="724"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1155" w:type="dxa"/>
            <w:gridSpan w:val="13"/>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0" w:hRule="atLeast"/>
          <w:jc w:val="center"/>
        </w:trPr>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726"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化碳</w:t>
            </w:r>
          </w:p>
        </w:tc>
        <w:tc>
          <w:tcPr>
            <w:tcW w:w="936"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w:t>
            </w:r>
          </w:p>
        </w:tc>
        <w:tc>
          <w:tcPr>
            <w:tcW w:w="911" w:type="dxa"/>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782" w:type="dxa"/>
            <w:vAlign w:val="center"/>
          </w:tcPr>
          <w:p>
            <w:pPr>
              <w:ind w:left="-105" w:leftChars="-50" w:right="-105" w:rightChars="-50"/>
              <w:jc w:val="center"/>
              <w:rPr>
                <w:rFonts w:eastAsiaTheme="minorEastAsia"/>
                <w:szCs w:val="21"/>
              </w:rPr>
            </w:pPr>
            <w:r>
              <w:rPr>
                <w:rFonts w:hAnsiTheme="minorEastAsia" w:eastAsiaTheme="minorEastAsia"/>
                <w:szCs w:val="21"/>
              </w:rPr>
              <w:t>三氯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757" w:type="dxa"/>
            <w:vAlign w:val="center"/>
          </w:tcPr>
          <w:p>
            <w:pPr>
              <w:adjustRightInd w:val="0"/>
              <w:snapToGrid w:val="0"/>
              <w:spacing w:line="240" w:lineRule="atLeast"/>
              <w:ind w:left="-105" w:leftChars="-50" w:right="-105" w:rightChars="-50"/>
              <w:jc w:val="center"/>
              <w:rPr>
                <w:rFonts w:eastAsiaTheme="minorEastAsia"/>
                <w:kern w:val="0"/>
                <w:szCs w:val="21"/>
              </w:rPr>
            </w:pPr>
            <w:r>
              <w:rPr>
                <w:rFonts w:eastAsiaTheme="minorEastAsia"/>
                <w:szCs w:val="21"/>
              </w:rPr>
              <w:t>1,2-</w:t>
            </w:r>
            <w:r>
              <w:rPr>
                <w:rFonts w:hAnsiTheme="minorEastAsia" w:eastAsiaTheme="minorEastAsia"/>
                <w:szCs w:val="21"/>
              </w:rPr>
              <w:t>二氯丙烷</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c>
          <w:tcPr>
            <w:tcW w:w="855"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838"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氯苯</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乙苯</w:t>
            </w:r>
          </w:p>
        </w:tc>
        <w:tc>
          <w:tcPr>
            <w:tcW w:w="894"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1031"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995" w:type="dxa"/>
            <w:vAlign w:val="center"/>
          </w:tcPr>
          <w:p>
            <w:pPr>
              <w:ind w:left="-105" w:leftChars="-50" w:right="-105" w:rightChars="-50"/>
              <w:jc w:val="center"/>
              <w:rPr>
                <w:rFonts w:eastAsiaTheme="minorEastAsia"/>
                <w:szCs w:val="21"/>
              </w:rPr>
            </w:pPr>
            <w:r>
              <w:rPr>
                <w:rFonts w:hAnsiTheme="minorEastAsia" w:eastAsiaTheme="minorEastAsia"/>
                <w:szCs w:val="21"/>
              </w:rPr>
              <w:t>邻二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400"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7</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vertAlign w:val="superscript"/>
              </w:rPr>
            </w:pPr>
            <w:r>
              <w:rPr>
                <w:rFonts w:eastAsiaTheme="minorEastAsia"/>
                <w:szCs w:val="21"/>
              </w:rPr>
              <w:t>″</w:t>
            </w: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55" w:type="dxa"/>
            <w:vAlign w:val="center"/>
          </w:tcPr>
          <w:p>
            <w:pPr>
              <w:adjustRightInd w:val="0"/>
              <w:snapToGrid w:val="0"/>
              <w:spacing w:line="240" w:lineRule="atLeast"/>
              <w:ind w:left="-105" w:leftChars="-50" w:right="-105" w:rightChars="-50"/>
              <w:jc w:val="center"/>
              <w:rPr>
                <w:rFonts w:eastAsiaTheme="minorEastAsia"/>
              </w:rPr>
            </w:pPr>
          </w:p>
        </w:tc>
        <w:tc>
          <w:tcPr>
            <w:tcW w:w="838"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31" w:type="dxa"/>
            <w:vAlign w:val="center"/>
          </w:tcPr>
          <w:p>
            <w:pPr>
              <w:adjustRightInd w:val="0"/>
              <w:snapToGrid w:val="0"/>
              <w:spacing w:line="240" w:lineRule="atLeast"/>
              <w:ind w:left="-105" w:leftChars="-50" w:right="-105" w:rightChars="-50"/>
              <w:jc w:val="center"/>
              <w:rPr>
                <w:rFonts w:eastAsiaTheme="minorEastAsia"/>
              </w:rPr>
            </w:pPr>
          </w:p>
        </w:tc>
        <w:tc>
          <w:tcPr>
            <w:tcW w:w="995" w:type="dxa"/>
            <w:vAlign w:val="center"/>
          </w:tcPr>
          <w:p>
            <w:pPr>
              <w:widowControl/>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55" w:type="dxa"/>
            <w:vAlign w:val="center"/>
          </w:tcPr>
          <w:p>
            <w:pPr>
              <w:adjustRightInd w:val="0"/>
              <w:snapToGrid w:val="0"/>
              <w:spacing w:line="240" w:lineRule="atLeast"/>
              <w:ind w:left="-105" w:leftChars="-50" w:right="-105" w:rightChars="-50"/>
              <w:jc w:val="center"/>
              <w:rPr>
                <w:rFonts w:eastAsiaTheme="minorEastAsia"/>
              </w:rPr>
            </w:pPr>
          </w:p>
        </w:tc>
        <w:tc>
          <w:tcPr>
            <w:tcW w:w="838"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31" w:type="dxa"/>
            <w:vAlign w:val="center"/>
          </w:tcPr>
          <w:p>
            <w:pPr>
              <w:adjustRightInd w:val="0"/>
              <w:snapToGrid w:val="0"/>
              <w:spacing w:line="240" w:lineRule="atLeast"/>
              <w:ind w:left="-105" w:leftChars="-50" w:right="-105" w:rightChars="-50"/>
              <w:jc w:val="center"/>
              <w:rPr>
                <w:rFonts w:eastAsiaTheme="minorEastAsia"/>
              </w:rPr>
            </w:pPr>
          </w:p>
        </w:tc>
        <w:tc>
          <w:tcPr>
            <w:tcW w:w="995"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55" w:type="dxa"/>
            <w:vAlign w:val="center"/>
          </w:tcPr>
          <w:p>
            <w:pPr>
              <w:adjustRightInd w:val="0"/>
              <w:snapToGrid w:val="0"/>
              <w:spacing w:line="240" w:lineRule="atLeast"/>
              <w:ind w:left="-105" w:leftChars="-50" w:right="-105" w:rightChars="-50"/>
              <w:jc w:val="center"/>
              <w:rPr>
                <w:rFonts w:eastAsiaTheme="minorEastAsia"/>
              </w:rPr>
            </w:pPr>
          </w:p>
        </w:tc>
        <w:tc>
          <w:tcPr>
            <w:tcW w:w="838"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31" w:type="dxa"/>
            <w:vAlign w:val="center"/>
          </w:tcPr>
          <w:p>
            <w:pPr>
              <w:adjustRightInd w:val="0"/>
              <w:snapToGrid w:val="0"/>
              <w:spacing w:line="240" w:lineRule="atLeast"/>
              <w:ind w:left="-105" w:leftChars="-50" w:right="-105" w:rightChars="-50"/>
              <w:jc w:val="center"/>
              <w:rPr>
                <w:rFonts w:eastAsiaTheme="minorEastAsia"/>
              </w:rPr>
            </w:pPr>
          </w:p>
        </w:tc>
        <w:tc>
          <w:tcPr>
            <w:tcW w:w="995"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1155" w:type="dxa"/>
            <w:gridSpan w:val="13"/>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4"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300" w:type="dxa"/>
            <w:vMerge w:val="continue"/>
            <w:vAlign w:val="center"/>
          </w:tcPr>
          <w:p>
            <w:pPr>
              <w:widowControl/>
              <w:jc w:val="left"/>
              <w:rPr>
                <w:rFonts w:eastAsiaTheme="minorEastAsia"/>
                <w:bCs/>
                <w:szCs w:val="21"/>
              </w:rPr>
            </w:pPr>
          </w:p>
        </w:tc>
        <w:tc>
          <w:tcPr>
            <w:tcW w:w="726"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苯乙烯</w:t>
            </w:r>
          </w:p>
        </w:tc>
        <w:tc>
          <w:tcPr>
            <w:tcW w:w="936"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1,1,2,2-</w:t>
            </w:r>
            <w:r>
              <w:rPr>
                <w:rFonts w:hAnsiTheme="minorEastAsia" w:eastAsiaTheme="minorEastAsia"/>
                <w:szCs w:val="21"/>
              </w:rPr>
              <w:t>四氯乙烷</w:t>
            </w:r>
          </w:p>
        </w:tc>
        <w:tc>
          <w:tcPr>
            <w:tcW w:w="911"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1,2,3-</w:t>
            </w:r>
            <w:r>
              <w:rPr>
                <w:rFonts w:hAnsiTheme="minorEastAsia" w:eastAsiaTheme="minorEastAsia"/>
                <w:szCs w:val="21"/>
              </w:rPr>
              <w:t>三氯丙烷</w:t>
            </w:r>
          </w:p>
        </w:tc>
        <w:tc>
          <w:tcPr>
            <w:tcW w:w="782" w:type="dxa"/>
            <w:vAlign w:val="center"/>
          </w:tcPr>
          <w:p>
            <w:pPr>
              <w:ind w:left="-105" w:leftChars="-50" w:right="-105" w:rightChars="-50"/>
              <w:jc w:val="center"/>
              <w:rPr>
                <w:rFonts w:eastAsiaTheme="minorEastAsia"/>
                <w:szCs w:val="21"/>
              </w:rPr>
            </w:pPr>
            <w:r>
              <w:rPr>
                <w:rFonts w:eastAsiaTheme="minorEastAsia"/>
                <w:szCs w:val="21"/>
              </w:rPr>
              <w:t>1,4-</w:t>
            </w:r>
          </w:p>
          <w:p>
            <w:pPr>
              <w:adjustRightInd w:val="0"/>
              <w:snapToGrid w:val="0"/>
              <w:spacing w:line="240" w:lineRule="atLeast"/>
              <w:ind w:left="-105" w:leftChars="-50" w:right="-105" w:rightChars="-50"/>
              <w:jc w:val="center"/>
              <w:rPr>
                <w:rFonts w:eastAsiaTheme="minorEastAsia"/>
                <w:kern w:val="0"/>
                <w:szCs w:val="21"/>
              </w:rPr>
            </w:pPr>
            <w:r>
              <w:rPr>
                <w:rFonts w:hAnsiTheme="minorEastAsia" w:eastAsiaTheme="minorEastAsia"/>
                <w:szCs w:val="21"/>
              </w:rPr>
              <w:t>二氯苯</w:t>
            </w:r>
          </w:p>
        </w:tc>
        <w:tc>
          <w:tcPr>
            <w:tcW w:w="757" w:type="dxa"/>
            <w:vAlign w:val="center"/>
          </w:tcPr>
          <w:p>
            <w:pPr>
              <w:ind w:left="-105" w:leftChars="-50" w:right="-105" w:rightChars="-50"/>
              <w:jc w:val="center"/>
              <w:rPr>
                <w:rFonts w:eastAsiaTheme="minorEastAsia"/>
                <w:szCs w:val="21"/>
              </w:rPr>
            </w:pPr>
            <w:r>
              <w:rPr>
                <w:rFonts w:eastAsiaTheme="minorEastAsia"/>
                <w:szCs w:val="21"/>
              </w:rPr>
              <w:t>1,2-</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二氯苯</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萘</w:t>
            </w:r>
          </w:p>
        </w:tc>
        <w:tc>
          <w:tcPr>
            <w:tcW w:w="855"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蒽</w:t>
            </w:r>
          </w:p>
        </w:tc>
        <w:tc>
          <w:tcPr>
            <w:tcW w:w="838"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䓛</w:t>
            </w:r>
          </w:p>
        </w:tc>
        <w:tc>
          <w:tcPr>
            <w:tcW w:w="81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81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894"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芘</w:t>
            </w:r>
          </w:p>
        </w:tc>
        <w:tc>
          <w:tcPr>
            <w:tcW w:w="1031"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二苯并</w:t>
            </w:r>
            <w:r>
              <w:rPr>
                <w:rFonts w:eastAsiaTheme="minorEastAsia"/>
                <w:szCs w:val="21"/>
              </w:rPr>
              <w:t>[a,h]</w:t>
            </w:r>
            <w:r>
              <w:rPr>
                <w:rFonts w:hAnsiTheme="minorEastAsia" w:eastAsiaTheme="minorEastAsia"/>
                <w:szCs w:val="21"/>
              </w:rPr>
              <w:t>蒽</w:t>
            </w:r>
          </w:p>
        </w:tc>
        <w:tc>
          <w:tcPr>
            <w:tcW w:w="995"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widowControl/>
              <w:ind w:left="-105" w:leftChars="-50" w:right="-105" w:rightChars="-50"/>
              <w:jc w:val="center"/>
              <w:rPr>
                <w:rFonts w:eastAsiaTheme="minorEastAsia"/>
                <w:kern w:val="0"/>
                <w:sz w:val="22"/>
                <w:szCs w:val="22"/>
              </w:rPr>
            </w:pPr>
          </w:p>
        </w:tc>
        <w:tc>
          <w:tcPr>
            <w:tcW w:w="85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3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1"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5"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5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3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1"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5"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5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3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1"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5"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91" w:type="dxa"/>
            <w:vAlign w:val="center"/>
          </w:tcPr>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szCs w:val="21"/>
              </w:rPr>
              <w:t>备注</w:t>
            </w:r>
          </w:p>
        </w:tc>
        <w:tc>
          <w:tcPr>
            <w:tcW w:w="13279" w:type="dxa"/>
            <w:gridSpan w:val="15"/>
            <w:vAlign w:val="center"/>
          </w:tcPr>
          <w:p>
            <w:pPr>
              <w:adjustRightInd w:val="0"/>
              <w:snapToGrid w:val="0"/>
              <w:spacing w:line="240" w:lineRule="atLeast"/>
              <w:rPr>
                <w:rFonts w:eastAsiaTheme="minorEastAsia"/>
                <w:kern w:val="0"/>
                <w:szCs w:val="21"/>
              </w:rPr>
            </w:pPr>
            <w:r>
              <w:rPr>
                <w:rFonts w:eastAsiaTheme="minorEastAsia"/>
                <w:kern w:val="0"/>
                <w:szCs w:val="21"/>
              </w:rPr>
              <w:t>“ND”</w:t>
            </w:r>
            <w:r>
              <w:rPr>
                <w:rFonts w:hAnsiTheme="minorEastAsia" w:eastAsiaTheme="minorEastAsia"/>
                <w:kern w:val="0"/>
                <w:szCs w:val="21"/>
              </w:rPr>
              <w:t>表示未检出，检出限详见表</w:t>
            </w:r>
            <w:r>
              <w:rPr>
                <w:rFonts w:eastAsiaTheme="minorEastAsia"/>
                <w:kern w:val="0"/>
                <w:szCs w:val="21"/>
              </w:rPr>
              <w:t>3-1</w:t>
            </w:r>
            <w:r>
              <w:rPr>
                <w:rFonts w:hAnsiTheme="minorEastAsia" w:eastAsiaTheme="minorEastAsia"/>
                <w:kern w:val="0"/>
                <w:szCs w:val="21"/>
              </w:rPr>
              <w:t>。</w:t>
            </w:r>
          </w:p>
        </w:tc>
      </w:tr>
    </w:tbl>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3"/>
        <w:gridCol w:w="1398"/>
        <w:gridCol w:w="644"/>
        <w:gridCol w:w="780"/>
        <w:gridCol w:w="910"/>
        <w:gridCol w:w="849"/>
        <w:gridCol w:w="849"/>
        <w:gridCol w:w="849"/>
        <w:gridCol w:w="849"/>
        <w:gridCol w:w="869"/>
        <w:gridCol w:w="835"/>
        <w:gridCol w:w="897"/>
        <w:gridCol w:w="911"/>
        <w:gridCol w:w="849"/>
        <w:gridCol w:w="897"/>
        <w:gridCol w:w="9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64"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00"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点位</w:t>
            </w:r>
          </w:p>
        </w:tc>
        <w:tc>
          <w:tcPr>
            <w:tcW w:w="645"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4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40" w:lineRule="exact"/>
              <w:ind w:left="-105" w:leftChars="-50" w:right="-105" w:rightChars="-50"/>
              <w:jc w:val="center"/>
              <w:rPr>
                <w:rFonts w:eastAsiaTheme="minorEastAsia"/>
                <w:bCs/>
                <w:szCs w:val="21"/>
              </w:rPr>
            </w:pPr>
            <w:r>
              <w:rPr>
                <w:rFonts w:eastAsiaTheme="minorEastAsia"/>
                <w:bCs/>
                <w:szCs w:val="21"/>
              </w:rPr>
              <w:t>(m)</w:t>
            </w:r>
          </w:p>
        </w:tc>
        <w:tc>
          <w:tcPr>
            <w:tcW w:w="11261" w:type="dxa"/>
            <w:gridSpan w:val="13"/>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exact"/>
          <w:jc w:val="center"/>
        </w:trPr>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781"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铅</w:t>
            </w:r>
          </w:p>
          <w:p>
            <w:pPr>
              <w:widowControl/>
              <w:spacing w:line="240" w:lineRule="exact"/>
              <w:ind w:left="-105" w:leftChars="-50" w:right="-105" w:rightChars="-50"/>
              <w:jc w:val="center"/>
              <w:rPr>
                <w:rFonts w:eastAsiaTheme="minorEastAsia"/>
                <w:kern w:val="0"/>
                <w:szCs w:val="21"/>
              </w:rPr>
            </w:pPr>
            <w:r>
              <w:rPr>
                <w:rFonts w:eastAsiaTheme="minorEastAsia"/>
                <w:szCs w:val="21"/>
              </w:rPr>
              <w:t>(mg/kg)</w:t>
            </w:r>
          </w:p>
        </w:tc>
        <w:tc>
          <w:tcPr>
            <w:tcW w:w="910"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widowControl/>
              <w:spacing w:line="240" w:lineRule="exact"/>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6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钡</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3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锌</w:t>
            </w:r>
            <w:r>
              <w:rPr>
                <w:rFonts w:eastAsiaTheme="minorEastAsia"/>
                <w:szCs w:val="21"/>
              </w:rPr>
              <w:t xml:space="preserve"> </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9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11"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砷</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9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氰化物</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16" w:type="dxa"/>
            <w:vAlign w:val="center"/>
          </w:tcPr>
          <w:p>
            <w:pPr>
              <w:pStyle w:val="48"/>
              <w:ind w:firstLine="0" w:firstLineChars="0"/>
              <w:rPr>
                <w:rFonts w:eastAsiaTheme="minorEastAsia"/>
                <w:kern w:val="0"/>
                <w:szCs w:val="21"/>
              </w:rPr>
            </w:pPr>
            <w:r>
              <w:rPr>
                <w:rFonts w:hAnsiTheme="minorEastAsia" w:eastAsiaTheme="minorEastAsia"/>
                <w:kern w:val="0"/>
                <w:szCs w:val="21"/>
              </w:rPr>
              <w:t>氟化物</w:t>
            </w:r>
            <w:r>
              <w:rPr>
                <w:rFonts w:eastAsiaTheme="minorEastAsia"/>
                <w:kern w:val="0"/>
                <w:szCs w:val="21"/>
              </w:rPr>
              <w:t>(mg/kg)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64"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400"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8</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vertAlign w:val="superscript"/>
              </w:rPr>
            </w:pPr>
            <w:r>
              <w:rPr>
                <w:rFonts w:eastAsiaTheme="minorEastAsia"/>
                <w:szCs w:val="21"/>
              </w:rPr>
              <w:t>″</w:t>
            </w: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ind w:left="-105" w:leftChars="-50" w:right="-105" w:rightChars="-50"/>
              <w:jc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69" w:type="dxa"/>
            <w:vAlign w:val="center"/>
          </w:tcPr>
          <w:p>
            <w:pPr>
              <w:adjustRightInd w:val="0"/>
              <w:snapToGrid w:val="0"/>
              <w:spacing w:line="240" w:lineRule="atLeast"/>
              <w:ind w:left="-105" w:leftChars="-50" w:right="-105" w:rightChars="-50"/>
              <w:jc w:val="center"/>
              <w:rPr>
                <w:rFonts w:eastAsiaTheme="minorEastAsia"/>
                <w:szCs w:val="21"/>
              </w:rPr>
            </w:pPr>
          </w:p>
        </w:tc>
        <w:tc>
          <w:tcPr>
            <w:tcW w:w="83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97" w:type="dxa"/>
            <w:vAlign w:val="center"/>
          </w:tcPr>
          <w:p>
            <w:pPr>
              <w:adjustRightInd w:val="0"/>
              <w:snapToGrid w:val="0"/>
              <w:spacing w:line="240" w:lineRule="atLeast"/>
              <w:ind w:left="-105" w:leftChars="-50" w:right="-105" w:rightChars="-50"/>
              <w:jc w:val="center"/>
              <w:rPr>
                <w:rFonts w:eastAsiaTheme="minorEastAsia"/>
                <w:szCs w:val="21"/>
              </w:rPr>
            </w:pPr>
          </w:p>
        </w:tc>
        <w:tc>
          <w:tcPr>
            <w:tcW w:w="911"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ind w:left="-105" w:leftChars="-50" w:right="-105" w:rightChars="-50"/>
              <w:jc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69" w:type="dxa"/>
            <w:vAlign w:val="center"/>
          </w:tcPr>
          <w:p>
            <w:pPr>
              <w:adjustRightInd w:val="0"/>
              <w:snapToGrid w:val="0"/>
              <w:spacing w:line="240" w:lineRule="atLeast"/>
              <w:ind w:left="-105" w:leftChars="-50" w:right="-105" w:rightChars="-50"/>
              <w:jc w:val="center"/>
              <w:rPr>
                <w:rFonts w:eastAsiaTheme="minorEastAsia"/>
                <w:szCs w:val="21"/>
              </w:rPr>
            </w:pPr>
          </w:p>
        </w:tc>
        <w:tc>
          <w:tcPr>
            <w:tcW w:w="83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97" w:type="dxa"/>
            <w:vAlign w:val="center"/>
          </w:tcPr>
          <w:p>
            <w:pPr>
              <w:adjustRightInd w:val="0"/>
              <w:snapToGrid w:val="0"/>
              <w:spacing w:line="240" w:lineRule="atLeast"/>
              <w:ind w:left="-105" w:leftChars="-50" w:right="-105" w:rightChars="-50"/>
              <w:jc w:val="center"/>
              <w:rPr>
                <w:rFonts w:eastAsiaTheme="minorEastAsia"/>
                <w:szCs w:val="21"/>
              </w:rPr>
            </w:pPr>
          </w:p>
        </w:tc>
        <w:tc>
          <w:tcPr>
            <w:tcW w:w="911"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ind w:left="-105" w:leftChars="-50" w:right="-105" w:rightChars="-50"/>
              <w:jc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69" w:type="dxa"/>
            <w:vAlign w:val="center"/>
          </w:tcPr>
          <w:p>
            <w:pPr>
              <w:adjustRightInd w:val="0"/>
              <w:snapToGrid w:val="0"/>
              <w:spacing w:line="240" w:lineRule="atLeast"/>
              <w:ind w:left="-105" w:leftChars="-50" w:right="-105" w:rightChars="-50"/>
              <w:jc w:val="center"/>
              <w:rPr>
                <w:rFonts w:eastAsiaTheme="minorEastAsia"/>
                <w:szCs w:val="21"/>
              </w:rPr>
            </w:pPr>
          </w:p>
        </w:tc>
        <w:tc>
          <w:tcPr>
            <w:tcW w:w="83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97" w:type="dxa"/>
            <w:vAlign w:val="center"/>
          </w:tcPr>
          <w:p>
            <w:pPr>
              <w:adjustRightInd w:val="0"/>
              <w:snapToGrid w:val="0"/>
              <w:spacing w:line="240" w:lineRule="atLeast"/>
              <w:ind w:left="-105" w:leftChars="-50" w:right="-105" w:rightChars="-50"/>
              <w:jc w:val="center"/>
              <w:rPr>
                <w:rFonts w:eastAsiaTheme="minorEastAsia"/>
                <w:szCs w:val="21"/>
              </w:rPr>
            </w:pPr>
          </w:p>
        </w:tc>
        <w:tc>
          <w:tcPr>
            <w:tcW w:w="911"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4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40" w:lineRule="exact"/>
              <w:ind w:left="-105" w:leftChars="-50" w:right="-105" w:rightChars="-50"/>
              <w:jc w:val="center"/>
              <w:rPr>
                <w:rFonts w:eastAsiaTheme="minorEastAsia"/>
                <w:bCs/>
                <w:szCs w:val="21"/>
              </w:rPr>
            </w:pPr>
            <w:r>
              <w:rPr>
                <w:rFonts w:eastAsiaTheme="minorEastAsia"/>
                <w:bCs/>
                <w:szCs w:val="21"/>
              </w:rPr>
              <w:t>(m)</w:t>
            </w:r>
          </w:p>
        </w:tc>
        <w:tc>
          <w:tcPr>
            <w:tcW w:w="11261" w:type="dxa"/>
            <w:gridSpan w:val="13"/>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300" w:type="dxa"/>
            <w:vMerge w:val="continue"/>
            <w:vAlign w:val="center"/>
          </w:tcPr>
          <w:p>
            <w:pPr>
              <w:widowControl/>
              <w:jc w:val="left"/>
              <w:rPr>
                <w:rFonts w:eastAsiaTheme="minorEastAsia"/>
                <w:bCs/>
                <w:szCs w:val="21"/>
              </w:rPr>
            </w:pPr>
          </w:p>
        </w:tc>
        <w:tc>
          <w:tcPr>
            <w:tcW w:w="781" w:type="dxa"/>
            <w:vAlign w:val="center"/>
          </w:tcPr>
          <w:p>
            <w:pPr>
              <w:spacing w:line="240" w:lineRule="exact"/>
              <w:ind w:left="-105" w:leftChars="-50" w:right="-105" w:rightChars="-50"/>
              <w:jc w:val="center"/>
              <w:rPr>
                <w:rFonts w:eastAsiaTheme="minorEastAsia"/>
                <w:szCs w:val="21"/>
              </w:rPr>
            </w:pPr>
            <w:r>
              <w:rPr>
                <w:rFonts w:eastAsiaTheme="minorEastAsia"/>
                <w:szCs w:val="21"/>
              </w:rPr>
              <w:t>pH</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w:t>
            </w:r>
            <w:r>
              <w:rPr>
                <w:rFonts w:hAnsiTheme="minorEastAsia" w:eastAsiaTheme="minorEastAsia"/>
                <w:szCs w:val="21"/>
              </w:rPr>
              <w:t>无量纲</w:t>
            </w:r>
            <w:r>
              <w:rPr>
                <w:rFonts w:eastAsiaTheme="minorEastAsia"/>
                <w:szCs w:val="21"/>
              </w:rPr>
              <w:t>)</w:t>
            </w:r>
          </w:p>
        </w:tc>
        <w:tc>
          <w:tcPr>
            <w:tcW w:w="910"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硝基苯</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苯胺</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氯甲烷</w:t>
            </w:r>
          </w:p>
        </w:tc>
        <w:tc>
          <w:tcPr>
            <w:tcW w:w="849" w:type="dxa"/>
            <w:vAlign w:val="center"/>
          </w:tcPr>
          <w:p>
            <w:pPr>
              <w:widowControl/>
              <w:spacing w:line="240" w:lineRule="exact"/>
              <w:ind w:left="-105" w:leftChars="-50" w:right="-105" w:rightChars="-50"/>
              <w:jc w:val="center"/>
              <w:rPr>
                <w:rFonts w:eastAsiaTheme="minorEastAsia"/>
                <w:kern w:val="0"/>
                <w:szCs w:val="21"/>
              </w:rPr>
            </w:pPr>
            <w:r>
              <w:rPr>
                <w:rFonts w:hAnsiTheme="minorEastAsia" w:eastAsiaTheme="minorEastAsia"/>
                <w:szCs w:val="21"/>
              </w:rPr>
              <w:t>氯乙烯</w:t>
            </w:r>
          </w:p>
        </w:tc>
        <w:tc>
          <w:tcPr>
            <w:tcW w:w="869"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83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甲烷</w:t>
            </w:r>
          </w:p>
        </w:tc>
        <w:tc>
          <w:tcPr>
            <w:tcW w:w="89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氯乙烯</w:t>
            </w:r>
          </w:p>
        </w:tc>
        <w:tc>
          <w:tcPr>
            <w:tcW w:w="911"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乙烷</w:t>
            </w:r>
          </w:p>
        </w:tc>
        <w:tc>
          <w:tcPr>
            <w:tcW w:w="84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二氯乙烯</w:t>
            </w:r>
          </w:p>
        </w:tc>
        <w:tc>
          <w:tcPr>
            <w:tcW w:w="897"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氯仿</w:t>
            </w:r>
          </w:p>
        </w:tc>
        <w:tc>
          <w:tcPr>
            <w:tcW w:w="916" w:type="dxa"/>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81" w:type="dxa"/>
            <w:vAlign w:val="center"/>
          </w:tcPr>
          <w:p>
            <w:pPr>
              <w:adjustRightInd w:val="0"/>
              <w:snapToGrid w:val="0"/>
              <w:spacing w:line="240" w:lineRule="atLeast"/>
              <w:ind w:left="-105" w:leftChars="-50" w:right="-105" w:rightChars="-50"/>
              <w:jc w:val="center"/>
              <w:rPr>
                <w:rFonts w:eastAsiaTheme="minorEastAsia"/>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widowControl/>
              <w:ind w:left="-105" w:leftChars="-50" w:right="-105" w:rightChars="-50"/>
              <w:jc w:val="center"/>
              <w:rPr>
                <w:rFonts w:eastAsiaTheme="minorEastAsia"/>
                <w:kern w:val="0"/>
                <w:sz w:val="24"/>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69" w:type="dxa"/>
            <w:vAlign w:val="center"/>
          </w:tcPr>
          <w:p>
            <w:pPr>
              <w:adjustRightInd w:val="0"/>
              <w:snapToGrid w:val="0"/>
              <w:spacing w:line="240" w:lineRule="atLeast"/>
              <w:ind w:left="-105" w:leftChars="-50" w:right="-105" w:rightChars="-50"/>
              <w:jc w:val="center"/>
              <w:rPr>
                <w:rFonts w:eastAsiaTheme="minorEastAsia"/>
              </w:rPr>
            </w:pP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81" w:type="dxa"/>
            <w:vAlign w:val="center"/>
          </w:tcPr>
          <w:p>
            <w:pPr>
              <w:adjustRightInd w:val="0"/>
              <w:snapToGrid w:val="0"/>
              <w:spacing w:line="240" w:lineRule="atLeast"/>
              <w:ind w:left="-105" w:leftChars="-50" w:right="-105" w:rightChars="-50"/>
              <w:jc w:val="center"/>
              <w:rPr>
                <w:rFonts w:eastAsiaTheme="minorEastAsia"/>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69" w:type="dxa"/>
            <w:vAlign w:val="center"/>
          </w:tcPr>
          <w:p>
            <w:pPr>
              <w:adjustRightInd w:val="0"/>
              <w:snapToGrid w:val="0"/>
              <w:spacing w:line="240" w:lineRule="atLeast"/>
              <w:ind w:left="-105" w:leftChars="-50" w:right="-105" w:rightChars="-50"/>
              <w:jc w:val="center"/>
              <w:rPr>
                <w:rFonts w:eastAsiaTheme="minorEastAsia"/>
              </w:rPr>
            </w:pP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81" w:type="dxa"/>
            <w:vAlign w:val="center"/>
          </w:tcPr>
          <w:p>
            <w:pPr>
              <w:adjustRightInd w:val="0"/>
              <w:snapToGrid w:val="0"/>
              <w:spacing w:line="240" w:lineRule="atLeast"/>
              <w:ind w:left="-105" w:leftChars="-50" w:right="-105" w:rightChars="-50"/>
              <w:jc w:val="center"/>
              <w:rPr>
                <w:rFonts w:eastAsiaTheme="minorEastAsia"/>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69" w:type="dxa"/>
            <w:vAlign w:val="center"/>
          </w:tcPr>
          <w:p>
            <w:pPr>
              <w:adjustRightInd w:val="0"/>
              <w:snapToGrid w:val="0"/>
              <w:spacing w:line="240" w:lineRule="atLeast"/>
              <w:ind w:left="-105" w:leftChars="-50" w:right="-105" w:rightChars="-50"/>
              <w:jc w:val="center"/>
              <w:rPr>
                <w:rFonts w:eastAsiaTheme="minorEastAsia"/>
              </w:rPr>
            </w:pP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91" w:hRule="atLeast"/>
          <w:jc w:val="center"/>
        </w:trPr>
        <w:tc>
          <w:tcPr>
            <w:tcW w:w="664"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备注</w:t>
            </w:r>
          </w:p>
        </w:tc>
        <w:tc>
          <w:tcPr>
            <w:tcW w:w="13306" w:type="dxa"/>
            <w:gridSpan w:val="15"/>
            <w:vAlign w:val="center"/>
          </w:tcPr>
          <w:p>
            <w:pPr>
              <w:adjustRightInd w:val="0"/>
              <w:snapToGrid w:val="0"/>
              <w:spacing w:line="240" w:lineRule="atLeast"/>
              <w:rPr>
                <w:rFonts w:eastAsiaTheme="minorEastAsia"/>
                <w:szCs w:val="21"/>
              </w:rPr>
            </w:pPr>
          </w:p>
        </w:tc>
      </w:tr>
    </w:tbl>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1398"/>
        <w:gridCol w:w="723"/>
        <w:gridCol w:w="725"/>
        <w:gridCol w:w="936"/>
        <w:gridCol w:w="911"/>
        <w:gridCol w:w="782"/>
        <w:gridCol w:w="757"/>
        <w:gridCol w:w="810"/>
        <w:gridCol w:w="855"/>
        <w:gridCol w:w="838"/>
        <w:gridCol w:w="810"/>
        <w:gridCol w:w="810"/>
        <w:gridCol w:w="894"/>
        <w:gridCol w:w="1031"/>
        <w:gridCol w:w="9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00"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点位</w:t>
            </w:r>
          </w:p>
        </w:tc>
        <w:tc>
          <w:tcPr>
            <w:tcW w:w="724"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1155" w:type="dxa"/>
            <w:gridSpan w:val="13"/>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0" w:hRule="atLeast"/>
          <w:jc w:val="center"/>
        </w:trPr>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726"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化碳</w:t>
            </w:r>
          </w:p>
        </w:tc>
        <w:tc>
          <w:tcPr>
            <w:tcW w:w="936"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w:t>
            </w:r>
          </w:p>
        </w:tc>
        <w:tc>
          <w:tcPr>
            <w:tcW w:w="911" w:type="dxa"/>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782" w:type="dxa"/>
            <w:vAlign w:val="center"/>
          </w:tcPr>
          <w:p>
            <w:pPr>
              <w:ind w:left="-105" w:leftChars="-50" w:right="-105" w:rightChars="-50"/>
              <w:jc w:val="center"/>
              <w:rPr>
                <w:rFonts w:eastAsiaTheme="minorEastAsia"/>
                <w:szCs w:val="21"/>
              </w:rPr>
            </w:pPr>
            <w:r>
              <w:rPr>
                <w:rFonts w:hAnsiTheme="minorEastAsia" w:eastAsiaTheme="minorEastAsia"/>
                <w:szCs w:val="21"/>
              </w:rPr>
              <w:t>三氯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757" w:type="dxa"/>
            <w:vAlign w:val="center"/>
          </w:tcPr>
          <w:p>
            <w:pPr>
              <w:adjustRightInd w:val="0"/>
              <w:snapToGrid w:val="0"/>
              <w:spacing w:line="240" w:lineRule="atLeast"/>
              <w:ind w:left="-105" w:leftChars="-50" w:right="-105" w:rightChars="-50"/>
              <w:jc w:val="center"/>
              <w:rPr>
                <w:rFonts w:eastAsiaTheme="minorEastAsia"/>
                <w:kern w:val="0"/>
                <w:szCs w:val="21"/>
              </w:rPr>
            </w:pPr>
            <w:r>
              <w:rPr>
                <w:rFonts w:eastAsiaTheme="minorEastAsia"/>
                <w:szCs w:val="21"/>
              </w:rPr>
              <w:t>1,2-</w:t>
            </w:r>
            <w:r>
              <w:rPr>
                <w:rFonts w:hAnsiTheme="minorEastAsia" w:eastAsiaTheme="minorEastAsia"/>
                <w:szCs w:val="21"/>
              </w:rPr>
              <w:t>二氯丙烷</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c>
          <w:tcPr>
            <w:tcW w:w="855"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838"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氯苯</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乙苯</w:t>
            </w:r>
          </w:p>
        </w:tc>
        <w:tc>
          <w:tcPr>
            <w:tcW w:w="894"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1031"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995" w:type="dxa"/>
            <w:vAlign w:val="center"/>
          </w:tcPr>
          <w:p>
            <w:pPr>
              <w:ind w:left="-105" w:leftChars="-50" w:right="-105" w:rightChars="-50"/>
              <w:jc w:val="center"/>
              <w:rPr>
                <w:rFonts w:eastAsiaTheme="minorEastAsia"/>
                <w:szCs w:val="21"/>
              </w:rPr>
            </w:pPr>
            <w:r>
              <w:rPr>
                <w:rFonts w:hAnsiTheme="minorEastAsia" w:eastAsiaTheme="minorEastAsia"/>
                <w:szCs w:val="21"/>
              </w:rPr>
              <w:t>邻二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400"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8</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vertAlign w:val="superscript"/>
              </w:rPr>
            </w:pPr>
            <w:r>
              <w:rPr>
                <w:rFonts w:eastAsiaTheme="minorEastAsia"/>
                <w:szCs w:val="21"/>
              </w:rPr>
              <w:t>″</w:t>
            </w: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55" w:type="dxa"/>
            <w:vAlign w:val="center"/>
          </w:tcPr>
          <w:p>
            <w:pPr>
              <w:adjustRightInd w:val="0"/>
              <w:snapToGrid w:val="0"/>
              <w:spacing w:line="240" w:lineRule="atLeast"/>
              <w:ind w:left="-105" w:leftChars="-50" w:right="-105" w:rightChars="-50"/>
              <w:jc w:val="center"/>
              <w:rPr>
                <w:rFonts w:eastAsiaTheme="minorEastAsia"/>
              </w:rPr>
            </w:pPr>
          </w:p>
        </w:tc>
        <w:tc>
          <w:tcPr>
            <w:tcW w:w="838"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31" w:type="dxa"/>
            <w:vAlign w:val="center"/>
          </w:tcPr>
          <w:p>
            <w:pPr>
              <w:adjustRightInd w:val="0"/>
              <w:snapToGrid w:val="0"/>
              <w:spacing w:line="240" w:lineRule="atLeast"/>
              <w:ind w:left="-105" w:leftChars="-50" w:right="-105" w:rightChars="-50"/>
              <w:jc w:val="center"/>
              <w:rPr>
                <w:rFonts w:eastAsiaTheme="minorEastAsia"/>
              </w:rPr>
            </w:pPr>
          </w:p>
        </w:tc>
        <w:tc>
          <w:tcPr>
            <w:tcW w:w="995" w:type="dxa"/>
            <w:vAlign w:val="center"/>
          </w:tcPr>
          <w:p>
            <w:pPr>
              <w:widowControl/>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55" w:type="dxa"/>
            <w:vAlign w:val="center"/>
          </w:tcPr>
          <w:p>
            <w:pPr>
              <w:adjustRightInd w:val="0"/>
              <w:snapToGrid w:val="0"/>
              <w:spacing w:line="240" w:lineRule="atLeast"/>
              <w:ind w:left="-105" w:leftChars="-50" w:right="-105" w:rightChars="-50"/>
              <w:jc w:val="center"/>
              <w:rPr>
                <w:rFonts w:eastAsiaTheme="minorEastAsia"/>
              </w:rPr>
            </w:pPr>
          </w:p>
        </w:tc>
        <w:tc>
          <w:tcPr>
            <w:tcW w:w="838"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31" w:type="dxa"/>
            <w:vAlign w:val="center"/>
          </w:tcPr>
          <w:p>
            <w:pPr>
              <w:adjustRightInd w:val="0"/>
              <w:snapToGrid w:val="0"/>
              <w:spacing w:line="240" w:lineRule="atLeast"/>
              <w:ind w:left="-105" w:leftChars="-50" w:right="-105" w:rightChars="-50"/>
              <w:jc w:val="center"/>
              <w:rPr>
                <w:rFonts w:eastAsiaTheme="minorEastAsia"/>
              </w:rPr>
            </w:pPr>
          </w:p>
        </w:tc>
        <w:tc>
          <w:tcPr>
            <w:tcW w:w="995"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55" w:type="dxa"/>
            <w:vAlign w:val="center"/>
          </w:tcPr>
          <w:p>
            <w:pPr>
              <w:adjustRightInd w:val="0"/>
              <w:snapToGrid w:val="0"/>
              <w:spacing w:line="240" w:lineRule="atLeast"/>
              <w:ind w:left="-105" w:leftChars="-50" w:right="-105" w:rightChars="-50"/>
              <w:jc w:val="center"/>
              <w:rPr>
                <w:rFonts w:eastAsiaTheme="minorEastAsia"/>
              </w:rPr>
            </w:pPr>
          </w:p>
        </w:tc>
        <w:tc>
          <w:tcPr>
            <w:tcW w:w="838"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31" w:type="dxa"/>
            <w:vAlign w:val="center"/>
          </w:tcPr>
          <w:p>
            <w:pPr>
              <w:adjustRightInd w:val="0"/>
              <w:snapToGrid w:val="0"/>
              <w:spacing w:line="240" w:lineRule="atLeast"/>
              <w:ind w:left="-105" w:leftChars="-50" w:right="-105" w:rightChars="-50"/>
              <w:jc w:val="center"/>
              <w:rPr>
                <w:rFonts w:eastAsiaTheme="minorEastAsia"/>
              </w:rPr>
            </w:pPr>
          </w:p>
        </w:tc>
        <w:tc>
          <w:tcPr>
            <w:tcW w:w="995"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1155" w:type="dxa"/>
            <w:gridSpan w:val="13"/>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4"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300" w:type="dxa"/>
            <w:vMerge w:val="continue"/>
            <w:vAlign w:val="center"/>
          </w:tcPr>
          <w:p>
            <w:pPr>
              <w:widowControl/>
              <w:jc w:val="left"/>
              <w:rPr>
                <w:rFonts w:eastAsiaTheme="minorEastAsia"/>
                <w:bCs/>
                <w:szCs w:val="21"/>
              </w:rPr>
            </w:pPr>
          </w:p>
        </w:tc>
        <w:tc>
          <w:tcPr>
            <w:tcW w:w="726"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苯乙烯</w:t>
            </w:r>
          </w:p>
        </w:tc>
        <w:tc>
          <w:tcPr>
            <w:tcW w:w="936"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1,1,2,2-</w:t>
            </w:r>
            <w:r>
              <w:rPr>
                <w:rFonts w:hAnsiTheme="minorEastAsia" w:eastAsiaTheme="minorEastAsia"/>
                <w:szCs w:val="21"/>
              </w:rPr>
              <w:t>四氯乙烷</w:t>
            </w:r>
          </w:p>
        </w:tc>
        <w:tc>
          <w:tcPr>
            <w:tcW w:w="911"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1,2,3-</w:t>
            </w:r>
            <w:r>
              <w:rPr>
                <w:rFonts w:hAnsiTheme="minorEastAsia" w:eastAsiaTheme="minorEastAsia"/>
                <w:szCs w:val="21"/>
              </w:rPr>
              <w:t>三氯丙烷</w:t>
            </w:r>
          </w:p>
        </w:tc>
        <w:tc>
          <w:tcPr>
            <w:tcW w:w="782" w:type="dxa"/>
            <w:vAlign w:val="center"/>
          </w:tcPr>
          <w:p>
            <w:pPr>
              <w:ind w:left="-105" w:leftChars="-50" w:right="-105" w:rightChars="-50"/>
              <w:jc w:val="center"/>
              <w:rPr>
                <w:rFonts w:eastAsiaTheme="minorEastAsia"/>
                <w:szCs w:val="21"/>
              </w:rPr>
            </w:pPr>
            <w:r>
              <w:rPr>
                <w:rFonts w:eastAsiaTheme="minorEastAsia"/>
                <w:szCs w:val="21"/>
              </w:rPr>
              <w:t>1,4-</w:t>
            </w:r>
          </w:p>
          <w:p>
            <w:pPr>
              <w:adjustRightInd w:val="0"/>
              <w:snapToGrid w:val="0"/>
              <w:spacing w:line="240" w:lineRule="atLeast"/>
              <w:ind w:left="-105" w:leftChars="-50" w:right="-105" w:rightChars="-50"/>
              <w:jc w:val="center"/>
              <w:rPr>
                <w:rFonts w:eastAsiaTheme="minorEastAsia"/>
                <w:kern w:val="0"/>
                <w:szCs w:val="21"/>
              </w:rPr>
            </w:pPr>
            <w:r>
              <w:rPr>
                <w:rFonts w:hAnsiTheme="minorEastAsia" w:eastAsiaTheme="minorEastAsia"/>
                <w:szCs w:val="21"/>
              </w:rPr>
              <w:t>二氯苯</w:t>
            </w:r>
          </w:p>
        </w:tc>
        <w:tc>
          <w:tcPr>
            <w:tcW w:w="757" w:type="dxa"/>
            <w:vAlign w:val="center"/>
          </w:tcPr>
          <w:p>
            <w:pPr>
              <w:ind w:left="-105" w:leftChars="-50" w:right="-105" w:rightChars="-50"/>
              <w:jc w:val="center"/>
              <w:rPr>
                <w:rFonts w:eastAsiaTheme="minorEastAsia"/>
                <w:szCs w:val="21"/>
              </w:rPr>
            </w:pPr>
            <w:r>
              <w:rPr>
                <w:rFonts w:eastAsiaTheme="minorEastAsia"/>
                <w:szCs w:val="21"/>
              </w:rPr>
              <w:t>1,2-</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二氯苯</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萘</w:t>
            </w:r>
          </w:p>
        </w:tc>
        <w:tc>
          <w:tcPr>
            <w:tcW w:w="855"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蒽</w:t>
            </w:r>
          </w:p>
        </w:tc>
        <w:tc>
          <w:tcPr>
            <w:tcW w:w="838"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䓛</w:t>
            </w:r>
          </w:p>
        </w:tc>
        <w:tc>
          <w:tcPr>
            <w:tcW w:w="81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81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894"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芘</w:t>
            </w:r>
          </w:p>
        </w:tc>
        <w:tc>
          <w:tcPr>
            <w:tcW w:w="1031"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二苯并</w:t>
            </w:r>
            <w:r>
              <w:rPr>
                <w:rFonts w:eastAsiaTheme="minorEastAsia"/>
                <w:szCs w:val="21"/>
              </w:rPr>
              <w:t>[a,h]</w:t>
            </w:r>
            <w:r>
              <w:rPr>
                <w:rFonts w:hAnsiTheme="minorEastAsia" w:eastAsiaTheme="minorEastAsia"/>
                <w:szCs w:val="21"/>
              </w:rPr>
              <w:t>蒽</w:t>
            </w:r>
          </w:p>
        </w:tc>
        <w:tc>
          <w:tcPr>
            <w:tcW w:w="995"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widowControl/>
              <w:ind w:left="-105" w:leftChars="-50" w:right="-105" w:rightChars="-50"/>
              <w:jc w:val="center"/>
              <w:rPr>
                <w:rFonts w:eastAsiaTheme="minorEastAsia"/>
                <w:kern w:val="0"/>
                <w:sz w:val="22"/>
                <w:szCs w:val="22"/>
              </w:rPr>
            </w:pPr>
          </w:p>
        </w:tc>
        <w:tc>
          <w:tcPr>
            <w:tcW w:w="85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3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1"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5"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5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3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1"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5"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5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3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1"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5"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91" w:type="dxa"/>
            <w:vAlign w:val="center"/>
          </w:tcPr>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szCs w:val="21"/>
              </w:rPr>
              <w:t>备注</w:t>
            </w:r>
          </w:p>
        </w:tc>
        <w:tc>
          <w:tcPr>
            <w:tcW w:w="13279" w:type="dxa"/>
            <w:gridSpan w:val="15"/>
            <w:vAlign w:val="center"/>
          </w:tcPr>
          <w:p>
            <w:pPr>
              <w:adjustRightInd w:val="0"/>
              <w:snapToGrid w:val="0"/>
              <w:spacing w:line="240" w:lineRule="atLeast"/>
              <w:rPr>
                <w:rFonts w:eastAsiaTheme="minorEastAsia"/>
                <w:kern w:val="0"/>
                <w:szCs w:val="21"/>
              </w:rPr>
            </w:pPr>
            <w:r>
              <w:rPr>
                <w:rFonts w:eastAsiaTheme="minorEastAsia"/>
                <w:kern w:val="0"/>
                <w:szCs w:val="21"/>
              </w:rPr>
              <w:t>“ND”</w:t>
            </w:r>
            <w:r>
              <w:rPr>
                <w:rFonts w:hAnsiTheme="minorEastAsia" w:eastAsiaTheme="minorEastAsia"/>
                <w:kern w:val="0"/>
                <w:szCs w:val="21"/>
              </w:rPr>
              <w:t>表示未检出，检出限详见表</w:t>
            </w:r>
            <w:r>
              <w:rPr>
                <w:rFonts w:eastAsiaTheme="minorEastAsia"/>
                <w:kern w:val="0"/>
                <w:szCs w:val="21"/>
              </w:rPr>
              <w:t>3-1</w:t>
            </w:r>
            <w:r>
              <w:rPr>
                <w:rFonts w:hAnsiTheme="minorEastAsia" w:eastAsiaTheme="minorEastAsia"/>
                <w:kern w:val="0"/>
                <w:szCs w:val="21"/>
              </w:rPr>
              <w:t>。</w:t>
            </w:r>
          </w:p>
        </w:tc>
      </w:tr>
    </w:tbl>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3"/>
        <w:gridCol w:w="1398"/>
        <w:gridCol w:w="644"/>
        <w:gridCol w:w="780"/>
        <w:gridCol w:w="910"/>
        <w:gridCol w:w="849"/>
        <w:gridCol w:w="849"/>
        <w:gridCol w:w="849"/>
        <w:gridCol w:w="849"/>
        <w:gridCol w:w="869"/>
        <w:gridCol w:w="835"/>
        <w:gridCol w:w="897"/>
        <w:gridCol w:w="911"/>
        <w:gridCol w:w="849"/>
        <w:gridCol w:w="897"/>
        <w:gridCol w:w="9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80" w:hRule="exact"/>
          <w:jc w:val="center"/>
        </w:trPr>
        <w:tc>
          <w:tcPr>
            <w:tcW w:w="664"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00"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点位</w:t>
            </w:r>
          </w:p>
        </w:tc>
        <w:tc>
          <w:tcPr>
            <w:tcW w:w="645"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4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40" w:lineRule="exact"/>
              <w:ind w:left="-105" w:leftChars="-50" w:right="-105" w:rightChars="-50"/>
              <w:jc w:val="center"/>
              <w:rPr>
                <w:rFonts w:eastAsiaTheme="minorEastAsia"/>
                <w:bCs/>
                <w:szCs w:val="21"/>
              </w:rPr>
            </w:pPr>
            <w:r>
              <w:rPr>
                <w:rFonts w:eastAsiaTheme="minorEastAsia"/>
                <w:bCs/>
                <w:szCs w:val="21"/>
              </w:rPr>
              <w:t>(m)</w:t>
            </w:r>
          </w:p>
        </w:tc>
        <w:tc>
          <w:tcPr>
            <w:tcW w:w="11261" w:type="dxa"/>
            <w:gridSpan w:val="13"/>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exact"/>
          <w:jc w:val="center"/>
        </w:trPr>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781"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铅</w:t>
            </w:r>
          </w:p>
          <w:p>
            <w:pPr>
              <w:widowControl/>
              <w:spacing w:line="240" w:lineRule="exact"/>
              <w:ind w:left="-105" w:leftChars="-50" w:right="-105" w:rightChars="-50"/>
              <w:jc w:val="center"/>
              <w:rPr>
                <w:rFonts w:eastAsiaTheme="minorEastAsia"/>
                <w:kern w:val="0"/>
                <w:szCs w:val="21"/>
              </w:rPr>
            </w:pPr>
            <w:r>
              <w:rPr>
                <w:rFonts w:eastAsiaTheme="minorEastAsia"/>
                <w:szCs w:val="21"/>
              </w:rPr>
              <w:t>(mg/kg)</w:t>
            </w:r>
          </w:p>
        </w:tc>
        <w:tc>
          <w:tcPr>
            <w:tcW w:w="910"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widowControl/>
              <w:spacing w:line="240" w:lineRule="exact"/>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6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钡</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3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锌</w:t>
            </w:r>
            <w:r>
              <w:rPr>
                <w:rFonts w:eastAsiaTheme="minorEastAsia"/>
                <w:szCs w:val="21"/>
              </w:rPr>
              <w:t xml:space="preserve"> </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9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11"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砷</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9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氰化物</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16" w:type="dxa"/>
            <w:vAlign w:val="center"/>
          </w:tcPr>
          <w:p>
            <w:pPr>
              <w:pStyle w:val="48"/>
              <w:ind w:firstLine="0" w:firstLineChars="0"/>
              <w:rPr>
                <w:rFonts w:eastAsiaTheme="minorEastAsia"/>
                <w:kern w:val="0"/>
                <w:szCs w:val="21"/>
              </w:rPr>
            </w:pPr>
            <w:r>
              <w:rPr>
                <w:rFonts w:hAnsiTheme="minorEastAsia" w:eastAsiaTheme="minorEastAsia"/>
                <w:kern w:val="0"/>
                <w:szCs w:val="21"/>
              </w:rPr>
              <w:t>氟化物</w:t>
            </w:r>
            <w:r>
              <w:rPr>
                <w:rFonts w:eastAsiaTheme="minorEastAsia"/>
                <w:kern w:val="0"/>
                <w:szCs w:val="21"/>
              </w:rPr>
              <w:t>(mg/kg)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64"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400"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9</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ind w:left="-105" w:leftChars="-50" w:right="-105" w:rightChars="-50"/>
              <w:jc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69" w:type="dxa"/>
            <w:vAlign w:val="center"/>
          </w:tcPr>
          <w:p>
            <w:pPr>
              <w:adjustRightInd w:val="0"/>
              <w:snapToGrid w:val="0"/>
              <w:spacing w:line="240" w:lineRule="atLeast"/>
              <w:ind w:left="-105" w:leftChars="-50" w:right="-105" w:rightChars="-50"/>
              <w:jc w:val="center"/>
              <w:rPr>
                <w:rFonts w:eastAsiaTheme="minorEastAsia"/>
                <w:szCs w:val="21"/>
              </w:rPr>
            </w:pPr>
          </w:p>
        </w:tc>
        <w:tc>
          <w:tcPr>
            <w:tcW w:w="83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97" w:type="dxa"/>
            <w:vAlign w:val="center"/>
          </w:tcPr>
          <w:p>
            <w:pPr>
              <w:adjustRightInd w:val="0"/>
              <w:snapToGrid w:val="0"/>
              <w:spacing w:line="240" w:lineRule="atLeast"/>
              <w:ind w:left="-105" w:leftChars="-50" w:right="-105" w:rightChars="-50"/>
              <w:jc w:val="center"/>
              <w:rPr>
                <w:rFonts w:eastAsiaTheme="minorEastAsia"/>
                <w:szCs w:val="21"/>
              </w:rPr>
            </w:pPr>
          </w:p>
        </w:tc>
        <w:tc>
          <w:tcPr>
            <w:tcW w:w="911"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ind w:left="-105" w:leftChars="-50" w:right="-105" w:rightChars="-50"/>
              <w:jc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69" w:type="dxa"/>
            <w:vAlign w:val="center"/>
          </w:tcPr>
          <w:p>
            <w:pPr>
              <w:adjustRightInd w:val="0"/>
              <w:snapToGrid w:val="0"/>
              <w:spacing w:line="240" w:lineRule="atLeast"/>
              <w:ind w:left="-105" w:leftChars="-50" w:right="-105" w:rightChars="-50"/>
              <w:jc w:val="center"/>
              <w:rPr>
                <w:rFonts w:eastAsiaTheme="minorEastAsia"/>
                <w:szCs w:val="21"/>
              </w:rPr>
            </w:pPr>
          </w:p>
        </w:tc>
        <w:tc>
          <w:tcPr>
            <w:tcW w:w="83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97" w:type="dxa"/>
            <w:vAlign w:val="center"/>
          </w:tcPr>
          <w:p>
            <w:pPr>
              <w:adjustRightInd w:val="0"/>
              <w:snapToGrid w:val="0"/>
              <w:spacing w:line="240" w:lineRule="atLeast"/>
              <w:ind w:left="-105" w:leftChars="-50" w:right="-105" w:rightChars="-50"/>
              <w:jc w:val="center"/>
              <w:rPr>
                <w:rFonts w:eastAsiaTheme="minorEastAsia"/>
                <w:szCs w:val="21"/>
              </w:rPr>
            </w:pPr>
          </w:p>
        </w:tc>
        <w:tc>
          <w:tcPr>
            <w:tcW w:w="911"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widowControl/>
              <w:ind w:left="-105" w:leftChars="-50" w:right="-105" w:rightChars="-50"/>
              <w:jc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69" w:type="dxa"/>
            <w:vAlign w:val="center"/>
          </w:tcPr>
          <w:p>
            <w:pPr>
              <w:adjustRightInd w:val="0"/>
              <w:snapToGrid w:val="0"/>
              <w:spacing w:line="240" w:lineRule="atLeast"/>
              <w:ind w:left="-105" w:leftChars="-50" w:right="-105" w:rightChars="-50"/>
              <w:jc w:val="center"/>
              <w:rPr>
                <w:rFonts w:eastAsiaTheme="minorEastAsia"/>
                <w:szCs w:val="21"/>
              </w:rPr>
            </w:pPr>
          </w:p>
        </w:tc>
        <w:tc>
          <w:tcPr>
            <w:tcW w:w="83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97" w:type="dxa"/>
            <w:vAlign w:val="center"/>
          </w:tcPr>
          <w:p>
            <w:pPr>
              <w:adjustRightInd w:val="0"/>
              <w:snapToGrid w:val="0"/>
              <w:spacing w:line="240" w:lineRule="atLeast"/>
              <w:ind w:left="-105" w:leftChars="-50" w:right="-105" w:rightChars="-50"/>
              <w:jc w:val="center"/>
              <w:rPr>
                <w:rFonts w:eastAsiaTheme="minorEastAsia"/>
                <w:szCs w:val="21"/>
              </w:rPr>
            </w:pPr>
          </w:p>
        </w:tc>
        <w:tc>
          <w:tcPr>
            <w:tcW w:w="911"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49" w:type="dxa"/>
            <w:vAlign w:val="center"/>
          </w:tcPr>
          <w:p>
            <w:pPr>
              <w:adjustRightInd w:val="0"/>
              <w:snapToGrid w:val="0"/>
              <w:spacing w:line="240" w:lineRule="atLeast"/>
              <w:ind w:left="-105" w:leftChars="-50" w:right="-105" w:rightChars="-50"/>
              <w:jc w:val="center"/>
              <w:rPr>
                <w:rFonts w:eastAsiaTheme="minorEastAsia"/>
                <w:szCs w:val="21"/>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4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40" w:lineRule="exact"/>
              <w:ind w:left="-105" w:leftChars="-50" w:right="-105" w:rightChars="-50"/>
              <w:jc w:val="center"/>
              <w:rPr>
                <w:rFonts w:eastAsiaTheme="minorEastAsia"/>
                <w:bCs/>
                <w:szCs w:val="21"/>
              </w:rPr>
            </w:pPr>
            <w:r>
              <w:rPr>
                <w:rFonts w:eastAsiaTheme="minorEastAsia"/>
                <w:bCs/>
                <w:szCs w:val="21"/>
              </w:rPr>
              <w:t>(m)</w:t>
            </w:r>
          </w:p>
        </w:tc>
        <w:tc>
          <w:tcPr>
            <w:tcW w:w="11261" w:type="dxa"/>
            <w:gridSpan w:val="13"/>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300" w:type="dxa"/>
            <w:vMerge w:val="continue"/>
            <w:vAlign w:val="center"/>
          </w:tcPr>
          <w:p>
            <w:pPr>
              <w:widowControl/>
              <w:jc w:val="left"/>
              <w:rPr>
                <w:rFonts w:eastAsiaTheme="minorEastAsia"/>
                <w:bCs/>
                <w:szCs w:val="21"/>
              </w:rPr>
            </w:pPr>
          </w:p>
        </w:tc>
        <w:tc>
          <w:tcPr>
            <w:tcW w:w="781" w:type="dxa"/>
            <w:vAlign w:val="center"/>
          </w:tcPr>
          <w:p>
            <w:pPr>
              <w:spacing w:line="240" w:lineRule="exact"/>
              <w:ind w:left="-105" w:leftChars="-50" w:right="-105" w:rightChars="-50"/>
              <w:jc w:val="center"/>
              <w:rPr>
                <w:rFonts w:eastAsiaTheme="minorEastAsia"/>
                <w:szCs w:val="21"/>
              </w:rPr>
            </w:pPr>
            <w:r>
              <w:rPr>
                <w:rFonts w:eastAsiaTheme="minorEastAsia"/>
                <w:szCs w:val="21"/>
              </w:rPr>
              <w:t>pH</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w:t>
            </w:r>
            <w:r>
              <w:rPr>
                <w:rFonts w:hAnsiTheme="minorEastAsia" w:eastAsiaTheme="minorEastAsia"/>
                <w:szCs w:val="21"/>
              </w:rPr>
              <w:t>无量纲</w:t>
            </w:r>
            <w:r>
              <w:rPr>
                <w:rFonts w:eastAsiaTheme="minorEastAsia"/>
                <w:szCs w:val="21"/>
              </w:rPr>
              <w:t>)</w:t>
            </w:r>
          </w:p>
        </w:tc>
        <w:tc>
          <w:tcPr>
            <w:tcW w:w="910"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硝基苯</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苯胺</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氯甲烷</w:t>
            </w:r>
          </w:p>
        </w:tc>
        <w:tc>
          <w:tcPr>
            <w:tcW w:w="849" w:type="dxa"/>
            <w:vAlign w:val="center"/>
          </w:tcPr>
          <w:p>
            <w:pPr>
              <w:widowControl/>
              <w:spacing w:line="240" w:lineRule="exact"/>
              <w:ind w:left="-105" w:leftChars="-50" w:right="-105" w:rightChars="-50"/>
              <w:jc w:val="center"/>
              <w:rPr>
                <w:rFonts w:eastAsiaTheme="minorEastAsia"/>
                <w:kern w:val="0"/>
                <w:szCs w:val="21"/>
              </w:rPr>
            </w:pPr>
            <w:r>
              <w:rPr>
                <w:rFonts w:hAnsiTheme="minorEastAsia" w:eastAsiaTheme="minorEastAsia"/>
                <w:szCs w:val="21"/>
              </w:rPr>
              <w:t>氯乙烯</w:t>
            </w:r>
          </w:p>
        </w:tc>
        <w:tc>
          <w:tcPr>
            <w:tcW w:w="869"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83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甲烷</w:t>
            </w:r>
          </w:p>
        </w:tc>
        <w:tc>
          <w:tcPr>
            <w:tcW w:w="89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氯乙烯</w:t>
            </w:r>
          </w:p>
        </w:tc>
        <w:tc>
          <w:tcPr>
            <w:tcW w:w="911"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乙烷</w:t>
            </w:r>
          </w:p>
        </w:tc>
        <w:tc>
          <w:tcPr>
            <w:tcW w:w="84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二氯乙烯</w:t>
            </w:r>
          </w:p>
        </w:tc>
        <w:tc>
          <w:tcPr>
            <w:tcW w:w="897"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氯仿</w:t>
            </w:r>
          </w:p>
        </w:tc>
        <w:tc>
          <w:tcPr>
            <w:tcW w:w="916" w:type="dxa"/>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81" w:type="dxa"/>
            <w:vAlign w:val="center"/>
          </w:tcPr>
          <w:p>
            <w:pPr>
              <w:adjustRightInd w:val="0"/>
              <w:snapToGrid w:val="0"/>
              <w:spacing w:line="240" w:lineRule="atLeast"/>
              <w:ind w:left="-105" w:leftChars="-50" w:right="-105" w:rightChars="-50"/>
              <w:jc w:val="center"/>
              <w:rPr>
                <w:rFonts w:eastAsiaTheme="minorEastAsia"/>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widowControl/>
              <w:ind w:left="-105" w:leftChars="-50" w:right="-105" w:rightChars="-50"/>
              <w:jc w:val="center"/>
              <w:rPr>
                <w:rFonts w:eastAsiaTheme="minorEastAsia"/>
                <w:kern w:val="0"/>
                <w:sz w:val="24"/>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69" w:type="dxa"/>
            <w:vAlign w:val="center"/>
          </w:tcPr>
          <w:p>
            <w:pPr>
              <w:adjustRightInd w:val="0"/>
              <w:snapToGrid w:val="0"/>
              <w:spacing w:line="240" w:lineRule="atLeast"/>
              <w:ind w:left="-105" w:leftChars="-50" w:right="-105" w:rightChars="-50"/>
              <w:jc w:val="center"/>
              <w:rPr>
                <w:rFonts w:eastAsiaTheme="minorEastAsia"/>
              </w:rPr>
            </w:pP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widowControl/>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81" w:type="dxa"/>
            <w:vAlign w:val="center"/>
          </w:tcPr>
          <w:p>
            <w:pPr>
              <w:adjustRightInd w:val="0"/>
              <w:snapToGrid w:val="0"/>
              <w:spacing w:line="240" w:lineRule="atLeast"/>
              <w:ind w:left="-105" w:leftChars="-50" w:right="-105" w:rightChars="-50"/>
              <w:jc w:val="center"/>
              <w:rPr>
                <w:rFonts w:eastAsiaTheme="minorEastAsia"/>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69" w:type="dxa"/>
            <w:vAlign w:val="center"/>
          </w:tcPr>
          <w:p>
            <w:pPr>
              <w:adjustRightInd w:val="0"/>
              <w:snapToGrid w:val="0"/>
              <w:spacing w:line="240" w:lineRule="atLeast"/>
              <w:ind w:left="-105" w:leftChars="-50" w:right="-105" w:rightChars="-50"/>
              <w:jc w:val="center"/>
              <w:rPr>
                <w:rFonts w:eastAsiaTheme="minorEastAsia"/>
              </w:rPr>
            </w:pP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645"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81" w:type="dxa"/>
            <w:vAlign w:val="center"/>
          </w:tcPr>
          <w:p>
            <w:pPr>
              <w:adjustRightInd w:val="0"/>
              <w:snapToGrid w:val="0"/>
              <w:spacing w:line="240" w:lineRule="atLeast"/>
              <w:ind w:left="-105" w:leftChars="-50" w:right="-105" w:rightChars="-50"/>
              <w:jc w:val="center"/>
              <w:rPr>
                <w:rFonts w:eastAsiaTheme="minorEastAsia"/>
                <w:szCs w:val="21"/>
              </w:rPr>
            </w:pPr>
          </w:p>
        </w:tc>
        <w:tc>
          <w:tcPr>
            <w:tcW w:w="910"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69" w:type="dxa"/>
            <w:vAlign w:val="center"/>
          </w:tcPr>
          <w:p>
            <w:pPr>
              <w:adjustRightInd w:val="0"/>
              <w:snapToGrid w:val="0"/>
              <w:spacing w:line="240" w:lineRule="atLeast"/>
              <w:ind w:left="-105" w:leftChars="-50" w:right="-105" w:rightChars="-50"/>
              <w:jc w:val="center"/>
              <w:rPr>
                <w:rFonts w:eastAsiaTheme="minorEastAsia"/>
              </w:rPr>
            </w:pPr>
          </w:p>
        </w:tc>
        <w:tc>
          <w:tcPr>
            <w:tcW w:w="835"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849" w:type="dxa"/>
            <w:vAlign w:val="center"/>
          </w:tcPr>
          <w:p>
            <w:pPr>
              <w:adjustRightInd w:val="0"/>
              <w:snapToGrid w:val="0"/>
              <w:spacing w:line="240" w:lineRule="atLeast"/>
              <w:ind w:left="-105" w:leftChars="-50" w:right="-105" w:rightChars="-50"/>
              <w:jc w:val="center"/>
              <w:rPr>
                <w:rFonts w:eastAsiaTheme="minorEastAsia"/>
              </w:rPr>
            </w:pPr>
          </w:p>
        </w:tc>
        <w:tc>
          <w:tcPr>
            <w:tcW w:w="897" w:type="dxa"/>
            <w:vAlign w:val="center"/>
          </w:tcPr>
          <w:p>
            <w:pPr>
              <w:adjustRightInd w:val="0"/>
              <w:snapToGrid w:val="0"/>
              <w:spacing w:line="240" w:lineRule="atLeast"/>
              <w:ind w:left="-105" w:leftChars="-50" w:right="-105" w:rightChars="-50"/>
              <w:jc w:val="center"/>
              <w:rPr>
                <w:rFonts w:eastAsiaTheme="minorEastAsia"/>
              </w:rPr>
            </w:pPr>
          </w:p>
        </w:tc>
        <w:tc>
          <w:tcPr>
            <w:tcW w:w="916"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91" w:hRule="atLeast"/>
          <w:jc w:val="center"/>
        </w:trPr>
        <w:tc>
          <w:tcPr>
            <w:tcW w:w="664"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备注</w:t>
            </w:r>
          </w:p>
        </w:tc>
        <w:tc>
          <w:tcPr>
            <w:tcW w:w="13306" w:type="dxa"/>
            <w:gridSpan w:val="15"/>
            <w:vAlign w:val="center"/>
          </w:tcPr>
          <w:p>
            <w:pPr>
              <w:adjustRightInd w:val="0"/>
              <w:snapToGrid w:val="0"/>
              <w:spacing w:line="240" w:lineRule="atLeast"/>
              <w:rPr>
                <w:rFonts w:eastAsiaTheme="minorEastAsia"/>
                <w:szCs w:val="21"/>
              </w:rPr>
            </w:pPr>
          </w:p>
        </w:tc>
      </w:tr>
    </w:tbl>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1398"/>
        <w:gridCol w:w="723"/>
        <w:gridCol w:w="725"/>
        <w:gridCol w:w="936"/>
        <w:gridCol w:w="911"/>
        <w:gridCol w:w="782"/>
        <w:gridCol w:w="757"/>
        <w:gridCol w:w="810"/>
        <w:gridCol w:w="855"/>
        <w:gridCol w:w="838"/>
        <w:gridCol w:w="810"/>
        <w:gridCol w:w="810"/>
        <w:gridCol w:w="894"/>
        <w:gridCol w:w="1031"/>
        <w:gridCol w:w="9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00"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点位</w:t>
            </w:r>
          </w:p>
        </w:tc>
        <w:tc>
          <w:tcPr>
            <w:tcW w:w="724"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1155" w:type="dxa"/>
            <w:gridSpan w:val="13"/>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0" w:hRule="atLeast"/>
          <w:jc w:val="center"/>
        </w:trPr>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726"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化碳</w:t>
            </w:r>
          </w:p>
        </w:tc>
        <w:tc>
          <w:tcPr>
            <w:tcW w:w="936"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w:t>
            </w:r>
          </w:p>
        </w:tc>
        <w:tc>
          <w:tcPr>
            <w:tcW w:w="911" w:type="dxa"/>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782" w:type="dxa"/>
            <w:vAlign w:val="center"/>
          </w:tcPr>
          <w:p>
            <w:pPr>
              <w:ind w:left="-105" w:leftChars="-50" w:right="-105" w:rightChars="-50"/>
              <w:jc w:val="center"/>
              <w:rPr>
                <w:rFonts w:eastAsiaTheme="minorEastAsia"/>
                <w:szCs w:val="21"/>
              </w:rPr>
            </w:pPr>
            <w:r>
              <w:rPr>
                <w:rFonts w:hAnsiTheme="minorEastAsia" w:eastAsiaTheme="minorEastAsia"/>
                <w:szCs w:val="21"/>
              </w:rPr>
              <w:t>三氯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757" w:type="dxa"/>
            <w:vAlign w:val="center"/>
          </w:tcPr>
          <w:p>
            <w:pPr>
              <w:adjustRightInd w:val="0"/>
              <w:snapToGrid w:val="0"/>
              <w:spacing w:line="240" w:lineRule="atLeast"/>
              <w:ind w:left="-105" w:leftChars="-50" w:right="-105" w:rightChars="-50"/>
              <w:jc w:val="center"/>
              <w:rPr>
                <w:rFonts w:eastAsiaTheme="minorEastAsia"/>
                <w:kern w:val="0"/>
                <w:szCs w:val="21"/>
              </w:rPr>
            </w:pPr>
            <w:r>
              <w:rPr>
                <w:rFonts w:eastAsiaTheme="minorEastAsia"/>
                <w:szCs w:val="21"/>
              </w:rPr>
              <w:t>1,2-</w:t>
            </w:r>
            <w:r>
              <w:rPr>
                <w:rFonts w:hAnsiTheme="minorEastAsia" w:eastAsiaTheme="minorEastAsia"/>
                <w:szCs w:val="21"/>
              </w:rPr>
              <w:t>二氯丙烷</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c>
          <w:tcPr>
            <w:tcW w:w="855"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838"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氯苯</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乙苯</w:t>
            </w:r>
          </w:p>
        </w:tc>
        <w:tc>
          <w:tcPr>
            <w:tcW w:w="894"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1031"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995" w:type="dxa"/>
            <w:vAlign w:val="center"/>
          </w:tcPr>
          <w:p>
            <w:pPr>
              <w:ind w:left="-105" w:leftChars="-50" w:right="-105" w:rightChars="-50"/>
              <w:jc w:val="center"/>
              <w:rPr>
                <w:rFonts w:eastAsiaTheme="minorEastAsia"/>
                <w:szCs w:val="21"/>
              </w:rPr>
            </w:pPr>
            <w:r>
              <w:rPr>
                <w:rFonts w:hAnsiTheme="minorEastAsia" w:eastAsiaTheme="minorEastAsia"/>
                <w:szCs w:val="21"/>
              </w:rPr>
              <w:t>邻二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91"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400"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9</w:t>
            </w:r>
            <w:r>
              <w:rPr>
                <w:rFonts w:eastAsiaTheme="minorEastAsia"/>
                <w:szCs w:val="21"/>
                <w:vertAlign w:val="superscript"/>
              </w:rPr>
              <w:t xml:space="preserve"># </w:t>
            </w:r>
          </w:p>
          <w:p>
            <w:pPr>
              <w:adjustRightInd w:val="0"/>
              <w:snapToGrid w:val="0"/>
              <w:spacing w:line="240" w:lineRule="exact"/>
              <w:ind w:left="-105" w:leftChars="-50" w:right="-105" w:rightChars="-50"/>
              <w:jc w:val="center"/>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55" w:type="dxa"/>
            <w:vAlign w:val="center"/>
          </w:tcPr>
          <w:p>
            <w:pPr>
              <w:adjustRightInd w:val="0"/>
              <w:snapToGrid w:val="0"/>
              <w:spacing w:line="240" w:lineRule="atLeast"/>
              <w:ind w:left="-105" w:leftChars="-50" w:right="-105" w:rightChars="-50"/>
              <w:jc w:val="center"/>
              <w:rPr>
                <w:rFonts w:eastAsiaTheme="minorEastAsia"/>
              </w:rPr>
            </w:pPr>
          </w:p>
        </w:tc>
        <w:tc>
          <w:tcPr>
            <w:tcW w:w="838"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31" w:type="dxa"/>
            <w:vAlign w:val="center"/>
          </w:tcPr>
          <w:p>
            <w:pPr>
              <w:adjustRightInd w:val="0"/>
              <w:snapToGrid w:val="0"/>
              <w:spacing w:line="240" w:lineRule="atLeast"/>
              <w:ind w:left="-105" w:leftChars="-50" w:right="-105" w:rightChars="-50"/>
              <w:jc w:val="center"/>
              <w:rPr>
                <w:rFonts w:eastAsiaTheme="minorEastAsia"/>
              </w:rPr>
            </w:pPr>
          </w:p>
        </w:tc>
        <w:tc>
          <w:tcPr>
            <w:tcW w:w="995" w:type="dxa"/>
            <w:vAlign w:val="center"/>
          </w:tcPr>
          <w:p>
            <w:pPr>
              <w:widowControl/>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55" w:type="dxa"/>
            <w:vAlign w:val="center"/>
          </w:tcPr>
          <w:p>
            <w:pPr>
              <w:adjustRightInd w:val="0"/>
              <w:snapToGrid w:val="0"/>
              <w:spacing w:line="240" w:lineRule="atLeast"/>
              <w:ind w:left="-105" w:leftChars="-50" w:right="-105" w:rightChars="-50"/>
              <w:jc w:val="center"/>
              <w:rPr>
                <w:rFonts w:eastAsiaTheme="minorEastAsia"/>
              </w:rPr>
            </w:pPr>
          </w:p>
        </w:tc>
        <w:tc>
          <w:tcPr>
            <w:tcW w:w="838"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31" w:type="dxa"/>
            <w:vAlign w:val="center"/>
          </w:tcPr>
          <w:p>
            <w:pPr>
              <w:adjustRightInd w:val="0"/>
              <w:snapToGrid w:val="0"/>
              <w:spacing w:line="240" w:lineRule="atLeast"/>
              <w:ind w:left="-105" w:leftChars="-50" w:right="-105" w:rightChars="-50"/>
              <w:jc w:val="center"/>
              <w:rPr>
                <w:rFonts w:eastAsiaTheme="minorEastAsia"/>
              </w:rPr>
            </w:pPr>
          </w:p>
        </w:tc>
        <w:tc>
          <w:tcPr>
            <w:tcW w:w="995"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55" w:type="dxa"/>
            <w:vAlign w:val="center"/>
          </w:tcPr>
          <w:p>
            <w:pPr>
              <w:adjustRightInd w:val="0"/>
              <w:snapToGrid w:val="0"/>
              <w:spacing w:line="240" w:lineRule="atLeast"/>
              <w:ind w:left="-105" w:leftChars="-50" w:right="-105" w:rightChars="-50"/>
              <w:jc w:val="center"/>
              <w:rPr>
                <w:rFonts w:eastAsiaTheme="minorEastAsia"/>
              </w:rPr>
            </w:pPr>
          </w:p>
        </w:tc>
        <w:tc>
          <w:tcPr>
            <w:tcW w:w="838"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rPr>
            </w:pPr>
          </w:p>
        </w:tc>
        <w:tc>
          <w:tcPr>
            <w:tcW w:w="894" w:type="dxa"/>
            <w:vAlign w:val="center"/>
          </w:tcPr>
          <w:p>
            <w:pPr>
              <w:adjustRightInd w:val="0"/>
              <w:snapToGrid w:val="0"/>
              <w:spacing w:line="240" w:lineRule="atLeast"/>
              <w:ind w:left="-105" w:leftChars="-50" w:right="-105" w:rightChars="-50"/>
              <w:jc w:val="center"/>
              <w:rPr>
                <w:rFonts w:eastAsiaTheme="minorEastAsia"/>
              </w:rPr>
            </w:pPr>
          </w:p>
        </w:tc>
        <w:tc>
          <w:tcPr>
            <w:tcW w:w="1031" w:type="dxa"/>
            <w:vAlign w:val="center"/>
          </w:tcPr>
          <w:p>
            <w:pPr>
              <w:adjustRightInd w:val="0"/>
              <w:snapToGrid w:val="0"/>
              <w:spacing w:line="240" w:lineRule="atLeast"/>
              <w:ind w:left="-105" w:leftChars="-50" w:right="-105" w:rightChars="-50"/>
              <w:jc w:val="center"/>
              <w:rPr>
                <w:rFonts w:eastAsiaTheme="minorEastAsia"/>
              </w:rPr>
            </w:pPr>
          </w:p>
        </w:tc>
        <w:tc>
          <w:tcPr>
            <w:tcW w:w="995"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1155" w:type="dxa"/>
            <w:gridSpan w:val="13"/>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4"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300" w:type="dxa"/>
            <w:vMerge w:val="continue"/>
            <w:vAlign w:val="center"/>
          </w:tcPr>
          <w:p>
            <w:pPr>
              <w:widowControl/>
              <w:jc w:val="left"/>
              <w:rPr>
                <w:rFonts w:eastAsiaTheme="minorEastAsia"/>
                <w:bCs/>
                <w:szCs w:val="21"/>
              </w:rPr>
            </w:pPr>
          </w:p>
        </w:tc>
        <w:tc>
          <w:tcPr>
            <w:tcW w:w="726"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苯乙烯</w:t>
            </w:r>
          </w:p>
        </w:tc>
        <w:tc>
          <w:tcPr>
            <w:tcW w:w="936"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1,1,2,2-</w:t>
            </w:r>
            <w:r>
              <w:rPr>
                <w:rFonts w:hAnsiTheme="minorEastAsia" w:eastAsiaTheme="minorEastAsia"/>
                <w:szCs w:val="21"/>
              </w:rPr>
              <w:t>四氯乙烷</w:t>
            </w:r>
          </w:p>
        </w:tc>
        <w:tc>
          <w:tcPr>
            <w:tcW w:w="911"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1,2,3-</w:t>
            </w:r>
            <w:r>
              <w:rPr>
                <w:rFonts w:hAnsiTheme="minorEastAsia" w:eastAsiaTheme="minorEastAsia"/>
                <w:szCs w:val="21"/>
              </w:rPr>
              <w:t>三氯丙烷</w:t>
            </w:r>
          </w:p>
        </w:tc>
        <w:tc>
          <w:tcPr>
            <w:tcW w:w="782" w:type="dxa"/>
            <w:vAlign w:val="center"/>
          </w:tcPr>
          <w:p>
            <w:pPr>
              <w:ind w:left="-105" w:leftChars="-50" w:right="-105" w:rightChars="-50"/>
              <w:jc w:val="center"/>
              <w:rPr>
                <w:rFonts w:eastAsiaTheme="minorEastAsia"/>
                <w:szCs w:val="21"/>
              </w:rPr>
            </w:pPr>
            <w:r>
              <w:rPr>
                <w:rFonts w:eastAsiaTheme="minorEastAsia"/>
                <w:szCs w:val="21"/>
              </w:rPr>
              <w:t>1,4-</w:t>
            </w:r>
          </w:p>
          <w:p>
            <w:pPr>
              <w:adjustRightInd w:val="0"/>
              <w:snapToGrid w:val="0"/>
              <w:spacing w:line="240" w:lineRule="atLeast"/>
              <w:ind w:left="-105" w:leftChars="-50" w:right="-105" w:rightChars="-50"/>
              <w:jc w:val="center"/>
              <w:rPr>
                <w:rFonts w:eastAsiaTheme="minorEastAsia"/>
                <w:kern w:val="0"/>
                <w:szCs w:val="21"/>
              </w:rPr>
            </w:pPr>
            <w:r>
              <w:rPr>
                <w:rFonts w:hAnsiTheme="minorEastAsia" w:eastAsiaTheme="minorEastAsia"/>
                <w:szCs w:val="21"/>
              </w:rPr>
              <w:t>二氯苯</w:t>
            </w:r>
          </w:p>
        </w:tc>
        <w:tc>
          <w:tcPr>
            <w:tcW w:w="757" w:type="dxa"/>
            <w:vAlign w:val="center"/>
          </w:tcPr>
          <w:p>
            <w:pPr>
              <w:ind w:left="-105" w:leftChars="-50" w:right="-105" w:rightChars="-50"/>
              <w:jc w:val="center"/>
              <w:rPr>
                <w:rFonts w:eastAsiaTheme="minorEastAsia"/>
                <w:szCs w:val="21"/>
              </w:rPr>
            </w:pPr>
            <w:r>
              <w:rPr>
                <w:rFonts w:eastAsiaTheme="minorEastAsia"/>
                <w:szCs w:val="21"/>
              </w:rPr>
              <w:t>1,2-</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二氯苯</w:t>
            </w:r>
          </w:p>
        </w:tc>
        <w:tc>
          <w:tcPr>
            <w:tcW w:w="810"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萘</w:t>
            </w:r>
          </w:p>
        </w:tc>
        <w:tc>
          <w:tcPr>
            <w:tcW w:w="855"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蒽</w:t>
            </w:r>
          </w:p>
        </w:tc>
        <w:tc>
          <w:tcPr>
            <w:tcW w:w="838"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䓛</w:t>
            </w:r>
          </w:p>
        </w:tc>
        <w:tc>
          <w:tcPr>
            <w:tcW w:w="81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810"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894"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芘</w:t>
            </w:r>
          </w:p>
        </w:tc>
        <w:tc>
          <w:tcPr>
            <w:tcW w:w="1031"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二苯并</w:t>
            </w:r>
            <w:r>
              <w:rPr>
                <w:rFonts w:eastAsiaTheme="minorEastAsia"/>
                <w:szCs w:val="21"/>
              </w:rPr>
              <w:t>[a,h]</w:t>
            </w:r>
            <w:r>
              <w:rPr>
                <w:rFonts w:hAnsiTheme="minorEastAsia" w:eastAsiaTheme="minorEastAsia"/>
                <w:szCs w:val="21"/>
              </w:rPr>
              <w:t>蒽</w:t>
            </w:r>
          </w:p>
        </w:tc>
        <w:tc>
          <w:tcPr>
            <w:tcW w:w="995"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widowControl/>
              <w:ind w:left="-105" w:leftChars="-50" w:right="-105" w:rightChars="-50"/>
              <w:jc w:val="center"/>
              <w:rPr>
                <w:rFonts w:eastAsiaTheme="minorEastAsia"/>
                <w:kern w:val="0"/>
                <w:sz w:val="22"/>
                <w:szCs w:val="22"/>
              </w:rPr>
            </w:pPr>
          </w:p>
        </w:tc>
        <w:tc>
          <w:tcPr>
            <w:tcW w:w="85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3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1"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5"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5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3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1"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5"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vertAlign w:val="superscript"/>
              </w:rPr>
            </w:pPr>
          </w:p>
        </w:tc>
        <w:tc>
          <w:tcPr>
            <w:tcW w:w="72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726" w:type="dxa"/>
            <w:vAlign w:val="center"/>
          </w:tcPr>
          <w:p>
            <w:pPr>
              <w:adjustRightInd w:val="0"/>
              <w:snapToGrid w:val="0"/>
              <w:spacing w:line="240" w:lineRule="atLeast"/>
              <w:ind w:left="-105" w:leftChars="-50" w:right="-105" w:rightChars="-50"/>
              <w:jc w:val="center"/>
              <w:rPr>
                <w:rFonts w:eastAsiaTheme="minorEastAsia"/>
              </w:rPr>
            </w:pPr>
          </w:p>
        </w:tc>
        <w:tc>
          <w:tcPr>
            <w:tcW w:w="936" w:type="dxa"/>
            <w:vAlign w:val="center"/>
          </w:tcPr>
          <w:p>
            <w:pPr>
              <w:adjustRightInd w:val="0"/>
              <w:snapToGrid w:val="0"/>
              <w:spacing w:line="240" w:lineRule="atLeast"/>
              <w:ind w:left="-105" w:leftChars="-50" w:right="-105" w:rightChars="-50"/>
              <w:jc w:val="center"/>
              <w:rPr>
                <w:rFonts w:eastAsiaTheme="minorEastAsia"/>
              </w:rPr>
            </w:pPr>
          </w:p>
        </w:tc>
        <w:tc>
          <w:tcPr>
            <w:tcW w:w="911" w:type="dxa"/>
            <w:vAlign w:val="center"/>
          </w:tcPr>
          <w:p>
            <w:pPr>
              <w:adjustRightInd w:val="0"/>
              <w:snapToGrid w:val="0"/>
              <w:spacing w:line="240" w:lineRule="atLeast"/>
              <w:ind w:left="-105" w:leftChars="-50" w:right="-105" w:rightChars="-50"/>
              <w:jc w:val="center"/>
              <w:rPr>
                <w:rFonts w:eastAsiaTheme="minorEastAsia"/>
              </w:rPr>
            </w:pPr>
          </w:p>
        </w:tc>
        <w:tc>
          <w:tcPr>
            <w:tcW w:w="782" w:type="dxa"/>
            <w:vAlign w:val="center"/>
          </w:tcPr>
          <w:p>
            <w:pPr>
              <w:adjustRightInd w:val="0"/>
              <w:snapToGrid w:val="0"/>
              <w:spacing w:line="240" w:lineRule="atLeast"/>
              <w:ind w:left="-105" w:leftChars="-50" w:right="-105" w:rightChars="-50"/>
              <w:jc w:val="center"/>
              <w:rPr>
                <w:rFonts w:eastAsiaTheme="minorEastAsia"/>
              </w:rPr>
            </w:pPr>
          </w:p>
        </w:tc>
        <w:tc>
          <w:tcPr>
            <w:tcW w:w="757" w:type="dxa"/>
            <w:vAlign w:val="center"/>
          </w:tcPr>
          <w:p>
            <w:pPr>
              <w:adjustRightInd w:val="0"/>
              <w:snapToGrid w:val="0"/>
              <w:spacing w:line="240" w:lineRule="atLeast"/>
              <w:ind w:left="-105" w:leftChars="-50" w:right="-105" w:rightChars="-50"/>
              <w:jc w:val="center"/>
              <w:rPr>
                <w:rFonts w:eastAsiaTheme="minorEastAsia"/>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5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3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10"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9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1031"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5"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691" w:type="dxa"/>
            <w:vAlign w:val="center"/>
          </w:tcPr>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szCs w:val="21"/>
              </w:rPr>
              <w:t>备注</w:t>
            </w:r>
          </w:p>
        </w:tc>
        <w:tc>
          <w:tcPr>
            <w:tcW w:w="13279" w:type="dxa"/>
            <w:gridSpan w:val="15"/>
            <w:vAlign w:val="center"/>
          </w:tcPr>
          <w:p>
            <w:pPr>
              <w:adjustRightInd w:val="0"/>
              <w:snapToGrid w:val="0"/>
              <w:spacing w:line="240" w:lineRule="atLeast"/>
              <w:rPr>
                <w:rFonts w:eastAsiaTheme="minorEastAsia"/>
                <w:kern w:val="0"/>
                <w:szCs w:val="21"/>
              </w:rPr>
            </w:pPr>
            <w:r>
              <w:rPr>
                <w:rFonts w:eastAsiaTheme="minorEastAsia"/>
                <w:kern w:val="0"/>
                <w:szCs w:val="21"/>
              </w:rPr>
              <w:t>“ND”</w:t>
            </w:r>
            <w:r>
              <w:rPr>
                <w:rFonts w:hAnsiTheme="minorEastAsia" w:eastAsiaTheme="minorEastAsia"/>
                <w:kern w:val="0"/>
                <w:szCs w:val="21"/>
              </w:rPr>
              <w:t>表示未检出，检出限详见表</w:t>
            </w:r>
            <w:r>
              <w:rPr>
                <w:rFonts w:eastAsiaTheme="minorEastAsia"/>
                <w:kern w:val="0"/>
                <w:szCs w:val="21"/>
              </w:rPr>
              <w:t>3-1</w:t>
            </w:r>
            <w:r>
              <w:rPr>
                <w:rFonts w:hAnsiTheme="minorEastAsia" w:eastAsiaTheme="minorEastAsia"/>
                <w:kern w:val="0"/>
                <w:szCs w:val="21"/>
              </w:rPr>
              <w:t>。</w:t>
            </w:r>
          </w:p>
        </w:tc>
      </w:tr>
    </w:tbl>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409"/>
        <w:gridCol w:w="508"/>
        <w:gridCol w:w="792"/>
        <w:gridCol w:w="919"/>
        <w:gridCol w:w="858"/>
        <w:gridCol w:w="858"/>
        <w:gridCol w:w="858"/>
        <w:gridCol w:w="858"/>
        <w:gridCol w:w="877"/>
        <w:gridCol w:w="844"/>
        <w:gridCol w:w="905"/>
        <w:gridCol w:w="919"/>
        <w:gridCol w:w="858"/>
        <w:gridCol w:w="905"/>
        <w:gridCol w:w="75"/>
        <w:gridCol w:w="8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6"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11"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点位</w:t>
            </w:r>
          </w:p>
        </w:tc>
        <w:tc>
          <w:tcPr>
            <w:tcW w:w="509"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4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40" w:lineRule="exact"/>
              <w:ind w:left="-105" w:leftChars="-50" w:right="-105" w:rightChars="-50"/>
              <w:jc w:val="center"/>
              <w:rPr>
                <w:rFonts w:eastAsiaTheme="minorEastAsia"/>
                <w:bCs/>
                <w:szCs w:val="21"/>
              </w:rPr>
            </w:pPr>
            <w:r>
              <w:rPr>
                <w:rFonts w:eastAsiaTheme="minorEastAsia"/>
                <w:bCs/>
                <w:szCs w:val="21"/>
              </w:rPr>
              <w:t>(m)</w:t>
            </w:r>
          </w:p>
        </w:tc>
        <w:tc>
          <w:tcPr>
            <w:tcW w:w="11374"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9" w:hRule="exact"/>
          <w:jc w:val="center"/>
        </w:trPr>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793"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铅</w:t>
            </w:r>
          </w:p>
          <w:p>
            <w:pPr>
              <w:widowControl/>
              <w:spacing w:line="240" w:lineRule="exact"/>
              <w:ind w:left="-105" w:leftChars="-50" w:right="-105" w:rightChars="-50"/>
              <w:jc w:val="center"/>
              <w:rPr>
                <w:rFonts w:eastAsiaTheme="minorEastAsia"/>
                <w:kern w:val="0"/>
                <w:szCs w:val="21"/>
              </w:rPr>
            </w:pPr>
            <w:r>
              <w:rPr>
                <w:rFonts w:eastAsiaTheme="minorEastAsia"/>
                <w:szCs w:val="21"/>
              </w:rPr>
              <w:t>(mg/kg)</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widowControl/>
              <w:spacing w:line="240" w:lineRule="exact"/>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7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钡</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4"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锌</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砷</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氰化物</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22" w:type="dxa"/>
            <w:gridSpan w:val="2"/>
            <w:vAlign w:val="center"/>
          </w:tcPr>
          <w:p>
            <w:pPr>
              <w:pStyle w:val="48"/>
              <w:ind w:firstLine="0" w:firstLineChars="0"/>
              <w:rPr>
                <w:rFonts w:eastAsiaTheme="minorEastAsia"/>
                <w:kern w:val="0"/>
                <w:szCs w:val="21"/>
              </w:rPr>
            </w:pPr>
            <w:r>
              <w:rPr>
                <w:rFonts w:hAnsiTheme="minorEastAsia" w:eastAsiaTheme="minorEastAsia"/>
                <w:kern w:val="0"/>
                <w:szCs w:val="21"/>
              </w:rPr>
              <w:t>氟化物</w:t>
            </w:r>
            <w:r>
              <w:rPr>
                <w:rFonts w:eastAsiaTheme="minorEastAsia"/>
                <w:kern w:val="0"/>
                <w:szCs w:val="21"/>
              </w:rPr>
              <w:t>(mg/kg)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6"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411"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10</w:t>
            </w:r>
            <w:r>
              <w:rPr>
                <w:rFonts w:eastAsiaTheme="minorEastAsia"/>
                <w:szCs w:val="21"/>
                <w:vertAlign w:val="superscript"/>
              </w:rPr>
              <w:t>#</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w:t>
            </w:r>
          </w:p>
        </w:tc>
        <w:tc>
          <w:tcPr>
            <w:tcW w:w="509" w:type="dxa"/>
            <w:vMerge w:val="restart"/>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0~0.2</w:t>
            </w:r>
          </w:p>
        </w:tc>
        <w:tc>
          <w:tcPr>
            <w:tcW w:w="793"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919"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58"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58"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p>
        </w:tc>
        <w:tc>
          <w:tcPr>
            <w:tcW w:w="858"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highlight w:val="yellow"/>
              </w:rPr>
            </w:pPr>
          </w:p>
        </w:tc>
        <w:tc>
          <w:tcPr>
            <w:tcW w:w="858" w:type="dxa"/>
            <w:vAlign w:val="center"/>
          </w:tcPr>
          <w:p>
            <w:pPr>
              <w:adjustRightInd w:val="0"/>
              <w:snapToGrid w:val="0"/>
              <w:spacing w:line="240" w:lineRule="atLeast"/>
              <w:ind w:left="-105" w:leftChars="-50" w:right="-105" w:rightChars="-50"/>
              <w:jc w:val="center"/>
              <w:rPr>
                <w:rFonts w:eastAsiaTheme="minorEastAsia"/>
                <w:szCs w:val="21"/>
              </w:rPr>
            </w:pPr>
          </w:p>
        </w:tc>
        <w:tc>
          <w:tcPr>
            <w:tcW w:w="877" w:type="dxa"/>
            <w:vAlign w:val="center"/>
          </w:tcPr>
          <w:p>
            <w:pPr>
              <w:adjustRightInd w:val="0"/>
              <w:snapToGrid w:val="0"/>
              <w:spacing w:line="240" w:lineRule="atLeast"/>
              <w:ind w:left="-105" w:leftChars="-50" w:right="-105" w:rightChars="-50"/>
              <w:jc w:val="center"/>
              <w:rPr>
                <w:rFonts w:eastAsiaTheme="minorEastAsia"/>
                <w:szCs w:val="21"/>
              </w:rPr>
            </w:pPr>
          </w:p>
        </w:tc>
        <w:tc>
          <w:tcPr>
            <w:tcW w:w="844" w:type="dxa"/>
            <w:vAlign w:val="center"/>
          </w:tcPr>
          <w:p>
            <w:pPr>
              <w:widowControl/>
              <w:spacing w:line="240" w:lineRule="exact"/>
              <w:ind w:left="-105" w:leftChars="-50" w:right="-105" w:rightChars="-50"/>
              <w:jc w:val="center"/>
              <w:rPr>
                <w:rFonts w:eastAsiaTheme="minorEastAsia"/>
                <w:kern w:val="0"/>
                <w:szCs w:val="21"/>
                <w:highlight w:val="yellow"/>
              </w:rPr>
            </w:pPr>
          </w:p>
        </w:tc>
        <w:tc>
          <w:tcPr>
            <w:tcW w:w="905" w:type="dxa"/>
            <w:vAlign w:val="center"/>
          </w:tcPr>
          <w:p>
            <w:pPr>
              <w:adjustRightInd w:val="0"/>
              <w:snapToGrid w:val="0"/>
              <w:spacing w:line="240" w:lineRule="exact"/>
              <w:ind w:left="-105" w:leftChars="-50" w:right="-105" w:rightChars="-50"/>
              <w:jc w:val="center"/>
              <w:rPr>
                <w:rFonts w:eastAsiaTheme="minorEastAsia"/>
                <w:szCs w:val="21"/>
              </w:rPr>
            </w:pPr>
          </w:p>
        </w:tc>
        <w:tc>
          <w:tcPr>
            <w:tcW w:w="919" w:type="dxa"/>
            <w:vAlign w:val="center"/>
          </w:tcPr>
          <w:p>
            <w:pPr>
              <w:widowControl/>
              <w:adjustRightInd w:val="0"/>
              <w:snapToGrid w:val="0"/>
              <w:spacing w:line="240" w:lineRule="exact"/>
              <w:ind w:left="-105" w:leftChars="-50" w:right="-105" w:rightChars="-50"/>
              <w:jc w:val="center"/>
              <w:rPr>
                <w:rFonts w:eastAsiaTheme="minorEastAsia"/>
                <w:szCs w:val="21"/>
              </w:rPr>
            </w:pPr>
          </w:p>
        </w:tc>
        <w:tc>
          <w:tcPr>
            <w:tcW w:w="858" w:type="dxa"/>
            <w:vAlign w:val="center"/>
          </w:tcPr>
          <w:p>
            <w:pPr>
              <w:adjustRightInd w:val="0"/>
              <w:snapToGrid w:val="0"/>
              <w:spacing w:line="240" w:lineRule="atLeast"/>
              <w:ind w:left="-105" w:leftChars="-50" w:right="-105" w:rightChars="-50"/>
              <w:jc w:val="center"/>
              <w:rPr>
                <w:rFonts w:eastAsiaTheme="minorEastAsia"/>
                <w:szCs w:val="21"/>
              </w:rPr>
            </w:pPr>
          </w:p>
        </w:tc>
        <w:tc>
          <w:tcPr>
            <w:tcW w:w="905" w:type="dxa"/>
            <w:vAlign w:val="center"/>
          </w:tcPr>
          <w:p>
            <w:pPr>
              <w:adjustRightInd w:val="0"/>
              <w:snapToGrid w:val="0"/>
              <w:spacing w:line="240" w:lineRule="atLeast"/>
              <w:ind w:left="-105" w:leftChars="-50" w:right="-105" w:rightChars="-50"/>
              <w:jc w:val="center"/>
              <w:rPr>
                <w:rFonts w:eastAsiaTheme="minorEastAsia"/>
                <w:szCs w:val="21"/>
              </w:rPr>
            </w:pPr>
          </w:p>
        </w:tc>
        <w:tc>
          <w:tcPr>
            <w:tcW w:w="922" w:type="dxa"/>
            <w:gridSpan w:val="2"/>
            <w:vAlign w:val="center"/>
          </w:tcPr>
          <w:p>
            <w:pPr>
              <w:widowControl/>
              <w:adjustRightInd w:val="0"/>
              <w:snapToGrid w:val="0"/>
              <w:spacing w:line="240" w:lineRule="atLeast"/>
              <w:ind w:left="-105" w:leftChars="-50" w:right="-105" w:rightChars="-50"/>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11374"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9"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spacing w:line="240" w:lineRule="exact"/>
              <w:ind w:left="-105" w:leftChars="-50" w:right="-105" w:rightChars="-50"/>
              <w:jc w:val="center"/>
              <w:rPr>
                <w:rFonts w:eastAsiaTheme="minorEastAsia"/>
                <w:szCs w:val="21"/>
              </w:rPr>
            </w:pPr>
            <w:r>
              <w:rPr>
                <w:rFonts w:eastAsiaTheme="minorEastAsia"/>
                <w:szCs w:val="21"/>
              </w:rPr>
              <w:t>pH</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w:t>
            </w:r>
            <w:r>
              <w:rPr>
                <w:rFonts w:hAnsiTheme="minorEastAsia" w:eastAsiaTheme="minorEastAsia"/>
                <w:szCs w:val="21"/>
              </w:rPr>
              <w:t>无量纲</w:t>
            </w:r>
            <w:r>
              <w:rPr>
                <w:rFonts w:eastAsiaTheme="minorEastAsia"/>
                <w:szCs w:val="21"/>
              </w:rPr>
              <w:t>)</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硝基苯</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苯胺</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氯甲烷</w:t>
            </w:r>
          </w:p>
        </w:tc>
        <w:tc>
          <w:tcPr>
            <w:tcW w:w="858" w:type="dxa"/>
            <w:vAlign w:val="center"/>
          </w:tcPr>
          <w:p>
            <w:pPr>
              <w:widowControl/>
              <w:spacing w:line="240" w:lineRule="exact"/>
              <w:ind w:left="-105" w:leftChars="-50" w:right="-105" w:rightChars="-50"/>
              <w:jc w:val="center"/>
              <w:rPr>
                <w:rFonts w:eastAsiaTheme="minorEastAsia"/>
                <w:kern w:val="0"/>
                <w:szCs w:val="21"/>
              </w:rPr>
            </w:pPr>
            <w:r>
              <w:rPr>
                <w:rFonts w:hAnsiTheme="minorEastAsia" w:eastAsiaTheme="minorEastAsia"/>
                <w:szCs w:val="21"/>
              </w:rPr>
              <w:t>氯乙烯</w:t>
            </w:r>
          </w:p>
        </w:tc>
        <w:tc>
          <w:tcPr>
            <w:tcW w:w="877"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844"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甲烷</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氯乙烯</w:t>
            </w:r>
          </w:p>
        </w:tc>
        <w:tc>
          <w:tcPr>
            <w:tcW w:w="919"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乙烷</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二氯乙烯</w:t>
            </w:r>
          </w:p>
        </w:tc>
        <w:tc>
          <w:tcPr>
            <w:tcW w:w="905"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氯仿</w:t>
            </w:r>
          </w:p>
        </w:tc>
        <w:tc>
          <w:tcPr>
            <w:tcW w:w="922" w:type="dxa"/>
            <w:gridSpan w:val="2"/>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adjustRightInd w:val="0"/>
              <w:snapToGrid w:val="0"/>
              <w:spacing w:line="240" w:lineRule="exact"/>
              <w:ind w:left="-105" w:leftChars="-50" w:right="-105" w:rightChars="-50"/>
              <w:jc w:val="center"/>
              <w:rPr>
                <w:rFonts w:eastAsiaTheme="minorEastAsia"/>
                <w:szCs w:val="21"/>
              </w:rPr>
            </w:pPr>
          </w:p>
        </w:tc>
        <w:tc>
          <w:tcPr>
            <w:tcW w:w="919"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widowControl/>
              <w:ind w:left="-105" w:leftChars="-50" w:right="-105" w:rightChars="-50"/>
              <w:jc w:val="center"/>
              <w:rPr>
                <w:rFonts w:eastAsiaTheme="minorEastAsia"/>
                <w:kern w:val="0"/>
                <w:sz w:val="24"/>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877" w:type="dxa"/>
            <w:vAlign w:val="center"/>
          </w:tcPr>
          <w:p>
            <w:pPr>
              <w:adjustRightInd w:val="0"/>
              <w:snapToGrid w:val="0"/>
              <w:spacing w:line="240" w:lineRule="atLeast"/>
              <w:ind w:left="-105" w:leftChars="-50" w:right="-105" w:rightChars="-50"/>
              <w:jc w:val="center"/>
              <w:rPr>
                <w:rFonts w:eastAsiaTheme="minorEastAsia"/>
              </w:rPr>
            </w:pPr>
          </w:p>
        </w:tc>
        <w:tc>
          <w:tcPr>
            <w:tcW w:w="844" w:type="dxa"/>
            <w:vAlign w:val="center"/>
          </w:tcPr>
          <w:p>
            <w:pPr>
              <w:adjustRightInd w:val="0"/>
              <w:snapToGrid w:val="0"/>
              <w:spacing w:line="240" w:lineRule="atLeast"/>
              <w:ind w:left="-105" w:leftChars="-50" w:right="-105" w:rightChars="-50"/>
              <w:jc w:val="center"/>
              <w:rPr>
                <w:rFonts w:eastAsiaTheme="minorEastAsia"/>
              </w:rPr>
            </w:pPr>
          </w:p>
        </w:tc>
        <w:tc>
          <w:tcPr>
            <w:tcW w:w="905" w:type="dxa"/>
            <w:vAlign w:val="center"/>
          </w:tcPr>
          <w:p>
            <w:pPr>
              <w:adjustRightInd w:val="0"/>
              <w:snapToGrid w:val="0"/>
              <w:spacing w:line="240" w:lineRule="atLeast"/>
              <w:ind w:left="-105" w:leftChars="-50" w:right="-105" w:rightChars="-50"/>
              <w:jc w:val="center"/>
              <w:rPr>
                <w:rFonts w:eastAsiaTheme="minorEastAsia"/>
              </w:rPr>
            </w:pPr>
          </w:p>
        </w:tc>
        <w:tc>
          <w:tcPr>
            <w:tcW w:w="919"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905" w:type="dxa"/>
            <w:vAlign w:val="center"/>
          </w:tcPr>
          <w:p>
            <w:pPr>
              <w:adjustRightInd w:val="0"/>
              <w:snapToGrid w:val="0"/>
              <w:spacing w:line="240" w:lineRule="atLeast"/>
              <w:ind w:left="-105" w:leftChars="-50" w:right="-105" w:rightChars="-50"/>
              <w:jc w:val="center"/>
              <w:rPr>
                <w:rFonts w:eastAsiaTheme="minorEastAsia"/>
              </w:rPr>
            </w:pPr>
          </w:p>
        </w:tc>
        <w:tc>
          <w:tcPr>
            <w:tcW w:w="922" w:type="dxa"/>
            <w:gridSpan w:val="2"/>
            <w:vAlign w:val="center"/>
          </w:tcPr>
          <w:p>
            <w:pPr>
              <w:widowControl/>
              <w:spacing w:line="240" w:lineRule="exact"/>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11374"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9"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化碳</w:t>
            </w:r>
          </w:p>
        </w:tc>
        <w:tc>
          <w:tcPr>
            <w:tcW w:w="91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苯</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乙烷</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三氯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widowControl/>
              <w:spacing w:line="240" w:lineRule="exact"/>
              <w:ind w:left="-105" w:leftChars="-50" w:right="-105" w:rightChars="-50"/>
              <w:jc w:val="center"/>
              <w:rPr>
                <w:rFonts w:eastAsiaTheme="minorEastAsia"/>
                <w:kern w:val="0"/>
                <w:szCs w:val="21"/>
              </w:rPr>
            </w:pPr>
            <w:r>
              <w:rPr>
                <w:rFonts w:hAnsiTheme="minorEastAsia" w:eastAsiaTheme="minorEastAsia"/>
                <w:szCs w:val="21"/>
              </w:rPr>
              <w:t>丙烷</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甲苯</w:t>
            </w:r>
          </w:p>
        </w:tc>
        <w:tc>
          <w:tcPr>
            <w:tcW w:w="877" w:type="dxa"/>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844"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905"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氯苯</w:t>
            </w:r>
          </w:p>
        </w:tc>
        <w:tc>
          <w:tcPr>
            <w:tcW w:w="91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乙苯</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980" w:type="dxa"/>
            <w:gridSpan w:val="2"/>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847"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邻二甲苯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adjustRightInd w:val="0"/>
              <w:snapToGrid w:val="0"/>
              <w:spacing w:line="240" w:lineRule="atLeast"/>
              <w:ind w:left="-105" w:leftChars="-50" w:right="-105" w:rightChars="-50"/>
              <w:jc w:val="center"/>
              <w:rPr>
                <w:rFonts w:eastAsiaTheme="minorEastAsia"/>
              </w:rPr>
            </w:pPr>
          </w:p>
        </w:tc>
        <w:tc>
          <w:tcPr>
            <w:tcW w:w="919"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877" w:type="dxa"/>
            <w:vAlign w:val="center"/>
          </w:tcPr>
          <w:p>
            <w:pPr>
              <w:adjustRightInd w:val="0"/>
              <w:snapToGrid w:val="0"/>
              <w:spacing w:line="240" w:lineRule="atLeast"/>
              <w:ind w:left="-105" w:leftChars="-50" w:right="-105" w:rightChars="-50"/>
              <w:jc w:val="center"/>
              <w:rPr>
                <w:rFonts w:eastAsiaTheme="minorEastAsia"/>
              </w:rPr>
            </w:pPr>
          </w:p>
        </w:tc>
        <w:tc>
          <w:tcPr>
            <w:tcW w:w="844" w:type="dxa"/>
            <w:vAlign w:val="center"/>
          </w:tcPr>
          <w:p>
            <w:pPr>
              <w:adjustRightInd w:val="0"/>
              <w:snapToGrid w:val="0"/>
              <w:spacing w:line="240" w:lineRule="atLeast"/>
              <w:ind w:left="-105" w:leftChars="-50" w:right="-105" w:rightChars="-50"/>
              <w:jc w:val="center"/>
              <w:rPr>
                <w:rFonts w:eastAsiaTheme="minorEastAsia"/>
              </w:rPr>
            </w:pPr>
          </w:p>
        </w:tc>
        <w:tc>
          <w:tcPr>
            <w:tcW w:w="905" w:type="dxa"/>
            <w:vAlign w:val="center"/>
          </w:tcPr>
          <w:p>
            <w:pPr>
              <w:adjustRightInd w:val="0"/>
              <w:snapToGrid w:val="0"/>
              <w:spacing w:line="240" w:lineRule="atLeast"/>
              <w:ind w:left="-105" w:leftChars="-50" w:right="-105" w:rightChars="-50"/>
              <w:jc w:val="center"/>
              <w:rPr>
                <w:rFonts w:eastAsiaTheme="minorEastAsia"/>
              </w:rPr>
            </w:pPr>
          </w:p>
        </w:tc>
        <w:tc>
          <w:tcPr>
            <w:tcW w:w="919"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980" w:type="dxa"/>
            <w:gridSpan w:val="2"/>
            <w:vAlign w:val="center"/>
          </w:tcPr>
          <w:p>
            <w:pPr>
              <w:adjustRightInd w:val="0"/>
              <w:snapToGrid w:val="0"/>
              <w:spacing w:line="240" w:lineRule="atLeast"/>
              <w:ind w:left="-105" w:leftChars="-50" w:right="-105" w:rightChars="-50"/>
              <w:jc w:val="center"/>
              <w:rPr>
                <w:rFonts w:eastAsiaTheme="minorEastAsia"/>
              </w:rPr>
            </w:pPr>
          </w:p>
        </w:tc>
        <w:tc>
          <w:tcPr>
            <w:tcW w:w="847" w:type="dxa"/>
            <w:vAlign w:val="center"/>
          </w:tcPr>
          <w:p>
            <w:pPr>
              <w:widowControl/>
              <w:spacing w:line="240" w:lineRule="exact"/>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11374"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9"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苯乙烯</w:t>
            </w:r>
          </w:p>
        </w:tc>
        <w:tc>
          <w:tcPr>
            <w:tcW w:w="919" w:type="dxa"/>
            <w:vAlign w:val="center"/>
          </w:tcPr>
          <w:p>
            <w:pPr>
              <w:spacing w:line="240" w:lineRule="exact"/>
              <w:ind w:left="-105" w:leftChars="-50" w:right="-105" w:rightChars="-50"/>
              <w:jc w:val="center"/>
              <w:rPr>
                <w:rFonts w:eastAsiaTheme="minorEastAsia"/>
                <w:szCs w:val="21"/>
              </w:rPr>
            </w:pPr>
            <w:r>
              <w:rPr>
                <w:rFonts w:eastAsiaTheme="minorEastAsia"/>
                <w:szCs w:val="21"/>
              </w:rPr>
              <w:t>1,1,2,2-</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四氯乙烷</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1,2,3-</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三氯丙烷</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1,4-</w:t>
            </w:r>
          </w:p>
          <w:p>
            <w:pPr>
              <w:adjustRightInd w:val="0"/>
              <w:snapToGrid w:val="0"/>
              <w:spacing w:line="240" w:lineRule="exact"/>
              <w:ind w:left="-105" w:leftChars="-50" w:right="-105" w:rightChars="-50"/>
              <w:jc w:val="center"/>
              <w:rPr>
                <w:rFonts w:eastAsiaTheme="minorEastAsia"/>
                <w:kern w:val="0"/>
                <w:szCs w:val="21"/>
              </w:rPr>
            </w:pPr>
            <w:r>
              <w:rPr>
                <w:rFonts w:hAnsiTheme="minorEastAsia" w:eastAsiaTheme="minorEastAsia"/>
                <w:szCs w:val="21"/>
              </w:rPr>
              <w:t>二氯苯</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二氯苯</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萘</w:t>
            </w:r>
          </w:p>
        </w:tc>
        <w:tc>
          <w:tcPr>
            <w:tcW w:w="87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[a]</w:t>
            </w:r>
            <w:r>
              <w:rPr>
                <w:rFonts w:hAnsiTheme="minorEastAsia" w:eastAsiaTheme="minorEastAsia"/>
                <w:szCs w:val="21"/>
              </w:rPr>
              <w:t>蒽</w:t>
            </w:r>
          </w:p>
        </w:tc>
        <w:tc>
          <w:tcPr>
            <w:tcW w:w="844"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䓛</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荧蒽</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荧蒽</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[a]</w:t>
            </w:r>
            <w:r>
              <w:rPr>
                <w:rFonts w:hAnsiTheme="minorEastAsia" w:eastAsiaTheme="minorEastAsia"/>
                <w:szCs w:val="21"/>
              </w:rPr>
              <w:t>芘</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二苯并</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[a,h]</w:t>
            </w:r>
            <w:r>
              <w:rPr>
                <w:rFonts w:hAnsiTheme="minorEastAsia" w:eastAsiaTheme="minorEastAsia"/>
                <w:szCs w:val="21"/>
              </w:rPr>
              <w:t>蒽</w:t>
            </w:r>
          </w:p>
        </w:tc>
        <w:tc>
          <w:tcPr>
            <w:tcW w:w="922" w:type="dxa"/>
            <w:gridSpan w:val="2"/>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adjustRightInd w:val="0"/>
              <w:snapToGrid w:val="0"/>
              <w:spacing w:line="240" w:lineRule="atLeast"/>
              <w:ind w:left="-105" w:leftChars="-50" w:right="-105" w:rightChars="-50"/>
              <w:jc w:val="center"/>
              <w:rPr>
                <w:rFonts w:eastAsiaTheme="minorEastAsia"/>
              </w:rPr>
            </w:pPr>
          </w:p>
        </w:tc>
        <w:tc>
          <w:tcPr>
            <w:tcW w:w="919"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adjustRightInd w:val="0"/>
              <w:snapToGrid w:val="0"/>
              <w:spacing w:line="240" w:lineRule="atLeast"/>
              <w:ind w:left="-105" w:leftChars="-50" w:right="-105" w:rightChars="-50"/>
              <w:jc w:val="center"/>
              <w:rPr>
                <w:rFonts w:eastAsiaTheme="minorEastAsia"/>
              </w:rPr>
            </w:pPr>
          </w:p>
        </w:tc>
        <w:tc>
          <w:tcPr>
            <w:tcW w:w="858" w:type="dxa"/>
            <w:vAlign w:val="center"/>
          </w:tcPr>
          <w:p>
            <w:pPr>
              <w:widowControl/>
              <w:ind w:left="-105" w:leftChars="-50" w:right="-105" w:rightChars="-50"/>
              <w:jc w:val="center"/>
              <w:rPr>
                <w:rFonts w:eastAsiaTheme="minorEastAsia"/>
                <w:kern w:val="0"/>
                <w:sz w:val="22"/>
                <w:szCs w:val="22"/>
              </w:rPr>
            </w:pPr>
          </w:p>
        </w:tc>
        <w:tc>
          <w:tcPr>
            <w:tcW w:w="877"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44"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0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19"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858"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05"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22" w:type="dxa"/>
            <w:gridSpan w:val="2"/>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4" w:hRule="atLeast"/>
          <w:jc w:val="center"/>
        </w:trPr>
        <w:tc>
          <w:tcPr>
            <w:tcW w:w="676"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备注</w:t>
            </w:r>
          </w:p>
        </w:tc>
        <w:tc>
          <w:tcPr>
            <w:tcW w:w="13294" w:type="dxa"/>
            <w:gridSpan w:val="16"/>
            <w:vAlign w:val="center"/>
          </w:tcPr>
          <w:p>
            <w:pPr>
              <w:pStyle w:val="48"/>
              <w:adjustRightInd w:val="0"/>
              <w:snapToGrid w:val="0"/>
              <w:spacing w:line="240" w:lineRule="exact"/>
              <w:ind w:firstLine="0" w:firstLineChars="0"/>
              <w:rPr>
                <w:rFonts w:eastAsiaTheme="minorEastAsia"/>
                <w:kern w:val="0"/>
                <w:szCs w:val="21"/>
              </w:rPr>
            </w:pPr>
          </w:p>
        </w:tc>
      </w:tr>
    </w:tbl>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409"/>
        <w:gridCol w:w="508"/>
        <w:gridCol w:w="792"/>
        <w:gridCol w:w="919"/>
        <w:gridCol w:w="858"/>
        <w:gridCol w:w="858"/>
        <w:gridCol w:w="858"/>
        <w:gridCol w:w="858"/>
        <w:gridCol w:w="877"/>
        <w:gridCol w:w="844"/>
        <w:gridCol w:w="905"/>
        <w:gridCol w:w="919"/>
        <w:gridCol w:w="858"/>
        <w:gridCol w:w="905"/>
        <w:gridCol w:w="75"/>
        <w:gridCol w:w="8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6"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日期</w:t>
            </w:r>
          </w:p>
        </w:tc>
        <w:tc>
          <w:tcPr>
            <w:tcW w:w="1411"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点位</w:t>
            </w:r>
          </w:p>
        </w:tc>
        <w:tc>
          <w:tcPr>
            <w:tcW w:w="509" w:type="dxa"/>
            <w:vMerge w:val="restart"/>
            <w:vAlign w:val="center"/>
          </w:tcPr>
          <w:p>
            <w:pPr>
              <w:spacing w:line="24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4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40" w:lineRule="exact"/>
              <w:ind w:left="-105" w:leftChars="-50" w:right="-105" w:rightChars="-50"/>
              <w:jc w:val="center"/>
              <w:rPr>
                <w:rFonts w:eastAsiaTheme="minorEastAsia"/>
                <w:bCs/>
                <w:szCs w:val="21"/>
              </w:rPr>
            </w:pPr>
            <w:r>
              <w:rPr>
                <w:rFonts w:eastAsiaTheme="minorEastAsia"/>
                <w:bCs/>
                <w:szCs w:val="21"/>
              </w:rPr>
              <w:t>(m)</w:t>
            </w:r>
          </w:p>
        </w:tc>
        <w:tc>
          <w:tcPr>
            <w:tcW w:w="11374"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9" w:hRule="exact"/>
          <w:jc w:val="center"/>
        </w:trPr>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793"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铅</w:t>
            </w:r>
          </w:p>
          <w:p>
            <w:pPr>
              <w:widowControl/>
              <w:spacing w:line="240" w:lineRule="exact"/>
              <w:ind w:left="-105" w:leftChars="-50" w:right="-105" w:rightChars="-50"/>
              <w:jc w:val="center"/>
              <w:rPr>
                <w:rFonts w:eastAsiaTheme="minorEastAsia"/>
                <w:kern w:val="0"/>
                <w:szCs w:val="21"/>
              </w:rPr>
            </w:pPr>
            <w:r>
              <w:rPr>
                <w:rFonts w:eastAsiaTheme="minorEastAsia"/>
                <w:szCs w:val="21"/>
              </w:rPr>
              <w:t>(mg/kg)</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widowControl/>
              <w:spacing w:line="240" w:lineRule="exact"/>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铍</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7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钡</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44"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锌</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砷</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氰化物</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922" w:type="dxa"/>
            <w:gridSpan w:val="2"/>
            <w:vAlign w:val="center"/>
          </w:tcPr>
          <w:p>
            <w:pPr>
              <w:pStyle w:val="48"/>
              <w:ind w:firstLine="0" w:firstLineChars="0"/>
              <w:rPr>
                <w:rFonts w:eastAsiaTheme="minorEastAsia"/>
                <w:kern w:val="0"/>
                <w:szCs w:val="21"/>
              </w:rPr>
            </w:pPr>
            <w:r>
              <w:rPr>
                <w:rFonts w:hAnsiTheme="minorEastAsia" w:eastAsiaTheme="minorEastAsia"/>
                <w:kern w:val="0"/>
                <w:szCs w:val="21"/>
              </w:rPr>
              <w:t>氟化物</w:t>
            </w:r>
            <w:r>
              <w:rPr>
                <w:rFonts w:eastAsiaTheme="minorEastAsia"/>
                <w:kern w:val="0"/>
                <w:szCs w:val="21"/>
              </w:rPr>
              <w:t>(mg/kg)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6"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411" w:type="dxa"/>
            <w:vMerge w:val="restart"/>
            <w:vAlign w:val="center"/>
          </w:tcPr>
          <w:p>
            <w:pPr>
              <w:spacing w:line="240" w:lineRule="exact"/>
              <w:ind w:left="-105" w:leftChars="-50" w:right="-105" w:rightChars="-50"/>
              <w:jc w:val="center"/>
              <w:rPr>
                <w:rFonts w:eastAsiaTheme="minorEastAsia"/>
                <w:szCs w:val="21"/>
                <w:vertAlign w:val="superscript"/>
              </w:rPr>
            </w:pPr>
            <w:r>
              <w:rPr>
                <w:rFonts w:eastAsiaTheme="minorEastAsia"/>
                <w:szCs w:val="21"/>
              </w:rPr>
              <w:t>11</w:t>
            </w:r>
            <w:r>
              <w:rPr>
                <w:rFonts w:eastAsiaTheme="minorEastAsia"/>
                <w:szCs w:val="21"/>
                <w:vertAlign w:val="superscript"/>
              </w:rPr>
              <w:t>#</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w:t>
            </w:r>
          </w:p>
        </w:tc>
        <w:tc>
          <w:tcPr>
            <w:tcW w:w="509" w:type="dxa"/>
            <w:vMerge w:val="restart"/>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0~0.2</w:t>
            </w:r>
          </w:p>
        </w:tc>
        <w:tc>
          <w:tcPr>
            <w:tcW w:w="793" w:type="dxa"/>
            <w:vAlign w:val="center"/>
          </w:tcPr>
          <w:p>
            <w:pPr>
              <w:widowControl/>
              <w:adjustRightInd w:val="0"/>
              <w:snapToGrid w:val="0"/>
              <w:spacing w:line="240" w:lineRule="atLeast"/>
              <w:jc w:val="center"/>
              <w:textAlignment w:val="center"/>
              <w:rPr>
                <w:rFonts w:eastAsiaTheme="minorEastAsia"/>
                <w:kern w:val="0"/>
                <w:szCs w:val="21"/>
              </w:rPr>
            </w:pPr>
          </w:p>
        </w:tc>
        <w:tc>
          <w:tcPr>
            <w:tcW w:w="919" w:type="dxa"/>
            <w:vAlign w:val="center"/>
          </w:tcPr>
          <w:p>
            <w:pPr>
              <w:widowControl/>
              <w:adjustRightInd w:val="0"/>
              <w:snapToGrid w:val="0"/>
              <w:spacing w:line="240" w:lineRule="atLeast"/>
              <w:jc w:val="center"/>
              <w:textAlignment w:val="center"/>
              <w:rPr>
                <w:rFonts w:eastAsiaTheme="minorEastAsia"/>
                <w:kern w:val="0"/>
                <w:szCs w:val="21"/>
              </w:rPr>
            </w:pPr>
          </w:p>
        </w:tc>
        <w:tc>
          <w:tcPr>
            <w:tcW w:w="858" w:type="dxa"/>
            <w:vAlign w:val="center"/>
          </w:tcPr>
          <w:p>
            <w:pPr>
              <w:widowControl/>
              <w:adjustRightInd w:val="0"/>
              <w:snapToGrid w:val="0"/>
              <w:spacing w:line="240" w:lineRule="atLeast"/>
              <w:jc w:val="center"/>
              <w:textAlignment w:val="center"/>
              <w:rPr>
                <w:rFonts w:eastAsiaTheme="minorEastAsia"/>
                <w:kern w:val="0"/>
                <w:szCs w:val="21"/>
              </w:rPr>
            </w:pPr>
          </w:p>
        </w:tc>
        <w:tc>
          <w:tcPr>
            <w:tcW w:w="858" w:type="dxa"/>
            <w:vAlign w:val="center"/>
          </w:tcPr>
          <w:p>
            <w:pPr>
              <w:widowControl/>
              <w:adjustRightInd w:val="0"/>
              <w:snapToGrid w:val="0"/>
              <w:spacing w:line="240" w:lineRule="atLeast"/>
              <w:jc w:val="center"/>
              <w:textAlignment w:val="center"/>
              <w:rPr>
                <w:rFonts w:eastAsiaTheme="minorEastAsia"/>
                <w:kern w:val="0"/>
                <w:szCs w:val="21"/>
              </w:rPr>
            </w:pPr>
          </w:p>
        </w:tc>
        <w:tc>
          <w:tcPr>
            <w:tcW w:w="858"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highlight w:val="yellow"/>
              </w:rPr>
            </w:pPr>
          </w:p>
        </w:tc>
        <w:tc>
          <w:tcPr>
            <w:tcW w:w="858" w:type="dxa"/>
            <w:vAlign w:val="center"/>
          </w:tcPr>
          <w:p>
            <w:pPr>
              <w:adjustRightInd w:val="0"/>
              <w:snapToGrid w:val="0"/>
              <w:spacing w:line="240" w:lineRule="atLeast"/>
              <w:jc w:val="center"/>
              <w:rPr>
                <w:rFonts w:eastAsiaTheme="minorEastAsia"/>
                <w:szCs w:val="21"/>
              </w:rPr>
            </w:pPr>
          </w:p>
        </w:tc>
        <w:tc>
          <w:tcPr>
            <w:tcW w:w="877" w:type="dxa"/>
            <w:vAlign w:val="center"/>
          </w:tcPr>
          <w:p>
            <w:pPr>
              <w:adjustRightInd w:val="0"/>
              <w:snapToGrid w:val="0"/>
              <w:spacing w:line="240" w:lineRule="atLeast"/>
              <w:jc w:val="center"/>
              <w:rPr>
                <w:rFonts w:eastAsiaTheme="minorEastAsia"/>
                <w:szCs w:val="21"/>
              </w:rPr>
            </w:pPr>
          </w:p>
        </w:tc>
        <w:tc>
          <w:tcPr>
            <w:tcW w:w="844" w:type="dxa"/>
            <w:vAlign w:val="center"/>
          </w:tcPr>
          <w:p>
            <w:pPr>
              <w:widowControl/>
              <w:spacing w:line="240" w:lineRule="exact"/>
              <w:ind w:left="-105" w:leftChars="-50" w:right="-105" w:rightChars="-50"/>
              <w:jc w:val="center"/>
              <w:rPr>
                <w:rFonts w:eastAsiaTheme="minorEastAsia"/>
                <w:kern w:val="0"/>
                <w:szCs w:val="21"/>
                <w:highlight w:val="yellow"/>
              </w:rPr>
            </w:pPr>
          </w:p>
        </w:tc>
        <w:tc>
          <w:tcPr>
            <w:tcW w:w="905" w:type="dxa"/>
            <w:vAlign w:val="center"/>
          </w:tcPr>
          <w:p>
            <w:pPr>
              <w:adjustRightInd w:val="0"/>
              <w:snapToGrid w:val="0"/>
              <w:spacing w:line="240" w:lineRule="exact"/>
              <w:ind w:left="-105" w:leftChars="-50" w:right="-105" w:rightChars="-50"/>
              <w:jc w:val="center"/>
              <w:rPr>
                <w:rFonts w:eastAsiaTheme="minorEastAsia"/>
                <w:szCs w:val="21"/>
              </w:rPr>
            </w:pPr>
          </w:p>
        </w:tc>
        <w:tc>
          <w:tcPr>
            <w:tcW w:w="919" w:type="dxa"/>
            <w:vAlign w:val="center"/>
          </w:tcPr>
          <w:p>
            <w:pPr>
              <w:widowControl/>
              <w:adjustRightInd w:val="0"/>
              <w:snapToGrid w:val="0"/>
              <w:spacing w:line="240" w:lineRule="exact"/>
              <w:jc w:val="center"/>
              <w:rPr>
                <w:rFonts w:eastAsiaTheme="minorEastAsia"/>
                <w:szCs w:val="21"/>
              </w:rPr>
            </w:pPr>
          </w:p>
        </w:tc>
        <w:tc>
          <w:tcPr>
            <w:tcW w:w="858" w:type="dxa"/>
            <w:vAlign w:val="center"/>
          </w:tcPr>
          <w:p>
            <w:pPr>
              <w:adjustRightInd w:val="0"/>
              <w:snapToGrid w:val="0"/>
              <w:spacing w:line="240" w:lineRule="atLeast"/>
              <w:jc w:val="center"/>
              <w:rPr>
                <w:rFonts w:eastAsiaTheme="minorEastAsia"/>
                <w:szCs w:val="21"/>
              </w:rPr>
            </w:pPr>
          </w:p>
        </w:tc>
        <w:tc>
          <w:tcPr>
            <w:tcW w:w="905" w:type="dxa"/>
            <w:vAlign w:val="center"/>
          </w:tcPr>
          <w:p>
            <w:pPr>
              <w:adjustRightInd w:val="0"/>
              <w:snapToGrid w:val="0"/>
              <w:spacing w:line="240" w:lineRule="atLeast"/>
              <w:jc w:val="center"/>
              <w:rPr>
                <w:rFonts w:eastAsiaTheme="minorEastAsia"/>
                <w:szCs w:val="21"/>
              </w:rPr>
            </w:pPr>
          </w:p>
        </w:tc>
        <w:tc>
          <w:tcPr>
            <w:tcW w:w="922" w:type="dxa"/>
            <w:gridSpan w:val="2"/>
            <w:vAlign w:val="center"/>
          </w:tcPr>
          <w:p>
            <w:pPr>
              <w:widowControl/>
              <w:adjustRightInd w:val="0"/>
              <w:snapToGrid w:val="0"/>
              <w:spacing w:line="240" w:lineRule="atLeast"/>
              <w:jc w:val="center"/>
              <w:textAlignment w:val="bottom"/>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11374"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9"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spacing w:line="240" w:lineRule="exact"/>
              <w:ind w:left="-105" w:leftChars="-50" w:right="-105" w:rightChars="-50"/>
              <w:jc w:val="center"/>
              <w:rPr>
                <w:rFonts w:eastAsiaTheme="minorEastAsia"/>
                <w:szCs w:val="21"/>
              </w:rPr>
            </w:pPr>
            <w:r>
              <w:rPr>
                <w:rFonts w:eastAsiaTheme="minorEastAsia"/>
                <w:szCs w:val="21"/>
              </w:rPr>
              <w:t>pH</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w:t>
            </w:r>
            <w:r>
              <w:rPr>
                <w:rFonts w:hAnsiTheme="minorEastAsia" w:eastAsiaTheme="minorEastAsia"/>
                <w:szCs w:val="21"/>
              </w:rPr>
              <w:t>无量纲</w:t>
            </w:r>
            <w:r>
              <w:rPr>
                <w:rFonts w:eastAsiaTheme="minorEastAsia"/>
                <w:szCs w:val="21"/>
              </w:rPr>
              <w:t>)</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硝基苯</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苯胺</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(mg/kg)</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氯甲烷</w:t>
            </w:r>
          </w:p>
        </w:tc>
        <w:tc>
          <w:tcPr>
            <w:tcW w:w="858" w:type="dxa"/>
            <w:vAlign w:val="center"/>
          </w:tcPr>
          <w:p>
            <w:pPr>
              <w:widowControl/>
              <w:spacing w:line="240" w:lineRule="exact"/>
              <w:ind w:left="-105" w:leftChars="-50" w:right="-105" w:rightChars="-50"/>
              <w:jc w:val="center"/>
              <w:rPr>
                <w:rFonts w:eastAsiaTheme="minorEastAsia"/>
                <w:kern w:val="0"/>
                <w:szCs w:val="21"/>
              </w:rPr>
            </w:pPr>
            <w:r>
              <w:rPr>
                <w:rFonts w:hAnsiTheme="minorEastAsia" w:eastAsiaTheme="minorEastAsia"/>
                <w:szCs w:val="21"/>
              </w:rPr>
              <w:t>氯乙烯</w:t>
            </w:r>
          </w:p>
        </w:tc>
        <w:tc>
          <w:tcPr>
            <w:tcW w:w="877"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844"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甲烷</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氯乙烯</w:t>
            </w:r>
          </w:p>
        </w:tc>
        <w:tc>
          <w:tcPr>
            <w:tcW w:w="919" w:type="dxa"/>
            <w:vAlign w:val="center"/>
          </w:tcPr>
          <w:p>
            <w:pPr>
              <w:spacing w:line="240" w:lineRule="exact"/>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乙烷</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二氯乙烯</w:t>
            </w:r>
          </w:p>
        </w:tc>
        <w:tc>
          <w:tcPr>
            <w:tcW w:w="905"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氯仿</w:t>
            </w:r>
          </w:p>
        </w:tc>
        <w:tc>
          <w:tcPr>
            <w:tcW w:w="922" w:type="dxa"/>
            <w:gridSpan w:val="2"/>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adjustRightInd w:val="0"/>
              <w:snapToGrid w:val="0"/>
              <w:spacing w:line="240" w:lineRule="exact"/>
              <w:ind w:left="-105" w:leftChars="-50" w:right="-105" w:rightChars="-50"/>
              <w:jc w:val="center"/>
              <w:rPr>
                <w:rFonts w:eastAsiaTheme="minorEastAsia"/>
                <w:szCs w:val="21"/>
              </w:rPr>
            </w:pPr>
          </w:p>
        </w:tc>
        <w:tc>
          <w:tcPr>
            <w:tcW w:w="919" w:type="dxa"/>
            <w:vAlign w:val="center"/>
          </w:tcPr>
          <w:p>
            <w:pPr>
              <w:widowControl/>
              <w:adjustRightInd w:val="0"/>
              <w:snapToGrid w:val="0"/>
              <w:spacing w:line="240" w:lineRule="exact"/>
              <w:ind w:left="-105" w:leftChars="-50" w:right="-105" w:rightChars="-50"/>
              <w:jc w:val="center"/>
              <w:textAlignment w:val="center"/>
              <w:rPr>
                <w:rFonts w:eastAsiaTheme="minorEastAsia"/>
                <w:kern w:val="0"/>
                <w:szCs w:val="21"/>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adjustRightInd w:val="0"/>
              <w:snapToGrid w:val="0"/>
              <w:spacing w:line="240" w:lineRule="exact"/>
              <w:ind w:left="-105" w:leftChars="-50" w:right="-105" w:rightChars="-50"/>
              <w:jc w:val="center"/>
              <w:rPr>
                <w:rFonts w:eastAsiaTheme="minorEastAsia"/>
              </w:rPr>
            </w:pPr>
          </w:p>
        </w:tc>
        <w:tc>
          <w:tcPr>
            <w:tcW w:w="858" w:type="dxa"/>
            <w:vAlign w:val="center"/>
          </w:tcPr>
          <w:p>
            <w:pPr>
              <w:widowControl/>
              <w:jc w:val="center"/>
              <w:rPr>
                <w:rFonts w:eastAsiaTheme="minorEastAsia"/>
                <w:kern w:val="0"/>
                <w:sz w:val="24"/>
              </w:rPr>
            </w:pPr>
          </w:p>
        </w:tc>
        <w:tc>
          <w:tcPr>
            <w:tcW w:w="858" w:type="dxa"/>
            <w:vAlign w:val="center"/>
          </w:tcPr>
          <w:p>
            <w:pPr>
              <w:adjustRightInd w:val="0"/>
              <w:snapToGrid w:val="0"/>
              <w:spacing w:line="240" w:lineRule="atLeast"/>
              <w:jc w:val="center"/>
              <w:rPr>
                <w:rFonts w:eastAsiaTheme="minorEastAsia"/>
              </w:rPr>
            </w:pPr>
          </w:p>
        </w:tc>
        <w:tc>
          <w:tcPr>
            <w:tcW w:w="877" w:type="dxa"/>
            <w:vAlign w:val="center"/>
          </w:tcPr>
          <w:p>
            <w:pPr>
              <w:adjustRightInd w:val="0"/>
              <w:snapToGrid w:val="0"/>
              <w:spacing w:line="240" w:lineRule="atLeast"/>
              <w:jc w:val="center"/>
              <w:rPr>
                <w:rFonts w:eastAsiaTheme="minorEastAsia"/>
              </w:rPr>
            </w:pPr>
          </w:p>
        </w:tc>
        <w:tc>
          <w:tcPr>
            <w:tcW w:w="844" w:type="dxa"/>
            <w:vAlign w:val="center"/>
          </w:tcPr>
          <w:p>
            <w:pPr>
              <w:adjustRightInd w:val="0"/>
              <w:snapToGrid w:val="0"/>
              <w:spacing w:line="240" w:lineRule="atLeast"/>
              <w:jc w:val="center"/>
              <w:rPr>
                <w:rFonts w:eastAsiaTheme="minorEastAsia"/>
              </w:rPr>
            </w:pPr>
          </w:p>
        </w:tc>
        <w:tc>
          <w:tcPr>
            <w:tcW w:w="905" w:type="dxa"/>
            <w:vAlign w:val="center"/>
          </w:tcPr>
          <w:p>
            <w:pPr>
              <w:adjustRightInd w:val="0"/>
              <w:snapToGrid w:val="0"/>
              <w:spacing w:line="240" w:lineRule="atLeast"/>
              <w:jc w:val="center"/>
              <w:rPr>
                <w:rFonts w:eastAsiaTheme="minorEastAsia"/>
              </w:rPr>
            </w:pPr>
          </w:p>
        </w:tc>
        <w:tc>
          <w:tcPr>
            <w:tcW w:w="919" w:type="dxa"/>
            <w:vAlign w:val="center"/>
          </w:tcPr>
          <w:p>
            <w:pPr>
              <w:adjustRightInd w:val="0"/>
              <w:snapToGrid w:val="0"/>
              <w:spacing w:line="240" w:lineRule="atLeast"/>
              <w:jc w:val="center"/>
              <w:rPr>
                <w:rFonts w:eastAsiaTheme="minorEastAsia"/>
              </w:rPr>
            </w:pPr>
          </w:p>
        </w:tc>
        <w:tc>
          <w:tcPr>
            <w:tcW w:w="858" w:type="dxa"/>
            <w:vAlign w:val="center"/>
          </w:tcPr>
          <w:p>
            <w:pPr>
              <w:adjustRightInd w:val="0"/>
              <w:snapToGrid w:val="0"/>
              <w:spacing w:line="240" w:lineRule="atLeast"/>
              <w:jc w:val="center"/>
              <w:rPr>
                <w:rFonts w:eastAsiaTheme="minorEastAsia"/>
              </w:rPr>
            </w:pPr>
          </w:p>
        </w:tc>
        <w:tc>
          <w:tcPr>
            <w:tcW w:w="905" w:type="dxa"/>
            <w:vAlign w:val="center"/>
          </w:tcPr>
          <w:p>
            <w:pPr>
              <w:adjustRightInd w:val="0"/>
              <w:snapToGrid w:val="0"/>
              <w:spacing w:line="240" w:lineRule="atLeast"/>
              <w:jc w:val="center"/>
              <w:rPr>
                <w:rFonts w:eastAsiaTheme="minorEastAsia"/>
              </w:rPr>
            </w:pPr>
          </w:p>
        </w:tc>
        <w:tc>
          <w:tcPr>
            <w:tcW w:w="922" w:type="dxa"/>
            <w:gridSpan w:val="2"/>
            <w:vAlign w:val="center"/>
          </w:tcPr>
          <w:p>
            <w:pPr>
              <w:widowControl/>
              <w:spacing w:line="240" w:lineRule="exact"/>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11374"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9"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化碳</w:t>
            </w:r>
          </w:p>
        </w:tc>
        <w:tc>
          <w:tcPr>
            <w:tcW w:w="91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苯</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乙烷</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三氯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widowControl/>
              <w:spacing w:line="240" w:lineRule="exact"/>
              <w:ind w:left="-105" w:leftChars="-50" w:right="-105" w:rightChars="-50"/>
              <w:jc w:val="center"/>
              <w:rPr>
                <w:rFonts w:eastAsiaTheme="minorEastAsia"/>
                <w:kern w:val="0"/>
                <w:szCs w:val="21"/>
              </w:rPr>
            </w:pPr>
            <w:r>
              <w:rPr>
                <w:rFonts w:hAnsiTheme="minorEastAsia" w:eastAsiaTheme="minorEastAsia"/>
                <w:szCs w:val="21"/>
              </w:rPr>
              <w:t>丙烷</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甲苯</w:t>
            </w:r>
          </w:p>
        </w:tc>
        <w:tc>
          <w:tcPr>
            <w:tcW w:w="877" w:type="dxa"/>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844"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乙烯</w:t>
            </w:r>
          </w:p>
        </w:tc>
        <w:tc>
          <w:tcPr>
            <w:tcW w:w="905"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氯苯</w:t>
            </w:r>
          </w:p>
        </w:tc>
        <w:tc>
          <w:tcPr>
            <w:tcW w:w="919"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乙苯</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980" w:type="dxa"/>
            <w:gridSpan w:val="2"/>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847"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邻二甲苯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adjustRightInd w:val="0"/>
              <w:snapToGrid w:val="0"/>
              <w:spacing w:line="240" w:lineRule="atLeast"/>
              <w:jc w:val="center"/>
              <w:rPr>
                <w:rFonts w:eastAsiaTheme="minorEastAsia"/>
              </w:rPr>
            </w:pPr>
          </w:p>
        </w:tc>
        <w:tc>
          <w:tcPr>
            <w:tcW w:w="919" w:type="dxa"/>
            <w:vAlign w:val="center"/>
          </w:tcPr>
          <w:p>
            <w:pPr>
              <w:adjustRightInd w:val="0"/>
              <w:snapToGrid w:val="0"/>
              <w:spacing w:line="240" w:lineRule="atLeast"/>
              <w:jc w:val="center"/>
              <w:rPr>
                <w:rFonts w:eastAsiaTheme="minorEastAsia"/>
              </w:rPr>
            </w:pPr>
          </w:p>
        </w:tc>
        <w:tc>
          <w:tcPr>
            <w:tcW w:w="858" w:type="dxa"/>
            <w:vAlign w:val="center"/>
          </w:tcPr>
          <w:p>
            <w:pPr>
              <w:adjustRightInd w:val="0"/>
              <w:snapToGrid w:val="0"/>
              <w:spacing w:line="240" w:lineRule="atLeast"/>
              <w:jc w:val="center"/>
              <w:rPr>
                <w:rFonts w:eastAsiaTheme="minorEastAsia"/>
              </w:rPr>
            </w:pPr>
          </w:p>
        </w:tc>
        <w:tc>
          <w:tcPr>
            <w:tcW w:w="858" w:type="dxa"/>
            <w:vAlign w:val="center"/>
          </w:tcPr>
          <w:p>
            <w:pPr>
              <w:adjustRightInd w:val="0"/>
              <w:snapToGrid w:val="0"/>
              <w:spacing w:line="240" w:lineRule="atLeast"/>
              <w:jc w:val="center"/>
              <w:rPr>
                <w:rFonts w:eastAsiaTheme="minorEastAsia"/>
              </w:rPr>
            </w:pPr>
          </w:p>
        </w:tc>
        <w:tc>
          <w:tcPr>
            <w:tcW w:w="858" w:type="dxa"/>
            <w:vAlign w:val="center"/>
          </w:tcPr>
          <w:p>
            <w:pPr>
              <w:adjustRightInd w:val="0"/>
              <w:snapToGrid w:val="0"/>
              <w:spacing w:line="240" w:lineRule="atLeast"/>
              <w:jc w:val="center"/>
              <w:rPr>
                <w:rFonts w:eastAsiaTheme="minorEastAsia"/>
              </w:rPr>
            </w:pPr>
          </w:p>
        </w:tc>
        <w:tc>
          <w:tcPr>
            <w:tcW w:w="858" w:type="dxa"/>
            <w:vAlign w:val="center"/>
          </w:tcPr>
          <w:p>
            <w:pPr>
              <w:adjustRightInd w:val="0"/>
              <w:snapToGrid w:val="0"/>
              <w:spacing w:line="240" w:lineRule="atLeast"/>
              <w:jc w:val="center"/>
              <w:rPr>
                <w:rFonts w:eastAsiaTheme="minorEastAsia"/>
              </w:rPr>
            </w:pPr>
          </w:p>
        </w:tc>
        <w:tc>
          <w:tcPr>
            <w:tcW w:w="877" w:type="dxa"/>
            <w:vAlign w:val="center"/>
          </w:tcPr>
          <w:p>
            <w:pPr>
              <w:adjustRightInd w:val="0"/>
              <w:snapToGrid w:val="0"/>
              <w:spacing w:line="240" w:lineRule="atLeast"/>
              <w:jc w:val="center"/>
              <w:rPr>
                <w:rFonts w:eastAsiaTheme="minorEastAsia"/>
              </w:rPr>
            </w:pPr>
          </w:p>
        </w:tc>
        <w:tc>
          <w:tcPr>
            <w:tcW w:w="844" w:type="dxa"/>
            <w:vAlign w:val="center"/>
          </w:tcPr>
          <w:p>
            <w:pPr>
              <w:adjustRightInd w:val="0"/>
              <w:snapToGrid w:val="0"/>
              <w:spacing w:line="240" w:lineRule="atLeast"/>
              <w:jc w:val="center"/>
              <w:rPr>
                <w:rFonts w:eastAsiaTheme="minorEastAsia"/>
              </w:rPr>
            </w:pPr>
          </w:p>
        </w:tc>
        <w:tc>
          <w:tcPr>
            <w:tcW w:w="905" w:type="dxa"/>
            <w:vAlign w:val="center"/>
          </w:tcPr>
          <w:p>
            <w:pPr>
              <w:adjustRightInd w:val="0"/>
              <w:snapToGrid w:val="0"/>
              <w:spacing w:line="240" w:lineRule="atLeast"/>
              <w:jc w:val="center"/>
              <w:rPr>
                <w:rFonts w:eastAsiaTheme="minorEastAsia"/>
              </w:rPr>
            </w:pPr>
          </w:p>
        </w:tc>
        <w:tc>
          <w:tcPr>
            <w:tcW w:w="919" w:type="dxa"/>
            <w:vAlign w:val="center"/>
          </w:tcPr>
          <w:p>
            <w:pPr>
              <w:adjustRightInd w:val="0"/>
              <w:snapToGrid w:val="0"/>
              <w:spacing w:line="240" w:lineRule="atLeast"/>
              <w:jc w:val="center"/>
              <w:rPr>
                <w:rFonts w:eastAsiaTheme="minorEastAsia"/>
              </w:rPr>
            </w:pPr>
          </w:p>
        </w:tc>
        <w:tc>
          <w:tcPr>
            <w:tcW w:w="858" w:type="dxa"/>
            <w:vAlign w:val="center"/>
          </w:tcPr>
          <w:p>
            <w:pPr>
              <w:adjustRightInd w:val="0"/>
              <w:snapToGrid w:val="0"/>
              <w:spacing w:line="240" w:lineRule="atLeast"/>
              <w:jc w:val="center"/>
              <w:rPr>
                <w:rFonts w:eastAsiaTheme="minorEastAsia"/>
              </w:rPr>
            </w:pPr>
          </w:p>
        </w:tc>
        <w:tc>
          <w:tcPr>
            <w:tcW w:w="980" w:type="dxa"/>
            <w:gridSpan w:val="2"/>
            <w:vAlign w:val="center"/>
          </w:tcPr>
          <w:p>
            <w:pPr>
              <w:adjustRightInd w:val="0"/>
              <w:snapToGrid w:val="0"/>
              <w:spacing w:line="240" w:lineRule="atLeast"/>
              <w:jc w:val="center"/>
              <w:rPr>
                <w:rFonts w:eastAsiaTheme="minorEastAsia"/>
              </w:rPr>
            </w:pPr>
          </w:p>
        </w:tc>
        <w:tc>
          <w:tcPr>
            <w:tcW w:w="847" w:type="dxa"/>
            <w:vAlign w:val="center"/>
          </w:tcPr>
          <w:p>
            <w:pPr>
              <w:widowControl/>
              <w:spacing w:line="240" w:lineRule="exact"/>
              <w:ind w:left="-105" w:leftChars="-50" w:right="-105" w:rightChars="-50"/>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11374" w:type="dxa"/>
            <w:gridSpan w:val="14"/>
            <w:vAlign w:val="center"/>
          </w:tcPr>
          <w:p>
            <w:pPr>
              <w:adjustRightInd w:val="0"/>
              <w:snapToGrid w:val="0"/>
              <w:spacing w:line="24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9"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苯乙烯</w:t>
            </w:r>
          </w:p>
        </w:tc>
        <w:tc>
          <w:tcPr>
            <w:tcW w:w="919" w:type="dxa"/>
            <w:vAlign w:val="center"/>
          </w:tcPr>
          <w:p>
            <w:pPr>
              <w:spacing w:line="240" w:lineRule="exact"/>
              <w:ind w:left="-105" w:leftChars="-50" w:right="-105" w:rightChars="-50"/>
              <w:jc w:val="center"/>
              <w:rPr>
                <w:rFonts w:eastAsiaTheme="minorEastAsia"/>
                <w:szCs w:val="21"/>
              </w:rPr>
            </w:pPr>
            <w:r>
              <w:rPr>
                <w:rFonts w:eastAsiaTheme="minorEastAsia"/>
                <w:szCs w:val="21"/>
              </w:rPr>
              <w:t>1,1,2,2-</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四氯乙烷</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1,2,3-</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三氯丙烷</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1,4-</w:t>
            </w:r>
          </w:p>
          <w:p>
            <w:pPr>
              <w:adjustRightInd w:val="0"/>
              <w:snapToGrid w:val="0"/>
              <w:spacing w:line="240" w:lineRule="exact"/>
              <w:ind w:left="-105" w:leftChars="-50" w:right="-105" w:rightChars="-50"/>
              <w:jc w:val="center"/>
              <w:rPr>
                <w:rFonts w:eastAsiaTheme="minorEastAsia"/>
                <w:kern w:val="0"/>
                <w:szCs w:val="21"/>
              </w:rPr>
            </w:pPr>
            <w:r>
              <w:rPr>
                <w:rFonts w:hAnsiTheme="minorEastAsia" w:eastAsiaTheme="minorEastAsia"/>
                <w:szCs w:val="21"/>
              </w:rPr>
              <w:t>二氯苯</w:t>
            </w:r>
          </w:p>
        </w:tc>
        <w:tc>
          <w:tcPr>
            <w:tcW w:w="858" w:type="dxa"/>
            <w:vAlign w:val="center"/>
          </w:tcPr>
          <w:p>
            <w:pPr>
              <w:spacing w:line="240" w:lineRule="exact"/>
              <w:ind w:left="-105" w:leftChars="-50" w:right="-105" w:rightChars="-50"/>
              <w:jc w:val="center"/>
              <w:rPr>
                <w:rFonts w:eastAsiaTheme="minorEastAsia"/>
                <w:szCs w:val="21"/>
              </w:rPr>
            </w:pPr>
            <w:r>
              <w:rPr>
                <w:rFonts w:eastAsiaTheme="minorEastAsia"/>
                <w:szCs w:val="21"/>
              </w:rPr>
              <w:t>1,2-</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二氯苯</w:t>
            </w:r>
          </w:p>
        </w:tc>
        <w:tc>
          <w:tcPr>
            <w:tcW w:w="858"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萘</w:t>
            </w:r>
          </w:p>
        </w:tc>
        <w:tc>
          <w:tcPr>
            <w:tcW w:w="877"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[a]</w:t>
            </w:r>
            <w:r>
              <w:rPr>
                <w:rFonts w:hAnsiTheme="minorEastAsia" w:eastAsiaTheme="minorEastAsia"/>
                <w:szCs w:val="21"/>
              </w:rPr>
              <w:t>蒽</w:t>
            </w:r>
          </w:p>
        </w:tc>
        <w:tc>
          <w:tcPr>
            <w:tcW w:w="844"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䓛</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荧蒽</w:t>
            </w:r>
          </w:p>
        </w:tc>
        <w:tc>
          <w:tcPr>
            <w:tcW w:w="919"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荧蒽</w:t>
            </w:r>
          </w:p>
        </w:tc>
        <w:tc>
          <w:tcPr>
            <w:tcW w:w="858"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苯并</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[a]</w:t>
            </w:r>
            <w:r>
              <w:rPr>
                <w:rFonts w:hAnsiTheme="minorEastAsia" w:eastAsiaTheme="minorEastAsia"/>
                <w:szCs w:val="21"/>
              </w:rPr>
              <w:t>芘</w:t>
            </w:r>
          </w:p>
        </w:tc>
        <w:tc>
          <w:tcPr>
            <w:tcW w:w="905" w:type="dxa"/>
            <w:vAlign w:val="center"/>
          </w:tcPr>
          <w:p>
            <w:pPr>
              <w:spacing w:line="240" w:lineRule="exact"/>
              <w:ind w:left="-105" w:leftChars="-50" w:right="-105" w:rightChars="-50"/>
              <w:jc w:val="center"/>
              <w:rPr>
                <w:rFonts w:eastAsiaTheme="minorEastAsia"/>
                <w:szCs w:val="21"/>
              </w:rPr>
            </w:pPr>
            <w:r>
              <w:rPr>
                <w:rFonts w:hAnsiTheme="minorEastAsia" w:eastAsiaTheme="minorEastAsia"/>
                <w:szCs w:val="21"/>
              </w:rPr>
              <w:t>二苯并</w:t>
            </w:r>
          </w:p>
          <w:p>
            <w:pPr>
              <w:adjustRightInd w:val="0"/>
              <w:snapToGrid w:val="0"/>
              <w:spacing w:line="240" w:lineRule="exact"/>
              <w:ind w:left="-105" w:leftChars="-50" w:right="-105" w:rightChars="-50"/>
              <w:jc w:val="center"/>
              <w:rPr>
                <w:rFonts w:eastAsiaTheme="minorEastAsia"/>
                <w:szCs w:val="21"/>
              </w:rPr>
            </w:pPr>
            <w:r>
              <w:rPr>
                <w:rFonts w:eastAsiaTheme="minorEastAsia"/>
                <w:szCs w:val="21"/>
              </w:rPr>
              <w:t>[a,h]</w:t>
            </w:r>
            <w:r>
              <w:rPr>
                <w:rFonts w:hAnsiTheme="minorEastAsia" w:eastAsiaTheme="minorEastAsia"/>
                <w:szCs w:val="21"/>
              </w:rPr>
              <w:t>蒽</w:t>
            </w:r>
          </w:p>
        </w:tc>
        <w:tc>
          <w:tcPr>
            <w:tcW w:w="922" w:type="dxa"/>
            <w:gridSpan w:val="2"/>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3" w:type="dxa"/>
            <w:vAlign w:val="center"/>
          </w:tcPr>
          <w:p>
            <w:pPr>
              <w:adjustRightInd w:val="0"/>
              <w:snapToGrid w:val="0"/>
              <w:spacing w:line="240" w:lineRule="atLeast"/>
              <w:jc w:val="center"/>
              <w:rPr>
                <w:rFonts w:eastAsiaTheme="minorEastAsia"/>
              </w:rPr>
            </w:pPr>
          </w:p>
        </w:tc>
        <w:tc>
          <w:tcPr>
            <w:tcW w:w="919" w:type="dxa"/>
            <w:vAlign w:val="center"/>
          </w:tcPr>
          <w:p>
            <w:pPr>
              <w:adjustRightInd w:val="0"/>
              <w:snapToGrid w:val="0"/>
              <w:spacing w:line="240" w:lineRule="atLeast"/>
              <w:jc w:val="center"/>
              <w:rPr>
                <w:rFonts w:eastAsiaTheme="minorEastAsia"/>
              </w:rPr>
            </w:pPr>
          </w:p>
        </w:tc>
        <w:tc>
          <w:tcPr>
            <w:tcW w:w="858" w:type="dxa"/>
            <w:vAlign w:val="center"/>
          </w:tcPr>
          <w:p>
            <w:pPr>
              <w:adjustRightInd w:val="0"/>
              <w:snapToGrid w:val="0"/>
              <w:spacing w:line="240" w:lineRule="atLeast"/>
              <w:jc w:val="center"/>
              <w:rPr>
                <w:rFonts w:eastAsiaTheme="minorEastAsia"/>
              </w:rPr>
            </w:pPr>
          </w:p>
        </w:tc>
        <w:tc>
          <w:tcPr>
            <w:tcW w:w="858" w:type="dxa"/>
            <w:vAlign w:val="center"/>
          </w:tcPr>
          <w:p>
            <w:pPr>
              <w:adjustRightInd w:val="0"/>
              <w:snapToGrid w:val="0"/>
              <w:spacing w:line="240" w:lineRule="atLeast"/>
              <w:jc w:val="center"/>
              <w:rPr>
                <w:rFonts w:eastAsiaTheme="minorEastAsia"/>
              </w:rPr>
            </w:pPr>
          </w:p>
        </w:tc>
        <w:tc>
          <w:tcPr>
            <w:tcW w:w="858" w:type="dxa"/>
            <w:vAlign w:val="center"/>
          </w:tcPr>
          <w:p>
            <w:pPr>
              <w:adjustRightInd w:val="0"/>
              <w:snapToGrid w:val="0"/>
              <w:spacing w:line="240" w:lineRule="atLeast"/>
              <w:jc w:val="center"/>
              <w:rPr>
                <w:rFonts w:eastAsiaTheme="minorEastAsia"/>
              </w:rPr>
            </w:pPr>
          </w:p>
        </w:tc>
        <w:tc>
          <w:tcPr>
            <w:tcW w:w="858" w:type="dxa"/>
            <w:vAlign w:val="center"/>
          </w:tcPr>
          <w:p>
            <w:pPr>
              <w:widowControl/>
              <w:jc w:val="center"/>
              <w:rPr>
                <w:rFonts w:eastAsiaTheme="minorEastAsia"/>
                <w:kern w:val="0"/>
                <w:sz w:val="22"/>
                <w:szCs w:val="22"/>
              </w:rPr>
            </w:pPr>
          </w:p>
        </w:tc>
        <w:tc>
          <w:tcPr>
            <w:tcW w:w="877" w:type="dxa"/>
            <w:vAlign w:val="center"/>
          </w:tcPr>
          <w:p>
            <w:pPr>
              <w:adjustRightInd w:val="0"/>
              <w:snapToGrid w:val="0"/>
              <w:spacing w:line="240" w:lineRule="atLeast"/>
              <w:jc w:val="center"/>
              <w:rPr>
                <w:rFonts w:eastAsiaTheme="minorEastAsia"/>
                <w:sz w:val="22"/>
                <w:szCs w:val="22"/>
              </w:rPr>
            </w:pPr>
          </w:p>
        </w:tc>
        <w:tc>
          <w:tcPr>
            <w:tcW w:w="844" w:type="dxa"/>
            <w:vAlign w:val="center"/>
          </w:tcPr>
          <w:p>
            <w:pPr>
              <w:adjustRightInd w:val="0"/>
              <w:snapToGrid w:val="0"/>
              <w:spacing w:line="240" w:lineRule="atLeast"/>
              <w:jc w:val="center"/>
              <w:rPr>
                <w:rFonts w:eastAsiaTheme="minorEastAsia"/>
                <w:sz w:val="22"/>
                <w:szCs w:val="22"/>
              </w:rPr>
            </w:pPr>
          </w:p>
        </w:tc>
        <w:tc>
          <w:tcPr>
            <w:tcW w:w="905" w:type="dxa"/>
            <w:vAlign w:val="center"/>
          </w:tcPr>
          <w:p>
            <w:pPr>
              <w:adjustRightInd w:val="0"/>
              <w:snapToGrid w:val="0"/>
              <w:spacing w:line="240" w:lineRule="atLeast"/>
              <w:jc w:val="center"/>
              <w:rPr>
                <w:rFonts w:eastAsiaTheme="minorEastAsia"/>
                <w:sz w:val="22"/>
                <w:szCs w:val="22"/>
              </w:rPr>
            </w:pPr>
          </w:p>
        </w:tc>
        <w:tc>
          <w:tcPr>
            <w:tcW w:w="919" w:type="dxa"/>
            <w:vAlign w:val="center"/>
          </w:tcPr>
          <w:p>
            <w:pPr>
              <w:adjustRightInd w:val="0"/>
              <w:snapToGrid w:val="0"/>
              <w:spacing w:line="240" w:lineRule="atLeast"/>
              <w:jc w:val="center"/>
              <w:rPr>
                <w:rFonts w:eastAsiaTheme="minorEastAsia"/>
                <w:sz w:val="22"/>
                <w:szCs w:val="22"/>
              </w:rPr>
            </w:pPr>
          </w:p>
        </w:tc>
        <w:tc>
          <w:tcPr>
            <w:tcW w:w="858" w:type="dxa"/>
            <w:vAlign w:val="center"/>
          </w:tcPr>
          <w:p>
            <w:pPr>
              <w:adjustRightInd w:val="0"/>
              <w:snapToGrid w:val="0"/>
              <w:spacing w:line="240" w:lineRule="atLeast"/>
              <w:jc w:val="center"/>
              <w:rPr>
                <w:rFonts w:eastAsiaTheme="minorEastAsia"/>
                <w:sz w:val="22"/>
                <w:szCs w:val="22"/>
              </w:rPr>
            </w:pPr>
          </w:p>
        </w:tc>
        <w:tc>
          <w:tcPr>
            <w:tcW w:w="905" w:type="dxa"/>
            <w:vAlign w:val="center"/>
          </w:tcPr>
          <w:p>
            <w:pPr>
              <w:adjustRightInd w:val="0"/>
              <w:snapToGrid w:val="0"/>
              <w:spacing w:line="240" w:lineRule="atLeast"/>
              <w:jc w:val="center"/>
              <w:rPr>
                <w:rFonts w:eastAsiaTheme="minorEastAsia"/>
                <w:sz w:val="22"/>
                <w:szCs w:val="22"/>
              </w:rPr>
            </w:pPr>
          </w:p>
        </w:tc>
        <w:tc>
          <w:tcPr>
            <w:tcW w:w="922" w:type="dxa"/>
            <w:gridSpan w:val="2"/>
            <w:vAlign w:val="center"/>
          </w:tcPr>
          <w:p>
            <w:pPr>
              <w:adjustRightInd w:val="0"/>
              <w:snapToGrid w:val="0"/>
              <w:spacing w:line="240" w:lineRule="atLeast"/>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4" w:hRule="atLeast"/>
          <w:jc w:val="center"/>
        </w:trPr>
        <w:tc>
          <w:tcPr>
            <w:tcW w:w="676" w:type="dxa"/>
            <w:vAlign w:val="center"/>
          </w:tcPr>
          <w:p>
            <w:pPr>
              <w:adjustRightInd w:val="0"/>
              <w:snapToGrid w:val="0"/>
              <w:spacing w:line="240" w:lineRule="exact"/>
              <w:ind w:left="-105" w:leftChars="-50" w:right="-105" w:rightChars="-50"/>
              <w:jc w:val="center"/>
              <w:rPr>
                <w:rFonts w:eastAsiaTheme="minorEastAsia"/>
                <w:szCs w:val="21"/>
              </w:rPr>
            </w:pPr>
            <w:r>
              <w:rPr>
                <w:rFonts w:hAnsiTheme="minorEastAsia" w:eastAsiaTheme="minorEastAsia"/>
                <w:szCs w:val="21"/>
              </w:rPr>
              <w:t>备注</w:t>
            </w:r>
          </w:p>
        </w:tc>
        <w:tc>
          <w:tcPr>
            <w:tcW w:w="13294" w:type="dxa"/>
            <w:gridSpan w:val="16"/>
            <w:vAlign w:val="center"/>
          </w:tcPr>
          <w:p>
            <w:pPr>
              <w:pStyle w:val="48"/>
              <w:numPr>
                <w:ilvl w:val="0"/>
                <w:numId w:val="3"/>
              </w:numPr>
              <w:adjustRightInd w:val="0"/>
              <w:snapToGrid w:val="0"/>
              <w:spacing w:line="240" w:lineRule="exact"/>
              <w:ind w:left="0" w:firstLineChars="0"/>
              <w:rPr>
                <w:rFonts w:eastAsiaTheme="minorEastAsia"/>
                <w:kern w:val="0"/>
                <w:szCs w:val="21"/>
              </w:rPr>
            </w:pPr>
            <w:r>
              <w:rPr>
                <w:rFonts w:eastAsiaTheme="minorEastAsia"/>
                <w:kern w:val="0"/>
                <w:szCs w:val="21"/>
              </w:rPr>
              <w:t>1</w:t>
            </w:r>
            <w:r>
              <w:rPr>
                <w:rFonts w:hAnsiTheme="minorEastAsia" w:eastAsiaTheme="minorEastAsia"/>
                <w:kern w:val="0"/>
                <w:szCs w:val="21"/>
              </w:rPr>
              <w:t>、</w:t>
            </w:r>
          </w:p>
          <w:p>
            <w:pPr>
              <w:pStyle w:val="48"/>
              <w:numPr>
                <w:ilvl w:val="0"/>
                <w:numId w:val="3"/>
              </w:numPr>
              <w:adjustRightInd w:val="0"/>
              <w:snapToGrid w:val="0"/>
              <w:spacing w:line="240" w:lineRule="exact"/>
              <w:ind w:left="0" w:firstLine="0" w:firstLineChars="0"/>
              <w:rPr>
                <w:rFonts w:eastAsiaTheme="minorEastAsia"/>
                <w:kern w:val="0"/>
                <w:szCs w:val="21"/>
              </w:rPr>
            </w:pPr>
          </w:p>
        </w:tc>
      </w:tr>
    </w:tbl>
    <w:p>
      <w:pPr>
        <w:widowControl/>
        <w:spacing w:line="360" w:lineRule="auto"/>
        <w:ind w:firstLine="480" w:firstLineChars="200"/>
        <w:jc w:val="left"/>
        <w:rPr>
          <w:rFonts w:eastAsiaTheme="minorEastAsia"/>
          <w:sz w:val="24"/>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0"/>
        <w:gridCol w:w="1557"/>
        <w:gridCol w:w="781"/>
        <w:gridCol w:w="901"/>
        <w:gridCol w:w="84"/>
        <w:gridCol w:w="819"/>
        <w:gridCol w:w="168"/>
        <w:gridCol w:w="735"/>
        <w:gridCol w:w="251"/>
        <w:gridCol w:w="651"/>
        <w:gridCol w:w="335"/>
        <w:gridCol w:w="567"/>
        <w:gridCol w:w="419"/>
        <w:gridCol w:w="483"/>
        <w:gridCol w:w="503"/>
        <w:gridCol w:w="400"/>
        <w:gridCol w:w="587"/>
        <w:gridCol w:w="316"/>
        <w:gridCol w:w="671"/>
        <w:gridCol w:w="232"/>
        <w:gridCol w:w="754"/>
        <w:gridCol w:w="148"/>
        <w:gridCol w:w="838"/>
        <w:gridCol w:w="64"/>
        <w:gridCol w:w="9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790" w:type="dxa"/>
            <w:vMerge w:val="restart"/>
            <w:vAlign w:val="center"/>
          </w:tcPr>
          <w:p>
            <w:pPr>
              <w:spacing w:line="280" w:lineRule="exact"/>
              <w:jc w:val="center"/>
              <w:rPr>
                <w:rFonts w:eastAsiaTheme="minorEastAsia"/>
                <w:bCs/>
                <w:szCs w:val="21"/>
              </w:rPr>
            </w:pPr>
            <w:r>
              <w:rPr>
                <w:rFonts w:eastAsiaTheme="minorEastAsia"/>
                <w:b/>
                <w:szCs w:val="21"/>
              </w:rPr>
              <w:br w:type="page"/>
            </w:r>
            <w:r>
              <w:rPr>
                <w:rFonts w:hAnsiTheme="minorEastAsia" w:eastAsiaTheme="minorEastAsia"/>
                <w:bCs/>
                <w:szCs w:val="21"/>
              </w:rPr>
              <w:t>监测</w:t>
            </w:r>
          </w:p>
          <w:p>
            <w:pPr>
              <w:adjustRightInd w:val="0"/>
              <w:snapToGrid w:val="0"/>
              <w:spacing w:line="280" w:lineRule="exact"/>
              <w:jc w:val="center"/>
              <w:rPr>
                <w:rFonts w:eastAsiaTheme="minorEastAsia"/>
                <w:bCs/>
                <w:szCs w:val="21"/>
              </w:rPr>
            </w:pPr>
            <w:r>
              <w:rPr>
                <w:rFonts w:hAnsiTheme="minorEastAsia" w:eastAsiaTheme="minorEastAsia"/>
                <w:bCs/>
                <w:szCs w:val="21"/>
              </w:rPr>
              <w:t>日期</w:t>
            </w:r>
          </w:p>
        </w:tc>
        <w:tc>
          <w:tcPr>
            <w:tcW w:w="1557" w:type="dxa"/>
            <w:vMerge w:val="restart"/>
            <w:vAlign w:val="center"/>
          </w:tcPr>
          <w:p>
            <w:pPr>
              <w:adjustRightInd w:val="0"/>
              <w:snapToGrid w:val="0"/>
              <w:spacing w:line="280" w:lineRule="exact"/>
              <w:jc w:val="center"/>
              <w:rPr>
                <w:rFonts w:eastAsiaTheme="minorEastAsia"/>
                <w:bCs/>
                <w:szCs w:val="21"/>
              </w:rPr>
            </w:pPr>
            <w:r>
              <w:rPr>
                <w:rFonts w:hAnsiTheme="minorEastAsia" w:eastAsiaTheme="minorEastAsia"/>
                <w:bCs/>
                <w:szCs w:val="21"/>
              </w:rPr>
              <w:t>监测点位</w:t>
            </w:r>
          </w:p>
        </w:tc>
        <w:tc>
          <w:tcPr>
            <w:tcW w:w="781" w:type="dxa"/>
            <w:vMerge w:val="restart"/>
            <w:vAlign w:val="center"/>
          </w:tcPr>
          <w:p>
            <w:pPr>
              <w:spacing w:line="280" w:lineRule="exact"/>
              <w:jc w:val="center"/>
              <w:rPr>
                <w:rFonts w:eastAsiaTheme="minorEastAsia"/>
                <w:bCs/>
                <w:szCs w:val="21"/>
              </w:rPr>
            </w:pPr>
            <w:r>
              <w:rPr>
                <w:rFonts w:hAnsiTheme="minorEastAsia" w:eastAsiaTheme="minorEastAsia"/>
                <w:bCs/>
                <w:szCs w:val="21"/>
              </w:rPr>
              <w:t>采样</w:t>
            </w:r>
          </w:p>
          <w:p>
            <w:pPr>
              <w:spacing w:line="280" w:lineRule="exact"/>
              <w:jc w:val="center"/>
              <w:rPr>
                <w:rFonts w:eastAsiaTheme="minorEastAsia"/>
                <w:bCs/>
                <w:szCs w:val="21"/>
              </w:rPr>
            </w:pPr>
            <w:r>
              <w:rPr>
                <w:rFonts w:hAnsiTheme="minorEastAsia" w:eastAsiaTheme="minorEastAsia"/>
                <w:bCs/>
                <w:szCs w:val="21"/>
              </w:rPr>
              <w:t>深度</w:t>
            </w:r>
          </w:p>
          <w:p>
            <w:pPr>
              <w:adjustRightInd w:val="0"/>
              <w:snapToGrid w:val="0"/>
              <w:spacing w:line="280" w:lineRule="exact"/>
              <w:jc w:val="center"/>
              <w:rPr>
                <w:rFonts w:eastAsiaTheme="minorEastAsia"/>
                <w:bCs/>
                <w:szCs w:val="21"/>
              </w:rPr>
            </w:pPr>
            <w:r>
              <w:rPr>
                <w:rFonts w:eastAsiaTheme="minorEastAsia"/>
                <w:bCs/>
                <w:szCs w:val="21"/>
              </w:rPr>
              <w:t>(m)</w:t>
            </w:r>
          </w:p>
        </w:tc>
        <w:tc>
          <w:tcPr>
            <w:tcW w:w="10837" w:type="dxa"/>
            <w:gridSpan w:val="22"/>
            <w:vAlign w:val="center"/>
          </w:tcPr>
          <w:p>
            <w:pPr>
              <w:adjustRightInd w:val="0"/>
              <w:snapToGrid w:val="0"/>
              <w:spacing w:line="280" w:lineRule="exact"/>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790" w:type="dxa"/>
            <w:vMerge w:val="continue"/>
            <w:vAlign w:val="center"/>
          </w:tcPr>
          <w:p>
            <w:pPr>
              <w:widowControl/>
              <w:jc w:val="left"/>
              <w:rPr>
                <w:rFonts w:eastAsiaTheme="minorEastAsia"/>
                <w:bCs/>
                <w:szCs w:val="21"/>
              </w:rPr>
            </w:pPr>
          </w:p>
        </w:tc>
        <w:tc>
          <w:tcPr>
            <w:tcW w:w="1557" w:type="dxa"/>
            <w:vMerge w:val="continue"/>
            <w:vAlign w:val="center"/>
          </w:tcPr>
          <w:p>
            <w:pPr>
              <w:widowControl/>
              <w:jc w:val="left"/>
              <w:rPr>
                <w:rFonts w:eastAsiaTheme="minorEastAsia"/>
                <w:bCs/>
                <w:szCs w:val="21"/>
              </w:rPr>
            </w:pPr>
          </w:p>
        </w:tc>
        <w:tc>
          <w:tcPr>
            <w:tcW w:w="781" w:type="dxa"/>
            <w:vMerge w:val="continue"/>
            <w:vAlign w:val="center"/>
          </w:tcPr>
          <w:p>
            <w:pPr>
              <w:widowControl/>
              <w:jc w:val="left"/>
              <w:rPr>
                <w:rFonts w:eastAsiaTheme="minorEastAsia"/>
                <w:bCs/>
                <w:szCs w:val="21"/>
              </w:rPr>
            </w:pPr>
          </w:p>
        </w:tc>
        <w:tc>
          <w:tcPr>
            <w:tcW w:w="985" w:type="dxa"/>
            <w:gridSpan w:val="2"/>
            <w:vAlign w:val="center"/>
          </w:tcPr>
          <w:p>
            <w:pPr>
              <w:ind w:left="-105" w:leftChars="-50" w:right="-105" w:rightChars="-50"/>
              <w:jc w:val="center"/>
              <w:rPr>
                <w:rFonts w:eastAsiaTheme="minorEastAsia"/>
                <w:szCs w:val="21"/>
              </w:rPr>
            </w:pPr>
            <w:r>
              <w:rPr>
                <w:rFonts w:hAnsiTheme="minorEastAsia" w:eastAsiaTheme="minorEastAsia"/>
                <w:szCs w:val="21"/>
              </w:rPr>
              <w:t>铅</w:t>
            </w:r>
          </w:p>
          <w:p>
            <w:pPr>
              <w:widowControl/>
              <w:ind w:left="-105" w:leftChars="-50" w:right="-105" w:rightChars="-50"/>
              <w:jc w:val="center"/>
              <w:rPr>
                <w:rFonts w:eastAsiaTheme="minorEastAsia"/>
                <w:kern w:val="0"/>
                <w:szCs w:val="21"/>
              </w:rPr>
            </w:pPr>
            <w:r>
              <w:rPr>
                <w:rFonts w:eastAsiaTheme="minorEastAsia"/>
                <w:szCs w:val="21"/>
              </w:rPr>
              <w:t>(mg/kg)</w:t>
            </w:r>
          </w:p>
        </w:tc>
        <w:tc>
          <w:tcPr>
            <w:tcW w:w="987" w:type="dxa"/>
            <w:gridSpan w:val="2"/>
            <w:vAlign w:val="center"/>
          </w:tcPr>
          <w:p>
            <w:pPr>
              <w:ind w:left="-105" w:leftChars="-50" w:right="-105" w:rightChars="-50"/>
              <w:jc w:val="center"/>
              <w:rPr>
                <w:rFonts w:eastAsiaTheme="minorEastAsia"/>
                <w:szCs w:val="21"/>
              </w:rPr>
            </w:pPr>
            <w:r>
              <w:rPr>
                <w:rFonts w:hAnsiTheme="minorEastAsia" w:eastAsiaTheme="minorEastAsia"/>
                <w:szCs w:val="21"/>
              </w:rPr>
              <w:t>镉</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86" w:type="dxa"/>
            <w:gridSpan w:val="2"/>
            <w:vAlign w:val="center"/>
          </w:tcPr>
          <w:p>
            <w:pPr>
              <w:widowControl/>
              <w:ind w:left="-105" w:leftChars="-50" w:right="-105" w:rightChars="-50"/>
              <w:jc w:val="center"/>
              <w:rPr>
                <w:rFonts w:eastAsiaTheme="minorEastAsia"/>
                <w:szCs w:val="21"/>
              </w:rPr>
            </w:pPr>
            <w:r>
              <w:rPr>
                <w:rFonts w:hAnsiTheme="minorEastAsia" w:eastAsiaTheme="minorEastAsia"/>
                <w:szCs w:val="21"/>
              </w:rPr>
              <w:t>铜</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 xml:space="preserve"> (mg/kg)</w:t>
            </w:r>
          </w:p>
        </w:tc>
        <w:tc>
          <w:tcPr>
            <w:tcW w:w="986" w:type="dxa"/>
            <w:gridSpan w:val="2"/>
            <w:vAlign w:val="center"/>
          </w:tcPr>
          <w:p>
            <w:pPr>
              <w:ind w:left="-105" w:leftChars="-50" w:right="-105" w:rightChars="-50"/>
              <w:jc w:val="center"/>
              <w:rPr>
                <w:rFonts w:eastAsiaTheme="minorEastAsia"/>
                <w:szCs w:val="21"/>
              </w:rPr>
            </w:pPr>
            <w:r>
              <w:rPr>
                <w:rFonts w:hAnsiTheme="minorEastAsia" w:eastAsiaTheme="minorEastAsia"/>
                <w:szCs w:val="21"/>
              </w:rPr>
              <w:t>镍</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86" w:type="dxa"/>
            <w:gridSpan w:val="2"/>
            <w:vAlign w:val="center"/>
          </w:tcPr>
          <w:p>
            <w:pPr>
              <w:ind w:left="-105" w:leftChars="-50" w:right="-105" w:rightChars="-50"/>
              <w:jc w:val="center"/>
              <w:rPr>
                <w:rFonts w:eastAsiaTheme="minorEastAsia"/>
                <w:szCs w:val="21"/>
              </w:rPr>
            </w:pPr>
            <w:r>
              <w:rPr>
                <w:rFonts w:hAnsiTheme="minorEastAsia" w:eastAsiaTheme="minorEastAsia"/>
                <w:szCs w:val="21"/>
              </w:rPr>
              <w:t>汞</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(mg/kg)</w:t>
            </w:r>
          </w:p>
        </w:tc>
        <w:tc>
          <w:tcPr>
            <w:tcW w:w="986" w:type="dxa"/>
            <w:gridSpan w:val="2"/>
            <w:vAlign w:val="center"/>
          </w:tcPr>
          <w:p>
            <w:pPr>
              <w:ind w:left="-105" w:leftChars="-50" w:right="-105" w:rightChars="-50"/>
              <w:jc w:val="center"/>
              <w:rPr>
                <w:rFonts w:eastAsiaTheme="minorEastAsia"/>
                <w:szCs w:val="21"/>
              </w:rPr>
            </w:pPr>
            <w:r>
              <w:rPr>
                <w:rFonts w:hAnsiTheme="minorEastAsia" w:eastAsiaTheme="minorEastAsia"/>
                <w:szCs w:val="21"/>
              </w:rPr>
              <w:t>砷</w:t>
            </w:r>
          </w:p>
          <w:p>
            <w:pPr>
              <w:adjustRightInd w:val="0"/>
              <w:snapToGrid w:val="0"/>
              <w:spacing w:line="240" w:lineRule="atLeast"/>
              <w:ind w:left="-105" w:leftChars="-50" w:right="-105" w:rightChars="-50"/>
              <w:jc w:val="center"/>
              <w:rPr>
                <w:rFonts w:eastAsiaTheme="minorEastAsia"/>
                <w:szCs w:val="21"/>
              </w:rPr>
            </w:pPr>
            <w:r>
              <w:rPr>
                <w:rFonts w:eastAsiaTheme="minorEastAsia"/>
                <w:szCs w:val="21"/>
              </w:rPr>
              <w:t xml:space="preserve"> (mg/kg)</w:t>
            </w:r>
          </w:p>
        </w:tc>
        <w:tc>
          <w:tcPr>
            <w:tcW w:w="987" w:type="dxa"/>
            <w:gridSpan w:val="2"/>
            <w:vAlign w:val="center"/>
          </w:tcPr>
          <w:p>
            <w:pPr>
              <w:ind w:left="-105" w:leftChars="-50" w:right="-105" w:rightChars="-50"/>
              <w:jc w:val="center"/>
              <w:rPr>
                <w:rFonts w:eastAsiaTheme="minorEastAsia"/>
                <w:szCs w:val="21"/>
              </w:rPr>
            </w:pPr>
            <w:r>
              <w:rPr>
                <w:rFonts w:hAnsiTheme="minorEastAsia" w:eastAsiaTheme="minorEastAsia"/>
                <w:szCs w:val="21"/>
              </w:rPr>
              <w:t>六价铬</w:t>
            </w:r>
          </w:p>
          <w:p>
            <w:pPr>
              <w:adjustRightInd w:val="0"/>
              <w:snapToGrid w:val="0"/>
              <w:spacing w:line="240" w:lineRule="atLeast"/>
              <w:ind w:left="-50" w:right="-50"/>
              <w:jc w:val="center"/>
              <w:rPr>
                <w:rFonts w:eastAsiaTheme="minorEastAsia"/>
                <w:szCs w:val="21"/>
              </w:rPr>
            </w:pPr>
            <w:r>
              <w:rPr>
                <w:rFonts w:eastAsiaTheme="minorEastAsia"/>
                <w:szCs w:val="21"/>
              </w:rPr>
              <w:t>(mg/kg)</w:t>
            </w:r>
          </w:p>
        </w:tc>
        <w:tc>
          <w:tcPr>
            <w:tcW w:w="987" w:type="dxa"/>
            <w:gridSpan w:val="2"/>
            <w:vAlign w:val="center"/>
          </w:tcPr>
          <w:p>
            <w:pPr>
              <w:jc w:val="center"/>
              <w:rPr>
                <w:rFonts w:eastAsiaTheme="minorEastAsia"/>
                <w:szCs w:val="21"/>
              </w:rPr>
            </w:pPr>
            <w:r>
              <w:rPr>
                <w:rFonts w:hAnsiTheme="minorEastAsia" w:eastAsiaTheme="minorEastAsia"/>
                <w:szCs w:val="21"/>
              </w:rPr>
              <w:t>苯胺</w:t>
            </w:r>
          </w:p>
          <w:p>
            <w:pPr>
              <w:adjustRightInd w:val="0"/>
              <w:snapToGrid w:val="0"/>
              <w:spacing w:line="240" w:lineRule="atLeast"/>
              <w:jc w:val="center"/>
              <w:rPr>
                <w:rFonts w:eastAsiaTheme="minorEastAsia"/>
                <w:szCs w:val="21"/>
              </w:rPr>
            </w:pPr>
            <w:r>
              <w:rPr>
                <w:rFonts w:eastAsiaTheme="minorEastAsia"/>
                <w:szCs w:val="21"/>
              </w:rPr>
              <w:t>(mg/kg)</w:t>
            </w:r>
          </w:p>
        </w:tc>
        <w:tc>
          <w:tcPr>
            <w:tcW w:w="986" w:type="dxa"/>
            <w:gridSpan w:val="2"/>
            <w:vAlign w:val="center"/>
          </w:tcPr>
          <w:p>
            <w:pPr>
              <w:jc w:val="center"/>
              <w:rPr>
                <w:rFonts w:eastAsiaTheme="minorEastAsia"/>
                <w:szCs w:val="21"/>
              </w:rPr>
            </w:pPr>
            <w:r>
              <w:rPr>
                <w:rFonts w:hAnsiTheme="minorEastAsia" w:eastAsiaTheme="minorEastAsia"/>
                <w:szCs w:val="21"/>
              </w:rPr>
              <w:t>硝基苯</w:t>
            </w:r>
          </w:p>
          <w:p>
            <w:pPr>
              <w:adjustRightInd w:val="0"/>
              <w:snapToGrid w:val="0"/>
              <w:spacing w:line="240" w:lineRule="atLeast"/>
              <w:jc w:val="center"/>
              <w:rPr>
                <w:rFonts w:eastAsiaTheme="minorEastAsia"/>
                <w:szCs w:val="21"/>
              </w:rPr>
            </w:pPr>
            <w:r>
              <w:rPr>
                <w:rFonts w:eastAsiaTheme="minorEastAsia"/>
                <w:szCs w:val="21"/>
              </w:rPr>
              <w:t>(mg/kg)</w:t>
            </w:r>
          </w:p>
        </w:tc>
        <w:tc>
          <w:tcPr>
            <w:tcW w:w="986" w:type="dxa"/>
            <w:gridSpan w:val="2"/>
            <w:vAlign w:val="center"/>
          </w:tcPr>
          <w:p>
            <w:pPr>
              <w:jc w:val="center"/>
              <w:rPr>
                <w:rFonts w:eastAsiaTheme="minorEastAsia"/>
                <w:szCs w:val="21"/>
              </w:rPr>
            </w:pPr>
            <w:r>
              <w:rPr>
                <w:rFonts w:eastAsiaTheme="minorEastAsia"/>
                <w:szCs w:val="21"/>
              </w:rPr>
              <w:t>2-</w:t>
            </w:r>
            <w:r>
              <w:rPr>
                <w:rFonts w:hAnsiTheme="minorEastAsia" w:eastAsiaTheme="minorEastAsia"/>
                <w:szCs w:val="21"/>
              </w:rPr>
              <w:t>氯酚</w:t>
            </w:r>
          </w:p>
          <w:p>
            <w:pPr>
              <w:adjustRightInd w:val="0"/>
              <w:snapToGrid w:val="0"/>
              <w:spacing w:line="240" w:lineRule="atLeast"/>
              <w:jc w:val="center"/>
              <w:rPr>
                <w:rFonts w:eastAsiaTheme="minorEastAsia"/>
                <w:szCs w:val="21"/>
              </w:rPr>
            </w:pPr>
            <w:r>
              <w:rPr>
                <w:rFonts w:eastAsiaTheme="minorEastAsia"/>
                <w:szCs w:val="21"/>
              </w:rPr>
              <w:t>(mg/kg)</w:t>
            </w:r>
          </w:p>
        </w:tc>
        <w:tc>
          <w:tcPr>
            <w:tcW w:w="975" w:type="dxa"/>
            <w:gridSpan w:val="2"/>
            <w:vAlign w:val="center"/>
          </w:tcPr>
          <w:p>
            <w:pPr>
              <w:adjustRightInd w:val="0"/>
              <w:snapToGrid w:val="0"/>
              <w:spacing w:line="240" w:lineRule="atLeast"/>
              <w:jc w:val="center"/>
              <w:rPr>
                <w:rFonts w:eastAsiaTheme="minorEastAsia"/>
                <w:szCs w:val="21"/>
              </w:rPr>
            </w:pPr>
            <w:r>
              <w:rPr>
                <w:rFonts w:hAnsiTheme="minorEastAsia" w:eastAsiaTheme="minorEastAsia"/>
                <w:szCs w:val="21"/>
              </w:rPr>
              <w:t>氯甲烷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90" w:type="dxa"/>
            <w:vMerge w:val="restart"/>
            <w:vAlign w:val="center"/>
          </w:tcPr>
          <w:p>
            <w:pPr>
              <w:adjustRightInd w:val="0"/>
              <w:snapToGrid w:val="0"/>
              <w:spacing w:line="280" w:lineRule="exact"/>
              <w:jc w:val="center"/>
              <w:rPr>
                <w:rFonts w:eastAsiaTheme="minorEastAsia"/>
                <w:szCs w:val="21"/>
              </w:rPr>
            </w:pPr>
          </w:p>
        </w:tc>
        <w:tc>
          <w:tcPr>
            <w:tcW w:w="1557" w:type="dxa"/>
            <w:vMerge w:val="restart"/>
            <w:vAlign w:val="center"/>
          </w:tcPr>
          <w:p>
            <w:pPr>
              <w:spacing w:line="240" w:lineRule="exact"/>
              <w:jc w:val="center"/>
              <w:rPr>
                <w:rFonts w:eastAsiaTheme="minorEastAsia"/>
                <w:szCs w:val="21"/>
                <w:vertAlign w:val="superscript"/>
              </w:rPr>
            </w:pPr>
            <w:r>
              <w:rPr>
                <w:rFonts w:eastAsiaTheme="minorEastAsia"/>
                <w:szCs w:val="21"/>
              </w:rPr>
              <w:t>13</w:t>
            </w:r>
            <w:r>
              <w:rPr>
                <w:rFonts w:eastAsiaTheme="minorEastAsia"/>
                <w:szCs w:val="21"/>
                <w:vertAlign w:val="superscript"/>
              </w:rPr>
              <w:t>#</w:t>
            </w:r>
          </w:p>
          <w:p>
            <w:pPr>
              <w:adjustRightInd w:val="0"/>
              <w:snapToGrid w:val="0"/>
              <w:spacing w:line="240" w:lineRule="exact"/>
              <w:jc w:val="center"/>
              <w:rPr>
                <w:rFonts w:eastAsiaTheme="minorEastAsia"/>
                <w:szCs w:val="21"/>
                <w:vertAlign w:val="superscript"/>
              </w:rPr>
            </w:pP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85" w:type="dxa"/>
            <w:gridSpan w:val="2"/>
            <w:vAlign w:val="center"/>
          </w:tcPr>
          <w:p>
            <w:pPr>
              <w:adjustRightInd w:val="0"/>
              <w:snapToGrid w:val="0"/>
              <w:spacing w:line="240" w:lineRule="atLeast"/>
              <w:jc w:val="center"/>
              <w:rPr>
                <w:rFonts w:eastAsiaTheme="minorEastAsia"/>
                <w:szCs w:val="21"/>
              </w:rPr>
            </w:pPr>
          </w:p>
        </w:tc>
        <w:tc>
          <w:tcPr>
            <w:tcW w:w="987"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adjustRightInd w:val="0"/>
              <w:snapToGrid w:val="0"/>
              <w:spacing w:line="240" w:lineRule="atLeast"/>
              <w:jc w:val="center"/>
              <w:rPr>
                <w:rFonts w:eastAsiaTheme="minorEastAsia"/>
                <w:szCs w:val="21"/>
              </w:rPr>
            </w:pPr>
          </w:p>
        </w:tc>
        <w:tc>
          <w:tcPr>
            <w:tcW w:w="986"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adjustRightInd w:val="0"/>
              <w:snapToGrid w:val="0"/>
              <w:spacing w:line="240" w:lineRule="atLeast"/>
              <w:jc w:val="center"/>
              <w:rPr>
                <w:rFonts w:eastAsiaTheme="minorEastAsia"/>
                <w:szCs w:val="21"/>
              </w:rPr>
            </w:pPr>
          </w:p>
        </w:tc>
        <w:tc>
          <w:tcPr>
            <w:tcW w:w="987" w:type="dxa"/>
            <w:gridSpan w:val="2"/>
            <w:vAlign w:val="center"/>
          </w:tcPr>
          <w:p>
            <w:pPr>
              <w:adjustRightInd w:val="0"/>
              <w:snapToGrid w:val="0"/>
              <w:spacing w:line="240" w:lineRule="atLeast"/>
              <w:jc w:val="center"/>
              <w:rPr>
                <w:rFonts w:eastAsiaTheme="minorEastAsia"/>
                <w:szCs w:val="21"/>
              </w:rPr>
            </w:pPr>
          </w:p>
        </w:tc>
        <w:tc>
          <w:tcPr>
            <w:tcW w:w="987"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adjustRightInd w:val="0"/>
              <w:snapToGrid w:val="0"/>
              <w:spacing w:line="240" w:lineRule="atLeast"/>
              <w:jc w:val="center"/>
              <w:rPr>
                <w:rFonts w:eastAsiaTheme="minorEastAsia"/>
              </w:rPr>
            </w:pPr>
          </w:p>
        </w:tc>
        <w:tc>
          <w:tcPr>
            <w:tcW w:w="986" w:type="dxa"/>
            <w:gridSpan w:val="2"/>
            <w:vAlign w:val="center"/>
          </w:tcPr>
          <w:p>
            <w:pPr>
              <w:adjustRightInd w:val="0"/>
              <w:snapToGrid w:val="0"/>
              <w:spacing w:line="240" w:lineRule="atLeast"/>
              <w:jc w:val="center"/>
              <w:rPr>
                <w:rFonts w:eastAsiaTheme="minorEastAsia"/>
              </w:rPr>
            </w:pPr>
          </w:p>
        </w:tc>
        <w:tc>
          <w:tcPr>
            <w:tcW w:w="975" w:type="dxa"/>
            <w:gridSpan w:val="2"/>
            <w:vAlign w:val="center"/>
          </w:tcPr>
          <w:p>
            <w:pPr>
              <w:widowControl/>
              <w:jc w:val="center"/>
              <w:rPr>
                <w:rFonts w:eastAsiaTheme="minorEastAsia"/>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90" w:type="dxa"/>
            <w:vMerge w:val="continue"/>
            <w:vAlign w:val="center"/>
          </w:tcPr>
          <w:p>
            <w:pPr>
              <w:widowControl/>
              <w:jc w:val="left"/>
              <w:rPr>
                <w:rFonts w:eastAsiaTheme="minorEastAsia"/>
                <w:szCs w:val="21"/>
              </w:rPr>
            </w:pPr>
          </w:p>
        </w:tc>
        <w:tc>
          <w:tcPr>
            <w:tcW w:w="1557" w:type="dxa"/>
            <w:vMerge w:val="continue"/>
            <w:vAlign w:val="center"/>
          </w:tcPr>
          <w:p>
            <w:pPr>
              <w:widowControl/>
              <w:jc w:val="left"/>
              <w:rPr>
                <w:rFonts w:eastAsiaTheme="minorEastAsia"/>
                <w:szCs w:val="21"/>
                <w:vertAlign w:val="superscript"/>
              </w:rPr>
            </w:pP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85" w:type="dxa"/>
            <w:gridSpan w:val="2"/>
            <w:vAlign w:val="center"/>
          </w:tcPr>
          <w:p>
            <w:pPr>
              <w:adjustRightInd w:val="0"/>
              <w:snapToGrid w:val="0"/>
              <w:spacing w:line="240" w:lineRule="atLeast"/>
              <w:jc w:val="center"/>
              <w:rPr>
                <w:rFonts w:eastAsiaTheme="minorEastAsia"/>
                <w:szCs w:val="21"/>
              </w:rPr>
            </w:pPr>
          </w:p>
        </w:tc>
        <w:tc>
          <w:tcPr>
            <w:tcW w:w="987"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adjustRightInd w:val="0"/>
              <w:snapToGrid w:val="0"/>
              <w:spacing w:line="240" w:lineRule="atLeast"/>
              <w:jc w:val="center"/>
              <w:rPr>
                <w:rFonts w:eastAsiaTheme="minorEastAsia"/>
                <w:szCs w:val="21"/>
              </w:rPr>
            </w:pPr>
          </w:p>
        </w:tc>
        <w:tc>
          <w:tcPr>
            <w:tcW w:w="986"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adjustRightInd w:val="0"/>
              <w:snapToGrid w:val="0"/>
              <w:spacing w:line="240" w:lineRule="atLeast"/>
              <w:jc w:val="center"/>
              <w:rPr>
                <w:rFonts w:eastAsiaTheme="minorEastAsia"/>
                <w:szCs w:val="21"/>
              </w:rPr>
            </w:pPr>
          </w:p>
        </w:tc>
        <w:tc>
          <w:tcPr>
            <w:tcW w:w="987" w:type="dxa"/>
            <w:gridSpan w:val="2"/>
            <w:vAlign w:val="center"/>
          </w:tcPr>
          <w:p>
            <w:pPr>
              <w:adjustRightInd w:val="0"/>
              <w:snapToGrid w:val="0"/>
              <w:spacing w:line="240" w:lineRule="atLeast"/>
              <w:jc w:val="center"/>
              <w:rPr>
                <w:rFonts w:eastAsiaTheme="minorEastAsia"/>
                <w:szCs w:val="21"/>
              </w:rPr>
            </w:pPr>
          </w:p>
        </w:tc>
        <w:tc>
          <w:tcPr>
            <w:tcW w:w="987"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adjustRightInd w:val="0"/>
              <w:snapToGrid w:val="0"/>
              <w:spacing w:line="240" w:lineRule="atLeast"/>
              <w:jc w:val="center"/>
              <w:rPr>
                <w:rFonts w:eastAsiaTheme="minorEastAsia"/>
              </w:rPr>
            </w:pPr>
          </w:p>
        </w:tc>
        <w:tc>
          <w:tcPr>
            <w:tcW w:w="986" w:type="dxa"/>
            <w:gridSpan w:val="2"/>
            <w:vAlign w:val="center"/>
          </w:tcPr>
          <w:p>
            <w:pPr>
              <w:adjustRightInd w:val="0"/>
              <w:snapToGrid w:val="0"/>
              <w:spacing w:line="240" w:lineRule="atLeast"/>
              <w:jc w:val="center"/>
              <w:rPr>
                <w:rFonts w:eastAsiaTheme="minorEastAsia"/>
              </w:rPr>
            </w:pPr>
          </w:p>
        </w:tc>
        <w:tc>
          <w:tcPr>
            <w:tcW w:w="975" w:type="dxa"/>
            <w:gridSpan w:val="2"/>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790" w:type="dxa"/>
            <w:vMerge w:val="continue"/>
            <w:vAlign w:val="center"/>
          </w:tcPr>
          <w:p>
            <w:pPr>
              <w:widowControl/>
              <w:jc w:val="left"/>
              <w:rPr>
                <w:rFonts w:eastAsiaTheme="minorEastAsia"/>
                <w:szCs w:val="21"/>
              </w:rPr>
            </w:pPr>
          </w:p>
        </w:tc>
        <w:tc>
          <w:tcPr>
            <w:tcW w:w="1557" w:type="dxa"/>
            <w:vMerge w:val="continue"/>
            <w:vAlign w:val="center"/>
          </w:tcPr>
          <w:p>
            <w:pPr>
              <w:widowControl/>
              <w:jc w:val="left"/>
              <w:rPr>
                <w:rFonts w:eastAsiaTheme="minorEastAsia"/>
                <w:szCs w:val="21"/>
                <w:vertAlign w:val="superscript"/>
              </w:rPr>
            </w:pP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85" w:type="dxa"/>
            <w:gridSpan w:val="2"/>
            <w:vAlign w:val="center"/>
          </w:tcPr>
          <w:p>
            <w:pPr>
              <w:adjustRightInd w:val="0"/>
              <w:snapToGrid w:val="0"/>
              <w:spacing w:line="240" w:lineRule="atLeast"/>
              <w:jc w:val="center"/>
              <w:rPr>
                <w:rFonts w:eastAsiaTheme="minorEastAsia"/>
                <w:szCs w:val="21"/>
              </w:rPr>
            </w:pPr>
          </w:p>
        </w:tc>
        <w:tc>
          <w:tcPr>
            <w:tcW w:w="987"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adjustRightInd w:val="0"/>
              <w:snapToGrid w:val="0"/>
              <w:spacing w:line="240" w:lineRule="atLeast"/>
              <w:jc w:val="center"/>
              <w:rPr>
                <w:rFonts w:eastAsiaTheme="minorEastAsia"/>
                <w:szCs w:val="21"/>
              </w:rPr>
            </w:pPr>
          </w:p>
        </w:tc>
        <w:tc>
          <w:tcPr>
            <w:tcW w:w="986"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adjustRightInd w:val="0"/>
              <w:snapToGrid w:val="0"/>
              <w:spacing w:line="240" w:lineRule="atLeast"/>
              <w:jc w:val="center"/>
              <w:rPr>
                <w:rFonts w:eastAsiaTheme="minorEastAsia"/>
                <w:szCs w:val="21"/>
              </w:rPr>
            </w:pPr>
          </w:p>
        </w:tc>
        <w:tc>
          <w:tcPr>
            <w:tcW w:w="987" w:type="dxa"/>
            <w:gridSpan w:val="2"/>
            <w:vAlign w:val="center"/>
          </w:tcPr>
          <w:p>
            <w:pPr>
              <w:adjustRightInd w:val="0"/>
              <w:snapToGrid w:val="0"/>
              <w:spacing w:line="240" w:lineRule="atLeast"/>
              <w:jc w:val="center"/>
              <w:rPr>
                <w:rFonts w:eastAsiaTheme="minorEastAsia"/>
                <w:szCs w:val="21"/>
              </w:rPr>
            </w:pPr>
          </w:p>
        </w:tc>
        <w:tc>
          <w:tcPr>
            <w:tcW w:w="987" w:type="dxa"/>
            <w:gridSpan w:val="2"/>
            <w:vAlign w:val="center"/>
          </w:tcPr>
          <w:p>
            <w:pPr>
              <w:widowControl/>
              <w:adjustRightInd w:val="0"/>
              <w:snapToGrid w:val="0"/>
              <w:spacing w:line="240" w:lineRule="atLeast"/>
              <w:jc w:val="center"/>
              <w:textAlignment w:val="center"/>
              <w:rPr>
                <w:rFonts w:eastAsiaTheme="minorEastAsia"/>
                <w:kern w:val="0"/>
                <w:szCs w:val="21"/>
              </w:rPr>
            </w:pPr>
          </w:p>
        </w:tc>
        <w:tc>
          <w:tcPr>
            <w:tcW w:w="986" w:type="dxa"/>
            <w:gridSpan w:val="2"/>
            <w:vAlign w:val="center"/>
          </w:tcPr>
          <w:p>
            <w:pPr>
              <w:adjustRightInd w:val="0"/>
              <w:snapToGrid w:val="0"/>
              <w:spacing w:line="240" w:lineRule="atLeast"/>
              <w:jc w:val="center"/>
              <w:rPr>
                <w:rFonts w:eastAsiaTheme="minorEastAsia"/>
              </w:rPr>
            </w:pPr>
          </w:p>
        </w:tc>
        <w:tc>
          <w:tcPr>
            <w:tcW w:w="986" w:type="dxa"/>
            <w:gridSpan w:val="2"/>
            <w:vAlign w:val="center"/>
          </w:tcPr>
          <w:p>
            <w:pPr>
              <w:adjustRightInd w:val="0"/>
              <w:snapToGrid w:val="0"/>
              <w:spacing w:line="240" w:lineRule="atLeast"/>
              <w:jc w:val="center"/>
              <w:rPr>
                <w:rFonts w:eastAsiaTheme="minorEastAsia"/>
              </w:rPr>
            </w:pPr>
          </w:p>
        </w:tc>
        <w:tc>
          <w:tcPr>
            <w:tcW w:w="975" w:type="dxa"/>
            <w:gridSpan w:val="2"/>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790" w:type="dxa"/>
            <w:vMerge w:val="continue"/>
            <w:vAlign w:val="center"/>
          </w:tcPr>
          <w:p>
            <w:pPr>
              <w:widowControl/>
              <w:jc w:val="left"/>
              <w:rPr>
                <w:rFonts w:eastAsiaTheme="minorEastAsia"/>
                <w:szCs w:val="21"/>
              </w:rPr>
            </w:pPr>
          </w:p>
        </w:tc>
        <w:tc>
          <w:tcPr>
            <w:tcW w:w="1557" w:type="dxa"/>
            <w:vMerge w:val="continue"/>
            <w:vAlign w:val="center"/>
          </w:tcPr>
          <w:p>
            <w:pPr>
              <w:widowControl/>
              <w:jc w:val="left"/>
              <w:rPr>
                <w:rFonts w:eastAsiaTheme="minorEastAsia"/>
                <w:szCs w:val="21"/>
                <w:vertAlign w:val="superscript"/>
              </w:rPr>
            </w:pPr>
          </w:p>
        </w:tc>
        <w:tc>
          <w:tcPr>
            <w:tcW w:w="781" w:type="dxa"/>
            <w:vMerge w:val="restart"/>
            <w:vAlign w:val="center"/>
          </w:tcPr>
          <w:p>
            <w:pPr>
              <w:spacing w:line="280" w:lineRule="exact"/>
              <w:jc w:val="center"/>
              <w:rPr>
                <w:rFonts w:eastAsiaTheme="minorEastAsia"/>
                <w:bCs/>
                <w:szCs w:val="21"/>
              </w:rPr>
            </w:pPr>
            <w:r>
              <w:rPr>
                <w:rFonts w:hAnsiTheme="minorEastAsia" w:eastAsiaTheme="minorEastAsia"/>
                <w:bCs/>
                <w:szCs w:val="21"/>
              </w:rPr>
              <w:t>采样</w:t>
            </w:r>
          </w:p>
          <w:p>
            <w:pPr>
              <w:spacing w:line="280" w:lineRule="exact"/>
              <w:jc w:val="center"/>
              <w:rPr>
                <w:rFonts w:eastAsiaTheme="minorEastAsia"/>
                <w:bCs/>
                <w:szCs w:val="21"/>
              </w:rPr>
            </w:pPr>
            <w:r>
              <w:rPr>
                <w:rFonts w:hAnsiTheme="minorEastAsia" w:eastAsiaTheme="minorEastAsia"/>
                <w:bCs/>
                <w:szCs w:val="21"/>
              </w:rPr>
              <w:t>深度</w:t>
            </w:r>
          </w:p>
          <w:p>
            <w:pPr>
              <w:adjustRightInd w:val="0"/>
              <w:snapToGrid w:val="0"/>
              <w:spacing w:line="280" w:lineRule="exact"/>
              <w:jc w:val="center"/>
              <w:rPr>
                <w:rFonts w:eastAsiaTheme="minorEastAsia"/>
                <w:bCs/>
                <w:szCs w:val="21"/>
              </w:rPr>
            </w:pPr>
            <w:r>
              <w:rPr>
                <w:rFonts w:eastAsiaTheme="minorEastAsia"/>
                <w:bCs/>
                <w:szCs w:val="21"/>
              </w:rPr>
              <w:t>(m)</w:t>
            </w:r>
          </w:p>
        </w:tc>
        <w:tc>
          <w:tcPr>
            <w:tcW w:w="10837" w:type="dxa"/>
            <w:gridSpan w:val="22"/>
            <w:vAlign w:val="center"/>
          </w:tcPr>
          <w:p>
            <w:pPr>
              <w:adjustRightInd w:val="0"/>
              <w:snapToGrid w:val="0"/>
              <w:spacing w:line="280" w:lineRule="exact"/>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790" w:type="dxa"/>
            <w:vMerge w:val="continue"/>
            <w:vAlign w:val="center"/>
          </w:tcPr>
          <w:p>
            <w:pPr>
              <w:widowControl/>
              <w:jc w:val="left"/>
              <w:rPr>
                <w:rFonts w:eastAsiaTheme="minorEastAsia"/>
                <w:szCs w:val="21"/>
              </w:rPr>
            </w:pPr>
          </w:p>
        </w:tc>
        <w:tc>
          <w:tcPr>
            <w:tcW w:w="1557" w:type="dxa"/>
            <w:vMerge w:val="continue"/>
            <w:vAlign w:val="center"/>
          </w:tcPr>
          <w:p>
            <w:pPr>
              <w:widowControl/>
              <w:jc w:val="left"/>
              <w:rPr>
                <w:rFonts w:eastAsiaTheme="minorEastAsia"/>
                <w:szCs w:val="21"/>
                <w:vertAlign w:val="superscript"/>
              </w:rPr>
            </w:pPr>
          </w:p>
        </w:tc>
        <w:tc>
          <w:tcPr>
            <w:tcW w:w="781" w:type="dxa"/>
            <w:vMerge w:val="continue"/>
            <w:vAlign w:val="center"/>
          </w:tcPr>
          <w:p>
            <w:pPr>
              <w:widowControl/>
              <w:jc w:val="left"/>
              <w:rPr>
                <w:rFonts w:eastAsiaTheme="minorEastAsia"/>
                <w:bCs/>
                <w:szCs w:val="21"/>
              </w:rPr>
            </w:pPr>
          </w:p>
        </w:tc>
        <w:tc>
          <w:tcPr>
            <w:tcW w:w="901" w:type="dxa"/>
            <w:vAlign w:val="center"/>
          </w:tcPr>
          <w:p>
            <w:pPr>
              <w:widowControl/>
              <w:jc w:val="center"/>
              <w:rPr>
                <w:rFonts w:eastAsiaTheme="minorEastAsia"/>
                <w:kern w:val="0"/>
                <w:szCs w:val="21"/>
              </w:rPr>
            </w:pPr>
            <w:r>
              <w:rPr>
                <w:rFonts w:hAnsiTheme="minorEastAsia" w:eastAsiaTheme="minorEastAsia"/>
                <w:szCs w:val="21"/>
              </w:rPr>
              <w:t>氯乙烯</w:t>
            </w:r>
          </w:p>
        </w:tc>
        <w:tc>
          <w:tcPr>
            <w:tcW w:w="903" w:type="dxa"/>
            <w:gridSpan w:val="2"/>
            <w:vAlign w:val="center"/>
          </w:tcPr>
          <w:p>
            <w:pPr>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atLeast"/>
              <w:jc w:val="center"/>
              <w:rPr>
                <w:rFonts w:eastAsiaTheme="minorEastAsia"/>
                <w:szCs w:val="21"/>
              </w:rPr>
            </w:pPr>
            <w:r>
              <w:rPr>
                <w:rFonts w:hAnsiTheme="minorEastAsia" w:eastAsiaTheme="minorEastAsia"/>
                <w:szCs w:val="21"/>
              </w:rPr>
              <w:t>乙烯</w:t>
            </w:r>
          </w:p>
        </w:tc>
        <w:tc>
          <w:tcPr>
            <w:tcW w:w="903" w:type="dxa"/>
            <w:gridSpan w:val="2"/>
            <w:vAlign w:val="center"/>
          </w:tcPr>
          <w:p>
            <w:pPr>
              <w:ind w:left="-105" w:leftChars="-50" w:right="-105" w:rightChars="-50"/>
              <w:jc w:val="center"/>
              <w:rPr>
                <w:rFonts w:eastAsiaTheme="minorEastAsia"/>
                <w:szCs w:val="21"/>
              </w:rPr>
            </w:pP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甲烷</w:t>
            </w:r>
          </w:p>
        </w:tc>
        <w:tc>
          <w:tcPr>
            <w:tcW w:w="902" w:type="dxa"/>
            <w:gridSpan w:val="2"/>
            <w:vAlign w:val="center"/>
          </w:tcPr>
          <w:p>
            <w:pPr>
              <w:ind w:left="-105" w:leftChars="-50" w:right="-105" w:rightChars="-50"/>
              <w:jc w:val="center"/>
              <w:rPr>
                <w:rFonts w:eastAsiaTheme="minorEastAsia"/>
                <w:szCs w:val="21"/>
              </w:rPr>
            </w:pPr>
            <w:r>
              <w:rPr>
                <w:rFonts w:hAnsiTheme="minorEastAsia" w:eastAsiaTheme="minorEastAsia"/>
                <w:szCs w:val="21"/>
              </w:rPr>
              <w:t>反</w:t>
            </w:r>
            <w:r>
              <w:rPr>
                <w:rFonts w:eastAsiaTheme="minorEastAsia"/>
                <w:szCs w:val="21"/>
              </w:rPr>
              <w:t>-1,2-</w:t>
            </w:r>
            <w:r>
              <w:rPr>
                <w:rFonts w:hAnsiTheme="minorEastAsia" w:eastAsiaTheme="minorEastAsia"/>
                <w:szCs w:val="21"/>
              </w:rPr>
              <w:t>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氯乙烯</w:t>
            </w:r>
          </w:p>
        </w:tc>
        <w:tc>
          <w:tcPr>
            <w:tcW w:w="902" w:type="dxa"/>
            <w:gridSpan w:val="2"/>
            <w:vAlign w:val="center"/>
          </w:tcPr>
          <w:p>
            <w:pPr>
              <w:ind w:left="-105" w:leftChars="-50" w:right="-105" w:rightChars="-50"/>
              <w:jc w:val="center"/>
              <w:rPr>
                <w:rFonts w:eastAsiaTheme="minorEastAsia"/>
                <w:szCs w:val="21"/>
              </w:rPr>
            </w:pPr>
            <w:r>
              <w:rPr>
                <w:rFonts w:eastAsiaTheme="minorEastAsia"/>
                <w:szCs w:val="21"/>
              </w:rPr>
              <w:t>1,1-</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902" w:type="dxa"/>
            <w:gridSpan w:val="2"/>
            <w:vAlign w:val="center"/>
          </w:tcPr>
          <w:p>
            <w:pPr>
              <w:ind w:left="-105" w:leftChars="-50" w:right="-105" w:rightChars="-50"/>
              <w:jc w:val="center"/>
              <w:rPr>
                <w:rFonts w:eastAsiaTheme="minorEastAsia"/>
                <w:szCs w:val="21"/>
              </w:rPr>
            </w:pPr>
            <w:r>
              <w:rPr>
                <w:rFonts w:hAnsiTheme="minorEastAsia" w:eastAsiaTheme="minorEastAsia"/>
                <w:szCs w:val="21"/>
              </w:rPr>
              <w:t>顺</w:t>
            </w:r>
            <w:r>
              <w:rPr>
                <w:rFonts w:eastAsiaTheme="minorEastAsia"/>
                <w:szCs w:val="21"/>
              </w:rPr>
              <w:t>-1,2-</w:t>
            </w:r>
            <w:r>
              <w:rPr>
                <w:rFonts w:hAnsiTheme="minorEastAsia" w:eastAsiaTheme="minorEastAsia"/>
                <w:szCs w:val="21"/>
              </w:rPr>
              <w:t>二</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氯乙烯</w:t>
            </w:r>
          </w:p>
        </w:tc>
        <w:tc>
          <w:tcPr>
            <w:tcW w:w="903"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氯仿</w:t>
            </w:r>
          </w:p>
        </w:tc>
        <w:tc>
          <w:tcPr>
            <w:tcW w:w="903"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w:t>
            </w:r>
            <w:r>
              <w:rPr>
                <w:rFonts w:hAnsiTheme="minorEastAsia" w:eastAsiaTheme="minorEastAsia"/>
                <w:szCs w:val="21"/>
              </w:rPr>
              <w:t>三氯乙烷</w:t>
            </w:r>
          </w:p>
        </w:tc>
        <w:tc>
          <w:tcPr>
            <w:tcW w:w="903" w:type="dxa"/>
            <w:gridSpan w:val="2"/>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化碳</w:t>
            </w:r>
          </w:p>
        </w:tc>
        <w:tc>
          <w:tcPr>
            <w:tcW w:w="902" w:type="dxa"/>
            <w:gridSpan w:val="2"/>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w:t>
            </w:r>
          </w:p>
        </w:tc>
        <w:tc>
          <w:tcPr>
            <w:tcW w:w="902" w:type="dxa"/>
            <w:gridSpan w:val="2"/>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乙烷</w:t>
            </w:r>
          </w:p>
        </w:tc>
        <w:tc>
          <w:tcPr>
            <w:tcW w:w="911" w:type="dxa"/>
            <w:vAlign w:val="center"/>
          </w:tcPr>
          <w:p>
            <w:pPr>
              <w:jc w:val="center"/>
              <w:rPr>
                <w:rFonts w:eastAsiaTheme="minorEastAsia"/>
                <w:szCs w:val="21"/>
              </w:rPr>
            </w:pPr>
            <w:r>
              <w:rPr>
                <w:rFonts w:hAnsiTheme="minorEastAsia" w:eastAsiaTheme="minorEastAsia"/>
                <w:szCs w:val="21"/>
              </w:rPr>
              <w:t>三氯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790" w:type="dxa"/>
            <w:vMerge w:val="continue"/>
            <w:vAlign w:val="center"/>
          </w:tcPr>
          <w:p>
            <w:pPr>
              <w:widowControl/>
              <w:jc w:val="left"/>
              <w:rPr>
                <w:rFonts w:eastAsiaTheme="minorEastAsia"/>
                <w:szCs w:val="21"/>
              </w:rPr>
            </w:pPr>
          </w:p>
        </w:tc>
        <w:tc>
          <w:tcPr>
            <w:tcW w:w="1557" w:type="dxa"/>
            <w:vMerge w:val="continue"/>
            <w:vAlign w:val="center"/>
          </w:tcPr>
          <w:p>
            <w:pPr>
              <w:widowControl/>
              <w:jc w:val="left"/>
              <w:rPr>
                <w:rFonts w:eastAsiaTheme="minorEastAsia"/>
                <w:szCs w:val="21"/>
                <w:vertAlign w:val="superscript"/>
              </w:rPr>
            </w:pP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01" w:type="dxa"/>
            <w:vAlign w:val="center"/>
          </w:tcPr>
          <w:p>
            <w:pPr>
              <w:widowControl/>
              <w:jc w:val="center"/>
              <w:rPr>
                <w:rFonts w:eastAsiaTheme="minorEastAsia"/>
                <w:kern w:val="0"/>
                <w:sz w:val="24"/>
              </w:rPr>
            </w:pPr>
          </w:p>
        </w:tc>
        <w:tc>
          <w:tcPr>
            <w:tcW w:w="903"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11" w:type="dxa"/>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790" w:type="dxa"/>
            <w:vMerge w:val="continue"/>
            <w:vAlign w:val="center"/>
          </w:tcPr>
          <w:p>
            <w:pPr>
              <w:widowControl/>
              <w:jc w:val="left"/>
              <w:rPr>
                <w:rFonts w:eastAsiaTheme="minorEastAsia"/>
                <w:szCs w:val="21"/>
              </w:rPr>
            </w:pPr>
          </w:p>
        </w:tc>
        <w:tc>
          <w:tcPr>
            <w:tcW w:w="1557" w:type="dxa"/>
            <w:vMerge w:val="continue"/>
            <w:vAlign w:val="center"/>
          </w:tcPr>
          <w:p>
            <w:pPr>
              <w:widowControl/>
              <w:jc w:val="left"/>
              <w:rPr>
                <w:rFonts w:eastAsiaTheme="minorEastAsia"/>
                <w:szCs w:val="21"/>
                <w:vertAlign w:val="superscript"/>
              </w:rPr>
            </w:pP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01" w:type="dxa"/>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11" w:type="dxa"/>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790" w:type="dxa"/>
            <w:vMerge w:val="continue"/>
            <w:vAlign w:val="center"/>
          </w:tcPr>
          <w:p>
            <w:pPr>
              <w:widowControl/>
              <w:jc w:val="left"/>
              <w:rPr>
                <w:rFonts w:eastAsiaTheme="minorEastAsia"/>
                <w:szCs w:val="21"/>
              </w:rPr>
            </w:pPr>
          </w:p>
        </w:tc>
        <w:tc>
          <w:tcPr>
            <w:tcW w:w="1557" w:type="dxa"/>
            <w:vMerge w:val="continue"/>
            <w:vAlign w:val="center"/>
          </w:tcPr>
          <w:p>
            <w:pPr>
              <w:widowControl/>
              <w:jc w:val="left"/>
              <w:rPr>
                <w:rFonts w:eastAsiaTheme="minorEastAsia"/>
                <w:szCs w:val="21"/>
                <w:vertAlign w:val="superscript"/>
              </w:rPr>
            </w:pPr>
          </w:p>
        </w:tc>
        <w:tc>
          <w:tcPr>
            <w:tcW w:w="781"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01" w:type="dxa"/>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3"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02" w:type="dxa"/>
            <w:gridSpan w:val="2"/>
            <w:vAlign w:val="center"/>
          </w:tcPr>
          <w:p>
            <w:pPr>
              <w:adjustRightInd w:val="0"/>
              <w:snapToGrid w:val="0"/>
              <w:spacing w:line="240" w:lineRule="atLeast"/>
              <w:jc w:val="center"/>
              <w:rPr>
                <w:rFonts w:eastAsiaTheme="minorEastAsia"/>
              </w:rPr>
            </w:pPr>
          </w:p>
        </w:tc>
        <w:tc>
          <w:tcPr>
            <w:tcW w:w="911" w:type="dxa"/>
            <w:vAlign w:val="center"/>
          </w:tcPr>
          <w:p>
            <w:pPr>
              <w:adjustRightInd w:val="0"/>
              <w:snapToGrid w:val="0"/>
              <w:spacing w:line="240" w:lineRule="atLeast"/>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0" w:hRule="exact"/>
          <w:jc w:val="center"/>
        </w:trPr>
        <w:tc>
          <w:tcPr>
            <w:tcW w:w="790" w:type="dxa"/>
            <w:vAlign w:val="center"/>
          </w:tcPr>
          <w:p>
            <w:pPr>
              <w:adjustRightInd w:val="0"/>
              <w:snapToGrid w:val="0"/>
              <w:spacing w:line="280" w:lineRule="exact"/>
              <w:jc w:val="center"/>
              <w:rPr>
                <w:rFonts w:eastAsiaTheme="minorEastAsia"/>
                <w:szCs w:val="21"/>
              </w:rPr>
            </w:pPr>
            <w:r>
              <w:rPr>
                <w:rFonts w:hAnsiTheme="minorEastAsia" w:eastAsiaTheme="minorEastAsia"/>
                <w:szCs w:val="21"/>
              </w:rPr>
              <w:t>备注</w:t>
            </w:r>
          </w:p>
        </w:tc>
        <w:tc>
          <w:tcPr>
            <w:tcW w:w="13175" w:type="dxa"/>
            <w:gridSpan w:val="24"/>
            <w:vAlign w:val="center"/>
          </w:tcPr>
          <w:p>
            <w:pPr>
              <w:adjustRightInd w:val="0"/>
              <w:snapToGrid w:val="0"/>
              <w:rPr>
                <w:rFonts w:eastAsiaTheme="minorEastAsia"/>
                <w:szCs w:val="21"/>
              </w:rPr>
            </w:pPr>
          </w:p>
        </w:tc>
      </w:tr>
    </w:tbl>
    <w:p>
      <w:pPr>
        <w:widowControl/>
        <w:jc w:val="left"/>
        <w:rPr>
          <w:rFonts w:eastAsiaTheme="minorEastAsia"/>
          <w:b/>
          <w:szCs w:val="21"/>
        </w:rPr>
      </w:pPr>
    </w:p>
    <w:p>
      <w:pPr>
        <w:widowControl/>
        <w:spacing w:line="360" w:lineRule="auto"/>
        <w:ind w:firstLine="422" w:firstLineChars="200"/>
        <w:jc w:val="center"/>
        <w:rPr>
          <w:rFonts w:eastAsiaTheme="minorEastAsia"/>
          <w:b/>
          <w:szCs w:val="21"/>
        </w:rPr>
      </w:pPr>
    </w:p>
    <w:p>
      <w:pPr>
        <w:widowControl/>
        <w:spacing w:line="360" w:lineRule="auto"/>
        <w:ind w:firstLine="422" w:firstLineChars="200"/>
        <w:jc w:val="center"/>
        <w:rPr>
          <w:rFonts w:eastAsiaTheme="minorEastAsia"/>
          <w:sz w:val="24"/>
        </w:rPr>
      </w:pPr>
      <w:r>
        <w:rPr>
          <w:rFonts w:hAnsiTheme="minorEastAsia" w:eastAsiaTheme="minorEastAsia"/>
          <w:b/>
          <w:szCs w:val="21"/>
        </w:rPr>
        <w:t>续表</w:t>
      </w:r>
      <w:r>
        <w:rPr>
          <w:rFonts w:eastAsiaTheme="minorEastAsia"/>
          <w:b/>
          <w:szCs w:val="21"/>
        </w:rPr>
        <w:t>4.3-1</w:t>
      </w:r>
      <w:r>
        <w:rPr>
          <w:rFonts w:hint="eastAsia" w:eastAsiaTheme="minorEastAsia"/>
          <w:b/>
          <w:szCs w:val="21"/>
        </w:rPr>
        <w:t>5</w:t>
      </w:r>
      <w:r>
        <w:rPr>
          <w:rFonts w:eastAsiaTheme="minorEastAsia"/>
          <w:b/>
          <w:szCs w:val="21"/>
        </w:rPr>
        <w:t xml:space="preserve">  </w:t>
      </w:r>
      <w:r>
        <w:rPr>
          <w:rFonts w:hAnsiTheme="minorEastAsia" w:eastAsiaTheme="minorEastAsia"/>
          <w:b/>
          <w:szCs w:val="21"/>
        </w:rPr>
        <w:t>土壤监测结果</w:t>
      </w:r>
    </w:p>
    <w:tbl>
      <w:tblPr>
        <w:tblStyle w:val="24"/>
        <w:tblW w:w="13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4"/>
        <w:gridCol w:w="1505"/>
        <w:gridCol w:w="793"/>
        <w:gridCol w:w="983"/>
        <w:gridCol w:w="984"/>
        <w:gridCol w:w="983"/>
        <w:gridCol w:w="983"/>
        <w:gridCol w:w="983"/>
        <w:gridCol w:w="983"/>
        <w:gridCol w:w="983"/>
        <w:gridCol w:w="983"/>
        <w:gridCol w:w="983"/>
        <w:gridCol w:w="983"/>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845"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监测</w:t>
            </w:r>
          </w:p>
          <w:p>
            <w:pPr>
              <w:adjustRightInd w:val="0"/>
              <w:snapToGrid w:val="0"/>
              <w:spacing w:line="280" w:lineRule="exact"/>
              <w:ind w:left="-105" w:leftChars="-50" w:right="-105" w:rightChars="-50"/>
              <w:jc w:val="center"/>
              <w:rPr>
                <w:rFonts w:eastAsiaTheme="minorEastAsia"/>
                <w:szCs w:val="21"/>
              </w:rPr>
            </w:pPr>
            <w:r>
              <w:rPr>
                <w:rFonts w:hAnsiTheme="minorEastAsia" w:eastAsiaTheme="minorEastAsia"/>
                <w:bCs/>
                <w:szCs w:val="21"/>
              </w:rPr>
              <w:t>日期</w:t>
            </w:r>
          </w:p>
        </w:tc>
        <w:tc>
          <w:tcPr>
            <w:tcW w:w="1507" w:type="dxa"/>
            <w:vMerge w:val="restart"/>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监测点位</w:t>
            </w:r>
          </w:p>
        </w:tc>
        <w:tc>
          <w:tcPr>
            <w:tcW w:w="794"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824" w:type="dxa"/>
            <w:gridSpan w:val="11"/>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bCs/>
                <w:szCs w:val="21"/>
              </w:rPr>
            </w:pPr>
          </w:p>
        </w:tc>
        <w:tc>
          <w:tcPr>
            <w:tcW w:w="300" w:type="dxa"/>
            <w:vMerge w:val="continue"/>
            <w:vAlign w:val="center"/>
          </w:tcPr>
          <w:p>
            <w:pPr>
              <w:widowControl/>
              <w:jc w:val="left"/>
              <w:rPr>
                <w:rFonts w:eastAsiaTheme="minorEastAsia"/>
                <w:bCs/>
                <w:szCs w:val="21"/>
              </w:rPr>
            </w:pPr>
          </w:p>
        </w:tc>
        <w:tc>
          <w:tcPr>
            <w:tcW w:w="984" w:type="dxa"/>
            <w:vAlign w:val="center"/>
          </w:tcPr>
          <w:p>
            <w:pPr>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w:t>
            </w:r>
          </w:p>
          <w:p>
            <w:pPr>
              <w:widowControl/>
              <w:ind w:left="-105" w:leftChars="-50" w:right="-105" w:rightChars="-50"/>
              <w:jc w:val="center"/>
              <w:rPr>
                <w:rFonts w:eastAsiaTheme="minorEastAsia"/>
                <w:kern w:val="0"/>
                <w:szCs w:val="21"/>
              </w:rPr>
            </w:pPr>
            <w:r>
              <w:rPr>
                <w:rFonts w:hAnsiTheme="minorEastAsia" w:eastAsiaTheme="minorEastAsia"/>
                <w:szCs w:val="21"/>
              </w:rPr>
              <w:t>丙烷</w:t>
            </w:r>
          </w:p>
        </w:tc>
        <w:tc>
          <w:tcPr>
            <w:tcW w:w="984"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甲苯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w:t>
            </w:r>
            <w:r>
              <w:rPr>
                <w:rFonts w:hAnsiTheme="minorEastAsia" w:eastAsiaTheme="minorEastAsia"/>
                <w:szCs w:val="21"/>
              </w:rPr>
              <w:t>三氯乙烷</w:t>
            </w:r>
          </w:p>
        </w:tc>
        <w:tc>
          <w:tcPr>
            <w:tcW w:w="983" w:type="dxa"/>
            <w:vAlign w:val="center"/>
          </w:tcPr>
          <w:p>
            <w:pPr>
              <w:ind w:left="-105" w:leftChars="-50" w:right="-105" w:rightChars="-50"/>
              <w:jc w:val="center"/>
              <w:rPr>
                <w:rFonts w:eastAsiaTheme="minorEastAsia"/>
                <w:szCs w:val="21"/>
              </w:rPr>
            </w:pPr>
            <w:r>
              <w:rPr>
                <w:rFonts w:hAnsiTheme="minorEastAsia" w:eastAsiaTheme="minorEastAsia"/>
                <w:szCs w:val="21"/>
              </w:rPr>
              <w:t>四氯</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氯苯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乙苯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1,1,1,2-</w:t>
            </w:r>
            <w:r>
              <w:rPr>
                <w:rFonts w:hAnsiTheme="minorEastAsia" w:eastAsiaTheme="minorEastAsia"/>
                <w:szCs w:val="21"/>
              </w:rPr>
              <w:t>四氯乙烷</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邻二甲苯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苯乙烯</w:t>
            </w:r>
          </w:p>
        </w:tc>
        <w:tc>
          <w:tcPr>
            <w:tcW w:w="992"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1,1,2,2-</w:t>
            </w:r>
            <w:r>
              <w:rPr>
                <w:rFonts w:hAnsiTheme="minorEastAsia" w:eastAsiaTheme="minorEastAsia"/>
                <w:szCs w:val="21"/>
              </w:rPr>
              <w:t>四氯乙烷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845" w:type="dxa"/>
            <w:vMerge w:val="restart"/>
            <w:vAlign w:val="center"/>
          </w:tcPr>
          <w:p>
            <w:pPr>
              <w:adjustRightInd w:val="0"/>
              <w:snapToGrid w:val="0"/>
              <w:spacing w:line="280" w:lineRule="exact"/>
              <w:ind w:left="-105" w:leftChars="-50" w:right="-105" w:rightChars="-50"/>
              <w:jc w:val="center"/>
              <w:rPr>
                <w:rFonts w:eastAsiaTheme="minorEastAsia"/>
                <w:szCs w:val="21"/>
              </w:rPr>
            </w:pPr>
          </w:p>
        </w:tc>
        <w:tc>
          <w:tcPr>
            <w:tcW w:w="1507" w:type="dxa"/>
            <w:vMerge w:val="restart"/>
            <w:vAlign w:val="center"/>
          </w:tcPr>
          <w:p>
            <w:pPr>
              <w:spacing w:line="240" w:lineRule="exact"/>
              <w:jc w:val="center"/>
              <w:rPr>
                <w:rFonts w:eastAsiaTheme="minorEastAsia"/>
                <w:szCs w:val="21"/>
                <w:vertAlign w:val="superscript"/>
              </w:rPr>
            </w:pPr>
            <w:r>
              <w:rPr>
                <w:rFonts w:eastAsiaTheme="minorEastAsia"/>
                <w:szCs w:val="21"/>
              </w:rPr>
              <w:t>13</w:t>
            </w:r>
            <w:r>
              <w:rPr>
                <w:rFonts w:eastAsiaTheme="minorEastAsia"/>
                <w:szCs w:val="21"/>
                <w:vertAlign w:val="superscript"/>
              </w:rPr>
              <w:t>#</w:t>
            </w:r>
          </w:p>
          <w:p>
            <w:pPr>
              <w:adjustRightInd w:val="0"/>
              <w:snapToGrid w:val="0"/>
              <w:spacing w:line="240" w:lineRule="exact"/>
              <w:ind w:left="-105" w:leftChars="-50" w:right="-105" w:rightChars="-50"/>
              <w:jc w:val="center"/>
              <w:rPr>
                <w:rFonts w:eastAsiaTheme="minorEastAsia"/>
                <w:szCs w:val="21"/>
              </w:rPr>
            </w:pPr>
          </w:p>
        </w:tc>
        <w:tc>
          <w:tcPr>
            <w:tcW w:w="79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84" w:type="dxa"/>
            <w:vAlign w:val="center"/>
          </w:tcPr>
          <w:p>
            <w:pPr>
              <w:widowControl/>
              <w:ind w:left="-105" w:leftChars="-50" w:right="-105" w:rightChars="-50"/>
              <w:jc w:val="center"/>
              <w:rPr>
                <w:rFonts w:eastAsiaTheme="minorEastAsia"/>
                <w:kern w:val="0"/>
                <w:sz w:val="24"/>
              </w:rPr>
            </w:pP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92"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92"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92" w:type="dxa"/>
            <w:vAlign w:val="center"/>
          </w:tcPr>
          <w:p>
            <w:pPr>
              <w:adjustRightInd w:val="0"/>
              <w:snapToGrid w:val="0"/>
              <w:spacing w:line="240" w:lineRule="atLeast"/>
              <w:ind w:left="-105" w:leftChars="-50" w:right="-105" w:rightChars="-50"/>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4" w:type="dxa"/>
            <w:vMerge w:val="restart"/>
            <w:vAlign w:val="center"/>
          </w:tcPr>
          <w:p>
            <w:pPr>
              <w:spacing w:line="280" w:lineRule="exact"/>
              <w:ind w:left="-105" w:leftChars="-50" w:right="-105" w:rightChars="-50"/>
              <w:jc w:val="center"/>
              <w:rPr>
                <w:rFonts w:eastAsiaTheme="minorEastAsia"/>
                <w:bCs/>
                <w:szCs w:val="21"/>
              </w:rPr>
            </w:pPr>
            <w:r>
              <w:rPr>
                <w:rFonts w:hAnsiTheme="minorEastAsia" w:eastAsiaTheme="minorEastAsia"/>
                <w:bCs/>
                <w:szCs w:val="21"/>
              </w:rPr>
              <w:t>采样</w:t>
            </w:r>
          </w:p>
          <w:p>
            <w:pPr>
              <w:spacing w:line="280" w:lineRule="exact"/>
              <w:ind w:left="-105" w:leftChars="-50" w:right="-105" w:rightChars="-50"/>
              <w:jc w:val="center"/>
              <w:rPr>
                <w:rFonts w:eastAsiaTheme="minorEastAsia"/>
                <w:bCs/>
                <w:szCs w:val="21"/>
              </w:rPr>
            </w:pPr>
            <w:r>
              <w:rPr>
                <w:rFonts w:hAnsiTheme="minorEastAsia" w:eastAsiaTheme="minorEastAsia"/>
                <w:bCs/>
                <w:szCs w:val="21"/>
              </w:rPr>
              <w:t>深度</w:t>
            </w:r>
          </w:p>
          <w:p>
            <w:pPr>
              <w:adjustRightInd w:val="0"/>
              <w:snapToGrid w:val="0"/>
              <w:spacing w:line="280" w:lineRule="exact"/>
              <w:ind w:left="-105" w:leftChars="-50" w:right="-105" w:rightChars="-50"/>
              <w:jc w:val="center"/>
              <w:rPr>
                <w:rFonts w:eastAsiaTheme="minorEastAsia"/>
                <w:bCs/>
                <w:szCs w:val="21"/>
              </w:rPr>
            </w:pPr>
            <w:r>
              <w:rPr>
                <w:rFonts w:eastAsiaTheme="minorEastAsia"/>
                <w:bCs/>
                <w:szCs w:val="21"/>
              </w:rPr>
              <w:t>(m)</w:t>
            </w:r>
          </w:p>
        </w:tc>
        <w:tc>
          <w:tcPr>
            <w:tcW w:w="10824" w:type="dxa"/>
            <w:gridSpan w:val="11"/>
            <w:vAlign w:val="center"/>
          </w:tcPr>
          <w:p>
            <w:pPr>
              <w:adjustRightInd w:val="0"/>
              <w:snapToGrid w:val="0"/>
              <w:spacing w:line="280" w:lineRule="exact"/>
              <w:ind w:left="-105" w:leftChars="-50" w:right="-105" w:rightChars="-50"/>
              <w:jc w:val="center"/>
              <w:rPr>
                <w:rFonts w:eastAsiaTheme="minorEastAsia"/>
                <w:bCs/>
                <w:szCs w:val="21"/>
              </w:rPr>
            </w:pPr>
            <w:r>
              <w:rPr>
                <w:rFonts w:hAnsiTheme="minorEastAsia" w:eastAsiaTheme="minorEastAsia"/>
                <w:bCs/>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bCs/>
                <w:szCs w:val="21"/>
              </w:rPr>
            </w:pPr>
          </w:p>
        </w:tc>
        <w:tc>
          <w:tcPr>
            <w:tcW w:w="984"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1,2,3-</w:t>
            </w:r>
            <w:r>
              <w:rPr>
                <w:rFonts w:hAnsiTheme="minorEastAsia" w:eastAsiaTheme="minorEastAsia"/>
                <w:szCs w:val="21"/>
              </w:rPr>
              <w:t>三氯丙烷</w:t>
            </w:r>
          </w:p>
        </w:tc>
        <w:tc>
          <w:tcPr>
            <w:tcW w:w="984" w:type="dxa"/>
            <w:vAlign w:val="center"/>
          </w:tcPr>
          <w:p>
            <w:pPr>
              <w:adjustRightInd w:val="0"/>
              <w:snapToGrid w:val="0"/>
              <w:spacing w:line="240" w:lineRule="atLeast"/>
              <w:ind w:left="-105" w:leftChars="-50" w:right="-105" w:rightChars="-50"/>
              <w:jc w:val="center"/>
              <w:rPr>
                <w:rFonts w:eastAsiaTheme="minorEastAsia"/>
                <w:kern w:val="0"/>
                <w:szCs w:val="21"/>
              </w:rPr>
            </w:pPr>
            <w:r>
              <w:rPr>
                <w:rFonts w:eastAsiaTheme="minorEastAsia"/>
                <w:szCs w:val="21"/>
              </w:rPr>
              <w:t>1,4-</w:t>
            </w:r>
            <w:r>
              <w:rPr>
                <w:rFonts w:hAnsiTheme="minorEastAsia" w:eastAsiaTheme="minorEastAsia"/>
                <w:szCs w:val="21"/>
              </w:rPr>
              <w:t>二氯苯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eastAsiaTheme="minorEastAsia"/>
                <w:szCs w:val="21"/>
              </w:rPr>
              <w:t>1,2-</w:t>
            </w:r>
            <w:r>
              <w:rPr>
                <w:rFonts w:hAnsiTheme="minorEastAsia" w:eastAsiaTheme="minorEastAsia"/>
                <w:szCs w:val="21"/>
              </w:rPr>
              <w:t>二氯苯</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萘</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蒽</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䓛</w:t>
            </w:r>
          </w:p>
        </w:tc>
        <w:tc>
          <w:tcPr>
            <w:tcW w:w="983"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[b]</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983" w:type="dxa"/>
            <w:vAlign w:val="center"/>
          </w:tcPr>
          <w:p>
            <w:pPr>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[k]</w:t>
            </w:r>
          </w:p>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荧蒽</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芘</w:t>
            </w:r>
          </w:p>
        </w:tc>
        <w:tc>
          <w:tcPr>
            <w:tcW w:w="983"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二苯并</w:t>
            </w:r>
            <w:r>
              <w:rPr>
                <w:rFonts w:eastAsiaTheme="minorEastAsia"/>
                <w:szCs w:val="21"/>
              </w:rPr>
              <w:t>[a,h]</w:t>
            </w:r>
            <w:r>
              <w:rPr>
                <w:rFonts w:hAnsiTheme="minorEastAsia" w:eastAsiaTheme="minorEastAsia"/>
                <w:szCs w:val="21"/>
              </w:rPr>
              <w:t>蒽</w:t>
            </w:r>
          </w:p>
        </w:tc>
        <w:tc>
          <w:tcPr>
            <w:tcW w:w="992" w:type="dxa"/>
            <w:vAlign w:val="center"/>
          </w:tcPr>
          <w:p>
            <w:pPr>
              <w:adjustRightInd w:val="0"/>
              <w:snapToGrid w:val="0"/>
              <w:spacing w:line="240" w:lineRule="atLeast"/>
              <w:ind w:left="-105" w:leftChars="-50" w:right="-105" w:rightChars="-50"/>
              <w:jc w:val="center"/>
              <w:rPr>
                <w:rFonts w:eastAsiaTheme="minorEastAsia"/>
                <w:szCs w:val="21"/>
              </w:rPr>
            </w:pPr>
            <w:r>
              <w:rPr>
                <w:rFonts w:hAnsiTheme="minorEastAsia" w:eastAsiaTheme="minorEastAsia"/>
                <w:szCs w:val="21"/>
              </w:rPr>
              <w:t>茚并</w:t>
            </w:r>
            <w:r>
              <w:rPr>
                <w:rFonts w:eastAsiaTheme="minorEastAsia"/>
                <w:szCs w:val="21"/>
              </w:rPr>
              <w:t>[1,2,3-cd]</w:t>
            </w:r>
            <w:r>
              <w:rPr>
                <w:rFonts w:hAnsiTheme="minorEastAsia" w:eastAsiaTheme="minorEastAsia"/>
                <w:szCs w:val="21"/>
              </w:rPr>
              <w:t>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0~0.5</w:t>
            </w:r>
          </w:p>
        </w:tc>
        <w:tc>
          <w:tcPr>
            <w:tcW w:w="984" w:type="dxa"/>
            <w:vAlign w:val="center"/>
          </w:tcPr>
          <w:p>
            <w:pPr>
              <w:widowControl/>
              <w:ind w:left="-105" w:leftChars="-50" w:right="-105" w:rightChars="-50"/>
              <w:jc w:val="center"/>
              <w:rPr>
                <w:rFonts w:eastAsiaTheme="minorEastAsia"/>
                <w:kern w:val="0"/>
                <w:sz w:val="24"/>
              </w:rPr>
            </w:pP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widowControl/>
              <w:ind w:left="-105" w:leftChars="-50" w:right="-105" w:rightChars="-50"/>
              <w:jc w:val="center"/>
              <w:rPr>
                <w:rFonts w:eastAsiaTheme="minorEastAsia"/>
                <w:kern w:val="0"/>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2"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0.5~1.5</w:t>
            </w: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2"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300" w:type="dxa"/>
            <w:vMerge w:val="continue"/>
            <w:vAlign w:val="center"/>
          </w:tcPr>
          <w:p>
            <w:pPr>
              <w:widowControl/>
              <w:jc w:val="left"/>
              <w:rPr>
                <w:rFonts w:eastAsiaTheme="minorEastAsia"/>
                <w:szCs w:val="21"/>
              </w:rPr>
            </w:pPr>
          </w:p>
        </w:tc>
        <w:tc>
          <w:tcPr>
            <w:tcW w:w="300" w:type="dxa"/>
            <w:vMerge w:val="continue"/>
            <w:vAlign w:val="center"/>
          </w:tcPr>
          <w:p>
            <w:pPr>
              <w:widowControl/>
              <w:jc w:val="left"/>
              <w:rPr>
                <w:rFonts w:eastAsiaTheme="minorEastAsia"/>
                <w:szCs w:val="21"/>
              </w:rPr>
            </w:pPr>
          </w:p>
        </w:tc>
        <w:tc>
          <w:tcPr>
            <w:tcW w:w="794" w:type="dxa"/>
            <w:vAlign w:val="center"/>
          </w:tcPr>
          <w:p>
            <w:pPr>
              <w:widowControl/>
              <w:adjustRightInd w:val="0"/>
              <w:snapToGrid w:val="0"/>
              <w:spacing w:line="240" w:lineRule="atLeast"/>
              <w:ind w:left="-105" w:leftChars="-50" w:right="-105" w:rightChars="-50"/>
              <w:jc w:val="center"/>
              <w:textAlignment w:val="center"/>
              <w:rPr>
                <w:rFonts w:eastAsiaTheme="minorEastAsia"/>
                <w:kern w:val="0"/>
                <w:szCs w:val="21"/>
              </w:rPr>
            </w:pPr>
            <w:r>
              <w:rPr>
                <w:rFonts w:eastAsiaTheme="minorEastAsia"/>
                <w:kern w:val="0"/>
                <w:szCs w:val="21"/>
              </w:rPr>
              <w:t>1.5~3.0</w:t>
            </w: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4"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83" w:type="dxa"/>
            <w:vAlign w:val="center"/>
          </w:tcPr>
          <w:p>
            <w:pPr>
              <w:adjustRightInd w:val="0"/>
              <w:snapToGrid w:val="0"/>
              <w:spacing w:line="240" w:lineRule="atLeast"/>
              <w:ind w:left="-105" w:leftChars="-50" w:right="-105" w:rightChars="-50"/>
              <w:jc w:val="center"/>
              <w:rPr>
                <w:rFonts w:eastAsiaTheme="minorEastAsia"/>
                <w:sz w:val="22"/>
                <w:szCs w:val="22"/>
              </w:rPr>
            </w:pPr>
          </w:p>
        </w:tc>
        <w:tc>
          <w:tcPr>
            <w:tcW w:w="992" w:type="dxa"/>
            <w:vAlign w:val="center"/>
          </w:tcPr>
          <w:p>
            <w:pPr>
              <w:adjustRightInd w:val="0"/>
              <w:snapToGrid w:val="0"/>
              <w:spacing w:line="240" w:lineRule="atLeast"/>
              <w:ind w:left="-105" w:leftChars="-50" w:right="-105" w:rightChars="-50"/>
              <w:jc w:val="center"/>
              <w:rPr>
                <w:rFonts w:eastAsiaTheme="minorEastAsia"/>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845" w:type="dxa"/>
            <w:vAlign w:val="center"/>
          </w:tcPr>
          <w:p>
            <w:pPr>
              <w:adjustRightInd w:val="0"/>
              <w:snapToGrid w:val="0"/>
              <w:spacing w:line="280" w:lineRule="exact"/>
              <w:jc w:val="center"/>
              <w:rPr>
                <w:rFonts w:eastAsiaTheme="minorEastAsia"/>
                <w:szCs w:val="21"/>
              </w:rPr>
            </w:pPr>
            <w:r>
              <w:rPr>
                <w:rFonts w:hAnsiTheme="minorEastAsia" w:eastAsiaTheme="minorEastAsia"/>
                <w:szCs w:val="21"/>
              </w:rPr>
              <w:t>备注</w:t>
            </w:r>
          </w:p>
        </w:tc>
        <w:tc>
          <w:tcPr>
            <w:tcW w:w="13125" w:type="dxa"/>
            <w:gridSpan w:val="13"/>
            <w:vAlign w:val="center"/>
          </w:tcPr>
          <w:p>
            <w:pPr>
              <w:adjustRightInd w:val="0"/>
              <w:snapToGrid w:val="0"/>
              <w:spacing w:line="240" w:lineRule="atLeast"/>
              <w:rPr>
                <w:rFonts w:eastAsiaTheme="minorEastAsia"/>
                <w:kern w:val="0"/>
                <w:szCs w:val="21"/>
              </w:rPr>
            </w:pPr>
            <w:r>
              <w:rPr>
                <w:rFonts w:eastAsiaTheme="minorEastAsia"/>
                <w:kern w:val="0"/>
                <w:szCs w:val="21"/>
              </w:rPr>
              <w:t>“ND”</w:t>
            </w:r>
            <w:r>
              <w:rPr>
                <w:rFonts w:hAnsiTheme="minorEastAsia" w:eastAsiaTheme="minorEastAsia"/>
                <w:kern w:val="0"/>
                <w:szCs w:val="21"/>
              </w:rPr>
              <w:t>表示未检出，检出限详见表</w:t>
            </w:r>
            <w:r>
              <w:rPr>
                <w:rFonts w:eastAsiaTheme="minorEastAsia"/>
                <w:kern w:val="0"/>
                <w:szCs w:val="21"/>
              </w:rPr>
              <w:t>3-1</w:t>
            </w:r>
            <w:r>
              <w:rPr>
                <w:rFonts w:hAnsiTheme="minorEastAsia" w:eastAsiaTheme="minorEastAsia"/>
                <w:kern w:val="0"/>
                <w:szCs w:val="21"/>
              </w:rPr>
              <w:t>。</w:t>
            </w:r>
          </w:p>
        </w:tc>
      </w:tr>
    </w:tbl>
    <w:p>
      <w:pPr>
        <w:widowControl/>
        <w:spacing w:line="360" w:lineRule="auto"/>
        <w:ind w:firstLine="480" w:firstLineChars="200"/>
        <w:jc w:val="left"/>
        <w:rPr>
          <w:rFonts w:eastAsiaTheme="minorEastAsia"/>
          <w:sz w:val="24"/>
        </w:rPr>
      </w:pPr>
    </w:p>
    <w:p>
      <w:pPr>
        <w:widowControl/>
        <w:spacing w:line="360" w:lineRule="auto"/>
        <w:ind w:firstLine="480" w:firstLineChars="200"/>
        <w:jc w:val="left"/>
        <w:rPr>
          <w:rFonts w:eastAsiaTheme="minorEastAsia"/>
          <w:sz w:val="24"/>
        </w:rPr>
        <w:sectPr>
          <w:headerReference r:id="rId26" w:type="default"/>
          <w:footerReference r:id="rId27" w:type="default"/>
          <w:pgSz w:w="16838" w:h="11906" w:orient="landscape"/>
          <w:pgMar w:top="1418" w:right="1701" w:bottom="1418" w:left="1701" w:header="1134" w:footer="992" w:gutter="0"/>
          <w:cols w:space="425" w:num="1"/>
          <w:docGrid w:type="lines" w:linePitch="312" w:charSpace="0"/>
        </w:sectPr>
      </w:pPr>
    </w:p>
    <w:p>
      <w:pPr>
        <w:spacing w:line="360" w:lineRule="auto"/>
        <w:ind w:firstLine="480" w:firstLineChars="200"/>
        <w:rPr>
          <w:rFonts w:hAnsiTheme="minorEastAsia" w:eastAsiaTheme="minorEastAsia"/>
          <w:sz w:val="24"/>
        </w:rPr>
      </w:pPr>
      <w:r>
        <w:rPr>
          <w:rFonts w:hAnsiTheme="minorEastAsia" w:eastAsiaTheme="minorEastAsia"/>
          <w:sz w:val="24"/>
        </w:rPr>
        <w:t>根据监测结果，</w:t>
      </w:r>
      <w:r>
        <w:rPr>
          <w:rFonts w:hint="eastAsia" w:hAnsiTheme="minorEastAsia" w:eastAsiaTheme="minorEastAsia"/>
          <w:sz w:val="24"/>
        </w:rPr>
        <w:t>工业场地</w:t>
      </w:r>
      <w:r>
        <w:rPr>
          <w:rFonts w:hAnsiTheme="minorEastAsia" w:eastAsiaTheme="minorEastAsia"/>
          <w:sz w:val="24"/>
        </w:rPr>
        <w:t>各监测点各项指标均</w:t>
      </w:r>
      <w:r>
        <w:rPr>
          <w:rFonts w:hint="eastAsia" w:hAnsiTheme="minorEastAsia" w:eastAsiaTheme="minorEastAsia"/>
          <w:sz w:val="24"/>
        </w:rPr>
        <w:t>未</w:t>
      </w:r>
      <w:r>
        <w:rPr>
          <w:rFonts w:hAnsiTheme="minorEastAsia" w:eastAsiaTheme="minorEastAsia"/>
          <w:sz w:val="24"/>
        </w:rPr>
        <w:t>超过《土壤环境质量标准 建设用地土壤污染风险管控标准（试行）》（GB36600-2018）中第二类用地筛选值标准</w:t>
      </w:r>
      <w:r>
        <w:rPr>
          <w:rFonts w:hint="eastAsia" w:hAnsiTheme="minorEastAsia" w:eastAsiaTheme="minorEastAsia"/>
          <w:sz w:val="24"/>
        </w:rPr>
        <w:t>，各场地外各监测点均未超过</w:t>
      </w:r>
      <w:r>
        <w:rPr>
          <w:rFonts w:hAnsiTheme="minorEastAsia" w:eastAsiaTheme="minorEastAsia"/>
          <w:sz w:val="24"/>
        </w:rPr>
        <w:t xml:space="preserve">《土壤环境质量标准 </w:t>
      </w:r>
      <w:r>
        <w:rPr>
          <w:rFonts w:hint="eastAsia" w:hAnsiTheme="minorEastAsia" w:eastAsiaTheme="minorEastAsia"/>
          <w:sz w:val="24"/>
        </w:rPr>
        <w:t>农</w:t>
      </w:r>
      <w:r>
        <w:rPr>
          <w:rFonts w:hAnsiTheme="minorEastAsia" w:eastAsiaTheme="minorEastAsia"/>
          <w:sz w:val="24"/>
        </w:rPr>
        <w:t>用地土壤污染风险管控标准（试行）》（GB</w:t>
      </w:r>
      <w:r>
        <w:rPr>
          <w:rFonts w:hint="eastAsia" w:hAnsiTheme="minorEastAsia" w:eastAsiaTheme="minorEastAsia"/>
          <w:sz w:val="24"/>
        </w:rPr>
        <w:t>15618</w:t>
      </w:r>
      <w:r>
        <w:rPr>
          <w:rFonts w:hAnsiTheme="minorEastAsia" w:eastAsiaTheme="minorEastAsia"/>
          <w:sz w:val="24"/>
        </w:rPr>
        <w:t>-2018）中</w:t>
      </w:r>
      <w:r>
        <w:rPr>
          <w:rFonts w:hint="eastAsia" w:hAnsiTheme="minorEastAsia" w:eastAsiaTheme="minorEastAsia"/>
          <w:sz w:val="24"/>
        </w:rPr>
        <w:t>表1的</w:t>
      </w:r>
      <w:r>
        <w:rPr>
          <w:rFonts w:hAnsiTheme="minorEastAsia" w:eastAsiaTheme="minorEastAsia"/>
          <w:sz w:val="24"/>
        </w:rPr>
        <w:t>筛选值标准，说明区域土壤环境质量良好</w:t>
      </w:r>
    </w:p>
    <w:p>
      <w:pPr>
        <w:spacing w:line="360" w:lineRule="auto"/>
        <w:outlineLvl w:val="2"/>
        <w:rPr>
          <w:rFonts w:eastAsiaTheme="minorEastAsia"/>
          <w:b/>
          <w:sz w:val="24"/>
        </w:rPr>
      </w:pPr>
      <w:r>
        <w:rPr>
          <w:rFonts w:eastAsiaTheme="minorEastAsia"/>
          <w:b/>
          <w:sz w:val="24"/>
        </w:rPr>
        <w:t>4.3.6</w:t>
      </w:r>
      <w:r>
        <w:rPr>
          <w:rFonts w:hAnsiTheme="minorEastAsia" w:eastAsiaTheme="minorEastAsia"/>
          <w:b/>
          <w:sz w:val="24"/>
        </w:rPr>
        <w:t>生态现状调查与评价</w:t>
      </w:r>
    </w:p>
    <w:p>
      <w:pPr>
        <w:spacing w:line="360" w:lineRule="auto"/>
        <w:outlineLvl w:val="3"/>
        <w:rPr>
          <w:rFonts w:eastAsiaTheme="minorEastAsia"/>
          <w:b/>
          <w:sz w:val="24"/>
        </w:rPr>
      </w:pPr>
      <w:r>
        <w:rPr>
          <w:rFonts w:eastAsiaTheme="minorEastAsia"/>
          <w:b/>
          <w:sz w:val="24"/>
        </w:rPr>
        <w:t>4.3.6.1</w:t>
      </w:r>
      <w:r>
        <w:rPr>
          <w:rFonts w:hAnsiTheme="minorEastAsia" w:eastAsiaTheme="minorEastAsia"/>
          <w:b/>
          <w:sz w:val="24"/>
        </w:rPr>
        <w:t>基础信息的获取与评价方法</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）遥感数据源的选择与解译</w:t>
      </w:r>
    </w:p>
    <w:p>
      <w:pPr>
        <w:spacing w:line="360" w:lineRule="auto"/>
        <w:ind w:firstLine="480" w:firstLineChars="200"/>
        <w:rPr>
          <w:rFonts w:eastAsiaTheme="minorEastAsia"/>
          <w:sz w:val="24"/>
        </w:rPr>
      </w:pPr>
      <w:r>
        <w:rPr>
          <w:rFonts w:hint="eastAsia" w:hAnsiTheme="minorEastAsia" w:eastAsiaTheme="minorEastAsia"/>
          <w:sz w:val="24"/>
        </w:rPr>
        <w:t>本次RS解译选取2020年7月16日的分辨率为10米SPOT数据做为数据源，采用人机交互解译的方式进行初步解译，对解译结果进行外业核查并进行室内修正，，得到最终的解译结果</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）现场调查</w:t>
      </w:r>
    </w:p>
    <w:p>
      <w:pPr>
        <w:spacing w:line="360" w:lineRule="auto"/>
        <w:ind w:firstLine="480" w:firstLineChars="200"/>
        <w:rPr>
          <w:rFonts w:eastAsiaTheme="minorEastAsia"/>
          <w:sz w:val="24"/>
        </w:rPr>
      </w:pPr>
      <w:r>
        <w:rPr>
          <w:rFonts w:hAnsiTheme="minorEastAsia" w:eastAsiaTheme="minorEastAsia"/>
          <w:sz w:val="24"/>
        </w:rPr>
        <w:t>采取以实地调查为主，结合对当地技术人员、政府管理部门、农民等访问调查，了解评价范围内自然生态环境现状及近几年评价土地利用、水土流失、生态环境建设的规划等。在卫星影像图的基础上，结合实地调查，取得地形地貌、土地利用现状、植被组成和土壤侵蚀等资料，与</w:t>
      </w:r>
      <w:r>
        <w:rPr>
          <w:rFonts w:hint="eastAsia" w:hAnsiTheme="minorEastAsia" w:eastAsiaTheme="minorEastAsia"/>
          <w:sz w:val="24"/>
        </w:rPr>
        <w:t>临县</w:t>
      </w:r>
      <w:r>
        <w:rPr>
          <w:rFonts w:hAnsiTheme="minorEastAsia" w:eastAsiaTheme="minorEastAsia"/>
          <w:sz w:val="24"/>
        </w:rPr>
        <w:t>国土资源局等有关部门基础数据核对，再次实地调查与补充，最后绘制评价区相关生态图件和数据统计表。</w:t>
      </w:r>
    </w:p>
    <w:p>
      <w:pPr>
        <w:spacing w:line="360" w:lineRule="auto"/>
        <w:outlineLvl w:val="3"/>
        <w:rPr>
          <w:rFonts w:eastAsiaTheme="minorEastAsia"/>
          <w:b/>
          <w:sz w:val="24"/>
        </w:rPr>
      </w:pPr>
      <w:r>
        <w:rPr>
          <w:rFonts w:eastAsiaTheme="minorEastAsia"/>
          <w:b/>
          <w:sz w:val="24"/>
        </w:rPr>
        <w:t>4.3.6.2</w:t>
      </w:r>
      <w:r>
        <w:rPr>
          <w:rFonts w:hAnsiTheme="minorEastAsia" w:eastAsiaTheme="minorEastAsia"/>
          <w:b/>
          <w:sz w:val="24"/>
        </w:rPr>
        <w:t>土地利用现状调查</w:t>
      </w:r>
    </w:p>
    <w:p>
      <w:pPr>
        <w:spacing w:line="360" w:lineRule="auto"/>
        <w:ind w:firstLine="480" w:firstLineChars="200"/>
        <w:rPr>
          <w:rFonts w:eastAsiaTheme="minorEastAsia"/>
          <w:sz w:val="24"/>
        </w:rPr>
      </w:pPr>
      <w:r>
        <w:rPr>
          <w:rFonts w:hAnsiTheme="minorEastAsia" w:eastAsiaTheme="minorEastAsia"/>
          <w:sz w:val="24"/>
        </w:rPr>
        <w:t>土地利用分级采用《土地利用现状分类》国家标准采用二级分类体系，根据卫星遥感解译结果，</w:t>
      </w:r>
      <w:r>
        <w:rPr>
          <w:rFonts w:hint="eastAsia" w:hAnsiTheme="minorEastAsia" w:eastAsiaTheme="minorEastAsia"/>
          <w:sz w:val="24"/>
        </w:rPr>
        <w:t>新工</w:t>
      </w:r>
      <w:r>
        <w:rPr>
          <w:rFonts w:hAnsiTheme="minorEastAsia" w:eastAsiaTheme="minorEastAsia"/>
          <w:sz w:val="24"/>
        </w:rPr>
        <w:t>井田内的土地利用类型一级地类有</w:t>
      </w:r>
      <w:r>
        <w:rPr>
          <w:rFonts w:eastAsiaTheme="minorEastAsia"/>
          <w:sz w:val="24"/>
        </w:rPr>
        <w:t>7</w:t>
      </w:r>
      <w:r>
        <w:rPr>
          <w:rFonts w:hAnsiTheme="minorEastAsia" w:eastAsiaTheme="minorEastAsia"/>
          <w:sz w:val="24"/>
        </w:rPr>
        <w:t>个类型，二级地类有</w:t>
      </w:r>
      <w:r>
        <w:rPr>
          <w:rFonts w:eastAsiaTheme="minorEastAsia"/>
          <w:sz w:val="24"/>
        </w:rPr>
        <w:t>10</w:t>
      </w:r>
      <w:r>
        <w:rPr>
          <w:rFonts w:hAnsiTheme="minorEastAsia" w:eastAsiaTheme="minorEastAsia"/>
          <w:sz w:val="24"/>
        </w:rPr>
        <w:t>种，各类型用地见表</w:t>
      </w:r>
      <w:r>
        <w:rPr>
          <w:rFonts w:eastAsiaTheme="minorEastAsia"/>
          <w:sz w:val="24"/>
        </w:rPr>
        <w:t>4.3-</w:t>
      </w:r>
      <w:r>
        <w:rPr>
          <w:rFonts w:hint="eastAsia" w:eastAsiaTheme="minorEastAsia"/>
          <w:sz w:val="24"/>
        </w:rPr>
        <w:t>6</w:t>
      </w:r>
      <w:r>
        <w:rPr>
          <w:rFonts w:hAnsiTheme="minorEastAsia" w:eastAsiaTheme="minorEastAsia"/>
          <w:sz w:val="24"/>
        </w:rPr>
        <w:t>。土地利用类型图，见图</w:t>
      </w:r>
      <w:r>
        <w:rPr>
          <w:rFonts w:eastAsiaTheme="minorEastAsia"/>
          <w:sz w:val="24"/>
        </w:rPr>
        <w:t>4.3-</w:t>
      </w:r>
      <w:r>
        <w:rPr>
          <w:rFonts w:hint="eastAsia" w:eastAsiaTheme="minorEastAsia"/>
          <w:sz w:val="24"/>
        </w:rPr>
        <w:t>2</w:t>
      </w:r>
      <w:r>
        <w:rPr>
          <w:rFonts w:hAnsiTheme="minorEastAsia" w:eastAsiaTheme="minorEastAsia"/>
          <w:sz w:val="24"/>
        </w:rPr>
        <w:t>。</w:t>
      </w:r>
    </w:p>
    <w:p>
      <w:pPr>
        <w:spacing w:line="360" w:lineRule="auto"/>
        <w:jc w:val="center"/>
        <w:rPr>
          <w:rFonts w:hAnsiTheme="minorEastAsia" w:eastAsiaTheme="minorEastAsia"/>
          <w:b/>
          <w:szCs w:val="21"/>
        </w:rPr>
      </w:pPr>
      <w:r>
        <w:rPr>
          <w:rFonts w:hAnsiTheme="minorEastAsia" w:eastAsiaTheme="minorEastAsia"/>
          <w:b/>
          <w:szCs w:val="21"/>
        </w:rPr>
        <w:t>表</w:t>
      </w:r>
      <w:r>
        <w:rPr>
          <w:rFonts w:eastAsiaTheme="minorEastAsia"/>
          <w:b/>
          <w:szCs w:val="21"/>
        </w:rPr>
        <w:t>4.3-</w:t>
      </w:r>
      <w:r>
        <w:rPr>
          <w:rFonts w:hint="eastAsia" w:eastAsiaTheme="minorEastAsia"/>
          <w:b/>
          <w:szCs w:val="21"/>
        </w:rPr>
        <w:t>16</w:t>
      </w:r>
      <w:r>
        <w:rPr>
          <w:rFonts w:eastAsiaTheme="minorEastAsia"/>
          <w:b/>
          <w:szCs w:val="21"/>
        </w:rPr>
        <w:t xml:space="preserve"> </w:t>
      </w:r>
      <w:r>
        <w:rPr>
          <w:rFonts w:hAnsiTheme="minorEastAsia" w:eastAsiaTheme="minorEastAsia"/>
          <w:b/>
          <w:szCs w:val="21"/>
        </w:rPr>
        <w:t>土地利用类型及面积统计表</w:t>
      </w:r>
    </w:p>
    <w:tbl>
      <w:tblPr>
        <w:tblStyle w:val="24"/>
        <w:tblW w:w="5000" w:type="pct"/>
        <w:tblInd w:w="0" w:type="dxa"/>
        <w:tblLayout w:type="autofit"/>
        <w:tblCellMar>
          <w:top w:w="0" w:type="dxa"/>
          <w:left w:w="108" w:type="dxa"/>
          <w:bottom w:w="0" w:type="dxa"/>
          <w:right w:w="108" w:type="dxa"/>
        </w:tblCellMar>
      </w:tblPr>
      <w:tblGrid>
        <w:gridCol w:w="3216"/>
        <w:gridCol w:w="3217"/>
        <w:gridCol w:w="2853"/>
      </w:tblGrid>
      <w:tr>
        <w:tblPrEx>
          <w:tblCellMar>
            <w:top w:w="0" w:type="dxa"/>
            <w:left w:w="108" w:type="dxa"/>
            <w:bottom w:w="0" w:type="dxa"/>
            <w:right w:w="108" w:type="dxa"/>
          </w:tblCellMar>
        </w:tblPrEx>
        <w:trPr>
          <w:trHeight w:val="375" w:hRule="atLeast"/>
        </w:trPr>
        <w:tc>
          <w:tcPr>
            <w:tcW w:w="1732" w:type="pct"/>
            <w:tcBorders>
              <w:top w:val="single" w:color="000000" w:sz="4" w:space="0"/>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用地类型</w:t>
            </w:r>
          </w:p>
        </w:tc>
        <w:tc>
          <w:tcPr>
            <w:tcW w:w="1732" w:type="pct"/>
            <w:tcBorders>
              <w:top w:val="single" w:color="000000" w:sz="4" w:space="0"/>
              <w:left w:val="nil"/>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面积（km</w:t>
            </w:r>
            <w:r>
              <w:rPr>
                <w:rFonts w:hint="eastAsia" w:ascii="宋体" w:hAnsi="宋体" w:cs="宋体"/>
                <w:kern w:val="0"/>
                <w:szCs w:val="21"/>
                <w:vertAlign w:val="superscript"/>
              </w:rPr>
              <w:t>2</w:t>
            </w:r>
            <w:r>
              <w:rPr>
                <w:rFonts w:hint="eastAsia" w:ascii="宋体" w:hAnsi="宋体" w:cs="宋体"/>
                <w:kern w:val="0"/>
                <w:szCs w:val="21"/>
              </w:rPr>
              <w:t>）</w:t>
            </w:r>
          </w:p>
        </w:tc>
        <w:tc>
          <w:tcPr>
            <w:tcW w:w="1537" w:type="pct"/>
            <w:tcBorders>
              <w:top w:val="single" w:color="000000" w:sz="4" w:space="0"/>
              <w:left w:val="nil"/>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占井田范围（%）</w:t>
            </w:r>
          </w:p>
        </w:tc>
      </w:tr>
      <w:tr>
        <w:tblPrEx>
          <w:tblCellMar>
            <w:top w:w="0" w:type="dxa"/>
            <w:left w:w="108" w:type="dxa"/>
            <w:bottom w:w="0" w:type="dxa"/>
            <w:right w:w="108" w:type="dxa"/>
          </w:tblCellMar>
        </w:tblPrEx>
        <w:trPr>
          <w:trHeight w:val="375" w:hRule="atLeast"/>
        </w:trPr>
        <w:tc>
          <w:tcPr>
            <w:tcW w:w="1732"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耕地</w:t>
            </w:r>
          </w:p>
        </w:tc>
        <w:tc>
          <w:tcPr>
            <w:tcW w:w="1732"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537"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732"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园地</w:t>
            </w:r>
          </w:p>
        </w:tc>
        <w:tc>
          <w:tcPr>
            <w:tcW w:w="1732"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537"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732"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草地</w:t>
            </w:r>
          </w:p>
        </w:tc>
        <w:tc>
          <w:tcPr>
            <w:tcW w:w="1732"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537"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732"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住宅用地</w:t>
            </w:r>
          </w:p>
        </w:tc>
        <w:tc>
          <w:tcPr>
            <w:tcW w:w="1732"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537"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732"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工矿仓储用地</w:t>
            </w:r>
          </w:p>
        </w:tc>
        <w:tc>
          <w:tcPr>
            <w:tcW w:w="1732"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537"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732"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水域及水利设施用地</w:t>
            </w:r>
          </w:p>
        </w:tc>
        <w:tc>
          <w:tcPr>
            <w:tcW w:w="1732"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537"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732"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其他</w:t>
            </w:r>
          </w:p>
        </w:tc>
        <w:tc>
          <w:tcPr>
            <w:tcW w:w="1732"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537"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732"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合计</w:t>
            </w:r>
          </w:p>
        </w:tc>
        <w:tc>
          <w:tcPr>
            <w:tcW w:w="1732"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537"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bl>
    <w:p>
      <w:pPr>
        <w:spacing w:line="360" w:lineRule="auto"/>
        <w:ind w:firstLine="480" w:firstLineChars="200"/>
        <w:rPr>
          <w:rFonts w:hAnsiTheme="minorEastAsia" w:eastAsiaTheme="minorEastAsia"/>
          <w:b/>
          <w:sz w:val="24"/>
        </w:rPr>
      </w:pPr>
      <w:r>
        <w:rPr>
          <w:rFonts w:hAnsiTheme="minorEastAsia" w:eastAsiaTheme="minorEastAsia"/>
          <w:sz w:val="24"/>
        </w:rPr>
        <w:t>根据解译结果可知，</w:t>
      </w:r>
      <w:r>
        <w:rPr>
          <w:rFonts w:hint="eastAsia" w:hAnsiTheme="minorEastAsia" w:eastAsiaTheme="minorEastAsia"/>
          <w:sz w:val="24"/>
        </w:rPr>
        <w:t>评价范围内土地资源总面积为11.06km</w:t>
      </w:r>
      <w:r>
        <w:rPr>
          <w:rFonts w:hint="eastAsia" w:hAnsiTheme="minorEastAsia" w:eastAsiaTheme="minorEastAsia"/>
          <w:sz w:val="24"/>
          <w:vertAlign w:val="superscript"/>
        </w:rPr>
        <w:t>2</w:t>
      </w:r>
      <w:r>
        <w:rPr>
          <w:rFonts w:hint="eastAsia" w:hAnsiTheme="minorEastAsia" w:eastAsiaTheme="minorEastAsia"/>
          <w:sz w:val="24"/>
        </w:rPr>
        <w:t>。草地所占比例最高，占总面积的46.56%，草地所占比例次之，水域及水利设施用地所占比例最低。</w:t>
      </w:r>
    </w:p>
    <w:p>
      <w:pPr>
        <w:spacing w:line="360" w:lineRule="auto"/>
        <w:outlineLvl w:val="3"/>
        <w:rPr>
          <w:rFonts w:eastAsiaTheme="minorEastAsia"/>
          <w:b/>
          <w:sz w:val="24"/>
        </w:rPr>
      </w:pPr>
      <w:r>
        <w:rPr>
          <w:rFonts w:eastAsiaTheme="minorEastAsia"/>
          <w:b/>
          <w:sz w:val="24"/>
        </w:rPr>
        <w:t>4.3.6.3生态系统现状调查</w:t>
      </w:r>
    </w:p>
    <w:p>
      <w:pPr>
        <w:spacing w:line="360" w:lineRule="auto"/>
        <w:ind w:firstLine="480" w:firstLineChars="200"/>
        <w:rPr>
          <w:rFonts w:eastAsiaTheme="minorEastAsia"/>
          <w:sz w:val="24"/>
        </w:rPr>
      </w:pPr>
      <w:r>
        <w:rPr>
          <w:rFonts w:hAnsiTheme="minorEastAsia" w:eastAsiaTheme="minorEastAsia"/>
          <w:sz w:val="24"/>
        </w:rPr>
        <w:t>根据遥感解译及现场踏勘成果，评价区共有</w:t>
      </w:r>
      <w:r>
        <w:rPr>
          <w:rFonts w:eastAsiaTheme="minorEastAsia"/>
          <w:sz w:val="24"/>
        </w:rPr>
        <w:t>4</w:t>
      </w:r>
      <w:r>
        <w:rPr>
          <w:rFonts w:hAnsiTheme="minorEastAsia" w:eastAsiaTheme="minorEastAsia"/>
          <w:sz w:val="24"/>
        </w:rPr>
        <w:t>种生态系统类型。具体类型及特征见表</w:t>
      </w:r>
      <w:r>
        <w:rPr>
          <w:rFonts w:eastAsiaTheme="minorEastAsia"/>
          <w:sz w:val="24"/>
        </w:rPr>
        <w:t>4.3-</w:t>
      </w:r>
      <w:r>
        <w:rPr>
          <w:rFonts w:hint="eastAsia" w:eastAsiaTheme="minorEastAsia"/>
          <w:sz w:val="24"/>
        </w:rPr>
        <w:t>17</w:t>
      </w:r>
      <w:r>
        <w:rPr>
          <w:rFonts w:hAnsiTheme="minorEastAsia" w:eastAsiaTheme="minorEastAsia"/>
          <w:sz w:val="24"/>
        </w:rPr>
        <w:t>。植被类型图，见图</w:t>
      </w:r>
      <w:r>
        <w:rPr>
          <w:rFonts w:eastAsiaTheme="minorEastAsia"/>
          <w:sz w:val="24"/>
        </w:rPr>
        <w:t>4.3-</w:t>
      </w:r>
      <w:r>
        <w:rPr>
          <w:rFonts w:hint="eastAsia" w:eastAsiaTheme="minorEastAsia"/>
          <w:sz w:val="24"/>
        </w:rPr>
        <w:t>3</w:t>
      </w:r>
      <w:r>
        <w:rPr>
          <w:rFonts w:hAnsiTheme="minorEastAsia" w:eastAsiaTheme="minorEastAsia"/>
          <w:sz w:val="24"/>
        </w:rPr>
        <w:t>。</w:t>
      </w:r>
    </w:p>
    <w:p>
      <w:pPr>
        <w:spacing w:line="360" w:lineRule="auto"/>
        <w:jc w:val="center"/>
        <w:rPr>
          <w:rFonts w:hAnsiTheme="minorEastAsia" w:eastAsiaTheme="minorEastAsia"/>
          <w:b/>
          <w:szCs w:val="21"/>
        </w:rPr>
      </w:pPr>
      <w:r>
        <w:rPr>
          <w:rFonts w:hAnsiTheme="minorEastAsia" w:eastAsiaTheme="minorEastAsia"/>
          <w:b/>
          <w:szCs w:val="21"/>
        </w:rPr>
        <w:t>表</w:t>
      </w:r>
      <w:r>
        <w:rPr>
          <w:rFonts w:eastAsiaTheme="minorEastAsia"/>
          <w:b/>
          <w:szCs w:val="21"/>
        </w:rPr>
        <w:t>4.3-</w:t>
      </w:r>
      <w:r>
        <w:rPr>
          <w:rFonts w:hint="eastAsia" w:eastAsiaTheme="minorEastAsia"/>
          <w:b/>
          <w:szCs w:val="21"/>
        </w:rPr>
        <w:t>17</w:t>
      </w:r>
      <w:r>
        <w:rPr>
          <w:rFonts w:eastAsiaTheme="minorEastAsia"/>
          <w:b/>
          <w:szCs w:val="21"/>
        </w:rPr>
        <w:t xml:space="preserve"> </w:t>
      </w:r>
      <w:r>
        <w:rPr>
          <w:rFonts w:hAnsiTheme="minorEastAsia" w:eastAsiaTheme="minorEastAsia"/>
          <w:b/>
          <w:szCs w:val="21"/>
        </w:rPr>
        <w:t>调查区生态系统类型及特征</w:t>
      </w:r>
    </w:p>
    <w:tbl>
      <w:tblPr>
        <w:tblStyle w:val="24"/>
        <w:tblW w:w="5000" w:type="pct"/>
        <w:tblInd w:w="0" w:type="dxa"/>
        <w:tblLayout w:type="autofit"/>
        <w:tblCellMar>
          <w:top w:w="0" w:type="dxa"/>
          <w:left w:w="108" w:type="dxa"/>
          <w:bottom w:w="0" w:type="dxa"/>
          <w:right w:w="108" w:type="dxa"/>
        </w:tblCellMar>
      </w:tblPr>
      <w:tblGrid>
        <w:gridCol w:w="2720"/>
        <w:gridCol w:w="3295"/>
        <w:gridCol w:w="3271"/>
      </w:tblGrid>
      <w:tr>
        <w:tblPrEx>
          <w:tblCellMar>
            <w:top w:w="0" w:type="dxa"/>
            <w:left w:w="108" w:type="dxa"/>
            <w:bottom w:w="0" w:type="dxa"/>
            <w:right w:w="108" w:type="dxa"/>
          </w:tblCellMar>
        </w:tblPrEx>
        <w:trPr>
          <w:trHeight w:val="375" w:hRule="atLeast"/>
        </w:trPr>
        <w:tc>
          <w:tcPr>
            <w:tcW w:w="1465" w:type="pct"/>
            <w:tcBorders>
              <w:top w:val="single" w:color="000000" w:sz="4" w:space="0"/>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用地类型</w:t>
            </w:r>
          </w:p>
        </w:tc>
        <w:tc>
          <w:tcPr>
            <w:tcW w:w="1774" w:type="pct"/>
            <w:tcBorders>
              <w:top w:val="single" w:color="000000" w:sz="4" w:space="0"/>
              <w:left w:val="nil"/>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面积（km</w:t>
            </w:r>
            <w:r>
              <w:rPr>
                <w:rFonts w:hint="eastAsia" w:ascii="宋体" w:hAnsi="宋体" w:cs="宋体"/>
                <w:kern w:val="0"/>
                <w:szCs w:val="21"/>
                <w:vertAlign w:val="superscript"/>
              </w:rPr>
              <w:t>2</w:t>
            </w:r>
            <w:r>
              <w:rPr>
                <w:rFonts w:hint="eastAsia" w:ascii="宋体" w:hAnsi="宋体" w:cs="宋体"/>
                <w:kern w:val="0"/>
                <w:szCs w:val="21"/>
              </w:rPr>
              <w:t>）</w:t>
            </w:r>
          </w:p>
        </w:tc>
        <w:tc>
          <w:tcPr>
            <w:tcW w:w="1761" w:type="pct"/>
            <w:tcBorders>
              <w:top w:val="single" w:color="000000" w:sz="4" w:space="0"/>
              <w:left w:val="nil"/>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占评价区域（%）</w:t>
            </w:r>
          </w:p>
        </w:tc>
      </w:tr>
      <w:tr>
        <w:tblPrEx>
          <w:tblCellMar>
            <w:top w:w="0" w:type="dxa"/>
            <w:left w:w="108" w:type="dxa"/>
            <w:bottom w:w="0" w:type="dxa"/>
            <w:right w:w="108" w:type="dxa"/>
          </w:tblCellMar>
        </w:tblPrEx>
        <w:trPr>
          <w:trHeight w:val="375" w:hRule="atLeast"/>
        </w:trPr>
        <w:tc>
          <w:tcPr>
            <w:tcW w:w="1465"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落叶阔叶林</w:t>
            </w:r>
          </w:p>
        </w:tc>
        <w:tc>
          <w:tcPr>
            <w:tcW w:w="1774"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761"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465"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落叶阔叶灌木</w:t>
            </w:r>
          </w:p>
        </w:tc>
        <w:tc>
          <w:tcPr>
            <w:tcW w:w="1774"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761"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465"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草丛</w:t>
            </w:r>
          </w:p>
        </w:tc>
        <w:tc>
          <w:tcPr>
            <w:tcW w:w="1774"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761"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465"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农田植被</w:t>
            </w:r>
          </w:p>
        </w:tc>
        <w:tc>
          <w:tcPr>
            <w:tcW w:w="1774"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761"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75" w:hRule="atLeast"/>
        </w:trPr>
        <w:tc>
          <w:tcPr>
            <w:tcW w:w="1465" w:type="pct"/>
            <w:tcBorders>
              <w:top w:val="nil"/>
              <w:left w:val="single" w:color="000000" w:sz="4" w:space="0"/>
              <w:bottom w:val="single" w:color="000000" w:sz="4" w:space="0"/>
              <w:right w:val="single" w:color="000000" w:sz="4" w:space="0"/>
            </w:tcBorders>
            <w:vAlign w:val="bottom"/>
          </w:tcPr>
          <w:p>
            <w:pPr>
              <w:widowControl/>
              <w:jc w:val="center"/>
              <w:rPr>
                <w:rFonts w:ascii="宋体" w:hAnsi="宋体" w:cs="宋体"/>
                <w:kern w:val="0"/>
                <w:szCs w:val="21"/>
              </w:rPr>
            </w:pPr>
            <w:r>
              <w:rPr>
                <w:rFonts w:hint="eastAsia" w:ascii="宋体" w:hAnsi="宋体" w:cs="宋体"/>
                <w:kern w:val="0"/>
                <w:szCs w:val="21"/>
              </w:rPr>
              <w:t>无植被</w:t>
            </w:r>
          </w:p>
        </w:tc>
        <w:tc>
          <w:tcPr>
            <w:tcW w:w="1774"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c>
          <w:tcPr>
            <w:tcW w:w="1761" w:type="pct"/>
            <w:tcBorders>
              <w:top w:val="nil"/>
              <w:left w:val="nil"/>
              <w:bottom w:val="single" w:color="000000" w:sz="4" w:space="0"/>
              <w:right w:val="single" w:color="000000" w:sz="4" w:space="0"/>
            </w:tcBorders>
            <w:vAlign w:val="bottom"/>
          </w:tcPr>
          <w:p>
            <w:pPr>
              <w:widowControl/>
              <w:jc w:val="center"/>
              <w:rPr>
                <w:rFonts w:ascii="宋体" w:hAnsi="宋体" w:cs="宋体"/>
                <w:kern w:val="0"/>
                <w:szCs w:val="21"/>
              </w:rPr>
            </w:pPr>
          </w:p>
        </w:tc>
      </w:tr>
    </w:tbl>
    <w:p>
      <w:pPr>
        <w:spacing w:line="360" w:lineRule="auto"/>
        <w:ind w:firstLine="480" w:firstLineChars="200"/>
        <w:rPr>
          <w:rFonts w:hAnsiTheme="minorEastAsia" w:eastAsiaTheme="minorEastAsia"/>
          <w:bCs/>
          <w:sz w:val="24"/>
        </w:rPr>
      </w:pPr>
      <w:r>
        <w:rPr>
          <w:rFonts w:hint="eastAsia" w:hAnsiTheme="minorEastAsia" w:eastAsiaTheme="minorEastAsia"/>
          <w:bCs/>
          <w:sz w:val="24"/>
        </w:rPr>
        <w:t>根据现场踏勘，评价区植被主要以草地为主，草本植被有白羊草、蒿类等，农作物次之，农作物包括豆类、玉米、谷子等。</w:t>
      </w:r>
    </w:p>
    <w:p>
      <w:pPr>
        <w:spacing w:line="360" w:lineRule="auto"/>
        <w:outlineLvl w:val="3"/>
        <w:rPr>
          <w:rFonts w:eastAsiaTheme="minorEastAsia"/>
          <w:b/>
          <w:sz w:val="24"/>
        </w:rPr>
      </w:pPr>
      <w:r>
        <w:rPr>
          <w:rFonts w:eastAsiaTheme="minorEastAsia"/>
          <w:b/>
          <w:sz w:val="24"/>
        </w:rPr>
        <w:t>4.3.6.4土壤侵蚀现状调查</w:t>
      </w:r>
    </w:p>
    <w:p>
      <w:pPr>
        <w:spacing w:line="360" w:lineRule="auto"/>
        <w:ind w:firstLine="480" w:firstLineChars="200"/>
        <w:rPr>
          <w:rFonts w:eastAsiaTheme="minorEastAsia"/>
          <w:sz w:val="24"/>
        </w:rPr>
      </w:pPr>
      <w:r>
        <w:rPr>
          <w:rFonts w:hAnsiTheme="minorEastAsia" w:eastAsiaTheme="minorEastAsia"/>
          <w:sz w:val="24"/>
        </w:rPr>
        <w:t>根据遥感影像的解译分析，井田内共有</w:t>
      </w:r>
      <w:r>
        <w:rPr>
          <w:rFonts w:eastAsiaTheme="minorEastAsia"/>
          <w:sz w:val="24"/>
        </w:rPr>
        <w:t>4</w:t>
      </w:r>
      <w:r>
        <w:rPr>
          <w:rFonts w:hAnsiTheme="minorEastAsia" w:eastAsiaTheme="minorEastAsia"/>
          <w:sz w:val="24"/>
        </w:rPr>
        <w:t>中土壤侵蚀类型，为微度侵蚀、轻度侵蚀、中度侵蚀和强烈侵蚀。调查区土壤侵蚀强度解析判断结果见表</w:t>
      </w:r>
      <w:r>
        <w:rPr>
          <w:rFonts w:eastAsiaTheme="minorEastAsia"/>
          <w:sz w:val="24"/>
        </w:rPr>
        <w:t>4.3-</w:t>
      </w:r>
      <w:r>
        <w:rPr>
          <w:rFonts w:hint="eastAsia" w:eastAsiaTheme="minorEastAsia"/>
          <w:sz w:val="24"/>
        </w:rPr>
        <w:t>18</w:t>
      </w:r>
      <w:r>
        <w:rPr>
          <w:rFonts w:hAnsiTheme="minorEastAsia" w:eastAsiaTheme="minorEastAsia"/>
          <w:sz w:val="24"/>
        </w:rPr>
        <w:t>。土壤侵蚀</w:t>
      </w:r>
      <w:r>
        <w:rPr>
          <w:rFonts w:hint="eastAsia" w:hAnsiTheme="minorEastAsia" w:eastAsiaTheme="minorEastAsia"/>
          <w:sz w:val="24"/>
        </w:rPr>
        <w:t>现状</w:t>
      </w:r>
      <w:r>
        <w:rPr>
          <w:rFonts w:hAnsiTheme="minorEastAsia" w:eastAsiaTheme="minorEastAsia"/>
          <w:sz w:val="24"/>
        </w:rPr>
        <w:t>图，见图</w:t>
      </w:r>
      <w:r>
        <w:rPr>
          <w:rFonts w:eastAsiaTheme="minorEastAsia"/>
          <w:sz w:val="24"/>
        </w:rPr>
        <w:t>4.3-</w:t>
      </w:r>
      <w:r>
        <w:rPr>
          <w:rFonts w:hint="eastAsia" w:eastAsiaTheme="minorEastAsia"/>
          <w:sz w:val="24"/>
        </w:rPr>
        <w:t>4</w:t>
      </w:r>
      <w:r>
        <w:rPr>
          <w:rFonts w:hAnsiTheme="minorEastAsia" w:eastAsiaTheme="minorEastAsia"/>
          <w:sz w:val="24"/>
        </w:rPr>
        <w:t>。</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4.3-</w:t>
      </w:r>
      <w:r>
        <w:rPr>
          <w:rFonts w:hint="eastAsia" w:eastAsiaTheme="minorEastAsia"/>
          <w:b/>
          <w:szCs w:val="21"/>
        </w:rPr>
        <w:t>18</w:t>
      </w:r>
      <w:r>
        <w:rPr>
          <w:rFonts w:eastAsiaTheme="minorEastAsia"/>
          <w:b/>
          <w:szCs w:val="21"/>
        </w:rPr>
        <w:t xml:space="preserve">  </w:t>
      </w:r>
      <w:r>
        <w:rPr>
          <w:rFonts w:hAnsiTheme="minorEastAsia" w:eastAsiaTheme="minorEastAsia"/>
          <w:b/>
          <w:szCs w:val="21"/>
        </w:rPr>
        <w:t>矿区土壤侵蚀现状表</w:t>
      </w:r>
    </w:p>
    <w:tbl>
      <w:tblPr>
        <w:tblStyle w:val="25"/>
        <w:tblW w:w="4984"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84"/>
        <w:gridCol w:w="3086"/>
        <w:gridCol w:w="30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1666" w:type="pct"/>
          </w:tcPr>
          <w:p>
            <w:pPr>
              <w:jc w:val="center"/>
              <w:rPr>
                <w:rFonts w:eastAsiaTheme="minorEastAsia"/>
                <w:kern w:val="0"/>
                <w:sz w:val="21"/>
                <w:szCs w:val="21"/>
              </w:rPr>
            </w:pPr>
            <w:r>
              <w:rPr>
                <w:rFonts w:hAnsiTheme="minorEastAsia" w:eastAsiaTheme="minorEastAsia"/>
                <w:kern w:val="0"/>
                <w:sz w:val="21"/>
                <w:szCs w:val="21"/>
              </w:rPr>
              <w:t>侵蚀程度</w:t>
            </w:r>
          </w:p>
        </w:tc>
        <w:tc>
          <w:tcPr>
            <w:tcW w:w="1667" w:type="pct"/>
          </w:tcPr>
          <w:p>
            <w:pPr>
              <w:jc w:val="center"/>
              <w:rPr>
                <w:rFonts w:eastAsiaTheme="minorEastAsia"/>
                <w:kern w:val="0"/>
                <w:sz w:val="21"/>
                <w:szCs w:val="21"/>
              </w:rPr>
            </w:pPr>
            <w:r>
              <w:rPr>
                <w:rFonts w:hAnsiTheme="minorEastAsia" w:eastAsiaTheme="minorEastAsia"/>
                <w:kern w:val="0"/>
                <w:sz w:val="21"/>
                <w:szCs w:val="21"/>
              </w:rPr>
              <w:t>面积（</w:t>
            </w:r>
            <w:r>
              <w:rPr>
                <w:rFonts w:eastAsiaTheme="minorEastAsia"/>
                <w:kern w:val="0"/>
                <w:sz w:val="21"/>
                <w:szCs w:val="21"/>
              </w:rPr>
              <w:t>km</w:t>
            </w:r>
            <w:r>
              <w:rPr>
                <w:rFonts w:eastAsiaTheme="minorEastAsia"/>
                <w:kern w:val="0"/>
                <w:sz w:val="21"/>
                <w:szCs w:val="21"/>
                <w:vertAlign w:val="superscript"/>
              </w:rPr>
              <w:t>2</w:t>
            </w:r>
            <w:r>
              <w:rPr>
                <w:rFonts w:hAnsiTheme="minorEastAsia" w:eastAsiaTheme="minorEastAsia"/>
                <w:kern w:val="0"/>
                <w:sz w:val="21"/>
                <w:szCs w:val="21"/>
              </w:rPr>
              <w:t>）</w:t>
            </w:r>
          </w:p>
        </w:tc>
        <w:tc>
          <w:tcPr>
            <w:tcW w:w="1667" w:type="pct"/>
          </w:tcPr>
          <w:p>
            <w:pPr>
              <w:jc w:val="center"/>
              <w:rPr>
                <w:rFonts w:eastAsiaTheme="minorEastAsia"/>
                <w:kern w:val="0"/>
                <w:sz w:val="21"/>
                <w:szCs w:val="21"/>
              </w:rPr>
            </w:pPr>
            <w:r>
              <w:rPr>
                <w:rFonts w:hAnsiTheme="minorEastAsia" w:eastAsiaTheme="minorEastAsia"/>
                <w:kern w:val="0"/>
                <w:sz w:val="21"/>
                <w:szCs w:val="21"/>
              </w:rPr>
              <w:t>占矿区比例（</w:t>
            </w:r>
            <w:r>
              <w:rPr>
                <w:rFonts w:eastAsiaTheme="minorEastAsia"/>
                <w:kern w:val="0"/>
                <w:sz w:val="21"/>
                <w:szCs w:val="21"/>
              </w:rPr>
              <w:t>%</w:t>
            </w:r>
            <w:r>
              <w:rPr>
                <w:rFonts w:hAnsiTheme="minorEastAsia"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1666" w:type="pct"/>
          </w:tcPr>
          <w:p>
            <w:pPr>
              <w:jc w:val="center"/>
              <w:rPr>
                <w:rFonts w:eastAsiaTheme="minorEastAsia"/>
                <w:kern w:val="0"/>
                <w:sz w:val="21"/>
                <w:szCs w:val="21"/>
              </w:rPr>
            </w:pPr>
            <w:r>
              <w:rPr>
                <w:rFonts w:hAnsiTheme="minorEastAsia" w:eastAsiaTheme="minorEastAsia"/>
                <w:kern w:val="0"/>
                <w:sz w:val="21"/>
                <w:szCs w:val="21"/>
              </w:rPr>
              <w:t>微度侵蚀</w:t>
            </w:r>
          </w:p>
        </w:tc>
        <w:tc>
          <w:tcPr>
            <w:tcW w:w="1667" w:type="pct"/>
            <w:vAlign w:val="center"/>
          </w:tcPr>
          <w:p>
            <w:pPr>
              <w:widowControl/>
              <w:jc w:val="center"/>
              <w:rPr>
                <w:rFonts w:ascii="宋体" w:hAnsi="宋体" w:cs="宋体"/>
                <w:kern w:val="0"/>
                <w:sz w:val="21"/>
                <w:szCs w:val="21"/>
              </w:rPr>
            </w:pPr>
          </w:p>
        </w:tc>
        <w:tc>
          <w:tcPr>
            <w:tcW w:w="1667" w:type="pct"/>
            <w:vAlign w:val="bottom"/>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1666" w:type="pct"/>
          </w:tcPr>
          <w:p>
            <w:pPr>
              <w:jc w:val="center"/>
              <w:rPr>
                <w:rFonts w:eastAsiaTheme="minorEastAsia"/>
                <w:kern w:val="0"/>
                <w:sz w:val="21"/>
                <w:szCs w:val="21"/>
              </w:rPr>
            </w:pPr>
            <w:r>
              <w:rPr>
                <w:rFonts w:hAnsiTheme="minorEastAsia" w:eastAsiaTheme="minorEastAsia"/>
                <w:kern w:val="0"/>
                <w:sz w:val="21"/>
                <w:szCs w:val="21"/>
              </w:rPr>
              <w:t>轻度侵蚀</w:t>
            </w:r>
          </w:p>
        </w:tc>
        <w:tc>
          <w:tcPr>
            <w:tcW w:w="1667" w:type="pct"/>
            <w:vAlign w:val="bottom"/>
          </w:tcPr>
          <w:p>
            <w:pPr>
              <w:widowControl/>
              <w:jc w:val="center"/>
              <w:rPr>
                <w:rFonts w:ascii="宋体" w:hAnsi="宋体" w:cs="宋体"/>
                <w:kern w:val="0"/>
                <w:sz w:val="21"/>
                <w:szCs w:val="21"/>
              </w:rPr>
            </w:pPr>
          </w:p>
        </w:tc>
        <w:tc>
          <w:tcPr>
            <w:tcW w:w="1667" w:type="pct"/>
            <w:vAlign w:val="bottom"/>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1666" w:type="pct"/>
          </w:tcPr>
          <w:p>
            <w:pPr>
              <w:jc w:val="center"/>
              <w:rPr>
                <w:rFonts w:eastAsiaTheme="minorEastAsia"/>
                <w:kern w:val="0"/>
                <w:sz w:val="21"/>
                <w:szCs w:val="21"/>
              </w:rPr>
            </w:pPr>
            <w:r>
              <w:rPr>
                <w:rFonts w:hAnsiTheme="minorEastAsia" w:eastAsiaTheme="minorEastAsia"/>
                <w:kern w:val="0"/>
                <w:sz w:val="21"/>
                <w:szCs w:val="21"/>
              </w:rPr>
              <w:t>中度侵蚀</w:t>
            </w:r>
          </w:p>
        </w:tc>
        <w:tc>
          <w:tcPr>
            <w:tcW w:w="1667" w:type="pct"/>
            <w:vAlign w:val="center"/>
          </w:tcPr>
          <w:p>
            <w:pPr>
              <w:widowControl/>
              <w:jc w:val="center"/>
              <w:rPr>
                <w:rFonts w:ascii="宋体" w:hAnsi="宋体" w:cs="宋体"/>
                <w:kern w:val="0"/>
                <w:sz w:val="21"/>
                <w:szCs w:val="21"/>
              </w:rPr>
            </w:pPr>
          </w:p>
        </w:tc>
        <w:tc>
          <w:tcPr>
            <w:tcW w:w="1667" w:type="pct"/>
            <w:vAlign w:val="bottom"/>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1666" w:type="pct"/>
          </w:tcPr>
          <w:p>
            <w:pPr>
              <w:jc w:val="center"/>
              <w:rPr>
                <w:rFonts w:eastAsiaTheme="minorEastAsia"/>
                <w:kern w:val="0"/>
                <w:sz w:val="21"/>
                <w:szCs w:val="21"/>
              </w:rPr>
            </w:pPr>
            <w:r>
              <w:rPr>
                <w:rFonts w:hAnsiTheme="minorEastAsia" w:eastAsiaTheme="minorEastAsia"/>
                <w:kern w:val="0"/>
                <w:sz w:val="21"/>
                <w:szCs w:val="21"/>
              </w:rPr>
              <w:t>强烈侵蚀</w:t>
            </w:r>
          </w:p>
        </w:tc>
        <w:tc>
          <w:tcPr>
            <w:tcW w:w="1667" w:type="pct"/>
            <w:vAlign w:val="bottom"/>
          </w:tcPr>
          <w:p>
            <w:pPr>
              <w:widowControl/>
              <w:jc w:val="center"/>
              <w:rPr>
                <w:rFonts w:ascii="宋体" w:hAnsi="宋体" w:cs="宋体"/>
                <w:kern w:val="0"/>
                <w:sz w:val="21"/>
                <w:szCs w:val="21"/>
              </w:rPr>
            </w:pPr>
          </w:p>
        </w:tc>
        <w:tc>
          <w:tcPr>
            <w:tcW w:w="1667" w:type="pct"/>
            <w:vAlign w:val="bottom"/>
          </w:tcPr>
          <w:p>
            <w:pPr>
              <w:widowControl/>
              <w:jc w:val="center"/>
              <w:rPr>
                <w:rFonts w:ascii="宋体" w:hAnsi="宋体" w:cs="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1666" w:type="pct"/>
          </w:tcPr>
          <w:p>
            <w:pPr>
              <w:jc w:val="center"/>
              <w:rPr>
                <w:rFonts w:eastAsiaTheme="minorEastAsia"/>
                <w:kern w:val="0"/>
                <w:sz w:val="21"/>
                <w:szCs w:val="21"/>
              </w:rPr>
            </w:pPr>
            <w:r>
              <w:rPr>
                <w:rFonts w:hAnsiTheme="minorEastAsia" w:eastAsiaTheme="minorEastAsia"/>
                <w:kern w:val="0"/>
                <w:sz w:val="21"/>
                <w:szCs w:val="21"/>
              </w:rPr>
              <w:t>合计</w:t>
            </w:r>
          </w:p>
        </w:tc>
        <w:tc>
          <w:tcPr>
            <w:tcW w:w="1667" w:type="pct"/>
            <w:vAlign w:val="bottom"/>
          </w:tcPr>
          <w:p>
            <w:pPr>
              <w:widowControl/>
              <w:jc w:val="center"/>
              <w:rPr>
                <w:rFonts w:ascii="宋体" w:hAnsi="宋体" w:cs="宋体"/>
                <w:kern w:val="0"/>
                <w:sz w:val="21"/>
                <w:szCs w:val="21"/>
              </w:rPr>
            </w:pPr>
          </w:p>
        </w:tc>
        <w:tc>
          <w:tcPr>
            <w:tcW w:w="1667" w:type="pct"/>
            <w:vAlign w:val="bottom"/>
          </w:tcPr>
          <w:p>
            <w:pPr>
              <w:widowControl/>
              <w:jc w:val="center"/>
              <w:rPr>
                <w:rFonts w:ascii="宋体" w:hAnsi="宋体" w:cs="宋体"/>
                <w:kern w:val="0"/>
                <w:sz w:val="21"/>
                <w:szCs w:val="21"/>
              </w:rPr>
            </w:pPr>
          </w:p>
        </w:tc>
      </w:tr>
    </w:tbl>
    <w:p>
      <w:pPr>
        <w:spacing w:line="460" w:lineRule="exact"/>
        <w:ind w:firstLine="480" w:firstLineChars="200"/>
        <w:rPr>
          <w:rFonts w:eastAsiaTheme="minorEastAsia"/>
          <w:sz w:val="24"/>
        </w:rPr>
      </w:pPr>
      <w:r>
        <w:rPr>
          <w:rFonts w:hAnsiTheme="minorEastAsia" w:eastAsiaTheme="minorEastAsia"/>
          <w:sz w:val="24"/>
        </w:rPr>
        <w:t>由表</w:t>
      </w:r>
      <w:r>
        <w:rPr>
          <w:rFonts w:hint="eastAsia" w:eastAsiaTheme="minorEastAsia"/>
          <w:sz w:val="24"/>
        </w:rPr>
        <w:t>4.3-18</w:t>
      </w:r>
      <w:r>
        <w:rPr>
          <w:rFonts w:hAnsiTheme="minorEastAsia" w:eastAsiaTheme="minorEastAsia"/>
          <w:sz w:val="24"/>
        </w:rPr>
        <w:t>和图</w:t>
      </w:r>
      <w:r>
        <w:rPr>
          <w:rFonts w:hint="eastAsia" w:eastAsiaTheme="minorEastAsia"/>
          <w:sz w:val="24"/>
        </w:rPr>
        <w:t>4.3-4</w:t>
      </w:r>
      <w:r>
        <w:rPr>
          <w:rFonts w:hAnsiTheme="minorEastAsia" w:eastAsiaTheme="minorEastAsia"/>
          <w:sz w:val="24"/>
        </w:rPr>
        <w:t>可以看出，本区主要以</w:t>
      </w:r>
      <w:r>
        <w:rPr>
          <w:rFonts w:hint="eastAsia" w:hAnsiTheme="minorEastAsia" w:eastAsiaTheme="minorEastAsia"/>
          <w:sz w:val="24"/>
        </w:rPr>
        <w:t>中</w:t>
      </w:r>
      <w:r>
        <w:rPr>
          <w:rFonts w:hAnsiTheme="minorEastAsia" w:eastAsiaTheme="minorEastAsia"/>
          <w:sz w:val="24"/>
        </w:rPr>
        <w:t>度侵蚀为主</w:t>
      </w:r>
      <w:r>
        <w:rPr>
          <w:rFonts w:hint="eastAsia" w:hAnsiTheme="minorEastAsia" w:eastAsiaTheme="minorEastAsia"/>
          <w:sz w:val="24"/>
        </w:rPr>
        <w:t>，</w:t>
      </w:r>
      <w:r>
        <w:rPr>
          <w:rFonts w:hAnsiTheme="minorEastAsia" w:eastAsiaTheme="minorEastAsia"/>
          <w:sz w:val="24"/>
        </w:rPr>
        <w:t>占到评价区总面积的</w:t>
      </w:r>
      <w:r>
        <w:rPr>
          <w:rFonts w:eastAsiaTheme="minorEastAsia"/>
          <w:sz w:val="24"/>
        </w:rPr>
        <w:t>6</w:t>
      </w:r>
      <w:r>
        <w:rPr>
          <w:rFonts w:hint="eastAsia" w:eastAsiaTheme="minorEastAsia"/>
          <w:sz w:val="24"/>
        </w:rPr>
        <w:t>7.27</w:t>
      </w:r>
      <w:r>
        <w:rPr>
          <w:rFonts w:eastAsiaTheme="minorEastAsia"/>
          <w:sz w:val="24"/>
        </w:rPr>
        <w:t>%</w:t>
      </w:r>
      <w:r>
        <w:rPr>
          <w:rFonts w:hAnsiTheme="minorEastAsia" w:eastAsiaTheme="minorEastAsia"/>
          <w:sz w:val="24"/>
        </w:rPr>
        <w:t>；</w:t>
      </w:r>
      <w:r>
        <w:rPr>
          <w:rFonts w:hint="eastAsia" w:hAnsiTheme="minorEastAsia" w:eastAsiaTheme="minorEastAsia"/>
          <w:sz w:val="24"/>
        </w:rPr>
        <w:t>微</w:t>
      </w:r>
      <w:r>
        <w:rPr>
          <w:rFonts w:hAnsiTheme="minorEastAsia" w:eastAsiaTheme="minorEastAsia"/>
          <w:sz w:val="24"/>
        </w:rPr>
        <w:t>度侵蚀次之，占到评价区总面积的</w:t>
      </w:r>
      <w:r>
        <w:rPr>
          <w:rFonts w:hint="eastAsia" w:eastAsiaTheme="minorEastAsia"/>
          <w:sz w:val="24"/>
        </w:rPr>
        <w:t>22.69</w:t>
      </w:r>
      <w:r>
        <w:rPr>
          <w:rFonts w:eastAsiaTheme="minorEastAsia"/>
          <w:sz w:val="24"/>
        </w:rPr>
        <w:t>%</w:t>
      </w:r>
      <w:r>
        <w:rPr>
          <w:rFonts w:hAnsiTheme="minorEastAsia" w:eastAsiaTheme="minorEastAsia"/>
          <w:sz w:val="24"/>
        </w:rPr>
        <w:t>，</w:t>
      </w:r>
      <w:r>
        <w:rPr>
          <w:rFonts w:hint="eastAsia" w:hAnsiTheme="minorEastAsia" w:eastAsiaTheme="minorEastAsia"/>
          <w:sz w:val="24"/>
        </w:rPr>
        <w:t>轻</w:t>
      </w:r>
      <w:r>
        <w:rPr>
          <w:rFonts w:hAnsiTheme="minorEastAsia" w:eastAsiaTheme="minorEastAsia"/>
          <w:sz w:val="24"/>
        </w:rPr>
        <w:t>度、强度侵蚀分别占评价区总面积的</w:t>
      </w:r>
      <w:r>
        <w:rPr>
          <w:rFonts w:hint="eastAsia" w:eastAsiaTheme="minorEastAsia"/>
          <w:sz w:val="24"/>
        </w:rPr>
        <w:t>7.41</w:t>
      </w:r>
      <w:r>
        <w:rPr>
          <w:rFonts w:eastAsiaTheme="minorEastAsia"/>
          <w:sz w:val="24"/>
        </w:rPr>
        <w:t>%</w:t>
      </w:r>
      <w:r>
        <w:rPr>
          <w:rFonts w:hAnsiTheme="minorEastAsia" w:eastAsiaTheme="minorEastAsia"/>
          <w:sz w:val="24"/>
        </w:rPr>
        <w:t>和</w:t>
      </w:r>
      <w:r>
        <w:rPr>
          <w:rFonts w:hint="eastAsia" w:eastAsiaTheme="minorEastAsia"/>
          <w:sz w:val="24"/>
        </w:rPr>
        <w:t>2.63</w:t>
      </w:r>
      <w:r>
        <w:rPr>
          <w:rFonts w:eastAsiaTheme="minorEastAsia"/>
          <w:sz w:val="24"/>
        </w:rPr>
        <w:t>%</w:t>
      </w:r>
      <w:r>
        <w:rPr>
          <w:rFonts w:hAnsiTheme="minorEastAsia" w:eastAsiaTheme="minorEastAsia"/>
          <w:sz w:val="24"/>
        </w:rPr>
        <w:t>。</w:t>
      </w:r>
    </w:p>
    <w:p>
      <w:pPr>
        <w:spacing w:line="460" w:lineRule="exact"/>
        <w:ind w:firstLine="480" w:firstLineChars="200"/>
        <w:rPr>
          <w:rFonts w:eastAsiaTheme="minorEastAsia"/>
          <w:sz w:val="24"/>
        </w:rPr>
      </w:pPr>
      <w:r>
        <w:rPr>
          <w:rFonts w:hAnsiTheme="minorEastAsia" w:eastAsiaTheme="minorEastAsia"/>
          <w:sz w:val="24"/>
        </w:rPr>
        <w:t>总体来说，评价区植被草丛、农田植被覆盖率较高，土壤侵蚀以</w:t>
      </w:r>
      <w:r>
        <w:rPr>
          <w:rFonts w:hint="eastAsia" w:hAnsiTheme="minorEastAsia" w:eastAsiaTheme="minorEastAsia"/>
          <w:sz w:val="24"/>
        </w:rPr>
        <w:t>中</w:t>
      </w:r>
      <w:r>
        <w:rPr>
          <w:rFonts w:hAnsiTheme="minorEastAsia" w:eastAsiaTheme="minorEastAsia"/>
          <w:sz w:val="24"/>
        </w:rPr>
        <w:t>度侵蚀为主。</w:t>
      </w:r>
    </w:p>
    <w:p>
      <w:pPr>
        <w:spacing w:line="360" w:lineRule="auto"/>
        <w:outlineLvl w:val="3"/>
        <w:rPr>
          <w:rFonts w:eastAsiaTheme="minorEastAsia"/>
          <w:b/>
          <w:sz w:val="24"/>
        </w:rPr>
      </w:pPr>
      <w:r>
        <w:rPr>
          <w:rFonts w:eastAsiaTheme="minorEastAsia"/>
          <w:b/>
          <w:sz w:val="24"/>
        </w:rPr>
        <w:t>4.3.6.5</w:t>
      </w:r>
      <w:r>
        <w:rPr>
          <w:rFonts w:hAnsiTheme="minorEastAsia" w:eastAsiaTheme="minorEastAsia"/>
          <w:b/>
          <w:sz w:val="24"/>
        </w:rPr>
        <w:t>矿区生态环境现状与遗留问题</w:t>
      </w:r>
    </w:p>
    <w:p>
      <w:pPr>
        <w:pStyle w:val="10"/>
        <w:kinsoku w:val="0"/>
        <w:overflowPunct w:val="0"/>
        <w:spacing w:after="0" w:line="360" w:lineRule="auto"/>
        <w:ind w:firstLine="480" w:firstLineChars="200"/>
        <w:rPr>
          <w:rFonts w:eastAsiaTheme="minorEastAsia"/>
          <w:sz w:val="24"/>
        </w:rPr>
      </w:pPr>
      <w:bookmarkStart w:id="222" w:name="_Toc511810548"/>
      <w:r>
        <w:rPr>
          <w:rFonts w:hint="eastAsia" w:eastAsiaTheme="minorEastAsia"/>
          <w:sz w:val="24"/>
        </w:rPr>
        <w:t>本矿为基建矿井，尚未开采，目前遗留环境问题主要为整合前废弃工业场地尚未进行生态恢复。</w:t>
      </w:r>
    </w:p>
    <w:bookmarkEnd w:id="222"/>
    <w:p>
      <w:pPr>
        <w:adjustRightInd w:val="0"/>
        <w:spacing w:line="360" w:lineRule="auto"/>
        <w:ind w:firstLine="420" w:firstLineChars="200"/>
        <w:jc w:val="left"/>
        <w:rPr>
          <w:rFonts w:eastAsiaTheme="minorEastAsia"/>
        </w:rPr>
        <w:sectPr>
          <w:headerReference r:id="rId28" w:type="default"/>
          <w:footerReference r:id="rId29" w:type="default"/>
          <w:pgSz w:w="11906" w:h="16838"/>
          <w:pgMar w:top="1701" w:right="1418" w:bottom="1701" w:left="1418" w:header="1134" w:footer="992" w:gutter="0"/>
          <w:cols w:space="425" w:num="1"/>
          <w:docGrid w:type="lines" w:linePitch="312" w:charSpace="0"/>
        </w:sectPr>
      </w:pPr>
    </w:p>
    <w:p>
      <w:pPr>
        <w:pStyle w:val="2"/>
        <w:spacing w:before="0" w:after="0" w:line="360" w:lineRule="auto"/>
        <w:jc w:val="center"/>
        <w:rPr>
          <w:rFonts w:eastAsiaTheme="minorEastAsia"/>
        </w:rPr>
      </w:pPr>
      <w:bookmarkStart w:id="223" w:name="_Toc223089917"/>
      <w:bookmarkStart w:id="224" w:name="_Toc287816210"/>
      <w:bookmarkStart w:id="225" w:name="_Toc152144312"/>
      <w:bookmarkStart w:id="226" w:name="_Toc187284875"/>
      <w:bookmarkStart w:id="227" w:name="_Toc351651146"/>
      <w:bookmarkStart w:id="228" w:name="_Toc168481582"/>
      <w:bookmarkStart w:id="229" w:name="_Toc260226953"/>
      <w:bookmarkStart w:id="230" w:name="_Toc259717528"/>
      <w:bookmarkStart w:id="231" w:name="_Toc285254432"/>
      <w:bookmarkStart w:id="232" w:name="_Toc285981772"/>
      <w:bookmarkStart w:id="233" w:name="_Toc258936037"/>
      <w:bookmarkStart w:id="234" w:name="_Toc281976432"/>
      <w:bookmarkStart w:id="235" w:name="_Toc71551939"/>
      <w:bookmarkStart w:id="236" w:name="_Toc480708224"/>
      <w:r>
        <w:rPr>
          <w:rFonts w:eastAsiaTheme="minorEastAsia"/>
        </w:rPr>
        <w:t>5</w:t>
      </w:r>
      <w:bookmarkEnd w:id="223"/>
      <w:bookmarkEnd w:id="224"/>
      <w:bookmarkEnd w:id="225"/>
      <w:bookmarkEnd w:id="226"/>
      <w:bookmarkEnd w:id="227"/>
      <w:bookmarkEnd w:id="228"/>
      <w:bookmarkEnd w:id="229"/>
      <w:bookmarkEnd w:id="230"/>
      <w:bookmarkEnd w:id="231"/>
      <w:bookmarkEnd w:id="232"/>
      <w:bookmarkEnd w:id="233"/>
      <w:bookmarkEnd w:id="234"/>
      <w:r>
        <w:rPr>
          <w:rFonts w:hAnsiTheme="minorEastAsia" w:eastAsiaTheme="minorEastAsia"/>
        </w:rPr>
        <w:t>、环境影响预测与评价</w:t>
      </w:r>
      <w:bookmarkEnd w:id="235"/>
      <w:bookmarkEnd w:id="236"/>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37" w:name="_Toc480708225"/>
      <w:bookmarkStart w:id="238" w:name="_Toc71551940"/>
      <w:r>
        <w:rPr>
          <w:rFonts w:ascii="Times New Roman" w:hAnsi="Times New Roman" w:eastAsiaTheme="minorEastAsia"/>
          <w:kern w:val="44"/>
          <w:sz w:val="30"/>
          <w:szCs w:val="30"/>
        </w:rPr>
        <w:t>5.1</w:t>
      </w:r>
      <w:r>
        <w:rPr>
          <w:rFonts w:ascii="Times New Roman" w:hAnsiTheme="minorEastAsia" w:eastAsiaTheme="minorEastAsia"/>
          <w:kern w:val="44"/>
          <w:sz w:val="30"/>
          <w:szCs w:val="30"/>
        </w:rPr>
        <w:t>地表沉陷预测</w:t>
      </w:r>
      <w:bookmarkEnd w:id="237"/>
      <w:r>
        <w:rPr>
          <w:rFonts w:ascii="Times New Roman" w:hAnsiTheme="minorEastAsia" w:eastAsiaTheme="minorEastAsia"/>
          <w:kern w:val="44"/>
          <w:sz w:val="30"/>
          <w:szCs w:val="30"/>
        </w:rPr>
        <w:t>与生态影响评价</w:t>
      </w:r>
      <w:bookmarkEnd w:id="238"/>
    </w:p>
    <w:p>
      <w:pPr>
        <w:spacing w:line="360" w:lineRule="auto"/>
        <w:outlineLvl w:val="2"/>
        <w:rPr>
          <w:rFonts w:eastAsiaTheme="minorEastAsia"/>
          <w:b/>
          <w:sz w:val="24"/>
        </w:rPr>
      </w:pPr>
      <w:r>
        <w:rPr>
          <w:rFonts w:eastAsiaTheme="minorEastAsia"/>
          <w:b/>
          <w:sz w:val="24"/>
        </w:rPr>
        <w:t>5.1.1</w:t>
      </w:r>
      <w:r>
        <w:rPr>
          <w:rFonts w:hAnsiTheme="minorEastAsia" w:eastAsiaTheme="minorEastAsia"/>
          <w:b/>
          <w:sz w:val="24"/>
        </w:rPr>
        <w:t>建设期生态影响分析与保护措施</w:t>
      </w:r>
    </w:p>
    <w:p>
      <w:pPr>
        <w:spacing w:line="360" w:lineRule="auto"/>
        <w:outlineLvl w:val="3"/>
        <w:rPr>
          <w:rFonts w:eastAsiaTheme="minorEastAsia"/>
          <w:b/>
          <w:sz w:val="24"/>
        </w:rPr>
      </w:pPr>
      <w:r>
        <w:rPr>
          <w:rFonts w:eastAsiaTheme="minorEastAsia"/>
          <w:b/>
          <w:sz w:val="24"/>
        </w:rPr>
        <w:t>5.1.1.1</w:t>
      </w:r>
      <w:r>
        <w:rPr>
          <w:rFonts w:hAnsiTheme="minorEastAsia" w:eastAsiaTheme="minorEastAsia"/>
          <w:b/>
          <w:sz w:val="24"/>
        </w:rPr>
        <w:t>建设期影响及保护措施</w:t>
      </w:r>
    </w:p>
    <w:p>
      <w:pPr>
        <w:spacing w:line="360" w:lineRule="auto"/>
        <w:ind w:firstLine="480" w:firstLineChars="200"/>
        <w:rPr>
          <w:rFonts w:hAnsiTheme="minorEastAsia" w:eastAsiaTheme="minorEastAsia"/>
          <w:b/>
          <w:sz w:val="24"/>
          <w:lang w:val="de-DE"/>
        </w:rPr>
      </w:pPr>
      <w:r>
        <w:rPr>
          <w:rFonts w:hint="eastAsia" w:hAnsiTheme="minorEastAsia" w:eastAsiaTheme="minorEastAsia"/>
          <w:sz w:val="24"/>
        </w:rPr>
        <w:t>本工程在建设期间，由于机械碾压等施工活动，破坏了原有地貌和植被、扰动表土结构，土壤抗蚀能力降低。同时建筑垃圾临时堆放以及施工结束前后一段时间内地表绿化工作尚未完成时，都将造成土壤裸露。遇下雨时，尤其是暴雨时，将会造成水土流失。</w:t>
      </w:r>
      <w:r>
        <w:rPr>
          <w:rFonts w:hAnsiTheme="minorEastAsia" w:eastAsiaTheme="minorEastAsia"/>
          <w:sz w:val="24"/>
        </w:rPr>
        <w:t>本项目施工期产生的生态影响主要为：①井下掘进矸石的堆放、装卸产生的扬尘及临时堆放可能产生的水土流失；②井下施工可能造成的地表沉陷裂缝。</w:t>
      </w:r>
      <w:r>
        <w:rPr>
          <w:rFonts w:hint="eastAsia" w:hAnsiTheme="minorEastAsia" w:eastAsiaTheme="minorEastAsia"/>
          <w:sz w:val="24"/>
        </w:rPr>
        <w:t>③风井场地</w:t>
      </w:r>
      <w:r>
        <w:rPr>
          <w:rFonts w:hint="eastAsia" w:hAnsiTheme="minorEastAsia" w:eastAsiaTheme="minorEastAsia"/>
          <w:sz w:val="24"/>
          <w:lang w:val="de-DE"/>
        </w:rPr>
        <w:t>工程施工过程中平整场地、开挖地表，造成直接施工区域内地表植被的完全破坏和施工区一定范围内植被不同程度的破坏；施工机械、施工材料的堆放、临时占地、弃土、弃渣的堆放等，还造成一定区域内植被破坏和水土流失。</w:t>
      </w:r>
    </w:p>
    <w:p>
      <w:pPr>
        <w:spacing w:line="360" w:lineRule="auto"/>
        <w:ind w:firstLine="480" w:firstLineChars="200"/>
        <w:rPr>
          <w:rFonts w:eastAsiaTheme="minorEastAsia"/>
          <w:sz w:val="24"/>
          <w:lang w:val="de-DE"/>
        </w:rPr>
      </w:pPr>
      <w:r>
        <w:rPr>
          <w:rFonts w:hAnsiTheme="minorEastAsia" w:eastAsiaTheme="minorEastAsia"/>
          <w:sz w:val="24"/>
          <w:lang w:val="de-DE"/>
        </w:rPr>
        <w:t>（</w:t>
      </w:r>
      <w:r>
        <w:rPr>
          <w:rFonts w:eastAsiaTheme="minorEastAsia"/>
          <w:sz w:val="24"/>
          <w:lang w:val="de-DE"/>
        </w:rPr>
        <w:t>1</w:t>
      </w:r>
      <w:r>
        <w:rPr>
          <w:rFonts w:hAnsiTheme="minorEastAsia" w:eastAsiaTheme="minorEastAsia"/>
          <w:sz w:val="24"/>
          <w:lang w:val="de-DE"/>
        </w:rPr>
        <w:t>）</w:t>
      </w:r>
      <w:r>
        <w:rPr>
          <w:rFonts w:hAnsiTheme="minorEastAsia" w:eastAsiaTheme="minorEastAsia"/>
          <w:sz w:val="24"/>
        </w:rPr>
        <w:t>水土保持防治措施</w:t>
      </w:r>
    </w:p>
    <w:p>
      <w:pPr>
        <w:spacing w:line="360" w:lineRule="auto"/>
        <w:ind w:firstLine="480" w:firstLineChars="200"/>
        <w:rPr>
          <w:rFonts w:eastAsiaTheme="minorEastAsia"/>
          <w:sz w:val="28"/>
          <w:szCs w:val="28"/>
        </w:rPr>
      </w:pPr>
      <w:r>
        <w:rPr>
          <w:rFonts w:hAnsiTheme="minorEastAsia" w:eastAsiaTheme="minorEastAsia"/>
          <w:sz w:val="24"/>
        </w:rPr>
        <w:t>针对工程施工可能存在的水土流失隐患提出相应的防治措施，具体对策包括：</w:t>
      </w:r>
    </w:p>
    <w:p>
      <w:pPr>
        <w:spacing w:line="360" w:lineRule="auto"/>
        <w:ind w:firstLine="480" w:firstLineChars="200"/>
        <w:rPr>
          <w:rFonts w:eastAsiaTheme="minorEastAsia"/>
          <w:sz w:val="24"/>
        </w:rPr>
      </w:pPr>
      <w:r>
        <w:rPr>
          <w:rFonts w:hAnsiTheme="minorEastAsia" w:eastAsiaTheme="minorEastAsia"/>
          <w:sz w:val="24"/>
        </w:rPr>
        <w:t>施工装卸、运输等工序，应尽量避开雨季。结合地形合理规划土方堆置场地，周围设围挡物，结合实际情况适时采取专门的排水措施。充分考虑现有排水设施的情况下，临时堆矸四周设置临时排水沟，排水沟采用梯形断面形式，排水沟开挖成梯形后上覆土工布。水土流失的防治工作要结合工程运营期的有关措施统一安排，相关工作应落实到位，加强监督与管理。</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）地面裂缝治理措施</w:t>
      </w:r>
    </w:p>
    <w:p>
      <w:pPr>
        <w:spacing w:line="360" w:lineRule="auto"/>
        <w:ind w:firstLine="480" w:firstLineChars="200"/>
        <w:rPr>
          <w:rFonts w:eastAsiaTheme="minorEastAsia"/>
          <w:sz w:val="24"/>
        </w:rPr>
      </w:pPr>
      <w:r>
        <w:rPr>
          <w:rFonts w:hAnsiTheme="minorEastAsia" w:eastAsiaTheme="minorEastAsia"/>
          <w:sz w:val="24"/>
        </w:rPr>
        <w:t>施工期安排专人对工程巷道对应的地上范围进行观测，由于巷道施工可能造成的地面裂缝为不稳定沉陷裂缝，因此对其采取临时的治理措施，待回采完毕后再进行永久性地复垦。采取的临时治理措施主要为对裂缝进行充填，土地平整；对受影响的植被进行扶正，以及撒播草籽等措施。</w:t>
      </w:r>
    </w:p>
    <w:p>
      <w:pPr>
        <w:spacing w:line="360" w:lineRule="auto"/>
        <w:outlineLvl w:val="3"/>
        <w:rPr>
          <w:rFonts w:eastAsiaTheme="minorEastAsia"/>
          <w:b/>
          <w:sz w:val="24"/>
        </w:rPr>
      </w:pPr>
      <w:r>
        <w:rPr>
          <w:rFonts w:eastAsiaTheme="minorEastAsia"/>
          <w:b/>
          <w:sz w:val="24"/>
        </w:rPr>
        <w:t>5.1.1.2</w:t>
      </w:r>
      <w:r>
        <w:rPr>
          <w:rFonts w:hAnsiTheme="minorEastAsia" w:eastAsiaTheme="minorEastAsia"/>
          <w:b/>
          <w:sz w:val="24"/>
        </w:rPr>
        <w:t>环境监理</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）环境监理任务</w:t>
      </w:r>
    </w:p>
    <w:p>
      <w:pPr>
        <w:spacing w:line="360" w:lineRule="auto"/>
        <w:ind w:firstLine="480" w:firstLineChars="200"/>
        <w:rPr>
          <w:rFonts w:eastAsiaTheme="minorEastAsia"/>
          <w:sz w:val="24"/>
        </w:rPr>
      </w:pPr>
      <w:r>
        <w:rPr>
          <w:rFonts w:hAnsiTheme="minorEastAsia" w:eastAsiaTheme="minorEastAsia"/>
          <w:sz w:val="24"/>
        </w:rPr>
        <w:t>建设单位签订的施工监理合同应明确环境监理内容，将生态恢复指标及水土保持措施落实在施工期环境监理日常工作中。本项目施工期应有专人负责环境保护措施的监理工作，确保施工期各项环保措施的实施，对施工过程是否造成水土流失加剧和生态环境破坏，是否符合国家有关环保法律、法规等进行监理。环境监理工作主要任务：</w:t>
      </w:r>
    </w:p>
    <w:p>
      <w:pPr>
        <w:spacing w:line="360" w:lineRule="auto"/>
        <w:ind w:firstLine="480" w:firstLineChars="200"/>
        <w:rPr>
          <w:rFonts w:eastAsiaTheme="minorEastAsia"/>
          <w:sz w:val="24"/>
        </w:rPr>
      </w:pPr>
      <w:r>
        <w:rPr>
          <w:rFonts w:hAnsiTheme="minorEastAsia" w:eastAsiaTheme="minorEastAsia"/>
          <w:sz w:val="24"/>
        </w:rPr>
        <w:t>①负责审查各承包单位（施工单位）的环保资质，环保实施措施或方案；负责对施工期各承包单位环保工作（包括环境达标排放和污染现状认定等）达标验收，制定各环保单项考评奖惩制度和办法等。</w:t>
      </w:r>
    </w:p>
    <w:p>
      <w:pPr>
        <w:spacing w:line="360" w:lineRule="auto"/>
        <w:ind w:firstLine="480" w:firstLineChars="200"/>
        <w:rPr>
          <w:rFonts w:eastAsiaTheme="minorEastAsia"/>
          <w:sz w:val="24"/>
        </w:rPr>
      </w:pPr>
      <w:r>
        <w:rPr>
          <w:rFonts w:hAnsiTheme="minorEastAsia" w:eastAsiaTheme="minorEastAsia"/>
          <w:sz w:val="24"/>
        </w:rPr>
        <w:t>②监督监理项目对周边地表水体、植被、农田、大气等所造成的影响及保护措施的落实情况，以及生态保护、各类污染防治措施的施工计划和各项环保资金的落实情况。</w:t>
      </w:r>
    </w:p>
    <w:p>
      <w:pPr>
        <w:spacing w:line="360" w:lineRule="auto"/>
        <w:ind w:firstLine="480" w:firstLineChars="200"/>
        <w:rPr>
          <w:rFonts w:eastAsiaTheme="minorEastAsia"/>
          <w:sz w:val="24"/>
        </w:rPr>
      </w:pPr>
      <w:r>
        <w:rPr>
          <w:rFonts w:hAnsiTheme="minorEastAsia" w:eastAsiaTheme="minorEastAsia"/>
          <w:sz w:val="24"/>
        </w:rPr>
        <w:t>③对项目环保工程的质量、费用、进度实施全过程监控，严格要求，防止出现问题，确保工程运营后能长期有效的发挥环境效益和社会效益。</w:t>
      </w:r>
    </w:p>
    <w:p>
      <w:pPr>
        <w:spacing w:line="360" w:lineRule="auto"/>
        <w:ind w:firstLine="480" w:firstLineChars="200"/>
        <w:rPr>
          <w:rFonts w:eastAsiaTheme="minorEastAsia"/>
          <w:sz w:val="24"/>
        </w:rPr>
      </w:pPr>
      <w:r>
        <w:rPr>
          <w:rFonts w:hAnsiTheme="minorEastAsia" w:eastAsiaTheme="minorEastAsia"/>
          <w:sz w:val="24"/>
        </w:rPr>
        <w:t>④按照各级环保部门的要求，对工程建设过程中的环境保护与环保设施施工进行旁站、巡视或组织环境质量检测，发现问题及时提出建议和协调解决，并分别向建设单位和环保部门报送监理月报或阶段报告。</w:t>
      </w:r>
    </w:p>
    <w:p>
      <w:pPr>
        <w:spacing w:line="360" w:lineRule="auto"/>
        <w:ind w:firstLine="480" w:firstLineChars="200"/>
        <w:rPr>
          <w:rFonts w:eastAsiaTheme="minorEastAsia"/>
          <w:sz w:val="24"/>
        </w:rPr>
      </w:pPr>
      <w:r>
        <w:rPr>
          <w:rFonts w:hAnsiTheme="minorEastAsia" w:eastAsiaTheme="minorEastAsia"/>
          <w:sz w:val="24"/>
        </w:rPr>
        <w:t>⑤协助施工期建设单位组织有资质的环境监测单位，实施施工期间地表水、环境空气、声环境的环境监测，并适时向业主和当地环保部门进行施工期环境监测情况的监测报告。</w:t>
      </w:r>
    </w:p>
    <w:p>
      <w:pPr>
        <w:spacing w:line="360" w:lineRule="auto"/>
        <w:ind w:firstLine="480" w:firstLineChars="200"/>
        <w:rPr>
          <w:rFonts w:eastAsiaTheme="minorEastAsia"/>
          <w:sz w:val="24"/>
        </w:rPr>
      </w:pPr>
      <w:r>
        <w:rPr>
          <w:rFonts w:hAnsiTheme="minorEastAsia" w:eastAsiaTheme="minorEastAsia"/>
          <w:sz w:val="24"/>
        </w:rPr>
        <w:t>⑥对建设单位的生态恢复与水土保持工作进行监督，使土地整治率达到</w:t>
      </w:r>
      <w:r>
        <w:rPr>
          <w:rFonts w:eastAsiaTheme="minorEastAsia"/>
          <w:sz w:val="24"/>
        </w:rPr>
        <w:t>95%</w:t>
      </w:r>
      <w:r>
        <w:rPr>
          <w:rFonts w:hAnsiTheme="minorEastAsia" w:eastAsiaTheme="minorEastAsia"/>
          <w:sz w:val="24"/>
        </w:rPr>
        <w:t>，水土流失总治理度达到</w:t>
      </w:r>
      <w:r>
        <w:rPr>
          <w:rFonts w:eastAsiaTheme="minorEastAsia"/>
          <w:sz w:val="24"/>
        </w:rPr>
        <w:t>90%</w:t>
      </w:r>
      <w:r>
        <w:rPr>
          <w:rFonts w:hAnsiTheme="minorEastAsia" w:eastAsiaTheme="minorEastAsia"/>
          <w:sz w:val="24"/>
        </w:rPr>
        <w:t>，土壤流失控制比达到</w:t>
      </w:r>
      <w:r>
        <w:rPr>
          <w:rFonts w:eastAsiaTheme="minorEastAsia"/>
          <w:sz w:val="24"/>
        </w:rPr>
        <w:t>0.7</w:t>
      </w:r>
      <w:r>
        <w:rPr>
          <w:rFonts w:hAnsiTheme="minorEastAsia" w:eastAsiaTheme="minorEastAsia"/>
          <w:sz w:val="24"/>
        </w:rPr>
        <w:t>，拦渣率达到</w:t>
      </w:r>
      <w:r>
        <w:rPr>
          <w:rFonts w:eastAsiaTheme="minorEastAsia"/>
          <w:sz w:val="24"/>
        </w:rPr>
        <w:t>95%</w:t>
      </w:r>
      <w:r>
        <w:rPr>
          <w:rFonts w:hAnsiTheme="minorEastAsia" w:eastAsiaTheme="minorEastAsia"/>
          <w:sz w:val="24"/>
        </w:rPr>
        <w:t>，林草植被恢复率达到</w:t>
      </w:r>
      <w:r>
        <w:rPr>
          <w:rFonts w:eastAsiaTheme="minorEastAsia"/>
          <w:sz w:val="24"/>
        </w:rPr>
        <w:t>97%</w:t>
      </w:r>
      <w:r>
        <w:rPr>
          <w:rFonts w:hAnsiTheme="minorEastAsia" w:eastAsiaTheme="minorEastAsia"/>
          <w:sz w:val="24"/>
        </w:rPr>
        <w:t>，林草覆盖率达到</w:t>
      </w:r>
      <w:r>
        <w:rPr>
          <w:rFonts w:eastAsiaTheme="minorEastAsia"/>
          <w:sz w:val="24"/>
        </w:rPr>
        <w:t>25%</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）环境监理</w:t>
      </w:r>
    </w:p>
    <w:p>
      <w:pPr>
        <w:spacing w:line="360" w:lineRule="auto"/>
        <w:ind w:firstLine="480" w:firstLineChars="200"/>
        <w:rPr>
          <w:rFonts w:eastAsiaTheme="minorEastAsia"/>
          <w:sz w:val="24"/>
        </w:rPr>
      </w:pPr>
      <w:r>
        <w:rPr>
          <w:rFonts w:hAnsiTheme="minorEastAsia" w:eastAsiaTheme="minorEastAsia"/>
          <w:sz w:val="24"/>
        </w:rPr>
        <w:t>根据项目及施工方法制定施工期环境监理计划，按施工的进度计划及排污行为，确定不同时间检查的重点项目和检查方式、方法。各项施工段环境监理的技术要点见表</w:t>
      </w:r>
      <w:r>
        <w:rPr>
          <w:rFonts w:eastAsiaTheme="minorEastAsia"/>
          <w:sz w:val="24"/>
        </w:rPr>
        <w:t>5.1-1</w:t>
      </w:r>
      <w:r>
        <w:rPr>
          <w:rFonts w:hAnsiTheme="minorEastAsia" w:eastAsiaTheme="minorEastAsia"/>
          <w:sz w:val="24"/>
        </w:rPr>
        <w:t>。</w:t>
      </w:r>
    </w:p>
    <w:p>
      <w:pPr>
        <w:pStyle w:val="63"/>
        <w:adjustRightInd/>
        <w:spacing w:line="288" w:lineRule="auto"/>
        <w:jc w:val="center"/>
        <w:rPr>
          <w:rFonts w:ascii="Times New Roman" w:hAnsi="Times New Roman" w:cs="Times New Roman"/>
          <w:color w:val="auto"/>
          <w:sz w:val="21"/>
          <w:szCs w:val="21"/>
        </w:rPr>
      </w:pPr>
      <w:r>
        <w:rPr>
          <w:rFonts w:ascii="Times New Roman" w:cs="Times New Roman" w:hAnsiTheme="minorEastAsia"/>
          <w:color w:val="auto"/>
          <w:sz w:val="21"/>
          <w:szCs w:val="21"/>
        </w:rPr>
        <w:t>表</w:t>
      </w:r>
      <w:r>
        <w:rPr>
          <w:rFonts w:ascii="Times New Roman" w:hAnsi="Times New Roman" w:cs="Times New Roman"/>
          <w:color w:val="auto"/>
          <w:sz w:val="21"/>
          <w:szCs w:val="21"/>
        </w:rPr>
        <w:t xml:space="preserve">5.1-1 </w:t>
      </w:r>
      <w:r>
        <w:rPr>
          <w:rFonts w:ascii="Times New Roman" w:cs="Times New Roman" w:hAnsiTheme="minorEastAsia"/>
          <w:color w:val="auto"/>
          <w:sz w:val="21"/>
          <w:szCs w:val="21"/>
        </w:rPr>
        <w:t>施工段环境监理的技术要点</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1"/>
        <w:gridCol w:w="680"/>
        <w:gridCol w:w="1495"/>
        <w:gridCol w:w="64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67" w:type="pct"/>
            <w:vAlign w:val="center"/>
          </w:tcPr>
          <w:p>
            <w:pPr>
              <w:spacing w:line="288" w:lineRule="auto"/>
              <w:jc w:val="center"/>
              <w:rPr>
                <w:rFonts w:eastAsiaTheme="minorEastAsia"/>
                <w:szCs w:val="21"/>
              </w:rPr>
            </w:pPr>
            <w:r>
              <w:rPr>
                <w:rFonts w:hAnsiTheme="minorEastAsia" w:eastAsiaTheme="minorEastAsia"/>
                <w:szCs w:val="21"/>
              </w:rPr>
              <w:t>时段</w:t>
            </w:r>
          </w:p>
        </w:tc>
        <w:tc>
          <w:tcPr>
            <w:tcW w:w="366" w:type="pct"/>
            <w:vAlign w:val="center"/>
          </w:tcPr>
          <w:p>
            <w:pPr>
              <w:spacing w:line="288" w:lineRule="auto"/>
              <w:jc w:val="center"/>
              <w:rPr>
                <w:rFonts w:eastAsiaTheme="minorEastAsia"/>
                <w:szCs w:val="21"/>
              </w:rPr>
            </w:pPr>
            <w:r>
              <w:rPr>
                <w:rFonts w:hAnsiTheme="minorEastAsia" w:eastAsiaTheme="minorEastAsia"/>
                <w:szCs w:val="21"/>
              </w:rPr>
              <w:t>类型</w:t>
            </w:r>
          </w:p>
        </w:tc>
        <w:tc>
          <w:tcPr>
            <w:tcW w:w="805" w:type="pct"/>
            <w:vAlign w:val="center"/>
          </w:tcPr>
          <w:p>
            <w:pPr>
              <w:spacing w:line="288" w:lineRule="auto"/>
              <w:jc w:val="center"/>
              <w:rPr>
                <w:rFonts w:eastAsiaTheme="minorEastAsia"/>
                <w:szCs w:val="21"/>
              </w:rPr>
            </w:pPr>
            <w:r>
              <w:rPr>
                <w:rFonts w:hAnsiTheme="minorEastAsia" w:eastAsiaTheme="minorEastAsia"/>
                <w:szCs w:val="21"/>
              </w:rPr>
              <w:t>监理重点</w:t>
            </w:r>
          </w:p>
        </w:tc>
        <w:tc>
          <w:tcPr>
            <w:tcW w:w="3462" w:type="pct"/>
            <w:vAlign w:val="center"/>
          </w:tcPr>
          <w:p>
            <w:pPr>
              <w:spacing w:line="288" w:lineRule="auto"/>
              <w:jc w:val="center"/>
              <w:rPr>
                <w:rFonts w:eastAsiaTheme="minorEastAsia"/>
                <w:szCs w:val="21"/>
              </w:rPr>
            </w:pPr>
            <w:r>
              <w:rPr>
                <w:rFonts w:hAnsiTheme="minorEastAsia" w:eastAsiaTheme="minorEastAsia"/>
                <w:szCs w:val="21"/>
              </w:rPr>
              <w:t>监理内容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67" w:type="pct"/>
            <w:vMerge w:val="restart"/>
            <w:vAlign w:val="center"/>
          </w:tcPr>
          <w:p>
            <w:pPr>
              <w:spacing w:line="288" w:lineRule="auto"/>
              <w:jc w:val="center"/>
              <w:rPr>
                <w:rFonts w:eastAsiaTheme="minorEastAsia"/>
                <w:szCs w:val="21"/>
              </w:rPr>
            </w:pPr>
            <w:r>
              <w:rPr>
                <w:rFonts w:hAnsiTheme="minorEastAsia" w:eastAsiaTheme="minorEastAsia"/>
                <w:szCs w:val="21"/>
              </w:rPr>
              <w:t>施工期</w:t>
            </w:r>
          </w:p>
        </w:tc>
        <w:tc>
          <w:tcPr>
            <w:tcW w:w="366" w:type="pct"/>
            <w:vMerge w:val="restart"/>
            <w:vAlign w:val="center"/>
          </w:tcPr>
          <w:p>
            <w:pPr>
              <w:spacing w:line="288" w:lineRule="auto"/>
              <w:jc w:val="center"/>
              <w:rPr>
                <w:rFonts w:eastAsiaTheme="minorEastAsia"/>
                <w:szCs w:val="21"/>
              </w:rPr>
            </w:pPr>
            <w:r>
              <w:rPr>
                <w:rFonts w:hAnsiTheme="minorEastAsia" w:eastAsiaTheme="minorEastAsia"/>
                <w:szCs w:val="21"/>
              </w:rPr>
              <w:t>扬尘</w:t>
            </w:r>
          </w:p>
        </w:tc>
        <w:tc>
          <w:tcPr>
            <w:tcW w:w="805" w:type="pct"/>
            <w:vMerge w:val="restart"/>
            <w:vAlign w:val="center"/>
          </w:tcPr>
          <w:p>
            <w:pPr>
              <w:spacing w:line="288" w:lineRule="auto"/>
              <w:jc w:val="center"/>
              <w:rPr>
                <w:rFonts w:eastAsiaTheme="minorEastAsia"/>
                <w:szCs w:val="21"/>
              </w:rPr>
            </w:pPr>
            <w:r>
              <w:rPr>
                <w:rFonts w:hAnsiTheme="minorEastAsia" w:eastAsiaTheme="minorEastAsia"/>
                <w:szCs w:val="21"/>
              </w:rPr>
              <w:t>挖填方、场地平整、运输车辆</w:t>
            </w:r>
          </w:p>
        </w:tc>
        <w:tc>
          <w:tcPr>
            <w:tcW w:w="3462" w:type="pct"/>
            <w:vAlign w:val="center"/>
          </w:tcPr>
          <w:p>
            <w:pPr>
              <w:spacing w:line="288" w:lineRule="auto"/>
              <w:jc w:val="center"/>
              <w:rPr>
                <w:rFonts w:eastAsiaTheme="minorEastAsia"/>
                <w:szCs w:val="21"/>
              </w:rPr>
            </w:pPr>
            <w:r>
              <w:rPr>
                <w:rFonts w:hAnsiTheme="minorEastAsia" w:eastAsiaTheme="minorEastAsia"/>
                <w:szCs w:val="21"/>
              </w:rPr>
              <w:t>土方堆放点要相对集中，易产生扬尘的堆放材料应采取覆盖措施，大风时停止施工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67" w:type="pct"/>
            <w:vMerge w:val="continue"/>
            <w:vAlign w:val="center"/>
          </w:tcPr>
          <w:p>
            <w:pPr>
              <w:spacing w:line="288" w:lineRule="auto"/>
              <w:jc w:val="center"/>
              <w:rPr>
                <w:rFonts w:eastAsiaTheme="minorEastAsia"/>
                <w:szCs w:val="21"/>
              </w:rPr>
            </w:pPr>
          </w:p>
        </w:tc>
        <w:tc>
          <w:tcPr>
            <w:tcW w:w="366" w:type="pct"/>
            <w:vMerge w:val="continue"/>
            <w:vAlign w:val="center"/>
          </w:tcPr>
          <w:p>
            <w:pPr>
              <w:spacing w:line="288" w:lineRule="auto"/>
              <w:jc w:val="center"/>
              <w:rPr>
                <w:rFonts w:eastAsiaTheme="minorEastAsia"/>
                <w:szCs w:val="21"/>
              </w:rPr>
            </w:pPr>
          </w:p>
        </w:tc>
        <w:tc>
          <w:tcPr>
            <w:tcW w:w="805" w:type="pct"/>
            <w:vMerge w:val="continue"/>
            <w:vAlign w:val="center"/>
          </w:tcPr>
          <w:p>
            <w:pPr>
              <w:spacing w:line="288" w:lineRule="auto"/>
              <w:jc w:val="center"/>
              <w:rPr>
                <w:rFonts w:eastAsiaTheme="minorEastAsia"/>
                <w:szCs w:val="21"/>
              </w:rPr>
            </w:pPr>
          </w:p>
        </w:tc>
        <w:tc>
          <w:tcPr>
            <w:tcW w:w="3462" w:type="pct"/>
            <w:vAlign w:val="center"/>
          </w:tcPr>
          <w:p>
            <w:pPr>
              <w:spacing w:line="288" w:lineRule="auto"/>
              <w:jc w:val="center"/>
              <w:rPr>
                <w:rFonts w:eastAsiaTheme="minorEastAsia"/>
                <w:szCs w:val="21"/>
              </w:rPr>
            </w:pPr>
            <w:r>
              <w:rPr>
                <w:rFonts w:hAnsiTheme="minorEastAsia" w:eastAsiaTheme="minorEastAsia"/>
                <w:szCs w:val="21"/>
              </w:rPr>
              <w:t>规范运输路线，合理安排运输时间，加盖篷布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67" w:type="pct"/>
            <w:vMerge w:val="continue"/>
            <w:vAlign w:val="center"/>
          </w:tcPr>
          <w:p>
            <w:pPr>
              <w:spacing w:line="288" w:lineRule="auto"/>
              <w:jc w:val="center"/>
              <w:rPr>
                <w:rFonts w:eastAsiaTheme="minorEastAsia"/>
                <w:szCs w:val="21"/>
              </w:rPr>
            </w:pPr>
          </w:p>
        </w:tc>
        <w:tc>
          <w:tcPr>
            <w:tcW w:w="366" w:type="pct"/>
            <w:vMerge w:val="continue"/>
            <w:vAlign w:val="center"/>
          </w:tcPr>
          <w:p>
            <w:pPr>
              <w:spacing w:line="288" w:lineRule="auto"/>
              <w:jc w:val="center"/>
              <w:rPr>
                <w:rFonts w:eastAsiaTheme="minorEastAsia"/>
                <w:szCs w:val="21"/>
              </w:rPr>
            </w:pPr>
          </w:p>
        </w:tc>
        <w:tc>
          <w:tcPr>
            <w:tcW w:w="805" w:type="pct"/>
            <w:vMerge w:val="continue"/>
            <w:vAlign w:val="center"/>
          </w:tcPr>
          <w:p>
            <w:pPr>
              <w:spacing w:line="288" w:lineRule="auto"/>
              <w:jc w:val="center"/>
              <w:rPr>
                <w:rFonts w:eastAsiaTheme="minorEastAsia"/>
                <w:szCs w:val="21"/>
              </w:rPr>
            </w:pPr>
          </w:p>
        </w:tc>
        <w:tc>
          <w:tcPr>
            <w:tcW w:w="3462" w:type="pct"/>
            <w:vAlign w:val="center"/>
          </w:tcPr>
          <w:p>
            <w:pPr>
              <w:spacing w:line="288" w:lineRule="auto"/>
              <w:jc w:val="center"/>
              <w:rPr>
                <w:rFonts w:eastAsiaTheme="minorEastAsia"/>
                <w:szCs w:val="21"/>
              </w:rPr>
            </w:pPr>
            <w:r>
              <w:rPr>
                <w:rFonts w:hAnsiTheme="minorEastAsia" w:eastAsiaTheme="minorEastAsia"/>
                <w:szCs w:val="21"/>
              </w:rPr>
              <w:t>定期洒水，定期清理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367" w:type="pct"/>
            <w:vMerge w:val="continue"/>
            <w:vAlign w:val="center"/>
          </w:tcPr>
          <w:p>
            <w:pPr>
              <w:spacing w:line="288" w:lineRule="auto"/>
              <w:jc w:val="center"/>
              <w:rPr>
                <w:rFonts w:eastAsiaTheme="minorEastAsia"/>
                <w:szCs w:val="21"/>
              </w:rPr>
            </w:pPr>
          </w:p>
        </w:tc>
        <w:tc>
          <w:tcPr>
            <w:tcW w:w="366" w:type="pct"/>
            <w:vAlign w:val="center"/>
          </w:tcPr>
          <w:p>
            <w:pPr>
              <w:spacing w:line="288" w:lineRule="auto"/>
              <w:jc w:val="center"/>
              <w:rPr>
                <w:rFonts w:eastAsiaTheme="minorEastAsia"/>
                <w:szCs w:val="21"/>
              </w:rPr>
            </w:pPr>
            <w:r>
              <w:rPr>
                <w:rFonts w:hAnsiTheme="minorEastAsia" w:eastAsiaTheme="minorEastAsia"/>
                <w:szCs w:val="21"/>
              </w:rPr>
              <w:t>噪声</w:t>
            </w:r>
          </w:p>
        </w:tc>
        <w:tc>
          <w:tcPr>
            <w:tcW w:w="805" w:type="pct"/>
            <w:vAlign w:val="center"/>
          </w:tcPr>
          <w:p>
            <w:pPr>
              <w:spacing w:line="288" w:lineRule="auto"/>
              <w:jc w:val="center"/>
              <w:rPr>
                <w:rFonts w:eastAsiaTheme="minorEastAsia"/>
                <w:szCs w:val="21"/>
              </w:rPr>
            </w:pPr>
            <w:r>
              <w:rPr>
                <w:rFonts w:hAnsiTheme="minorEastAsia" w:eastAsiaTheme="minorEastAsia"/>
                <w:szCs w:val="21"/>
              </w:rPr>
              <w:t>施工机械设备</w:t>
            </w:r>
          </w:p>
        </w:tc>
        <w:tc>
          <w:tcPr>
            <w:tcW w:w="3462" w:type="pct"/>
            <w:vAlign w:val="center"/>
          </w:tcPr>
          <w:p>
            <w:pPr>
              <w:spacing w:line="288" w:lineRule="auto"/>
              <w:jc w:val="center"/>
              <w:rPr>
                <w:rFonts w:eastAsiaTheme="minorEastAsia"/>
                <w:szCs w:val="21"/>
              </w:rPr>
            </w:pPr>
            <w:r>
              <w:rPr>
                <w:rFonts w:hAnsiTheme="minorEastAsia" w:eastAsiaTheme="minorEastAsia"/>
                <w:szCs w:val="21"/>
              </w:rPr>
              <w:t>合理安排作业时间，经常对设备进行检修维护，夜间应停止施工，尽量减少施工噪声影响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67" w:type="pct"/>
            <w:vMerge w:val="continue"/>
            <w:vAlign w:val="center"/>
          </w:tcPr>
          <w:p>
            <w:pPr>
              <w:spacing w:line="288" w:lineRule="auto"/>
              <w:jc w:val="center"/>
              <w:rPr>
                <w:rFonts w:eastAsiaTheme="minorEastAsia"/>
                <w:szCs w:val="21"/>
              </w:rPr>
            </w:pPr>
          </w:p>
        </w:tc>
        <w:tc>
          <w:tcPr>
            <w:tcW w:w="366" w:type="pct"/>
            <w:vAlign w:val="center"/>
          </w:tcPr>
          <w:p>
            <w:pPr>
              <w:spacing w:line="288" w:lineRule="auto"/>
              <w:jc w:val="center"/>
              <w:rPr>
                <w:rFonts w:eastAsiaTheme="minorEastAsia"/>
                <w:szCs w:val="21"/>
              </w:rPr>
            </w:pPr>
            <w:r>
              <w:rPr>
                <w:rFonts w:hAnsiTheme="minorEastAsia" w:eastAsiaTheme="minorEastAsia"/>
                <w:szCs w:val="21"/>
              </w:rPr>
              <w:t>废水</w:t>
            </w:r>
          </w:p>
        </w:tc>
        <w:tc>
          <w:tcPr>
            <w:tcW w:w="805" w:type="pct"/>
            <w:vAlign w:val="center"/>
          </w:tcPr>
          <w:p>
            <w:pPr>
              <w:spacing w:line="288" w:lineRule="auto"/>
              <w:jc w:val="center"/>
              <w:rPr>
                <w:rFonts w:eastAsiaTheme="minorEastAsia"/>
                <w:szCs w:val="21"/>
              </w:rPr>
            </w:pPr>
            <w:r>
              <w:rPr>
                <w:rFonts w:hAnsiTheme="minorEastAsia" w:eastAsiaTheme="minorEastAsia"/>
                <w:szCs w:val="21"/>
              </w:rPr>
              <w:t>生活污水</w:t>
            </w:r>
          </w:p>
        </w:tc>
        <w:tc>
          <w:tcPr>
            <w:tcW w:w="3462" w:type="pct"/>
            <w:vAlign w:val="center"/>
          </w:tcPr>
          <w:p>
            <w:pPr>
              <w:spacing w:line="288" w:lineRule="auto"/>
              <w:jc w:val="center"/>
              <w:rPr>
                <w:rFonts w:eastAsiaTheme="minorEastAsia"/>
                <w:szCs w:val="21"/>
              </w:rPr>
            </w:pPr>
            <w:r>
              <w:rPr>
                <w:rFonts w:hint="eastAsia" w:hAnsiTheme="minorEastAsia" w:eastAsiaTheme="minorEastAsia"/>
                <w:szCs w:val="21"/>
              </w:rPr>
              <w:t>施工场地设置一座10</w:t>
            </w:r>
            <w:r>
              <w:rPr>
                <w:rFonts w:hAnsiTheme="minorEastAsia" w:eastAsiaTheme="minorEastAsia"/>
                <w:szCs w:val="21"/>
              </w:rPr>
              <w:t>m</w:t>
            </w:r>
            <w:r>
              <w:rPr>
                <w:rFonts w:hAnsiTheme="minorEastAsia" w:eastAsiaTheme="minorEastAsia"/>
                <w:szCs w:val="21"/>
                <w:vertAlign w:val="superscript"/>
              </w:rPr>
              <w:t>3</w:t>
            </w:r>
            <w:r>
              <w:rPr>
                <w:rFonts w:hint="eastAsia" w:hAnsiTheme="minorEastAsia" w:eastAsiaTheme="minorEastAsia"/>
                <w:szCs w:val="21"/>
              </w:rPr>
              <w:t>的沉淀池，收集后用于场内洒水抑尘</w:t>
            </w:r>
            <w:r>
              <w:rPr>
                <w:rFonts w:hAnsiTheme="minorEastAsia" w:eastAsiaTheme="minorEastAsia"/>
                <w:szCs w:val="21"/>
              </w:rPr>
              <w:t>，严禁随意泼洒污水，保持生活区卫生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67" w:type="pct"/>
            <w:vMerge w:val="continue"/>
            <w:vAlign w:val="center"/>
          </w:tcPr>
          <w:p>
            <w:pPr>
              <w:spacing w:line="288" w:lineRule="auto"/>
              <w:jc w:val="center"/>
              <w:rPr>
                <w:rFonts w:eastAsiaTheme="minorEastAsia"/>
                <w:szCs w:val="21"/>
              </w:rPr>
            </w:pPr>
          </w:p>
        </w:tc>
        <w:tc>
          <w:tcPr>
            <w:tcW w:w="366" w:type="pct"/>
            <w:vMerge w:val="restart"/>
            <w:vAlign w:val="center"/>
          </w:tcPr>
          <w:p>
            <w:pPr>
              <w:spacing w:line="288" w:lineRule="auto"/>
              <w:jc w:val="center"/>
              <w:rPr>
                <w:rFonts w:eastAsiaTheme="minorEastAsia"/>
                <w:szCs w:val="21"/>
              </w:rPr>
            </w:pPr>
            <w:r>
              <w:rPr>
                <w:rFonts w:hAnsiTheme="minorEastAsia" w:eastAsiaTheme="minorEastAsia"/>
                <w:szCs w:val="21"/>
              </w:rPr>
              <w:t>固废</w:t>
            </w:r>
          </w:p>
        </w:tc>
        <w:tc>
          <w:tcPr>
            <w:tcW w:w="805" w:type="pct"/>
            <w:vAlign w:val="center"/>
          </w:tcPr>
          <w:p>
            <w:pPr>
              <w:spacing w:line="288" w:lineRule="auto"/>
              <w:jc w:val="center"/>
              <w:rPr>
                <w:rFonts w:eastAsiaTheme="minorEastAsia"/>
                <w:szCs w:val="21"/>
              </w:rPr>
            </w:pPr>
            <w:r>
              <w:rPr>
                <w:rFonts w:hAnsiTheme="minorEastAsia" w:eastAsiaTheme="minorEastAsia"/>
                <w:szCs w:val="21"/>
              </w:rPr>
              <w:t>生活垃圾</w:t>
            </w:r>
          </w:p>
        </w:tc>
        <w:tc>
          <w:tcPr>
            <w:tcW w:w="3462" w:type="pct"/>
            <w:vAlign w:val="center"/>
          </w:tcPr>
          <w:p>
            <w:pPr>
              <w:spacing w:line="288" w:lineRule="auto"/>
              <w:jc w:val="center"/>
              <w:rPr>
                <w:rFonts w:eastAsiaTheme="minorEastAsia"/>
                <w:szCs w:val="21"/>
              </w:rPr>
            </w:pPr>
            <w:r>
              <w:rPr>
                <w:rFonts w:hint="eastAsia" w:hAnsiTheme="minorEastAsia" w:eastAsiaTheme="minorEastAsia"/>
                <w:szCs w:val="21"/>
              </w:rPr>
              <w:t>设置</w:t>
            </w:r>
            <w:r>
              <w:rPr>
                <w:rFonts w:hAnsiTheme="minorEastAsia" w:eastAsiaTheme="minorEastAsia"/>
                <w:szCs w:val="21"/>
              </w:rPr>
              <w:t>垃圾箱，集中收集后</w:t>
            </w:r>
            <w:r>
              <w:rPr>
                <w:rFonts w:hint="eastAsia" w:hAnsiTheme="minorEastAsia" w:eastAsiaTheme="minorEastAsia"/>
                <w:szCs w:val="21"/>
              </w:rPr>
              <w:t>交由环卫部门处理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67" w:type="pct"/>
            <w:vMerge w:val="continue"/>
            <w:vAlign w:val="center"/>
          </w:tcPr>
          <w:p>
            <w:pPr>
              <w:spacing w:line="288" w:lineRule="auto"/>
              <w:jc w:val="center"/>
              <w:rPr>
                <w:rFonts w:eastAsiaTheme="minorEastAsia"/>
                <w:szCs w:val="21"/>
              </w:rPr>
            </w:pPr>
          </w:p>
        </w:tc>
        <w:tc>
          <w:tcPr>
            <w:tcW w:w="366" w:type="pct"/>
            <w:vMerge w:val="continue"/>
            <w:vAlign w:val="center"/>
          </w:tcPr>
          <w:p>
            <w:pPr>
              <w:spacing w:line="288" w:lineRule="auto"/>
              <w:jc w:val="center"/>
              <w:rPr>
                <w:rFonts w:hAnsiTheme="minorEastAsia" w:eastAsiaTheme="minorEastAsia"/>
                <w:szCs w:val="21"/>
              </w:rPr>
            </w:pPr>
          </w:p>
        </w:tc>
        <w:tc>
          <w:tcPr>
            <w:tcW w:w="805" w:type="pct"/>
            <w:vAlign w:val="center"/>
          </w:tcPr>
          <w:p>
            <w:pPr>
              <w:spacing w:line="288" w:lineRule="auto"/>
              <w:jc w:val="center"/>
              <w:rPr>
                <w:rFonts w:hAnsiTheme="minorEastAsia" w:eastAsiaTheme="minorEastAsia"/>
                <w:szCs w:val="21"/>
              </w:rPr>
            </w:pPr>
            <w:r>
              <w:rPr>
                <w:rFonts w:hint="eastAsia" w:hAnsiTheme="minorEastAsia" w:eastAsiaTheme="minorEastAsia"/>
                <w:szCs w:val="21"/>
              </w:rPr>
              <w:t>掘进矸石</w:t>
            </w:r>
          </w:p>
        </w:tc>
        <w:tc>
          <w:tcPr>
            <w:tcW w:w="3462" w:type="pct"/>
            <w:vAlign w:val="center"/>
          </w:tcPr>
          <w:p>
            <w:pPr>
              <w:spacing w:line="288" w:lineRule="auto"/>
              <w:jc w:val="center"/>
              <w:rPr>
                <w:rFonts w:hAnsiTheme="minorEastAsia" w:eastAsiaTheme="minorEastAsia"/>
                <w:szCs w:val="21"/>
                <w:highlight w:val="yellow"/>
              </w:rPr>
            </w:pPr>
            <w:r>
              <w:rPr>
                <w:rFonts w:hint="eastAsia" w:hAnsiTheme="minorEastAsia" w:eastAsiaTheme="minorEastAsia"/>
                <w:szCs w:val="21"/>
              </w:rPr>
              <w:t>堆放至原环评批复的临时矸石堆放场地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67" w:type="pct"/>
            <w:vMerge w:val="continue"/>
            <w:vAlign w:val="center"/>
          </w:tcPr>
          <w:p>
            <w:pPr>
              <w:spacing w:line="288" w:lineRule="auto"/>
              <w:jc w:val="center"/>
              <w:rPr>
                <w:rFonts w:eastAsiaTheme="minorEastAsia"/>
                <w:szCs w:val="21"/>
              </w:rPr>
            </w:pPr>
          </w:p>
        </w:tc>
        <w:tc>
          <w:tcPr>
            <w:tcW w:w="366" w:type="pct"/>
            <w:vAlign w:val="center"/>
          </w:tcPr>
          <w:p>
            <w:pPr>
              <w:spacing w:line="288" w:lineRule="auto"/>
              <w:jc w:val="center"/>
              <w:rPr>
                <w:rFonts w:eastAsiaTheme="minorEastAsia"/>
                <w:szCs w:val="21"/>
              </w:rPr>
            </w:pPr>
            <w:r>
              <w:rPr>
                <w:rFonts w:hAnsiTheme="minorEastAsia" w:eastAsiaTheme="minorEastAsia"/>
                <w:szCs w:val="21"/>
              </w:rPr>
              <w:t>生态</w:t>
            </w:r>
          </w:p>
        </w:tc>
        <w:tc>
          <w:tcPr>
            <w:tcW w:w="805" w:type="pct"/>
            <w:vAlign w:val="center"/>
          </w:tcPr>
          <w:p>
            <w:pPr>
              <w:spacing w:line="288" w:lineRule="auto"/>
              <w:jc w:val="center"/>
              <w:rPr>
                <w:rFonts w:eastAsiaTheme="minorEastAsia"/>
                <w:szCs w:val="21"/>
              </w:rPr>
            </w:pPr>
            <w:r>
              <w:rPr>
                <w:rFonts w:hAnsiTheme="minorEastAsia" w:eastAsiaTheme="minorEastAsia"/>
                <w:szCs w:val="21"/>
              </w:rPr>
              <w:t>施工行为</w:t>
            </w:r>
          </w:p>
        </w:tc>
        <w:tc>
          <w:tcPr>
            <w:tcW w:w="3462" w:type="pct"/>
            <w:vAlign w:val="center"/>
          </w:tcPr>
          <w:p>
            <w:pPr>
              <w:spacing w:line="288" w:lineRule="auto"/>
              <w:jc w:val="center"/>
              <w:rPr>
                <w:rFonts w:eastAsiaTheme="minorEastAsia"/>
                <w:bCs/>
                <w:szCs w:val="21"/>
              </w:rPr>
            </w:pPr>
            <w:r>
              <w:rPr>
                <w:rFonts w:hAnsiTheme="minorEastAsia" w:eastAsiaTheme="minorEastAsia"/>
                <w:szCs w:val="21"/>
              </w:rPr>
              <w:t>施工单位应严格控制施工范围，尽可能避开现有植被施工，</w:t>
            </w:r>
            <w:r>
              <w:rPr>
                <w:rFonts w:hAnsiTheme="minorEastAsia" w:eastAsiaTheme="minorEastAsia"/>
                <w:bCs/>
                <w:szCs w:val="21"/>
              </w:rPr>
              <w:t>避开雨季施工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67" w:type="pct"/>
            <w:vMerge w:val="continue"/>
            <w:vAlign w:val="center"/>
          </w:tcPr>
          <w:p>
            <w:pPr>
              <w:spacing w:line="288" w:lineRule="auto"/>
              <w:jc w:val="center"/>
              <w:rPr>
                <w:rFonts w:eastAsiaTheme="minorEastAsia"/>
                <w:szCs w:val="21"/>
              </w:rPr>
            </w:pPr>
          </w:p>
        </w:tc>
        <w:tc>
          <w:tcPr>
            <w:tcW w:w="366" w:type="pct"/>
            <w:vAlign w:val="center"/>
          </w:tcPr>
          <w:p>
            <w:pPr>
              <w:spacing w:line="288" w:lineRule="auto"/>
              <w:jc w:val="center"/>
              <w:rPr>
                <w:rFonts w:eastAsiaTheme="minorEastAsia"/>
                <w:szCs w:val="21"/>
              </w:rPr>
            </w:pPr>
            <w:r>
              <w:rPr>
                <w:rFonts w:hAnsiTheme="minorEastAsia" w:eastAsiaTheme="minorEastAsia"/>
                <w:szCs w:val="21"/>
              </w:rPr>
              <w:t>监理</w:t>
            </w:r>
          </w:p>
        </w:tc>
        <w:tc>
          <w:tcPr>
            <w:tcW w:w="805" w:type="pct"/>
            <w:vAlign w:val="center"/>
          </w:tcPr>
          <w:p>
            <w:pPr>
              <w:spacing w:line="288" w:lineRule="auto"/>
              <w:jc w:val="center"/>
              <w:rPr>
                <w:rFonts w:eastAsiaTheme="minorEastAsia"/>
                <w:szCs w:val="21"/>
              </w:rPr>
            </w:pPr>
            <w:r>
              <w:rPr>
                <w:rFonts w:hAnsiTheme="minorEastAsia" w:eastAsiaTheme="minorEastAsia"/>
                <w:szCs w:val="21"/>
              </w:rPr>
              <w:t>施工期管理</w:t>
            </w:r>
          </w:p>
        </w:tc>
        <w:tc>
          <w:tcPr>
            <w:tcW w:w="3462" w:type="pct"/>
            <w:vAlign w:val="center"/>
          </w:tcPr>
          <w:p>
            <w:pPr>
              <w:spacing w:line="288" w:lineRule="auto"/>
              <w:jc w:val="center"/>
              <w:rPr>
                <w:rFonts w:eastAsiaTheme="minorEastAsia"/>
                <w:szCs w:val="21"/>
              </w:rPr>
            </w:pPr>
            <w:r>
              <w:rPr>
                <w:rFonts w:hAnsiTheme="minorEastAsia" w:eastAsiaTheme="minorEastAsia"/>
              </w:rPr>
              <w:t>本项目施工期应有专人负责环境保护措施的监理工作，确保施工期各项环保措施的实施，对施工过程是否造成水土流失加剧和生态环境破坏，是否符合国家有关环保法律、法规等进行监理并及时解决纠正</w:t>
            </w:r>
          </w:p>
        </w:tc>
      </w:tr>
    </w:tbl>
    <w:p>
      <w:pPr>
        <w:spacing w:line="360" w:lineRule="auto"/>
        <w:outlineLvl w:val="2"/>
        <w:rPr>
          <w:rFonts w:eastAsiaTheme="minorEastAsia"/>
          <w:b/>
          <w:sz w:val="24"/>
        </w:rPr>
      </w:pPr>
      <w:r>
        <w:rPr>
          <w:rFonts w:eastAsiaTheme="minorEastAsia"/>
          <w:b/>
          <w:sz w:val="24"/>
        </w:rPr>
        <w:t>5.1.</w:t>
      </w:r>
      <w:r>
        <w:rPr>
          <w:rFonts w:hint="eastAsia" w:eastAsiaTheme="minorEastAsia"/>
          <w:b/>
          <w:sz w:val="24"/>
        </w:rPr>
        <w:t>3</w:t>
      </w:r>
      <w:r>
        <w:rPr>
          <w:rFonts w:hAnsiTheme="minorEastAsia" w:eastAsiaTheme="minorEastAsia"/>
          <w:b/>
          <w:sz w:val="24"/>
        </w:rPr>
        <w:t>地表塌陷预测与评价</w:t>
      </w:r>
    </w:p>
    <w:p>
      <w:pPr>
        <w:spacing w:line="360" w:lineRule="auto"/>
        <w:outlineLvl w:val="3"/>
        <w:rPr>
          <w:rFonts w:eastAsiaTheme="minorEastAsia"/>
          <w:b/>
          <w:sz w:val="24"/>
        </w:rPr>
      </w:pPr>
      <w:r>
        <w:rPr>
          <w:rFonts w:eastAsiaTheme="minorEastAsia"/>
          <w:b/>
          <w:sz w:val="24"/>
        </w:rPr>
        <w:t>5.1.</w:t>
      </w:r>
      <w:r>
        <w:rPr>
          <w:rFonts w:hint="eastAsia" w:eastAsiaTheme="minorEastAsia"/>
          <w:b/>
          <w:sz w:val="24"/>
        </w:rPr>
        <w:t>3</w:t>
      </w:r>
      <w:r>
        <w:rPr>
          <w:rFonts w:eastAsiaTheme="minorEastAsia"/>
          <w:b/>
          <w:sz w:val="24"/>
        </w:rPr>
        <w:t>.1</w:t>
      </w:r>
      <w:r>
        <w:rPr>
          <w:rFonts w:hAnsiTheme="minorEastAsia" w:eastAsiaTheme="minorEastAsia"/>
          <w:b/>
          <w:sz w:val="24"/>
        </w:rPr>
        <w:t>矿井概况</w:t>
      </w:r>
    </w:p>
    <w:p>
      <w:pPr>
        <w:spacing w:line="360" w:lineRule="auto"/>
        <w:ind w:firstLine="480" w:firstLineChars="200"/>
        <w:rPr>
          <w:rFonts w:hAnsiTheme="minorEastAsia" w:eastAsiaTheme="minorEastAsia"/>
          <w:bCs/>
          <w:sz w:val="24"/>
        </w:rPr>
      </w:pPr>
      <w:r>
        <w:rPr>
          <w:rFonts w:hint="eastAsia" w:hAnsiTheme="minorEastAsia" w:eastAsiaTheme="minorEastAsia"/>
          <w:bCs/>
          <w:sz w:val="24"/>
        </w:rPr>
        <w:t>井田</w:t>
      </w:r>
      <w:r>
        <w:rPr>
          <w:rFonts w:hAnsiTheme="minorEastAsia" w:eastAsiaTheme="minorEastAsia"/>
          <w:bCs/>
          <w:sz w:val="24"/>
        </w:rPr>
        <w:t>现有采空区以深为西一块段、以浅为西二块段，4个分煤组采区分别为下山部分的西一（4~5）采区、西一（8~9）采区和上山部分的西二（4~5）采区、西二（8~9）采区。矿井首采下山部分4、5号煤层，后采上山部分4、5号煤层，然后再开采下山部分8、9号煤层，最后开采上山部分8、9号煤层。</w:t>
      </w:r>
    </w:p>
    <w:p>
      <w:pPr>
        <w:spacing w:line="360" w:lineRule="auto"/>
        <w:ind w:firstLine="480" w:firstLineChars="200"/>
        <w:rPr>
          <w:rFonts w:eastAsiaTheme="minorEastAsia"/>
          <w:bCs/>
          <w:sz w:val="24"/>
        </w:rPr>
      </w:pPr>
      <w:r>
        <w:rPr>
          <w:rFonts w:hAnsiTheme="minorEastAsia" w:eastAsiaTheme="minorEastAsia"/>
          <w:bCs/>
          <w:sz w:val="24"/>
        </w:rPr>
        <w:t>本次评价预测首</w:t>
      </w:r>
      <w:r>
        <w:rPr>
          <w:rFonts w:hAnsiTheme="minorEastAsia" w:eastAsiaTheme="minorEastAsia"/>
          <w:sz w:val="24"/>
        </w:rPr>
        <w:t>采区</w:t>
      </w:r>
      <w:r>
        <w:rPr>
          <w:rFonts w:hint="eastAsia" w:hAnsiTheme="minorEastAsia" w:eastAsiaTheme="minorEastAsia"/>
          <w:bCs/>
          <w:sz w:val="24"/>
        </w:rPr>
        <w:t>4、</w:t>
      </w:r>
      <w:r>
        <w:rPr>
          <w:rFonts w:hint="eastAsia" w:eastAsiaTheme="minorEastAsia"/>
          <w:bCs/>
          <w:sz w:val="24"/>
        </w:rPr>
        <w:t>5</w:t>
      </w:r>
      <w:r>
        <w:rPr>
          <w:rFonts w:hAnsiTheme="minorEastAsia" w:eastAsiaTheme="minorEastAsia"/>
          <w:bCs/>
          <w:sz w:val="24"/>
        </w:rPr>
        <w:t>号煤层</w:t>
      </w:r>
      <w:r>
        <w:rPr>
          <w:rFonts w:hint="eastAsia" w:hAnsiTheme="minorEastAsia" w:eastAsiaTheme="minorEastAsia"/>
          <w:bCs/>
          <w:sz w:val="24"/>
        </w:rPr>
        <w:t>下山部分</w:t>
      </w:r>
      <w:r>
        <w:rPr>
          <w:rFonts w:hAnsiTheme="minorEastAsia" w:eastAsiaTheme="minorEastAsia"/>
          <w:bCs/>
          <w:sz w:val="24"/>
        </w:rPr>
        <w:t>开采完成后的地表沉陷及</w:t>
      </w:r>
      <w:r>
        <w:rPr>
          <w:rFonts w:hint="eastAsia" w:eastAsiaTheme="minorEastAsia"/>
          <w:bCs/>
          <w:sz w:val="24"/>
        </w:rPr>
        <w:t>全部</w:t>
      </w:r>
      <w:r>
        <w:rPr>
          <w:rFonts w:hAnsiTheme="minorEastAsia" w:eastAsiaTheme="minorEastAsia"/>
          <w:bCs/>
          <w:sz w:val="24"/>
        </w:rPr>
        <w:t>煤层全部完成后的地表沉陷。</w:t>
      </w:r>
    </w:p>
    <w:p>
      <w:pPr>
        <w:spacing w:line="360" w:lineRule="auto"/>
        <w:outlineLvl w:val="3"/>
        <w:rPr>
          <w:rFonts w:eastAsiaTheme="minorEastAsia"/>
          <w:b/>
          <w:sz w:val="24"/>
        </w:rPr>
      </w:pPr>
      <w:r>
        <w:rPr>
          <w:rFonts w:eastAsiaTheme="minorEastAsia"/>
          <w:b/>
          <w:sz w:val="24"/>
        </w:rPr>
        <w:t>5.1.</w:t>
      </w:r>
      <w:r>
        <w:rPr>
          <w:rFonts w:hint="eastAsia" w:eastAsiaTheme="minorEastAsia"/>
          <w:b/>
          <w:sz w:val="24"/>
        </w:rPr>
        <w:t>3</w:t>
      </w:r>
      <w:r>
        <w:rPr>
          <w:rFonts w:eastAsiaTheme="minorEastAsia"/>
          <w:b/>
          <w:sz w:val="24"/>
        </w:rPr>
        <w:t>.2</w:t>
      </w:r>
      <w:r>
        <w:rPr>
          <w:rFonts w:hAnsiTheme="minorEastAsia" w:eastAsiaTheme="minorEastAsia"/>
          <w:b/>
          <w:sz w:val="24"/>
        </w:rPr>
        <w:t>地表移动变形预测</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、地表移动变形预测方法、模式</w:t>
      </w:r>
    </w:p>
    <w:p>
      <w:pPr>
        <w:spacing w:line="360" w:lineRule="auto"/>
        <w:ind w:firstLine="480" w:firstLineChars="200"/>
        <w:rPr>
          <w:rFonts w:eastAsiaTheme="minorEastAsia"/>
          <w:sz w:val="24"/>
        </w:rPr>
      </w:pPr>
      <w:r>
        <w:rPr>
          <w:rFonts w:hAnsiTheme="minorEastAsia" w:eastAsiaTheme="minorEastAsia"/>
          <w:sz w:val="24"/>
        </w:rPr>
        <w:t>地表移动变形预测方法很多，有典型曲线法、负指数函数法、概率积分法等。根据煤矿井田地质、煤层赋存条件、采煤方法等开采技术条件，以及《建筑物、水体、铁路及主要井巷煤柱留设与压煤开采规程》</w:t>
      </w:r>
      <w:r>
        <w:rPr>
          <w:rFonts w:eastAsiaTheme="minorEastAsia"/>
          <w:sz w:val="24"/>
        </w:rPr>
        <w:t>(</w:t>
      </w:r>
      <w:r>
        <w:rPr>
          <w:rFonts w:hAnsiTheme="minorEastAsia" w:eastAsiaTheme="minorEastAsia"/>
          <w:sz w:val="24"/>
        </w:rPr>
        <w:t>以下简称《开采规程》</w:t>
      </w:r>
      <w:r>
        <w:rPr>
          <w:rFonts w:eastAsiaTheme="minorEastAsia"/>
          <w:sz w:val="24"/>
        </w:rPr>
        <w:t>)</w:t>
      </w:r>
      <w:r>
        <w:rPr>
          <w:rFonts w:hAnsiTheme="minorEastAsia" w:eastAsiaTheme="minorEastAsia"/>
          <w:sz w:val="24"/>
        </w:rPr>
        <w:t>中所列预计方法、本次评价采用概率积分法进行地表变形预测。</w:t>
      </w:r>
    </w:p>
    <w:p>
      <w:pPr>
        <w:spacing w:line="360" w:lineRule="auto"/>
        <w:ind w:firstLine="480" w:firstLineChars="200"/>
        <w:rPr>
          <w:rFonts w:eastAsiaTheme="minorEastAsia"/>
          <w:sz w:val="24"/>
        </w:rPr>
      </w:pPr>
      <w:r>
        <w:rPr>
          <w:rFonts w:hAnsiTheme="minorEastAsia" w:eastAsiaTheme="minorEastAsia"/>
          <w:sz w:val="24"/>
        </w:rPr>
        <w:t>概率积分法预测模式如下：</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w:t>
      </w:r>
      <w:r>
        <w:rPr>
          <w:rFonts w:hint="eastAsia" w:hAnsiTheme="minorEastAsia" w:eastAsiaTheme="minorEastAsia"/>
          <w:spacing w:val="4"/>
          <w:sz w:val="24"/>
        </w:rPr>
        <w:t>新工矿</w:t>
      </w:r>
      <w:r>
        <w:rPr>
          <w:rFonts w:hAnsiTheme="minorEastAsia" w:eastAsiaTheme="minorEastAsia"/>
          <w:spacing w:val="4"/>
          <w:sz w:val="24"/>
        </w:rPr>
        <w:t>矿井煤层为缓倾煤层，</w:t>
      </w:r>
      <w:r>
        <w:rPr>
          <w:rFonts w:hAnsiTheme="minorEastAsia" w:eastAsiaTheme="minorEastAsia"/>
          <w:sz w:val="24"/>
        </w:rPr>
        <w:t>对主剖面地表移动变形，充分采动时按下面公式计算：</w:t>
      </w:r>
    </w:p>
    <w:p>
      <w:pPr>
        <w:spacing w:line="360" w:lineRule="auto"/>
        <w:ind w:firstLine="480" w:firstLineChars="200"/>
        <w:rPr>
          <w:rFonts w:eastAsiaTheme="minorEastAsia"/>
          <w:sz w:val="24"/>
        </w:rPr>
      </w:pPr>
      <w:r>
        <w:rPr>
          <w:rFonts w:eastAsiaTheme="minorEastAsia"/>
          <w:sz w:val="24"/>
        </w:rPr>
        <w:pict>
          <v:shape id="Picture 2" o:spid="_x0000_s2828" o:spt="75" type="#_x0000_t75" style="position:absolute;left:0pt;margin-left:85.05pt;margin-top:19.9pt;height:45.75pt;width:137.25pt;z-index:251661312;mso-width-relative:page;mso-height-relative:page;" o:ole="t" fillcolor="#CCE8CF" filled="f" o:preferrelative="t" stroked="f" coordsize="21600,21600">
            <v:path/>
            <v:fill on="f" focussize="0,0"/>
            <v:stroke on="f" joinstyle="miter"/>
            <v:imagedata r:id="rId73" o:title=""/>
            <o:lock v:ext="edit" aspectratio="t"/>
          </v:shape>
          <o:OLEObject Type="Embed" ProgID="Equation.3" ShapeID="Picture 2" DrawAspect="Content" ObjectID="_1468075735" r:id="rId72">
            <o:LockedField>false</o:LockedField>
          </o:OLEObject>
        </w:pict>
      </w:r>
      <w:r>
        <w:rPr>
          <w:rFonts w:hAnsiTheme="minorEastAsia" w:eastAsiaTheme="minorEastAsia"/>
          <w:sz w:val="24"/>
        </w:rPr>
        <w:t>沿走向：</w:t>
      </w:r>
    </w:p>
    <w:p>
      <w:pPr>
        <w:adjustRightInd w:val="0"/>
        <w:snapToGrid w:val="0"/>
        <w:spacing w:line="460" w:lineRule="exact"/>
        <w:ind w:firstLine="480"/>
        <w:rPr>
          <w:rFonts w:eastAsiaTheme="minorEastAsia"/>
          <w:sz w:val="24"/>
        </w:rPr>
      </w:pPr>
      <w:r>
        <w:rPr>
          <w:rFonts w:hAnsiTheme="minorEastAsia" w:eastAsiaTheme="minorEastAsia"/>
          <w:sz w:val="24"/>
        </w:rPr>
        <w:t>下沉：</w:t>
      </w:r>
    </w:p>
    <w:p>
      <w:pPr>
        <w:adjustRightInd w:val="0"/>
        <w:snapToGrid w:val="0"/>
        <w:spacing w:line="460" w:lineRule="exact"/>
        <w:ind w:firstLine="480"/>
        <w:rPr>
          <w:rFonts w:eastAsiaTheme="minorEastAsia"/>
          <w:sz w:val="24"/>
        </w:rPr>
      </w:pPr>
      <w:r>
        <w:rPr>
          <w:rFonts w:eastAsiaTheme="minorEastAsia"/>
          <w:sz w:val="24"/>
        </w:rPr>
        <w:pict>
          <v:shape id="Picture 3" o:spid="_x0000_s2829" o:spt="75" type="#_x0000_t75" style="position:absolute;left:0pt;margin-left:83.25pt;margin-top:19pt;height:33pt;width:126.75pt;z-index:251662336;mso-width-relative:page;mso-height-relative:page;" o:ole="t" fillcolor="#CCE8CF" filled="f" o:preferrelative="t" stroked="f" coordsize="21600,21600">
            <v:path/>
            <v:fill on="f" focussize="0,0"/>
            <v:stroke on="f" joinstyle="miter"/>
            <v:imagedata r:id="rId75" o:title=""/>
            <o:lock v:ext="edit" aspectratio="t"/>
          </v:shape>
          <o:OLEObject Type="Embed" ProgID="Equation.3" ShapeID="Picture 3" DrawAspect="Content" ObjectID="_1468075736" r:id="rId74">
            <o:LockedField>false</o:LockedField>
          </o:OLEObject>
        </w:pict>
      </w:r>
    </w:p>
    <w:p>
      <w:pPr>
        <w:adjustRightInd w:val="0"/>
        <w:snapToGrid w:val="0"/>
        <w:spacing w:line="460" w:lineRule="exact"/>
        <w:ind w:firstLine="480"/>
        <w:rPr>
          <w:rFonts w:eastAsiaTheme="minorEastAsia"/>
          <w:sz w:val="24"/>
        </w:rPr>
      </w:pPr>
      <w:r>
        <w:rPr>
          <w:rFonts w:hAnsiTheme="minorEastAsia" w:eastAsiaTheme="minorEastAsia"/>
          <w:sz w:val="24"/>
        </w:rPr>
        <w:t>倾斜：</w:t>
      </w:r>
    </w:p>
    <w:p>
      <w:pPr>
        <w:adjustRightInd w:val="0"/>
        <w:snapToGrid w:val="0"/>
        <w:spacing w:line="460" w:lineRule="exact"/>
        <w:ind w:firstLine="480"/>
        <w:rPr>
          <w:rFonts w:eastAsiaTheme="minorEastAsia"/>
          <w:sz w:val="24"/>
        </w:rPr>
      </w:pPr>
    </w:p>
    <w:p>
      <w:pPr>
        <w:adjustRightInd w:val="0"/>
        <w:snapToGrid w:val="0"/>
        <w:spacing w:line="460" w:lineRule="exact"/>
        <w:ind w:firstLine="480"/>
        <w:rPr>
          <w:rFonts w:eastAsiaTheme="minorEastAsia"/>
          <w:sz w:val="24"/>
        </w:rPr>
      </w:pPr>
      <w:r>
        <w:rPr>
          <w:rFonts w:eastAsiaTheme="minorEastAsia"/>
          <w:sz w:val="24"/>
        </w:rPr>
        <w:pict>
          <v:shape id="Picture 4" o:spid="_x0000_s2830" o:spt="75" type="#_x0000_t75" style="position:absolute;left:0pt;margin-left:86.45pt;margin-top:-3.9pt;height:33pt;width:176.25pt;z-index:251663360;mso-width-relative:page;mso-height-relative:page;" o:ole="t" fillcolor="#CCE8CF" filled="f" o:preferrelative="t" stroked="f" coordsize="21600,21600">
            <v:path/>
            <v:fill on="f" focussize="0,0"/>
            <v:stroke on="f" joinstyle="miter"/>
            <v:imagedata r:id="rId77" o:title=""/>
            <o:lock v:ext="edit" aspectratio="t"/>
          </v:shape>
          <o:OLEObject Type="Embed" ProgID="Equation.3" ShapeID="Picture 4" DrawAspect="Content" ObjectID="_1468075737" r:id="rId76">
            <o:LockedField>false</o:LockedField>
          </o:OLEObject>
        </w:pict>
      </w:r>
      <w:r>
        <w:rPr>
          <w:rFonts w:hAnsiTheme="minorEastAsia" w:eastAsiaTheme="minorEastAsia"/>
          <w:sz w:val="24"/>
        </w:rPr>
        <w:t>曲率：</w:t>
      </w:r>
    </w:p>
    <w:p>
      <w:pPr>
        <w:adjustRightInd w:val="0"/>
        <w:snapToGrid w:val="0"/>
        <w:spacing w:line="460" w:lineRule="exact"/>
        <w:ind w:firstLine="480"/>
        <w:rPr>
          <w:rFonts w:hAnsiTheme="minorEastAsia" w:eastAsiaTheme="minorEastAsia"/>
          <w:sz w:val="24"/>
        </w:rPr>
      </w:pPr>
      <w:r>
        <w:rPr>
          <w:rFonts w:eastAsiaTheme="minorEastAsia"/>
          <w:sz w:val="24"/>
        </w:rPr>
        <w:pict>
          <v:shape id="Picture 5" o:spid="_x0000_s2831" o:spt="75" type="#_x0000_t75" style="position:absolute;left:0pt;margin-left:94.5pt;margin-top:19.1pt;height:27.75pt;width:141.75pt;z-index:251664384;mso-width-relative:page;mso-height-relative:page;" o:ole="t" fillcolor="#CCE8CF" filled="f" o:preferrelative="t" stroked="f" coordsize="21600,21600">
            <v:path/>
            <v:fill on="f" focussize="0,0"/>
            <v:stroke on="f" joinstyle="miter"/>
            <v:imagedata r:id="rId79" o:title=""/>
            <o:lock v:ext="edit" aspectratio="t"/>
          </v:shape>
          <o:OLEObject Type="Embed" ProgID="Equation.3" ShapeID="Picture 5" DrawAspect="Content" ObjectID="_1468075738" r:id="rId78">
            <o:LockedField>false</o:LockedField>
          </o:OLEObject>
        </w:pict>
      </w:r>
    </w:p>
    <w:p>
      <w:pPr>
        <w:adjustRightInd w:val="0"/>
        <w:snapToGrid w:val="0"/>
        <w:spacing w:line="460" w:lineRule="exact"/>
        <w:ind w:firstLine="480"/>
        <w:rPr>
          <w:rFonts w:eastAsiaTheme="minorEastAsia"/>
          <w:sz w:val="24"/>
        </w:rPr>
      </w:pPr>
      <w:r>
        <w:rPr>
          <w:rFonts w:hAnsiTheme="minorEastAsia" w:eastAsiaTheme="minorEastAsia"/>
          <w:sz w:val="24"/>
        </w:rPr>
        <w:t>水平移动：</w:t>
      </w:r>
    </w:p>
    <w:p>
      <w:pPr>
        <w:adjustRightInd w:val="0"/>
        <w:snapToGrid w:val="0"/>
        <w:ind w:firstLine="482"/>
        <w:rPr>
          <w:rFonts w:eastAsiaTheme="minorEastAsia"/>
          <w:sz w:val="24"/>
        </w:rPr>
      </w:pPr>
      <w:r>
        <w:rPr>
          <w:rFonts w:eastAsiaTheme="minorEastAsia"/>
          <w:sz w:val="24"/>
        </w:rPr>
        <w:pict>
          <v:shape id="Picture 6" o:spid="_x0000_s2832" o:spt="75" type="#_x0000_t75" style="position:absolute;left:0pt;margin-left:94.5pt;margin-top:9.2pt;height:33.75pt;width:182.25pt;z-index:251665408;mso-width-relative:page;mso-height-relative:page;" o:ole="t" fillcolor="#CCE8CF" filled="f" o:preferrelative="t" stroked="f" coordsize="21600,21600">
            <v:path/>
            <v:fill on="f" focussize="0,0"/>
            <v:stroke on="f" joinstyle="miter"/>
            <v:imagedata r:id="rId81" o:title=""/>
            <o:lock v:ext="edit" aspectratio="t"/>
          </v:shape>
          <o:OLEObject Type="Embed" ProgID="Equation.3" ShapeID="Picture 6" DrawAspect="Content" ObjectID="_1468075739" r:id="rId80">
            <o:LockedField>false</o:LockedField>
          </o:OLEObject>
        </w:pict>
      </w:r>
    </w:p>
    <w:p>
      <w:pPr>
        <w:adjustRightInd w:val="0"/>
        <w:snapToGrid w:val="0"/>
        <w:spacing w:line="460" w:lineRule="exact"/>
        <w:ind w:firstLine="480"/>
        <w:rPr>
          <w:rFonts w:eastAsiaTheme="minorEastAsia"/>
          <w:sz w:val="24"/>
        </w:rPr>
      </w:pPr>
      <w:r>
        <w:rPr>
          <w:rFonts w:hAnsiTheme="minorEastAsia" w:eastAsiaTheme="minorEastAsia"/>
          <w:sz w:val="24"/>
        </w:rPr>
        <w:t>水平变形：</w:t>
      </w:r>
    </w:p>
    <w:p>
      <w:pPr>
        <w:pStyle w:val="13"/>
        <w:adjustRightInd w:val="0"/>
        <w:snapToGrid w:val="0"/>
        <w:spacing w:line="460" w:lineRule="exact"/>
        <w:ind w:firstLine="480" w:firstLineChars="200"/>
        <w:rPr>
          <w:rFonts w:ascii="Times New Roman" w:hAnsi="Times New Roman" w:eastAsiaTheme="minorEastAsia"/>
          <w:sz w:val="24"/>
          <w:szCs w:val="24"/>
        </w:rPr>
      </w:pPr>
    </w:p>
    <w:p>
      <w:pPr>
        <w:pStyle w:val="13"/>
        <w:adjustRightInd w:val="0"/>
        <w:snapToGrid w:val="0"/>
        <w:spacing w:line="460" w:lineRule="exact"/>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2</w:t>
      </w:r>
      <w:r>
        <w:rPr>
          <w:rFonts w:ascii="Times New Roman" w:hAnsiTheme="minorEastAsia" w:eastAsiaTheme="minorEastAsia"/>
          <w:sz w:val="24"/>
          <w:szCs w:val="24"/>
        </w:rPr>
        <w:t>）非充分采动时按下面公式计算：</w:t>
      </w:r>
    </w:p>
    <w:p>
      <w:pPr>
        <w:adjustRightInd w:val="0"/>
        <w:snapToGrid w:val="0"/>
        <w:spacing w:line="460" w:lineRule="exact"/>
        <w:ind w:firstLine="480"/>
        <w:rPr>
          <w:rFonts w:eastAsiaTheme="minorEastAsia"/>
          <w:sz w:val="24"/>
        </w:rPr>
      </w:pPr>
      <w:r>
        <w:rPr>
          <w:rFonts w:eastAsiaTheme="minorEastAsia"/>
          <w:sz w:val="24"/>
        </w:rPr>
        <w:pict>
          <v:shape id="_x0000_s2833" o:spid="_x0000_s2833" o:spt="75" type="#_x0000_t75" style="position:absolute;left:0pt;margin-left:63.8pt;margin-top:9.4pt;height:47.25pt;width:207pt;z-index:251666432;mso-width-relative:page;mso-height-relative:page;" o:ole="t" fillcolor="#CCE8CF" filled="f" o:preferrelative="t" stroked="f" coordsize="21600,21600">
            <v:path/>
            <v:fill on="f" focussize="0,0"/>
            <v:stroke on="f" joinstyle="miter"/>
            <v:imagedata r:id="rId83" o:title=""/>
            <o:lock v:ext="edit" aspectratio="t"/>
          </v:shape>
          <o:OLEObject Type="Embed" ProgID="Equation.3" ShapeID="_x0000_s2833" DrawAspect="Content" ObjectID="_1468075740" r:id="rId82">
            <o:LockedField>false</o:LockedField>
          </o:OLEObject>
        </w:pict>
      </w:r>
    </w:p>
    <w:p>
      <w:pPr>
        <w:adjustRightInd w:val="0"/>
        <w:snapToGrid w:val="0"/>
        <w:spacing w:line="460" w:lineRule="exact"/>
        <w:ind w:firstLine="480"/>
        <w:rPr>
          <w:rFonts w:eastAsiaTheme="minorEastAsia"/>
          <w:sz w:val="24"/>
        </w:rPr>
      </w:pPr>
      <w:r>
        <w:rPr>
          <w:rFonts w:hAnsiTheme="minorEastAsia" w:eastAsiaTheme="minorEastAsia"/>
          <w:sz w:val="24"/>
        </w:rPr>
        <w:t>下沉：</w:t>
      </w:r>
    </w:p>
    <w:p>
      <w:pPr>
        <w:adjustRightInd w:val="0"/>
        <w:snapToGrid w:val="0"/>
        <w:spacing w:line="460" w:lineRule="exact"/>
        <w:ind w:firstLine="482"/>
        <w:rPr>
          <w:rFonts w:eastAsiaTheme="minorEastAsia"/>
          <w:sz w:val="24"/>
        </w:rPr>
      </w:pPr>
    </w:p>
    <w:p>
      <w:pPr>
        <w:adjustRightInd w:val="0"/>
        <w:snapToGrid w:val="0"/>
        <w:spacing w:line="460" w:lineRule="exact"/>
        <w:ind w:firstLine="480"/>
        <w:rPr>
          <w:rFonts w:eastAsiaTheme="minorEastAsia"/>
          <w:sz w:val="24"/>
        </w:rPr>
      </w:pPr>
      <w:r>
        <w:rPr>
          <w:rFonts w:eastAsiaTheme="minorEastAsia"/>
          <w:sz w:val="24"/>
        </w:rPr>
        <w:pict>
          <v:shape id="_x0000_s2834" o:spid="_x0000_s2834" o:spt="75" type="#_x0000_t75" style="position:absolute;left:0pt;margin-left:63pt;margin-top:0.6pt;height:33pt;width:191.25pt;z-index:251667456;mso-width-relative:page;mso-height-relative:page;" o:ole="t" fillcolor="#CCE8CF" filled="f" o:preferrelative="t" stroked="f" coordsize="21600,21600">
            <v:path/>
            <v:fill on="f" focussize="0,0"/>
            <v:stroke on="f" joinstyle="miter"/>
            <v:imagedata r:id="rId85" o:title=""/>
            <o:lock v:ext="edit" aspectratio="t"/>
          </v:shape>
          <o:OLEObject Type="Embed" ProgID="Equation.3" ShapeID="_x0000_s2834" DrawAspect="Content" ObjectID="_1468075741" r:id="rId84">
            <o:LockedField>false</o:LockedField>
          </o:OLEObject>
        </w:pict>
      </w:r>
      <w:r>
        <w:rPr>
          <w:rFonts w:hAnsiTheme="minorEastAsia" w:eastAsiaTheme="minorEastAsia"/>
          <w:sz w:val="24"/>
        </w:rPr>
        <w:t>倾斜：</w:t>
      </w:r>
    </w:p>
    <w:p>
      <w:pPr>
        <w:adjustRightInd w:val="0"/>
        <w:snapToGrid w:val="0"/>
        <w:spacing w:line="460" w:lineRule="exact"/>
        <w:ind w:firstLine="480"/>
        <w:rPr>
          <w:rFonts w:hAnsiTheme="minorEastAsia" w:eastAsiaTheme="minorEastAsia"/>
          <w:sz w:val="24"/>
        </w:rPr>
      </w:pPr>
    </w:p>
    <w:p>
      <w:pPr>
        <w:adjustRightInd w:val="0"/>
        <w:snapToGrid w:val="0"/>
        <w:spacing w:line="460" w:lineRule="exact"/>
        <w:ind w:firstLine="480"/>
        <w:rPr>
          <w:rFonts w:eastAsiaTheme="minorEastAsia"/>
          <w:sz w:val="24"/>
        </w:rPr>
      </w:pPr>
      <w:r>
        <w:rPr>
          <w:rFonts w:eastAsiaTheme="minorEastAsia"/>
          <w:sz w:val="24"/>
        </w:rPr>
        <w:pict>
          <v:shape id="_x0000_s2835" o:spid="_x0000_s2835" o:spt="75" type="#_x0000_t75" style="position:absolute;left:0pt;margin-left:67.1pt;margin-top:-5.35pt;height:33.75pt;width:264.75pt;z-index:251668480;mso-width-relative:page;mso-height-relative:page;" o:ole="t" fillcolor="#CCE8CF" filled="f" o:preferrelative="t" stroked="f" coordsize="21600,21600">
            <v:path/>
            <v:fill on="f" focussize="0,0"/>
            <v:stroke on="f" joinstyle="miter"/>
            <v:imagedata r:id="rId87" o:title=""/>
            <o:lock v:ext="edit" aspectratio="t"/>
          </v:shape>
          <o:OLEObject Type="Embed" ProgID="Equation.3" ShapeID="_x0000_s2835" DrawAspect="Content" ObjectID="_1468075742" r:id="rId86">
            <o:LockedField>false</o:LockedField>
          </o:OLEObject>
        </w:pict>
      </w:r>
      <w:r>
        <w:rPr>
          <w:rFonts w:hAnsiTheme="minorEastAsia" w:eastAsiaTheme="minorEastAsia"/>
          <w:sz w:val="24"/>
        </w:rPr>
        <w:t>曲率：</w:t>
      </w:r>
    </w:p>
    <w:p>
      <w:pPr>
        <w:adjustRightInd w:val="0"/>
        <w:snapToGrid w:val="0"/>
        <w:spacing w:line="460" w:lineRule="exact"/>
        <w:rPr>
          <w:rFonts w:eastAsiaTheme="minorEastAsia"/>
          <w:sz w:val="24"/>
        </w:rPr>
      </w:pPr>
      <w:r>
        <w:rPr>
          <w:rFonts w:eastAsiaTheme="minorEastAsia"/>
          <w:sz w:val="24"/>
        </w:rPr>
        <w:pict>
          <v:shape id="_x0000_s2836" o:spid="_x0000_s2836" o:spt="75" type="#_x0000_t75" style="position:absolute;left:0pt;margin-left:86.45pt;margin-top:16.3pt;height:29.25pt;width:198pt;z-index:251669504;mso-width-relative:page;mso-height-relative:page;" o:ole="t" fillcolor="#CCE8CF" filled="f" o:preferrelative="t" stroked="f" coordsize="21600,21600">
            <v:path/>
            <v:fill on="f" focussize="0,0"/>
            <v:stroke on="f" joinstyle="miter"/>
            <v:imagedata r:id="rId89" o:title=""/>
            <o:lock v:ext="edit" aspectratio="t"/>
          </v:shape>
          <o:OLEObject Type="Embed" ProgID="Equation.3" ShapeID="_x0000_s2836" DrawAspect="Content" ObjectID="_1468075743" r:id="rId88">
            <o:LockedField>false</o:LockedField>
          </o:OLEObject>
        </w:pict>
      </w:r>
    </w:p>
    <w:p>
      <w:pPr>
        <w:adjustRightInd w:val="0"/>
        <w:snapToGrid w:val="0"/>
        <w:spacing w:line="460" w:lineRule="exact"/>
        <w:ind w:firstLine="480"/>
        <w:rPr>
          <w:rFonts w:eastAsiaTheme="minorEastAsia"/>
          <w:sz w:val="24"/>
        </w:rPr>
      </w:pPr>
      <w:r>
        <w:rPr>
          <w:rFonts w:hAnsiTheme="minorEastAsia" w:eastAsiaTheme="minorEastAsia"/>
          <w:sz w:val="24"/>
        </w:rPr>
        <w:t>水平移动：</w:t>
      </w:r>
    </w:p>
    <w:p>
      <w:pPr>
        <w:adjustRightInd w:val="0"/>
        <w:snapToGrid w:val="0"/>
        <w:spacing w:line="460" w:lineRule="exact"/>
        <w:ind w:firstLine="480"/>
        <w:rPr>
          <w:rFonts w:eastAsiaTheme="minorEastAsia"/>
          <w:sz w:val="24"/>
        </w:rPr>
      </w:pPr>
      <w:r>
        <w:rPr>
          <w:rFonts w:eastAsiaTheme="minorEastAsia"/>
          <w:sz w:val="24"/>
        </w:rPr>
        <w:pict>
          <v:shape id="_x0000_s2837" o:spid="_x0000_s2837" o:spt="75" type="#_x0000_t75" style="position:absolute;left:0pt;margin-left:86.45pt;margin-top:14.7pt;height:33pt;width:255.75pt;z-index:251670528;mso-width-relative:page;mso-height-relative:page;" o:ole="t" fillcolor="#CCE8CF" filled="f" o:preferrelative="t" stroked="f" coordsize="21600,21600">
            <v:path/>
            <v:fill on="f" focussize="0,0"/>
            <v:stroke on="f" joinstyle="miter"/>
            <v:imagedata r:id="rId91" o:title=""/>
            <o:lock v:ext="edit" aspectratio="t"/>
          </v:shape>
          <o:OLEObject Type="Embed" ProgID="Equation.3" ShapeID="_x0000_s2837" DrawAspect="Content" ObjectID="_1468075744" r:id="rId90">
            <o:LockedField>false</o:LockedField>
          </o:OLEObject>
        </w:pict>
      </w:r>
    </w:p>
    <w:p>
      <w:pPr>
        <w:adjustRightInd w:val="0"/>
        <w:snapToGrid w:val="0"/>
        <w:spacing w:line="460" w:lineRule="exact"/>
        <w:ind w:firstLine="480"/>
        <w:rPr>
          <w:rFonts w:eastAsiaTheme="minorEastAsia"/>
          <w:sz w:val="24"/>
        </w:rPr>
      </w:pPr>
      <w:r>
        <w:rPr>
          <w:rFonts w:hAnsiTheme="minorEastAsia" w:eastAsiaTheme="minorEastAsia"/>
          <w:sz w:val="24"/>
        </w:rPr>
        <w:t>水平变形：</w:t>
      </w:r>
    </w:p>
    <w:p>
      <w:pPr>
        <w:spacing w:line="360" w:lineRule="auto"/>
        <w:ind w:firstLine="480" w:firstLineChars="200"/>
        <w:rPr>
          <w:rFonts w:hAnsiTheme="minorEastAsia" w:eastAsiaTheme="minorEastAsia"/>
          <w:sz w:val="24"/>
        </w:rPr>
      </w:pP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）在计算倾向主剖面时，公式同上，仅需以</w:t>
      </w:r>
      <w:r>
        <w:rPr>
          <w:rFonts w:eastAsiaTheme="minorEastAsia"/>
          <w:sz w:val="24"/>
        </w:rPr>
        <w:t>y</w:t>
      </w:r>
      <w:r>
        <w:rPr>
          <w:rFonts w:hAnsiTheme="minorEastAsia" w:eastAsiaTheme="minorEastAsia"/>
          <w:sz w:val="24"/>
        </w:rPr>
        <w:t>代</w:t>
      </w:r>
      <w:r>
        <w:rPr>
          <w:rFonts w:eastAsiaTheme="minorEastAsia"/>
          <w:sz w:val="24"/>
        </w:rPr>
        <w:t>x</w:t>
      </w:r>
      <w:r>
        <w:rPr>
          <w:rFonts w:hAnsiTheme="minorEastAsia" w:eastAsiaTheme="minorEastAsia"/>
          <w:sz w:val="24"/>
        </w:rPr>
        <w:t>，以</w:t>
      </w:r>
      <w:r>
        <w:rPr>
          <w:rFonts w:eastAsiaTheme="minorEastAsia"/>
          <w:sz w:val="24"/>
        </w:rPr>
        <w:t>r</w:t>
      </w:r>
      <w:r>
        <w:rPr>
          <w:rFonts w:eastAsiaTheme="minorEastAsia"/>
          <w:sz w:val="24"/>
          <w:vertAlign w:val="subscript"/>
        </w:rPr>
        <w:t>l</w:t>
      </w:r>
      <w:r>
        <w:rPr>
          <w:rFonts w:hAnsiTheme="minorEastAsia" w:eastAsiaTheme="minorEastAsia"/>
          <w:sz w:val="24"/>
        </w:rPr>
        <w:t>（或</w:t>
      </w:r>
      <w:r>
        <w:rPr>
          <w:rFonts w:eastAsiaTheme="minorEastAsia"/>
          <w:sz w:val="24"/>
        </w:rPr>
        <w:t>r</w:t>
      </w:r>
      <w:r>
        <w:rPr>
          <w:rFonts w:eastAsiaTheme="minorEastAsia"/>
          <w:sz w:val="24"/>
          <w:vertAlign w:val="subscript"/>
        </w:rPr>
        <w:t>2</w:t>
      </w:r>
      <w:r>
        <w:rPr>
          <w:rFonts w:hAnsiTheme="minorEastAsia" w:eastAsiaTheme="minorEastAsia"/>
          <w:sz w:val="24"/>
        </w:rPr>
        <w:t>）代</w:t>
      </w:r>
      <w:r>
        <w:rPr>
          <w:rFonts w:eastAsiaTheme="minorEastAsia"/>
          <w:sz w:val="24"/>
        </w:rPr>
        <w:t>r</w:t>
      </w:r>
      <w:r>
        <w:rPr>
          <w:rFonts w:hAnsiTheme="minorEastAsia" w:eastAsiaTheme="minorEastAsia"/>
          <w:sz w:val="24"/>
        </w:rPr>
        <w:t>即可。</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）计算充分采动时，地表移动变形最大值用下列公式计算：</w:t>
      </w:r>
    </w:p>
    <w:p>
      <w:pPr>
        <w:adjustRightInd w:val="0"/>
        <w:snapToGrid w:val="0"/>
        <w:spacing w:line="460" w:lineRule="exact"/>
        <w:ind w:firstLine="480" w:firstLineChars="200"/>
        <w:rPr>
          <w:rFonts w:eastAsiaTheme="minorEastAsia"/>
          <w:sz w:val="24"/>
        </w:rPr>
      </w:pPr>
      <w:r>
        <w:rPr>
          <w:rFonts w:hAnsiTheme="minorEastAsia" w:eastAsiaTheme="minorEastAsia"/>
          <w:sz w:val="24"/>
        </w:rPr>
        <w:t>最大下沉值：</w:t>
      </w:r>
      <w:r>
        <w:rPr>
          <w:rFonts w:eastAsiaTheme="minorEastAsia"/>
          <w:sz w:val="24"/>
        </w:rPr>
        <w:t>W</w:t>
      </w:r>
      <w:r>
        <w:rPr>
          <w:rFonts w:eastAsiaTheme="minorEastAsia"/>
          <w:sz w:val="24"/>
          <w:vertAlign w:val="subscript"/>
        </w:rPr>
        <w:t>cm</w:t>
      </w:r>
      <w:r>
        <w:rPr>
          <w:rFonts w:eastAsiaTheme="minorEastAsia"/>
          <w:sz w:val="24"/>
        </w:rPr>
        <w:t>=m·q·cosα</w:t>
      </w:r>
      <w:r>
        <w:rPr>
          <w:rFonts w:hAnsiTheme="minorEastAsia" w:eastAsiaTheme="minorEastAsia"/>
          <w:sz w:val="24"/>
        </w:rPr>
        <w:t>（</w:t>
      </w:r>
      <w:r>
        <w:rPr>
          <w:rFonts w:eastAsiaTheme="minorEastAsia"/>
          <w:sz w:val="24"/>
        </w:rPr>
        <w:t>mm</w:t>
      </w:r>
      <w:r>
        <w:rPr>
          <w:rFonts w:hAnsiTheme="minorEastAsia" w:eastAsiaTheme="minorEastAsia"/>
          <w:sz w:val="24"/>
        </w:rPr>
        <w:t>）</w:t>
      </w:r>
    </w:p>
    <w:p>
      <w:pPr>
        <w:adjustRightInd w:val="0"/>
        <w:snapToGrid w:val="0"/>
        <w:spacing w:line="560" w:lineRule="exact"/>
        <w:ind w:firstLine="480" w:firstLineChars="200"/>
        <w:rPr>
          <w:rFonts w:eastAsiaTheme="minorEastAsia"/>
          <w:sz w:val="24"/>
        </w:rPr>
      </w:pPr>
      <w:r>
        <w:rPr>
          <w:rFonts w:eastAsiaTheme="minorEastAsia"/>
          <w:sz w:val="24"/>
        </w:rPr>
        <w:pict>
          <v:shape id="_x0000_s2840" o:spid="_x0000_s2840" o:spt="75" type="#_x0000_t75" style="position:absolute;left:0pt;margin-left:123.35pt;margin-top:3.65pt;height:32.25pt;width:24pt;z-index:251672576;mso-width-relative:page;mso-height-relative:page;" o:ole="t" fillcolor="#CCE8CF" filled="f" o:preferrelative="t" stroked="f" coordsize="21600,21600">
            <v:path/>
            <v:fill on="f" focussize="0,0"/>
            <v:stroke on="f" joinstyle="miter"/>
            <v:imagedata r:id="rId93" o:title=""/>
            <o:lock v:ext="edit" aspectratio="t"/>
          </v:shape>
          <o:OLEObject Type="Embed" ProgID="Equation.3" ShapeID="_x0000_s2840" DrawAspect="Content" ObjectID="_1468075745" r:id="rId92">
            <o:LockedField>false</o:LockedField>
          </o:OLEObject>
        </w:pict>
      </w:r>
      <w:r>
        <w:rPr>
          <w:rFonts w:hAnsiTheme="minorEastAsia" w:eastAsiaTheme="minorEastAsia"/>
          <w:sz w:val="24"/>
        </w:rPr>
        <w:t>最大倾斜值：</w:t>
      </w:r>
      <w:r>
        <w:rPr>
          <w:rFonts w:eastAsiaTheme="minorEastAsia"/>
          <w:sz w:val="24"/>
        </w:rPr>
        <w:t>i</w:t>
      </w:r>
      <w:r>
        <w:rPr>
          <w:rFonts w:eastAsiaTheme="minorEastAsia"/>
          <w:sz w:val="24"/>
          <w:vertAlign w:val="subscript"/>
        </w:rPr>
        <w:t>cm</w:t>
      </w:r>
      <w:r>
        <w:rPr>
          <w:rFonts w:eastAsiaTheme="minorEastAsia"/>
          <w:sz w:val="24"/>
        </w:rPr>
        <w:t xml:space="preserve">=    </w:t>
      </w:r>
      <w:r>
        <w:rPr>
          <w:rFonts w:hAnsiTheme="minorEastAsia" w:eastAsiaTheme="minorEastAsia"/>
          <w:sz w:val="24"/>
        </w:rPr>
        <w:t>（</w:t>
      </w:r>
      <w:r>
        <w:rPr>
          <w:rFonts w:eastAsiaTheme="minorEastAsia"/>
          <w:sz w:val="24"/>
        </w:rPr>
        <w:t>mm/m</w:t>
      </w:r>
      <w:r>
        <w:rPr>
          <w:rFonts w:hAnsiTheme="minorEastAsia" w:eastAsiaTheme="minorEastAsia"/>
          <w:sz w:val="24"/>
        </w:rPr>
        <w:t>）</w:t>
      </w:r>
    </w:p>
    <w:p>
      <w:pPr>
        <w:adjustRightInd w:val="0"/>
        <w:snapToGrid w:val="0"/>
        <w:spacing w:line="560" w:lineRule="exact"/>
        <w:ind w:firstLine="480" w:firstLineChars="200"/>
        <w:rPr>
          <w:rFonts w:eastAsiaTheme="minorEastAsia"/>
          <w:sz w:val="24"/>
        </w:rPr>
      </w:pPr>
      <w:r>
        <w:rPr>
          <w:rFonts w:eastAsiaTheme="minorEastAsia"/>
          <w:sz w:val="24"/>
        </w:rPr>
        <w:pict>
          <v:shape id="_x0000_s2838" o:spid="_x0000_s2838" o:spt="75" type="#_x0000_t75" style="position:absolute;left:0pt;margin-left:155.7pt;margin-top:3.9pt;height:32.25pt;width:24.75pt;z-index:251671552;mso-width-relative:page;mso-height-relative:page;" o:ole="t" fillcolor="#CCE8CF" filled="f" o:preferrelative="t" stroked="f" coordsize="21600,21600">
            <v:path/>
            <v:fill on="f" focussize="0,0"/>
            <v:stroke on="f" joinstyle="miter"/>
            <v:imagedata r:id="rId95" o:title=""/>
            <o:lock v:ext="edit" aspectratio="t"/>
          </v:shape>
          <o:OLEObject Type="Embed" ProgID="Equation.3" ShapeID="_x0000_s2838" DrawAspect="Content" ObjectID="_1468075746" r:id="rId94">
            <o:LockedField>false</o:LockedField>
          </o:OLEObject>
        </w:pict>
      </w:r>
      <w:r>
        <w:rPr>
          <w:rFonts w:hAnsiTheme="minorEastAsia" w:eastAsiaTheme="minorEastAsia"/>
          <w:sz w:val="24"/>
        </w:rPr>
        <w:t>最大曲率值：</w:t>
      </w:r>
      <w:r>
        <w:rPr>
          <w:rFonts w:eastAsiaTheme="minorEastAsia"/>
          <w:sz w:val="24"/>
        </w:rPr>
        <w:t>K</w:t>
      </w:r>
      <w:r>
        <w:rPr>
          <w:rFonts w:eastAsiaTheme="minorEastAsia"/>
          <w:sz w:val="24"/>
          <w:vertAlign w:val="subscript"/>
        </w:rPr>
        <w:t>cm</w:t>
      </w:r>
      <w:r>
        <w:rPr>
          <w:rFonts w:eastAsiaTheme="minorEastAsia"/>
          <w:sz w:val="24"/>
        </w:rPr>
        <w:t xml:space="preserve">= ±1.52     </w:t>
      </w:r>
      <w:r>
        <w:rPr>
          <w:rFonts w:hAnsiTheme="minorEastAsia" w:eastAsiaTheme="minorEastAsia"/>
          <w:sz w:val="24"/>
        </w:rPr>
        <w:t>（</w:t>
      </w:r>
      <w:r>
        <w:rPr>
          <w:rFonts w:eastAsiaTheme="minorEastAsia"/>
          <w:sz w:val="24"/>
        </w:rPr>
        <w:t>10</w:t>
      </w:r>
      <w:r>
        <w:rPr>
          <w:rFonts w:eastAsiaTheme="minorEastAsia"/>
          <w:sz w:val="24"/>
          <w:vertAlign w:val="superscript"/>
        </w:rPr>
        <w:t>-3</w:t>
      </w:r>
      <w:r>
        <w:rPr>
          <w:rFonts w:eastAsiaTheme="minorEastAsia"/>
          <w:sz w:val="24"/>
        </w:rPr>
        <w:t>/m</w:t>
      </w:r>
      <w:r>
        <w:rPr>
          <w:rFonts w:hAnsiTheme="minorEastAsia" w:eastAsiaTheme="minorEastAsia"/>
          <w:sz w:val="24"/>
        </w:rPr>
        <w:t>）</w:t>
      </w:r>
    </w:p>
    <w:p>
      <w:pPr>
        <w:adjustRightInd w:val="0"/>
        <w:snapToGrid w:val="0"/>
        <w:spacing w:line="560" w:lineRule="exact"/>
        <w:ind w:firstLine="480" w:firstLineChars="200"/>
        <w:rPr>
          <w:rFonts w:eastAsiaTheme="minorEastAsia"/>
          <w:sz w:val="24"/>
        </w:rPr>
      </w:pPr>
      <w:r>
        <w:rPr>
          <w:rFonts w:eastAsiaTheme="minorEastAsia"/>
          <w:sz w:val="24"/>
        </w:rPr>
        <w:pict>
          <v:shape id="_x0000_s2841" o:spid="_x0000_s2841" o:spt="75" type="#_x0000_t75" style="position:absolute;left:0pt;margin-left:186.15pt;margin-top:26.1pt;height:32.25pt;width:24.75pt;z-index:251673600;mso-width-relative:page;mso-height-relative:page;" o:ole="t" fillcolor="#CCE8CF" filled="f" o:preferrelative="t" stroked="f" coordsize="21600,21600">
            <v:path/>
            <v:fill on="f" focussize="0,0"/>
            <v:stroke on="f" joinstyle="miter"/>
            <v:imagedata r:id="rId97" o:title=""/>
            <o:lock v:ext="edit" aspectratio="t"/>
          </v:shape>
          <o:OLEObject Type="Embed" ProgID="Equation.3" ShapeID="_x0000_s2841" DrawAspect="Content" ObjectID="_1468075747" r:id="rId96">
            <o:LockedField>false</o:LockedField>
          </o:OLEObject>
        </w:pict>
      </w:r>
      <w:r>
        <w:rPr>
          <w:rFonts w:hAnsiTheme="minorEastAsia" w:eastAsiaTheme="minorEastAsia"/>
          <w:sz w:val="24"/>
        </w:rPr>
        <w:t>最大水平移动值：</w:t>
      </w:r>
      <w:r>
        <w:rPr>
          <w:rFonts w:eastAsiaTheme="minorEastAsia"/>
          <w:sz w:val="24"/>
        </w:rPr>
        <w:t>U</w:t>
      </w:r>
      <w:r>
        <w:rPr>
          <w:rFonts w:eastAsiaTheme="minorEastAsia"/>
          <w:sz w:val="24"/>
          <w:vertAlign w:val="subscript"/>
        </w:rPr>
        <w:t>cm</w:t>
      </w:r>
      <w:r>
        <w:rPr>
          <w:rFonts w:eastAsiaTheme="minorEastAsia"/>
          <w:sz w:val="24"/>
        </w:rPr>
        <w:t>=b·W</w:t>
      </w:r>
      <w:r>
        <w:rPr>
          <w:rFonts w:eastAsiaTheme="minorEastAsia"/>
          <w:sz w:val="24"/>
          <w:vertAlign w:val="subscript"/>
        </w:rPr>
        <w:t>cm</w:t>
      </w:r>
      <w:r>
        <w:rPr>
          <w:rFonts w:hAnsiTheme="minorEastAsia" w:eastAsiaTheme="minorEastAsia"/>
          <w:sz w:val="24"/>
        </w:rPr>
        <w:t>（</w:t>
      </w:r>
      <w:r>
        <w:rPr>
          <w:rFonts w:eastAsiaTheme="minorEastAsia"/>
          <w:sz w:val="24"/>
        </w:rPr>
        <w:t>mm</w:t>
      </w:r>
      <w:r>
        <w:rPr>
          <w:rFonts w:hAnsiTheme="minorEastAsia" w:eastAsiaTheme="minorEastAsia"/>
          <w:sz w:val="24"/>
        </w:rPr>
        <w:t>）</w:t>
      </w:r>
    </w:p>
    <w:p>
      <w:pPr>
        <w:adjustRightInd w:val="0"/>
        <w:snapToGrid w:val="0"/>
        <w:spacing w:line="560" w:lineRule="exact"/>
        <w:ind w:firstLine="480" w:firstLineChars="200"/>
        <w:rPr>
          <w:rFonts w:eastAsiaTheme="minorEastAsia"/>
          <w:spacing w:val="4"/>
          <w:sz w:val="24"/>
        </w:rPr>
      </w:pPr>
      <w:r>
        <w:rPr>
          <w:rFonts w:hAnsiTheme="minorEastAsia" w:eastAsiaTheme="minorEastAsia"/>
          <w:sz w:val="24"/>
        </w:rPr>
        <w:t>最大</w:t>
      </w:r>
      <w:r>
        <w:rPr>
          <w:rFonts w:hAnsiTheme="minorEastAsia" w:eastAsiaTheme="minorEastAsia"/>
          <w:spacing w:val="4"/>
          <w:sz w:val="24"/>
        </w:rPr>
        <w:t>水平变形值：</w:t>
      </w:r>
      <w:r>
        <w:rPr>
          <w:rFonts w:eastAsiaTheme="minorEastAsia"/>
          <w:spacing w:val="4"/>
          <w:sz w:val="24"/>
        </w:rPr>
        <w:t>ε</w:t>
      </w:r>
      <w:r>
        <w:rPr>
          <w:rFonts w:eastAsiaTheme="minorEastAsia"/>
          <w:spacing w:val="4"/>
          <w:sz w:val="24"/>
          <w:vertAlign w:val="subscript"/>
        </w:rPr>
        <w:t>cm</w:t>
      </w:r>
      <w:r>
        <w:rPr>
          <w:rFonts w:eastAsiaTheme="minorEastAsia"/>
          <w:spacing w:val="4"/>
          <w:sz w:val="24"/>
        </w:rPr>
        <w:t xml:space="preserve">= ±1.52·b   </w:t>
      </w:r>
      <w:r>
        <w:rPr>
          <w:rFonts w:hAnsiTheme="minorEastAsia" w:eastAsiaTheme="minorEastAsia"/>
          <w:spacing w:val="4"/>
          <w:sz w:val="24"/>
        </w:rPr>
        <w:t>（</w:t>
      </w:r>
      <w:r>
        <w:rPr>
          <w:rFonts w:eastAsiaTheme="minorEastAsia"/>
          <w:spacing w:val="4"/>
          <w:sz w:val="24"/>
        </w:rPr>
        <w:t>mm/m</w:t>
      </w:r>
      <w:r>
        <w:rPr>
          <w:rFonts w:hAnsiTheme="minorEastAsia" w:eastAsiaTheme="minorEastAsia"/>
          <w:spacing w:val="4"/>
          <w:sz w:val="24"/>
        </w:rPr>
        <w:t>）</w:t>
      </w: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r>
        <w:rPr>
          <w:rFonts w:eastAsiaTheme="minorEastAsia"/>
          <w:sz w:val="24"/>
        </w:rPr>
        <w:t>2</w:t>
      </w:r>
      <w:r>
        <w:rPr>
          <w:rFonts w:hAnsiTheme="minorEastAsia" w:eastAsiaTheme="minorEastAsia"/>
          <w:sz w:val="24"/>
        </w:rPr>
        <w:t>、地表移动变形基本参数的选取</w:t>
      </w:r>
    </w:p>
    <w:p>
      <w:pPr>
        <w:spacing w:line="360" w:lineRule="auto"/>
        <w:ind w:firstLine="480" w:firstLineChars="200"/>
        <w:rPr>
          <w:rFonts w:eastAsiaTheme="minorEastAsia"/>
          <w:sz w:val="24"/>
        </w:rPr>
      </w:pPr>
      <w:r>
        <w:rPr>
          <w:rFonts w:hAnsiTheme="minorEastAsia" w:eastAsiaTheme="minorEastAsia"/>
          <w:sz w:val="24"/>
        </w:rPr>
        <w:t>地表移动变形基本参数主要有：下沉系数（</w:t>
      </w:r>
      <w:r>
        <w:rPr>
          <w:rFonts w:eastAsiaTheme="minorEastAsia"/>
          <w:sz w:val="24"/>
        </w:rPr>
        <w:t>q</w:t>
      </w:r>
      <w:r>
        <w:rPr>
          <w:rFonts w:hAnsiTheme="minorEastAsia" w:eastAsiaTheme="minorEastAsia"/>
          <w:sz w:val="24"/>
        </w:rPr>
        <w:t>）、主要影响角正切（</w:t>
      </w:r>
      <w:r>
        <w:rPr>
          <w:rFonts w:eastAsiaTheme="minorEastAsia"/>
          <w:sz w:val="24"/>
        </w:rPr>
        <w:t>tgβ</w:t>
      </w:r>
      <w:r>
        <w:rPr>
          <w:rFonts w:hAnsiTheme="minorEastAsia" w:eastAsiaTheme="minorEastAsia"/>
          <w:sz w:val="24"/>
        </w:rPr>
        <w:t>）、拐点偏距（</w:t>
      </w:r>
      <w:r>
        <w:rPr>
          <w:rFonts w:eastAsiaTheme="minorEastAsia"/>
          <w:sz w:val="24"/>
        </w:rPr>
        <w:t>S</w:t>
      </w:r>
      <w:r>
        <w:rPr>
          <w:rFonts w:hAnsiTheme="minorEastAsia" w:eastAsiaTheme="minorEastAsia"/>
          <w:sz w:val="24"/>
        </w:rPr>
        <w:t>）、开采影响传播角（</w:t>
      </w:r>
      <w:r>
        <w:rPr>
          <w:rFonts w:eastAsiaTheme="minorEastAsia"/>
          <w:sz w:val="24"/>
        </w:rPr>
        <w:t>θ</w:t>
      </w:r>
      <w:r>
        <w:rPr>
          <w:rFonts w:hAnsiTheme="minorEastAsia" w:eastAsiaTheme="minorEastAsia"/>
          <w:sz w:val="24"/>
        </w:rPr>
        <w:t>）、水平移动系数（</w:t>
      </w:r>
      <w:r>
        <w:rPr>
          <w:rFonts w:eastAsiaTheme="minorEastAsia"/>
          <w:sz w:val="24"/>
        </w:rPr>
        <w:t>b</w:t>
      </w:r>
      <w:r>
        <w:rPr>
          <w:rFonts w:hAnsiTheme="minorEastAsia" w:eastAsiaTheme="minorEastAsia"/>
          <w:sz w:val="24"/>
        </w:rPr>
        <w:t>）等。</w:t>
      </w:r>
    </w:p>
    <w:p>
      <w:pPr>
        <w:spacing w:line="360" w:lineRule="auto"/>
        <w:ind w:firstLine="480" w:firstLineChars="200"/>
        <w:rPr>
          <w:rFonts w:hAnsiTheme="minorEastAsia" w:eastAsiaTheme="minorEastAsia"/>
          <w:sz w:val="24"/>
        </w:rPr>
      </w:pPr>
      <w:r>
        <w:rPr>
          <w:rFonts w:hAnsiTheme="minorEastAsia" w:eastAsiaTheme="minorEastAsia"/>
          <w:sz w:val="24"/>
        </w:rPr>
        <w:t>本评价结合《建筑物、水体、铁路及主要井巷煤柱留设与压煤开采规程》（以下简称《开采规程》）的基本参数，确定拟建煤矿的地表移动基本参数。本工程采用走向长壁综采采煤法，</w:t>
      </w:r>
      <w:r>
        <w:rPr>
          <w:rFonts w:hint="eastAsia" w:hAnsiTheme="minorEastAsia"/>
          <w:sz w:val="24"/>
        </w:rPr>
        <w:t>首采区采用综采（非合并区）与综放（合并区）相结合的回采工艺，全部冒落法管理顶板</w:t>
      </w:r>
      <w:r>
        <w:rPr>
          <w:rFonts w:hAnsiTheme="minorEastAsia" w:eastAsiaTheme="minorEastAsia"/>
          <w:sz w:val="24"/>
        </w:rPr>
        <w:t>。根据煤矿地质条件、开采技术条件、采煤方法，求得的地表移动变形基本参数如下：</w:t>
      </w:r>
      <w:r>
        <w:rPr>
          <w:rFonts w:eastAsiaTheme="minorEastAsia"/>
          <w:sz w:val="24"/>
        </w:rPr>
        <w:t xml:space="preserve"> </w:t>
      </w:r>
    </w:p>
    <w:p>
      <w:pPr>
        <w:spacing w:line="360" w:lineRule="auto"/>
        <w:ind w:firstLine="480" w:firstLineChars="200"/>
        <w:rPr>
          <w:rFonts w:eastAsiaTheme="minorEastAsia"/>
          <w:sz w:val="24"/>
        </w:rPr>
      </w:pPr>
      <w:r>
        <w:rPr>
          <w:rFonts w:hint="eastAsia" w:hAnsiTheme="minorEastAsia" w:eastAsiaTheme="minorEastAsia"/>
          <w:sz w:val="24"/>
        </w:rPr>
        <w:t>根据</w:t>
      </w:r>
      <w:r>
        <w:rPr>
          <w:rFonts w:hAnsiTheme="minorEastAsia" w:eastAsiaTheme="minorEastAsia"/>
          <w:sz w:val="24"/>
        </w:rPr>
        <w:t>地质报告，</w:t>
      </w:r>
      <w:r>
        <w:rPr>
          <w:rFonts w:hint="eastAsia" w:hAnsiTheme="minorEastAsia" w:eastAsiaTheme="minorEastAsia"/>
          <w:sz w:val="24"/>
        </w:rPr>
        <w:t>4号煤层顶板为砂质泥岩及泥岩，底板为泥岩及细粒砂岩；</w:t>
      </w:r>
      <w:r>
        <w:rPr>
          <w:rFonts w:hint="eastAsia" w:eastAsiaTheme="minorEastAsia"/>
          <w:bCs/>
          <w:sz w:val="24"/>
        </w:rPr>
        <w:t>5</w:t>
      </w:r>
      <w:r>
        <w:rPr>
          <w:rFonts w:hAnsiTheme="minorEastAsia" w:eastAsiaTheme="minorEastAsia"/>
          <w:bCs/>
          <w:sz w:val="24"/>
        </w:rPr>
        <w:t>号煤层顶板为</w:t>
      </w:r>
      <w:r>
        <w:rPr>
          <w:rFonts w:hint="eastAsia" w:hAnsiTheme="minorEastAsia" w:eastAsiaTheme="minorEastAsia"/>
          <w:sz w:val="24"/>
        </w:rPr>
        <w:t>泥岩及细粒砂岩</w:t>
      </w:r>
      <w:r>
        <w:rPr>
          <w:rFonts w:hAnsiTheme="minorEastAsia" w:eastAsiaTheme="minorEastAsia"/>
          <w:bCs/>
          <w:sz w:val="24"/>
        </w:rPr>
        <w:t>，</w:t>
      </w:r>
      <w:r>
        <w:rPr>
          <w:rFonts w:hint="eastAsia" w:hAnsiTheme="minorEastAsia" w:eastAsiaTheme="minorEastAsia"/>
          <w:sz w:val="24"/>
        </w:rPr>
        <w:t>底板为砂岩、砂质泥岩及泥岩；8号煤层顶板为石灰岩，底板为砂质泥岩及泥岩；</w:t>
      </w:r>
      <w:r>
        <w:rPr>
          <w:rFonts w:hint="eastAsia" w:eastAsiaTheme="minorEastAsia"/>
          <w:bCs/>
          <w:sz w:val="24"/>
        </w:rPr>
        <w:t>9号煤层</w:t>
      </w:r>
      <w:r>
        <w:rPr>
          <w:rFonts w:hint="eastAsia" w:hAnsiTheme="minorEastAsia" w:eastAsiaTheme="minorEastAsia"/>
          <w:sz w:val="24"/>
        </w:rPr>
        <w:t>顶底板均为泥岩及砂质泥岩</w:t>
      </w:r>
      <w:r>
        <w:rPr>
          <w:rFonts w:hAnsiTheme="minorEastAsia" w:eastAsiaTheme="minorEastAsia"/>
          <w:bCs/>
          <w:sz w:val="24"/>
        </w:rPr>
        <w:t>，</w:t>
      </w:r>
      <w:r>
        <w:rPr>
          <w:rFonts w:hAnsiTheme="minorEastAsia" w:eastAsiaTheme="minorEastAsia"/>
          <w:sz w:val="24"/>
        </w:rPr>
        <w:t>煤层顶板均按中硬来计算。</w:t>
      </w:r>
    </w:p>
    <w:p>
      <w:pPr>
        <w:spacing w:line="360" w:lineRule="auto"/>
        <w:ind w:firstLine="480" w:firstLineChars="200"/>
        <w:rPr>
          <w:rFonts w:eastAsiaTheme="minorEastAsia"/>
          <w:sz w:val="24"/>
        </w:rPr>
      </w:pPr>
      <w:r>
        <w:rPr>
          <w:rFonts w:hAnsiTheme="minorEastAsia" w:eastAsiaTheme="minorEastAsia"/>
          <w:sz w:val="24"/>
        </w:rPr>
        <w:t>开采规程主要的地表移动基本参数见表</w:t>
      </w:r>
      <w:r>
        <w:rPr>
          <w:rFonts w:eastAsiaTheme="minorEastAsia"/>
          <w:sz w:val="24"/>
        </w:rPr>
        <w:t>5.1-2</w:t>
      </w:r>
      <w:r>
        <w:rPr>
          <w:rFonts w:hAnsiTheme="minorEastAsia" w:eastAsiaTheme="minorEastAsia"/>
          <w:sz w:val="24"/>
        </w:rPr>
        <w:t>。</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 xml:space="preserve">5.1-2    </w:t>
      </w:r>
      <w:r>
        <w:rPr>
          <w:rFonts w:hAnsiTheme="minorEastAsia" w:eastAsiaTheme="minorEastAsia"/>
          <w:b/>
          <w:szCs w:val="21"/>
        </w:rPr>
        <w:t>地表移动变形基本参数</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8"/>
        <w:gridCol w:w="1044"/>
        <w:gridCol w:w="1276"/>
        <w:gridCol w:w="1415"/>
        <w:gridCol w:w="1490"/>
        <w:gridCol w:w="1380"/>
        <w:gridCol w:w="17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89" w:type="pct"/>
            <w:vAlign w:val="center"/>
          </w:tcPr>
          <w:p>
            <w:pPr>
              <w:adjustRightInd w:val="0"/>
              <w:snapToGrid w:val="0"/>
              <w:spacing w:line="280" w:lineRule="exact"/>
              <w:jc w:val="center"/>
              <w:rPr>
                <w:rFonts w:eastAsiaTheme="minorEastAsia"/>
                <w:szCs w:val="21"/>
              </w:rPr>
            </w:pPr>
            <w:r>
              <w:rPr>
                <w:rFonts w:hAnsiTheme="minorEastAsia" w:eastAsiaTheme="minorEastAsia"/>
                <w:szCs w:val="21"/>
              </w:rPr>
              <w:t>矿井</w:t>
            </w:r>
          </w:p>
          <w:p>
            <w:pPr>
              <w:adjustRightInd w:val="0"/>
              <w:snapToGrid w:val="0"/>
              <w:spacing w:line="280" w:lineRule="exact"/>
              <w:jc w:val="center"/>
              <w:rPr>
                <w:rFonts w:eastAsiaTheme="minorEastAsia"/>
                <w:szCs w:val="21"/>
              </w:rPr>
            </w:pPr>
            <w:r>
              <w:rPr>
                <w:rFonts w:hAnsiTheme="minorEastAsia" w:eastAsiaTheme="minorEastAsia"/>
                <w:szCs w:val="21"/>
              </w:rPr>
              <w:t>名称</w:t>
            </w:r>
          </w:p>
        </w:tc>
        <w:tc>
          <w:tcPr>
            <w:tcW w:w="562" w:type="pct"/>
            <w:vAlign w:val="center"/>
          </w:tcPr>
          <w:p>
            <w:pPr>
              <w:adjustRightInd w:val="0"/>
              <w:snapToGrid w:val="0"/>
              <w:spacing w:line="280" w:lineRule="exact"/>
              <w:jc w:val="center"/>
              <w:rPr>
                <w:rFonts w:eastAsiaTheme="minorEastAsia"/>
                <w:szCs w:val="21"/>
              </w:rPr>
            </w:pPr>
            <w:r>
              <w:rPr>
                <w:rFonts w:hAnsiTheme="minorEastAsia" w:eastAsiaTheme="minorEastAsia"/>
                <w:szCs w:val="21"/>
              </w:rPr>
              <w:t>覆岩</w:t>
            </w:r>
          </w:p>
          <w:p>
            <w:pPr>
              <w:adjustRightInd w:val="0"/>
              <w:snapToGrid w:val="0"/>
              <w:spacing w:line="280" w:lineRule="exact"/>
              <w:jc w:val="center"/>
              <w:rPr>
                <w:rFonts w:eastAsiaTheme="minorEastAsia"/>
                <w:szCs w:val="21"/>
              </w:rPr>
            </w:pPr>
            <w:r>
              <w:rPr>
                <w:rFonts w:hAnsiTheme="minorEastAsia" w:eastAsiaTheme="minorEastAsia"/>
                <w:szCs w:val="21"/>
              </w:rPr>
              <w:t>类型</w:t>
            </w:r>
          </w:p>
        </w:tc>
        <w:tc>
          <w:tcPr>
            <w:tcW w:w="687" w:type="pct"/>
            <w:vAlign w:val="center"/>
          </w:tcPr>
          <w:p>
            <w:pPr>
              <w:adjustRightInd w:val="0"/>
              <w:snapToGrid w:val="0"/>
              <w:spacing w:line="280" w:lineRule="exact"/>
              <w:jc w:val="center"/>
              <w:rPr>
                <w:rFonts w:eastAsiaTheme="minorEastAsia"/>
                <w:szCs w:val="21"/>
              </w:rPr>
            </w:pPr>
            <w:r>
              <w:rPr>
                <w:rFonts w:hAnsiTheme="minorEastAsia" w:eastAsiaTheme="minorEastAsia"/>
                <w:szCs w:val="21"/>
              </w:rPr>
              <w:t>下沉系数</w:t>
            </w:r>
            <w:r>
              <w:rPr>
                <w:rFonts w:eastAsiaTheme="minorEastAsia"/>
                <w:szCs w:val="21"/>
              </w:rPr>
              <w:t>q</w:t>
            </w:r>
          </w:p>
        </w:tc>
        <w:tc>
          <w:tcPr>
            <w:tcW w:w="762" w:type="pct"/>
            <w:vAlign w:val="center"/>
          </w:tcPr>
          <w:p>
            <w:pPr>
              <w:adjustRightInd w:val="0"/>
              <w:snapToGrid w:val="0"/>
              <w:spacing w:line="280" w:lineRule="exact"/>
              <w:jc w:val="center"/>
              <w:rPr>
                <w:rFonts w:eastAsiaTheme="minorEastAsia"/>
                <w:szCs w:val="21"/>
              </w:rPr>
            </w:pPr>
            <w:r>
              <w:rPr>
                <w:rFonts w:hAnsiTheme="minorEastAsia" w:eastAsiaTheme="minorEastAsia"/>
                <w:szCs w:val="21"/>
              </w:rPr>
              <w:t>主要影响角正切</w:t>
            </w:r>
            <w:r>
              <w:rPr>
                <w:rFonts w:eastAsiaTheme="minorEastAsia"/>
                <w:szCs w:val="21"/>
              </w:rPr>
              <w:t>tgβ</w:t>
            </w:r>
          </w:p>
        </w:tc>
        <w:tc>
          <w:tcPr>
            <w:tcW w:w="802" w:type="pct"/>
            <w:vAlign w:val="center"/>
          </w:tcPr>
          <w:p>
            <w:pPr>
              <w:adjustRightInd w:val="0"/>
              <w:snapToGrid w:val="0"/>
              <w:spacing w:line="280" w:lineRule="exact"/>
              <w:jc w:val="center"/>
              <w:rPr>
                <w:rFonts w:eastAsiaTheme="minorEastAsia"/>
                <w:szCs w:val="21"/>
              </w:rPr>
            </w:pPr>
            <w:r>
              <w:rPr>
                <w:rFonts w:hAnsiTheme="minorEastAsia" w:eastAsiaTheme="minorEastAsia"/>
                <w:szCs w:val="21"/>
              </w:rPr>
              <w:t>水平移动系数</w:t>
            </w:r>
            <w:r>
              <w:rPr>
                <w:rFonts w:eastAsiaTheme="minorEastAsia"/>
                <w:szCs w:val="21"/>
              </w:rPr>
              <w:t>b</w:t>
            </w:r>
          </w:p>
        </w:tc>
        <w:tc>
          <w:tcPr>
            <w:tcW w:w="743" w:type="pct"/>
            <w:vAlign w:val="center"/>
          </w:tcPr>
          <w:p>
            <w:pPr>
              <w:adjustRightInd w:val="0"/>
              <w:snapToGrid w:val="0"/>
              <w:spacing w:line="280" w:lineRule="exact"/>
              <w:jc w:val="center"/>
              <w:rPr>
                <w:rFonts w:eastAsiaTheme="minorEastAsia"/>
                <w:szCs w:val="21"/>
              </w:rPr>
            </w:pPr>
            <w:r>
              <w:rPr>
                <w:rFonts w:hAnsiTheme="minorEastAsia" w:eastAsiaTheme="minorEastAsia"/>
                <w:szCs w:val="21"/>
              </w:rPr>
              <w:t>拐点偏距</w:t>
            </w:r>
            <w:r>
              <w:rPr>
                <w:rFonts w:eastAsiaTheme="minorEastAsia"/>
                <w:szCs w:val="21"/>
              </w:rPr>
              <w:t>S(m)</w:t>
            </w:r>
          </w:p>
        </w:tc>
        <w:tc>
          <w:tcPr>
            <w:tcW w:w="954" w:type="pct"/>
            <w:vAlign w:val="center"/>
          </w:tcPr>
          <w:p>
            <w:pPr>
              <w:adjustRightInd w:val="0"/>
              <w:snapToGrid w:val="0"/>
              <w:spacing w:line="280" w:lineRule="exact"/>
              <w:jc w:val="center"/>
              <w:rPr>
                <w:rFonts w:eastAsiaTheme="minorEastAsia"/>
                <w:szCs w:val="21"/>
              </w:rPr>
            </w:pPr>
            <w:r>
              <w:rPr>
                <w:rFonts w:hAnsiTheme="minorEastAsia" w:eastAsiaTheme="minorEastAsia"/>
                <w:szCs w:val="21"/>
              </w:rPr>
              <w:t>开采影响传播角</w:t>
            </w:r>
            <w:r>
              <w:rPr>
                <w:rFonts w:eastAsiaTheme="minorEastAsia"/>
                <w:szCs w:val="21"/>
              </w:rPr>
              <w:t>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6" w:hRule="atLeast"/>
          <w:jc w:val="center"/>
        </w:trPr>
        <w:tc>
          <w:tcPr>
            <w:tcW w:w="489" w:type="pct"/>
            <w:vAlign w:val="center"/>
          </w:tcPr>
          <w:p>
            <w:pPr>
              <w:adjustRightInd w:val="0"/>
              <w:snapToGrid w:val="0"/>
              <w:spacing w:line="280" w:lineRule="exact"/>
              <w:jc w:val="center"/>
              <w:rPr>
                <w:rFonts w:eastAsiaTheme="minorEastAsia"/>
                <w:szCs w:val="21"/>
              </w:rPr>
            </w:pPr>
            <w:r>
              <w:rPr>
                <w:rFonts w:hAnsiTheme="minorEastAsia" w:eastAsiaTheme="minorEastAsia"/>
                <w:szCs w:val="21"/>
              </w:rPr>
              <w:t>开采</w:t>
            </w:r>
          </w:p>
          <w:p>
            <w:pPr>
              <w:adjustRightInd w:val="0"/>
              <w:snapToGrid w:val="0"/>
              <w:spacing w:line="280" w:lineRule="exact"/>
              <w:jc w:val="center"/>
              <w:rPr>
                <w:rFonts w:eastAsiaTheme="minorEastAsia"/>
                <w:szCs w:val="21"/>
              </w:rPr>
            </w:pPr>
            <w:r>
              <w:rPr>
                <w:rFonts w:hAnsiTheme="minorEastAsia" w:eastAsiaTheme="minorEastAsia"/>
                <w:szCs w:val="21"/>
              </w:rPr>
              <w:t>规程</w:t>
            </w:r>
          </w:p>
        </w:tc>
        <w:tc>
          <w:tcPr>
            <w:tcW w:w="562" w:type="pct"/>
            <w:vAlign w:val="center"/>
          </w:tcPr>
          <w:p>
            <w:pPr>
              <w:adjustRightInd w:val="0"/>
              <w:snapToGrid w:val="0"/>
              <w:spacing w:line="280" w:lineRule="exact"/>
              <w:jc w:val="center"/>
              <w:rPr>
                <w:rFonts w:eastAsiaTheme="minorEastAsia"/>
                <w:szCs w:val="21"/>
              </w:rPr>
            </w:pPr>
            <w:r>
              <w:rPr>
                <w:rFonts w:hAnsiTheme="minorEastAsia" w:eastAsiaTheme="minorEastAsia"/>
                <w:szCs w:val="21"/>
              </w:rPr>
              <w:t>中硬</w:t>
            </w:r>
          </w:p>
        </w:tc>
        <w:tc>
          <w:tcPr>
            <w:tcW w:w="687" w:type="pct"/>
            <w:vAlign w:val="center"/>
          </w:tcPr>
          <w:p>
            <w:pPr>
              <w:adjustRightInd w:val="0"/>
              <w:snapToGrid w:val="0"/>
              <w:spacing w:line="280" w:lineRule="exact"/>
              <w:jc w:val="center"/>
              <w:rPr>
                <w:rFonts w:eastAsiaTheme="minorEastAsia"/>
                <w:szCs w:val="21"/>
              </w:rPr>
            </w:pPr>
            <w:r>
              <w:rPr>
                <w:rFonts w:eastAsiaTheme="minorEastAsia"/>
                <w:szCs w:val="21"/>
              </w:rPr>
              <w:t>0.55</w:t>
            </w:r>
            <w:r>
              <w:rPr>
                <w:rFonts w:hAnsiTheme="minorEastAsia" w:eastAsiaTheme="minorEastAsia"/>
                <w:szCs w:val="21"/>
              </w:rPr>
              <w:t>～</w:t>
            </w:r>
            <w:r>
              <w:rPr>
                <w:rFonts w:eastAsiaTheme="minorEastAsia"/>
                <w:szCs w:val="21"/>
              </w:rPr>
              <w:t>0.84</w:t>
            </w:r>
          </w:p>
        </w:tc>
        <w:tc>
          <w:tcPr>
            <w:tcW w:w="762" w:type="pct"/>
            <w:vAlign w:val="center"/>
          </w:tcPr>
          <w:p>
            <w:pPr>
              <w:adjustRightInd w:val="0"/>
              <w:snapToGrid w:val="0"/>
              <w:spacing w:line="280" w:lineRule="exact"/>
              <w:jc w:val="center"/>
              <w:rPr>
                <w:rFonts w:eastAsiaTheme="minorEastAsia"/>
                <w:szCs w:val="21"/>
              </w:rPr>
            </w:pPr>
            <w:r>
              <w:rPr>
                <w:rFonts w:eastAsiaTheme="minorEastAsia"/>
                <w:szCs w:val="21"/>
              </w:rPr>
              <w:t>1.92</w:t>
            </w:r>
            <w:r>
              <w:rPr>
                <w:rFonts w:hAnsiTheme="minorEastAsia" w:eastAsiaTheme="minorEastAsia"/>
                <w:szCs w:val="21"/>
              </w:rPr>
              <w:t>～</w:t>
            </w:r>
            <w:r>
              <w:rPr>
                <w:rFonts w:eastAsiaTheme="minorEastAsia"/>
                <w:szCs w:val="21"/>
              </w:rPr>
              <w:t>2.4</w:t>
            </w:r>
            <w:r>
              <w:rPr>
                <w:rFonts w:hint="eastAsia" w:eastAsiaTheme="minorEastAsia"/>
                <w:szCs w:val="21"/>
              </w:rPr>
              <w:t>0</w:t>
            </w:r>
          </w:p>
        </w:tc>
        <w:tc>
          <w:tcPr>
            <w:tcW w:w="802" w:type="pct"/>
            <w:vAlign w:val="center"/>
          </w:tcPr>
          <w:p>
            <w:pPr>
              <w:adjustRightInd w:val="0"/>
              <w:snapToGrid w:val="0"/>
              <w:spacing w:line="280" w:lineRule="exact"/>
              <w:jc w:val="center"/>
              <w:rPr>
                <w:rFonts w:eastAsiaTheme="minorEastAsia"/>
                <w:szCs w:val="21"/>
              </w:rPr>
            </w:pPr>
            <w:r>
              <w:rPr>
                <w:rFonts w:eastAsiaTheme="minorEastAsia"/>
                <w:szCs w:val="21"/>
              </w:rPr>
              <w:t>0.2</w:t>
            </w:r>
            <w:r>
              <w:rPr>
                <w:rFonts w:hAnsiTheme="minorEastAsia" w:eastAsiaTheme="minorEastAsia"/>
                <w:szCs w:val="21"/>
              </w:rPr>
              <w:t>～</w:t>
            </w:r>
            <w:r>
              <w:rPr>
                <w:rFonts w:eastAsiaTheme="minorEastAsia"/>
                <w:szCs w:val="21"/>
              </w:rPr>
              <w:t>0.3</w:t>
            </w:r>
          </w:p>
        </w:tc>
        <w:tc>
          <w:tcPr>
            <w:tcW w:w="743" w:type="pct"/>
            <w:vAlign w:val="center"/>
          </w:tcPr>
          <w:p>
            <w:pPr>
              <w:adjustRightInd w:val="0"/>
              <w:snapToGrid w:val="0"/>
              <w:spacing w:line="280" w:lineRule="exact"/>
              <w:jc w:val="center"/>
              <w:rPr>
                <w:rFonts w:eastAsiaTheme="minorEastAsia"/>
                <w:szCs w:val="21"/>
              </w:rPr>
            </w:pPr>
            <w:r>
              <w:rPr>
                <w:rFonts w:eastAsiaTheme="minorEastAsia"/>
                <w:szCs w:val="21"/>
              </w:rPr>
              <w:t>0.08H</w:t>
            </w:r>
            <w:r>
              <w:rPr>
                <w:rFonts w:hAnsiTheme="minorEastAsia" w:eastAsiaTheme="minorEastAsia"/>
                <w:szCs w:val="21"/>
              </w:rPr>
              <w:t>～</w:t>
            </w:r>
            <w:r>
              <w:rPr>
                <w:rFonts w:eastAsiaTheme="minorEastAsia"/>
                <w:szCs w:val="21"/>
              </w:rPr>
              <w:t>0.3H</w:t>
            </w:r>
          </w:p>
        </w:tc>
        <w:tc>
          <w:tcPr>
            <w:tcW w:w="954" w:type="pct"/>
            <w:vAlign w:val="center"/>
          </w:tcPr>
          <w:p>
            <w:pPr>
              <w:adjustRightInd w:val="0"/>
              <w:snapToGrid w:val="0"/>
              <w:spacing w:line="280" w:lineRule="exact"/>
              <w:jc w:val="center"/>
              <w:rPr>
                <w:rFonts w:eastAsiaTheme="minorEastAsia"/>
                <w:szCs w:val="21"/>
              </w:rPr>
            </w:pPr>
            <w:r>
              <w:rPr>
                <w:rFonts w:eastAsiaTheme="minorEastAsia"/>
                <w:szCs w:val="21"/>
              </w:rPr>
              <w:t>90°-</w:t>
            </w:r>
            <w:r>
              <w:rPr>
                <w:rFonts w:hAnsiTheme="minorEastAsia" w:eastAsiaTheme="minorEastAsia"/>
              </w:rPr>
              <w:t>（</w:t>
            </w:r>
            <w:r>
              <w:rPr>
                <w:rFonts w:eastAsiaTheme="minorEastAsia"/>
              </w:rPr>
              <w:t>0.6~0.7</w:t>
            </w:r>
            <w:r>
              <w:rPr>
                <w:rFonts w:hAnsiTheme="minorEastAsia" w:eastAsiaTheme="minorEastAsia"/>
              </w:rPr>
              <w:t>）</w:t>
            </w:r>
            <w:r>
              <w:rPr>
                <w:rFonts w:eastAsiaTheme="minorEastAsia"/>
              </w:rPr>
              <w:t>α</w:t>
            </w:r>
          </w:p>
        </w:tc>
      </w:tr>
    </w:tbl>
    <w:p>
      <w:pPr>
        <w:spacing w:line="360" w:lineRule="auto"/>
        <w:ind w:firstLine="480" w:firstLineChars="200"/>
        <w:rPr>
          <w:rFonts w:eastAsiaTheme="minorEastAsia"/>
          <w:bCs/>
          <w:spacing w:val="4"/>
          <w:sz w:val="24"/>
        </w:rPr>
      </w:pPr>
      <w:r>
        <w:rPr>
          <w:rFonts w:hAnsiTheme="minorEastAsia" w:eastAsiaTheme="minorEastAsia"/>
          <w:sz w:val="24"/>
        </w:rPr>
        <w:t>本工程采煤方法为走向长壁综采采煤法，</w:t>
      </w:r>
      <w:r>
        <w:rPr>
          <w:rFonts w:hAnsiTheme="minorEastAsia" w:eastAsiaTheme="minorEastAsia"/>
          <w:bCs/>
          <w:spacing w:val="4"/>
          <w:sz w:val="24"/>
        </w:rPr>
        <w:t>根据本煤矿地质条件、开采技术条件、采煤方法，具体预测所需各煤层地表塌陷基本参数见表</w:t>
      </w:r>
      <w:r>
        <w:rPr>
          <w:rFonts w:eastAsiaTheme="minorEastAsia"/>
          <w:bCs/>
          <w:spacing w:val="4"/>
          <w:sz w:val="24"/>
        </w:rPr>
        <w:t>5.1-3</w:t>
      </w:r>
      <w:r>
        <w:rPr>
          <w:rFonts w:hAnsiTheme="minorEastAsia" w:eastAsiaTheme="minorEastAsia"/>
          <w:bCs/>
          <w:spacing w:val="4"/>
          <w:sz w:val="24"/>
        </w:rPr>
        <w:t>。</w:t>
      </w:r>
    </w:p>
    <w:p>
      <w:pPr>
        <w:spacing w:line="360" w:lineRule="auto"/>
        <w:jc w:val="center"/>
        <w:rPr>
          <w:rFonts w:eastAsiaTheme="minorEastAsia"/>
          <w:b/>
          <w:bCs/>
          <w:spacing w:val="4"/>
          <w:szCs w:val="21"/>
        </w:rPr>
      </w:pPr>
      <w:r>
        <w:rPr>
          <w:rFonts w:hAnsiTheme="minorEastAsia" w:eastAsiaTheme="minorEastAsia"/>
          <w:b/>
          <w:bCs/>
          <w:spacing w:val="4"/>
          <w:szCs w:val="21"/>
        </w:rPr>
        <w:t>表</w:t>
      </w:r>
      <w:r>
        <w:rPr>
          <w:rFonts w:eastAsiaTheme="minorEastAsia"/>
          <w:b/>
          <w:bCs/>
          <w:spacing w:val="4"/>
          <w:szCs w:val="21"/>
        </w:rPr>
        <w:t xml:space="preserve">5.1-3  </w:t>
      </w:r>
      <w:r>
        <w:rPr>
          <w:rFonts w:hAnsiTheme="minorEastAsia" w:eastAsiaTheme="minorEastAsia"/>
          <w:b/>
          <w:bCs/>
          <w:spacing w:val="4"/>
          <w:szCs w:val="21"/>
        </w:rPr>
        <w:t>各煤层地表沉陷基本参数表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2"/>
        <w:gridCol w:w="1134"/>
        <w:gridCol w:w="1134"/>
        <w:gridCol w:w="2127"/>
        <w:gridCol w:w="1701"/>
        <w:gridCol w:w="19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242" w:type="dxa"/>
            <w:vAlign w:val="center"/>
          </w:tcPr>
          <w:p>
            <w:pPr>
              <w:spacing w:line="240" w:lineRule="atLeast"/>
              <w:jc w:val="center"/>
              <w:rPr>
                <w:rFonts w:eastAsiaTheme="minorEastAsia"/>
              </w:rPr>
            </w:pPr>
            <w:r>
              <w:rPr>
                <w:rFonts w:hAnsiTheme="minorEastAsia" w:eastAsiaTheme="minorEastAsia"/>
              </w:rPr>
              <w:t>矿井名称</w:t>
            </w:r>
          </w:p>
        </w:tc>
        <w:tc>
          <w:tcPr>
            <w:tcW w:w="1134" w:type="dxa"/>
            <w:vAlign w:val="center"/>
          </w:tcPr>
          <w:p>
            <w:pPr>
              <w:spacing w:line="240" w:lineRule="atLeast"/>
              <w:jc w:val="center"/>
              <w:rPr>
                <w:rFonts w:eastAsiaTheme="minorEastAsia"/>
              </w:rPr>
            </w:pPr>
            <w:r>
              <w:rPr>
                <w:rFonts w:hAnsiTheme="minorEastAsia" w:eastAsiaTheme="minorEastAsia"/>
              </w:rPr>
              <w:t>采厚</w:t>
            </w:r>
            <w:r>
              <w:rPr>
                <w:rFonts w:eastAsiaTheme="minorEastAsia"/>
              </w:rPr>
              <w:t>(mm)</w:t>
            </w:r>
          </w:p>
        </w:tc>
        <w:tc>
          <w:tcPr>
            <w:tcW w:w="1134" w:type="dxa"/>
            <w:vAlign w:val="center"/>
          </w:tcPr>
          <w:p>
            <w:pPr>
              <w:spacing w:line="240" w:lineRule="atLeast"/>
              <w:jc w:val="center"/>
              <w:rPr>
                <w:rFonts w:eastAsiaTheme="minorEastAsia"/>
              </w:rPr>
            </w:pPr>
            <w:r>
              <w:rPr>
                <w:rFonts w:hAnsiTheme="minorEastAsia" w:eastAsiaTheme="minorEastAsia"/>
              </w:rPr>
              <w:t>下沉系数</w:t>
            </w:r>
          </w:p>
        </w:tc>
        <w:tc>
          <w:tcPr>
            <w:tcW w:w="2127" w:type="dxa"/>
            <w:vAlign w:val="center"/>
          </w:tcPr>
          <w:p>
            <w:pPr>
              <w:spacing w:line="240" w:lineRule="atLeast"/>
              <w:jc w:val="center"/>
              <w:rPr>
                <w:rFonts w:eastAsiaTheme="minorEastAsia"/>
              </w:rPr>
            </w:pPr>
            <w:r>
              <w:rPr>
                <w:rFonts w:hAnsiTheme="minorEastAsia" w:eastAsiaTheme="minorEastAsia"/>
              </w:rPr>
              <w:t>主要影响角正切</w:t>
            </w:r>
            <w:r>
              <w:rPr>
                <w:rFonts w:eastAsiaTheme="minorEastAsia"/>
              </w:rPr>
              <w:t>tgβ</w:t>
            </w:r>
          </w:p>
        </w:tc>
        <w:tc>
          <w:tcPr>
            <w:tcW w:w="1701" w:type="dxa"/>
            <w:vAlign w:val="center"/>
          </w:tcPr>
          <w:p>
            <w:pPr>
              <w:spacing w:line="240" w:lineRule="atLeast"/>
              <w:jc w:val="center"/>
              <w:rPr>
                <w:rFonts w:eastAsiaTheme="minorEastAsia"/>
              </w:rPr>
            </w:pPr>
            <w:r>
              <w:rPr>
                <w:rFonts w:hAnsiTheme="minorEastAsia" w:eastAsiaTheme="minorEastAsia"/>
              </w:rPr>
              <w:t>水平移动系数</w:t>
            </w:r>
            <w:r>
              <w:rPr>
                <w:rFonts w:eastAsiaTheme="minorEastAsia"/>
              </w:rPr>
              <w:t>b</w:t>
            </w:r>
          </w:p>
        </w:tc>
        <w:tc>
          <w:tcPr>
            <w:tcW w:w="1948" w:type="dxa"/>
            <w:vAlign w:val="center"/>
          </w:tcPr>
          <w:p>
            <w:pPr>
              <w:spacing w:line="240" w:lineRule="atLeast"/>
              <w:jc w:val="center"/>
              <w:rPr>
                <w:rFonts w:eastAsiaTheme="minorEastAsia"/>
              </w:rPr>
            </w:pPr>
            <w:r>
              <w:rPr>
                <w:rFonts w:hAnsiTheme="minorEastAsia" w:eastAsiaTheme="minorEastAsia"/>
              </w:rPr>
              <w:t>开采影响传播角</w:t>
            </w:r>
            <w:r>
              <w:rPr>
                <w:rFonts w:eastAsiaTheme="minorEastAsia"/>
              </w:rPr>
              <w:t>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242" w:type="dxa"/>
            <w:vAlign w:val="center"/>
          </w:tcPr>
          <w:p>
            <w:pPr>
              <w:spacing w:line="240" w:lineRule="atLeast"/>
              <w:jc w:val="center"/>
              <w:rPr>
                <w:rFonts w:hAnsiTheme="minorEastAsia" w:eastAsiaTheme="minorEastAsia"/>
              </w:rPr>
            </w:pPr>
            <w:r>
              <w:rPr>
                <w:rFonts w:hint="eastAsia" w:hAnsiTheme="minorEastAsia" w:eastAsiaTheme="minorEastAsia"/>
              </w:rPr>
              <w:t>4#</w:t>
            </w:r>
          </w:p>
        </w:tc>
        <w:tc>
          <w:tcPr>
            <w:tcW w:w="1134" w:type="dxa"/>
            <w:vAlign w:val="center"/>
          </w:tcPr>
          <w:p>
            <w:pPr>
              <w:widowControl/>
              <w:jc w:val="center"/>
              <w:rPr>
                <w:bCs/>
                <w:kern w:val="0"/>
                <w:szCs w:val="21"/>
              </w:rPr>
            </w:pPr>
            <w:r>
              <w:rPr>
                <w:bCs/>
                <w:kern w:val="0"/>
                <w:szCs w:val="21"/>
              </w:rPr>
              <w:t>1640</w:t>
            </w:r>
          </w:p>
        </w:tc>
        <w:tc>
          <w:tcPr>
            <w:tcW w:w="1134" w:type="dxa"/>
            <w:vAlign w:val="center"/>
          </w:tcPr>
          <w:p>
            <w:pPr>
              <w:widowControl/>
              <w:jc w:val="center"/>
              <w:rPr>
                <w:bCs/>
                <w:kern w:val="0"/>
                <w:szCs w:val="21"/>
              </w:rPr>
            </w:pPr>
            <w:r>
              <w:rPr>
                <w:rFonts w:hint="eastAsia"/>
                <w:bCs/>
                <w:kern w:val="0"/>
                <w:szCs w:val="21"/>
              </w:rPr>
              <w:t>0.75</w:t>
            </w:r>
          </w:p>
        </w:tc>
        <w:tc>
          <w:tcPr>
            <w:tcW w:w="2127" w:type="dxa"/>
            <w:vAlign w:val="center"/>
          </w:tcPr>
          <w:p>
            <w:pPr>
              <w:widowControl/>
              <w:jc w:val="center"/>
              <w:rPr>
                <w:bCs/>
                <w:kern w:val="0"/>
                <w:szCs w:val="21"/>
              </w:rPr>
            </w:pPr>
            <w:r>
              <w:rPr>
                <w:rFonts w:hint="eastAsia"/>
                <w:bCs/>
                <w:kern w:val="0"/>
                <w:szCs w:val="21"/>
              </w:rPr>
              <w:t>2.0</w:t>
            </w:r>
          </w:p>
        </w:tc>
        <w:tc>
          <w:tcPr>
            <w:tcW w:w="1701" w:type="dxa"/>
            <w:vAlign w:val="center"/>
          </w:tcPr>
          <w:p>
            <w:pPr>
              <w:widowControl/>
              <w:jc w:val="center"/>
              <w:rPr>
                <w:bCs/>
                <w:kern w:val="0"/>
                <w:szCs w:val="21"/>
              </w:rPr>
            </w:pPr>
            <w:r>
              <w:rPr>
                <w:bCs/>
                <w:kern w:val="0"/>
                <w:szCs w:val="21"/>
              </w:rPr>
              <w:t>0.</w:t>
            </w:r>
            <w:r>
              <w:rPr>
                <w:rFonts w:hint="eastAsia"/>
                <w:bCs/>
                <w:kern w:val="0"/>
                <w:szCs w:val="21"/>
              </w:rPr>
              <w:t>25</w:t>
            </w:r>
          </w:p>
        </w:tc>
        <w:tc>
          <w:tcPr>
            <w:tcW w:w="1948" w:type="dxa"/>
            <w:vAlign w:val="center"/>
          </w:tcPr>
          <w:p>
            <w:pPr>
              <w:widowControl/>
              <w:jc w:val="center"/>
              <w:rPr>
                <w:bCs/>
                <w:kern w:val="0"/>
                <w:szCs w:val="21"/>
              </w:rPr>
            </w:pPr>
            <w:r>
              <w:t>8</w:t>
            </w:r>
            <w:r>
              <w:rPr>
                <w:rFonts w:hint="eastAsia"/>
              </w:rPr>
              <w:t>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4" w:hRule="atLeast"/>
          <w:jc w:val="center"/>
        </w:trPr>
        <w:tc>
          <w:tcPr>
            <w:tcW w:w="1242" w:type="dxa"/>
            <w:vAlign w:val="center"/>
          </w:tcPr>
          <w:p>
            <w:pPr>
              <w:spacing w:line="240" w:lineRule="atLeast"/>
              <w:jc w:val="center"/>
              <w:rPr>
                <w:rFonts w:eastAsiaTheme="minorEastAsia"/>
              </w:rPr>
            </w:pPr>
            <w:r>
              <w:rPr>
                <w:rFonts w:hint="eastAsia" w:eastAsiaTheme="minorEastAsia"/>
              </w:rPr>
              <w:t>5</w:t>
            </w:r>
            <w:r>
              <w:rPr>
                <w:rFonts w:eastAsiaTheme="minorEastAsia"/>
              </w:rPr>
              <w:t>#</w:t>
            </w:r>
          </w:p>
        </w:tc>
        <w:tc>
          <w:tcPr>
            <w:tcW w:w="1134" w:type="dxa"/>
            <w:vAlign w:val="center"/>
          </w:tcPr>
          <w:p>
            <w:pPr>
              <w:spacing w:line="240" w:lineRule="atLeast"/>
              <w:jc w:val="center"/>
              <w:rPr>
                <w:rFonts w:eastAsiaTheme="minorEastAsia"/>
              </w:rPr>
            </w:pPr>
            <w:r>
              <w:rPr>
                <w:rFonts w:hint="eastAsia" w:eastAsiaTheme="minorEastAsia"/>
                <w:szCs w:val="21"/>
              </w:rPr>
              <w:t>362</w:t>
            </w:r>
            <w:r>
              <w:rPr>
                <w:rFonts w:eastAsiaTheme="minorEastAsia"/>
                <w:szCs w:val="21"/>
              </w:rPr>
              <w:t>0</w:t>
            </w:r>
          </w:p>
        </w:tc>
        <w:tc>
          <w:tcPr>
            <w:tcW w:w="1134" w:type="dxa"/>
            <w:vAlign w:val="center"/>
          </w:tcPr>
          <w:p>
            <w:pPr>
              <w:spacing w:line="240" w:lineRule="atLeast"/>
              <w:jc w:val="center"/>
              <w:rPr>
                <w:rFonts w:eastAsiaTheme="minorEastAsia"/>
              </w:rPr>
            </w:pPr>
            <w:r>
              <w:rPr>
                <w:rFonts w:eastAsiaTheme="minorEastAsia"/>
              </w:rPr>
              <w:t>0.</w:t>
            </w:r>
            <w:r>
              <w:rPr>
                <w:rFonts w:hint="eastAsia" w:eastAsiaTheme="minorEastAsia"/>
              </w:rPr>
              <w:t>8</w:t>
            </w:r>
          </w:p>
        </w:tc>
        <w:tc>
          <w:tcPr>
            <w:tcW w:w="2127" w:type="dxa"/>
            <w:vAlign w:val="center"/>
          </w:tcPr>
          <w:p>
            <w:pPr>
              <w:spacing w:line="240" w:lineRule="atLeast"/>
              <w:jc w:val="center"/>
              <w:rPr>
                <w:rFonts w:eastAsiaTheme="minorEastAsia"/>
              </w:rPr>
            </w:pPr>
            <w:r>
              <w:rPr>
                <w:rFonts w:eastAsiaTheme="minorEastAsia"/>
              </w:rPr>
              <w:t>2.3</w:t>
            </w:r>
          </w:p>
        </w:tc>
        <w:tc>
          <w:tcPr>
            <w:tcW w:w="1701" w:type="dxa"/>
            <w:vAlign w:val="center"/>
          </w:tcPr>
          <w:p>
            <w:pPr>
              <w:spacing w:line="240" w:lineRule="atLeast"/>
              <w:jc w:val="center"/>
              <w:rPr>
                <w:rFonts w:eastAsiaTheme="minorEastAsia"/>
              </w:rPr>
            </w:pPr>
            <w:r>
              <w:rPr>
                <w:rFonts w:eastAsiaTheme="minorEastAsia"/>
              </w:rPr>
              <w:t>0.3</w:t>
            </w:r>
          </w:p>
        </w:tc>
        <w:tc>
          <w:tcPr>
            <w:tcW w:w="1948" w:type="dxa"/>
            <w:vAlign w:val="center"/>
          </w:tcPr>
          <w:p>
            <w:pPr>
              <w:spacing w:line="240" w:lineRule="atLeast"/>
              <w:jc w:val="center"/>
              <w:rPr>
                <w:rFonts w:eastAsiaTheme="minorEastAsia"/>
              </w:rPr>
            </w:pPr>
            <w:r>
              <w:rPr>
                <w:rFonts w:hint="eastAsia" w:eastAsiaTheme="minorEastAsia"/>
              </w:rPr>
              <w:t>86.6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34" w:hRule="atLeast"/>
          <w:jc w:val="center"/>
        </w:trPr>
        <w:tc>
          <w:tcPr>
            <w:tcW w:w="1242" w:type="dxa"/>
            <w:vAlign w:val="center"/>
          </w:tcPr>
          <w:p>
            <w:pPr>
              <w:spacing w:line="240" w:lineRule="atLeast"/>
              <w:jc w:val="center"/>
              <w:rPr>
                <w:rFonts w:eastAsiaTheme="minorEastAsia"/>
              </w:rPr>
            </w:pPr>
            <w:r>
              <w:rPr>
                <w:rFonts w:hint="eastAsia" w:eastAsiaTheme="minorEastAsia"/>
              </w:rPr>
              <w:t>8</w:t>
            </w:r>
            <w:r>
              <w:rPr>
                <w:rFonts w:eastAsiaTheme="minorEastAsia"/>
              </w:rPr>
              <w:t>#</w:t>
            </w:r>
          </w:p>
        </w:tc>
        <w:tc>
          <w:tcPr>
            <w:tcW w:w="1134" w:type="dxa"/>
            <w:vAlign w:val="center"/>
          </w:tcPr>
          <w:p>
            <w:pPr>
              <w:spacing w:line="240" w:lineRule="atLeast"/>
              <w:jc w:val="center"/>
              <w:rPr>
                <w:rFonts w:eastAsiaTheme="minorEastAsia"/>
                <w:szCs w:val="21"/>
              </w:rPr>
            </w:pPr>
            <w:r>
              <w:rPr>
                <w:rFonts w:hint="eastAsia" w:eastAsiaTheme="minorEastAsia"/>
                <w:szCs w:val="21"/>
              </w:rPr>
              <w:t>2720</w:t>
            </w:r>
          </w:p>
        </w:tc>
        <w:tc>
          <w:tcPr>
            <w:tcW w:w="1134" w:type="dxa"/>
            <w:vAlign w:val="center"/>
          </w:tcPr>
          <w:p>
            <w:pPr>
              <w:spacing w:line="240" w:lineRule="atLeast"/>
              <w:jc w:val="center"/>
              <w:rPr>
                <w:rFonts w:eastAsiaTheme="minorEastAsia"/>
              </w:rPr>
            </w:pPr>
            <w:r>
              <w:rPr>
                <w:rFonts w:hint="eastAsia" w:eastAsiaTheme="minorEastAsia"/>
              </w:rPr>
              <w:t>0.8</w:t>
            </w:r>
          </w:p>
        </w:tc>
        <w:tc>
          <w:tcPr>
            <w:tcW w:w="2127" w:type="dxa"/>
            <w:vAlign w:val="center"/>
          </w:tcPr>
          <w:p>
            <w:pPr>
              <w:spacing w:line="240" w:lineRule="atLeast"/>
              <w:jc w:val="center"/>
              <w:rPr>
                <w:rFonts w:eastAsiaTheme="minorEastAsia"/>
              </w:rPr>
            </w:pPr>
            <w:r>
              <w:rPr>
                <w:rFonts w:hint="eastAsia" w:eastAsiaTheme="minorEastAsia"/>
              </w:rPr>
              <w:t>2.3</w:t>
            </w:r>
          </w:p>
        </w:tc>
        <w:tc>
          <w:tcPr>
            <w:tcW w:w="1701" w:type="dxa"/>
            <w:vAlign w:val="center"/>
          </w:tcPr>
          <w:p>
            <w:pPr>
              <w:spacing w:line="240" w:lineRule="atLeast"/>
              <w:jc w:val="center"/>
              <w:rPr>
                <w:rFonts w:eastAsiaTheme="minorEastAsia"/>
              </w:rPr>
            </w:pPr>
            <w:r>
              <w:rPr>
                <w:rFonts w:hint="eastAsia" w:eastAsiaTheme="minorEastAsia"/>
              </w:rPr>
              <w:t>0.3</w:t>
            </w:r>
          </w:p>
        </w:tc>
        <w:tc>
          <w:tcPr>
            <w:tcW w:w="1948" w:type="dxa"/>
            <w:vAlign w:val="center"/>
          </w:tcPr>
          <w:p>
            <w:pPr>
              <w:spacing w:line="240" w:lineRule="atLeast"/>
              <w:jc w:val="center"/>
              <w:rPr>
                <w:rFonts w:eastAsiaTheme="minorEastAsia"/>
              </w:rPr>
            </w:pPr>
            <w:r>
              <w:rPr>
                <w:rFonts w:hint="eastAsia" w:eastAsiaTheme="minorEastAsia"/>
              </w:rPr>
              <w:t>87.3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8" w:hRule="atLeast"/>
          <w:jc w:val="center"/>
        </w:trPr>
        <w:tc>
          <w:tcPr>
            <w:tcW w:w="1242" w:type="dxa"/>
            <w:vAlign w:val="center"/>
          </w:tcPr>
          <w:p>
            <w:pPr>
              <w:spacing w:line="240" w:lineRule="atLeast"/>
              <w:jc w:val="center"/>
              <w:rPr>
                <w:rFonts w:eastAsiaTheme="minorEastAsia"/>
              </w:rPr>
            </w:pPr>
            <w:r>
              <w:rPr>
                <w:rFonts w:hint="eastAsia" w:eastAsiaTheme="minorEastAsia"/>
              </w:rPr>
              <w:t>9</w:t>
            </w:r>
            <w:r>
              <w:rPr>
                <w:rFonts w:eastAsiaTheme="minorEastAsia"/>
              </w:rPr>
              <w:t>#</w:t>
            </w:r>
          </w:p>
        </w:tc>
        <w:tc>
          <w:tcPr>
            <w:tcW w:w="1134" w:type="dxa"/>
            <w:vAlign w:val="center"/>
          </w:tcPr>
          <w:p>
            <w:pPr>
              <w:spacing w:line="240" w:lineRule="atLeast"/>
              <w:jc w:val="center"/>
              <w:rPr>
                <w:rFonts w:eastAsiaTheme="minorEastAsia"/>
              </w:rPr>
            </w:pPr>
            <w:r>
              <w:rPr>
                <w:rFonts w:hint="eastAsia" w:eastAsiaTheme="minorEastAsia"/>
              </w:rPr>
              <w:t>2900</w:t>
            </w:r>
          </w:p>
        </w:tc>
        <w:tc>
          <w:tcPr>
            <w:tcW w:w="1134" w:type="dxa"/>
            <w:vAlign w:val="center"/>
          </w:tcPr>
          <w:p>
            <w:pPr>
              <w:spacing w:line="240" w:lineRule="atLeast"/>
              <w:jc w:val="center"/>
              <w:rPr>
                <w:rFonts w:eastAsiaTheme="minorEastAsia"/>
              </w:rPr>
            </w:pPr>
            <w:r>
              <w:rPr>
                <w:rFonts w:eastAsiaTheme="minorEastAsia"/>
              </w:rPr>
              <w:t>0.8</w:t>
            </w:r>
          </w:p>
        </w:tc>
        <w:tc>
          <w:tcPr>
            <w:tcW w:w="2127" w:type="dxa"/>
            <w:vAlign w:val="center"/>
          </w:tcPr>
          <w:p>
            <w:pPr>
              <w:spacing w:line="240" w:lineRule="atLeast"/>
              <w:jc w:val="center"/>
              <w:rPr>
                <w:rFonts w:eastAsiaTheme="minorEastAsia"/>
              </w:rPr>
            </w:pPr>
            <w:r>
              <w:rPr>
                <w:rFonts w:eastAsiaTheme="minorEastAsia"/>
              </w:rPr>
              <w:t>2.3</w:t>
            </w:r>
          </w:p>
        </w:tc>
        <w:tc>
          <w:tcPr>
            <w:tcW w:w="1701" w:type="dxa"/>
            <w:vAlign w:val="center"/>
          </w:tcPr>
          <w:p>
            <w:pPr>
              <w:spacing w:line="240" w:lineRule="atLeast"/>
              <w:jc w:val="center"/>
              <w:rPr>
                <w:rFonts w:eastAsiaTheme="minorEastAsia"/>
              </w:rPr>
            </w:pPr>
            <w:r>
              <w:rPr>
                <w:rFonts w:eastAsiaTheme="minorEastAsia"/>
              </w:rPr>
              <w:t>0.3</w:t>
            </w:r>
          </w:p>
        </w:tc>
        <w:tc>
          <w:tcPr>
            <w:tcW w:w="1948" w:type="dxa"/>
            <w:vAlign w:val="center"/>
          </w:tcPr>
          <w:p>
            <w:pPr>
              <w:spacing w:line="240" w:lineRule="atLeast"/>
              <w:jc w:val="center"/>
              <w:rPr>
                <w:rFonts w:eastAsiaTheme="minorEastAsia"/>
              </w:rPr>
            </w:pPr>
            <w:r>
              <w:rPr>
                <w:rFonts w:hint="eastAsia" w:eastAsiaTheme="minorEastAsia"/>
              </w:rPr>
              <w:t>83.2</w:t>
            </w:r>
          </w:p>
        </w:tc>
      </w:tr>
    </w:tbl>
    <w:p>
      <w:pPr>
        <w:spacing w:line="360" w:lineRule="auto"/>
        <w:ind w:firstLine="480" w:firstLineChars="200"/>
        <w:rPr>
          <w:rFonts w:eastAsiaTheme="minorEastAsia"/>
          <w:sz w:val="24"/>
        </w:rPr>
      </w:pPr>
      <w:r>
        <w:rPr>
          <w:rFonts w:eastAsiaTheme="minorEastAsia"/>
          <w:sz w:val="24"/>
        </w:rPr>
        <w:t>3</w:t>
      </w:r>
      <w:r>
        <w:rPr>
          <w:rFonts w:hAnsiTheme="minorEastAsia" w:eastAsiaTheme="minorEastAsia"/>
          <w:sz w:val="24"/>
        </w:rPr>
        <w:t>、地表下沉、移动与变形值最大值预测结果</w:t>
      </w:r>
    </w:p>
    <w:p>
      <w:pPr>
        <w:spacing w:line="360" w:lineRule="auto"/>
        <w:ind w:firstLine="480" w:firstLineChars="200"/>
        <w:rPr>
          <w:rFonts w:eastAsiaTheme="minorEastAsia"/>
          <w:sz w:val="24"/>
        </w:rPr>
      </w:pPr>
      <w:r>
        <w:rPr>
          <w:rFonts w:hAnsiTheme="minorEastAsia" w:eastAsiaTheme="minorEastAsia"/>
          <w:sz w:val="24"/>
        </w:rPr>
        <w:t>（</w:t>
      </w:r>
      <w:r>
        <w:rPr>
          <w:rFonts w:hint="eastAsia" w:eastAsiaTheme="minorEastAsia"/>
          <w:sz w:val="24"/>
        </w:rPr>
        <w:t>1</w:t>
      </w:r>
      <w:r>
        <w:rPr>
          <w:rFonts w:hAnsiTheme="minorEastAsia" w:eastAsiaTheme="minorEastAsia"/>
          <w:sz w:val="24"/>
        </w:rPr>
        <w:t>）首采区下沉、移动与变形值最大值预测结果</w:t>
      </w:r>
    </w:p>
    <w:p>
      <w:pPr>
        <w:spacing w:line="360" w:lineRule="auto"/>
        <w:ind w:firstLine="480" w:firstLineChars="200"/>
        <w:rPr>
          <w:rFonts w:eastAsiaTheme="minorEastAsia"/>
          <w:bCs/>
          <w:spacing w:val="4"/>
          <w:sz w:val="24"/>
        </w:rPr>
      </w:pPr>
      <w:r>
        <w:rPr>
          <w:rFonts w:hint="eastAsia" w:eastAsiaTheme="minorEastAsia"/>
          <w:sz w:val="24"/>
        </w:rPr>
        <w:t>5</w:t>
      </w:r>
      <w:r>
        <w:rPr>
          <w:rFonts w:hAnsiTheme="minorEastAsia" w:eastAsiaTheme="minorEastAsia"/>
          <w:sz w:val="24"/>
        </w:rPr>
        <w:t>号煤层</w:t>
      </w:r>
      <w:r>
        <w:rPr>
          <w:rFonts w:hint="eastAsia" w:hAnsiTheme="minorEastAsia" w:eastAsiaTheme="minorEastAsia"/>
          <w:sz w:val="24"/>
        </w:rPr>
        <w:t>西</w:t>
      </w:r>
      <w:r>
        <w:rPr>
          <w:rFonts w:hAnsiTheme="minorEastAsia" w:eastAsiaTheme="minorEastAsia"/>
          <w:sz w:val="24"/>
        </w:rPr>
        <w:t>一</w:t>
      </w:r>
      <w:r>
        <w:rPr>
          <w:rFonts w:hint="eastAsia" w:hAnsiTheme="minorEastAsia" w:eastAsiaTheme="minorEastAsia"/>
          <w:sz w:val="24"/>
        </w:rPr>
        <w:t>采</w:t>
      </w:r>
      <w:r>
        <w:rPr>
          <w:rFonts w:hAnsiTheme="minorEastAsia" w:eastAsiaTheme="minorEastAsia"/>
          <w:sz w:val="24"/>
        </w:rPr>
        <w:t>区为首采区，根据煤层开采厚度，采深及有关预计参数及公式，计算出煤层开采后产生的地表下沉、移动与变形预测结果见表</w:t>
      </w:r>
      <w:r>
        <w:rPr>
          <w:rFonts w:eastAsiaTheme="minorEastAsia"/>
          <w:sz w:val="24"/>
        </w:rPr>
        <w:t>5.1-</w:t>
      </w:r>
      <w:r>
        <w:rPr>
          <w:rFonts w:hint="eastAsia" w:eastAsiaTheme="minorEastAsia"/>
          <w:sz w:val="24"/>
        </w:rPr>
        <w:t>4</w:t>
      </w:r>
      <w:r>
        <w:rPr>
          <w:rFonts w:hAnsiTheme="minorEastAsia" w:eastAsiaTheme="minorEastAsia"/>
          <w:sz w:val="24"/>
        </w:rPr>
        <w:t>。</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5.1-</w:t>
      </w:r>
      <w:r>
        <w:rPr>
          <w:rFonts w:hint="eastAsia" w:eastAsiaTheme="minorEastAsia"/>
          <w:b/>
          <w:szCs w:val="21"/>
        </w:rPr>
        <w:t>4</w:t>
      </w:r>
      <w:r>
        <w:rPr>
          <w:rFonts w:eastAsiaTheme="minorEastAsia"/>
          <w:b/>
          <w:szCs w:val="21"/>
        </w:rPr>
        <w:t xml:space="preserve">  </w:t>
      </w:r>
      <w:r>
        <w:rPr>
          <w:rFonts w:hAnsiTheme="minorEastAsia" w:eastAsiaTheme="minorEastAsia"/>
          <w:b/>
          <w:szCs w:val="21"/>
        </w:rPr>
        <w:t>首采区开采后地表下沉、移动与变形的预测结果</w:t>
      </w:r>
    </w:p>
    <w:tbl>
      <w:tblPr>
        <w:tblStyle w:val="24"/>
        <w:tblW w:w="504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3"/>
        <w:gridCol w:w="844"/>
        <w:gridCol w:w="1240"/>
        <w:gridCol w:w="1335"/>
        <w:gridCol w:w="1335"/>
        <w:gridCol w:w="1335"/>
        <w:gridCol w:w="1335"/>
        <w:gridCol w:w="1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2" w:hRule="atLeast"/>
          <w:jc w:val="center"/>
        </w:trPr>
        <w:tc>
          <w:tcPr>
            <w:tcW w:w="332" w:type="pct"/>
            <w:vAlign w:val="center"/>
          </w:tcPr>
          <w:p>
            <w:pPr>
              <w:pStyle w:val="90"/>
              <w:snapToGrid/>
              <w:spacing w:line="240" w:lineRule="auto"/>
              <w:rPr>
                <w:rFonts w:ascii="Times New Roman" w:hAnsi="Times New Roman" w:cs="Times New Roman"/>
                <w:szCs w:val="21"/>
              </w:rPr>
            </w:pPr>
            <w:r>
              <w:rPr>
                <w:rFonts w:ascii="Times New Roman" w:cs="Times New Roman" w:hAnsiTheme="minorEastAsia"/>
                <w:szCs w:val="21"/>
              </w:rPr>
              <w:t>煤</w:t>
            </w:r>
          </w:p>
          <w:p>
            <w:pPr>
              <w:pStyle w:val="90"/>
              <w:snapToGrid/>
              <w:spacing w:line="240" w:lineRule="auto"/>
              <w:rPr>
                <w:rFonts w:ascii="Times New Roman" w:hAnsi="Times New Roman" w:cs="Times New Roman"/>
                <w:szCs w:val="21"/>
              </w:rPr>
            </w:pPr>
            <w:r>
              <w:rPr>
                <w:rFonts w:ascii="Times New Roman" w:cs="Times New Roman" w:hAnsiTheme="minorEastAsia"/>
                <w:szCs w:val="21"/>
              </w:rPr>
              <w:t>层</w:t>
            </w:r>
          </w:p>
        </w:tc>
        <w:tc>
          <w:tcPr>
            <w:tcW w:w="450" w:type="pct"/>
            <w:vAlign w:val="center"/>
          </w:tcPr>
          <w:p>
            <w:pPr>
              <w:pStyle w:val="90"/>
              <w:snapToGrid/>
              <w:spacing w:line="240" w:lineRule="auto"/>
              <w:rPr>
                <w:rFonts w:ascii="Times New Roman" w:hAnsi="Times New Roman" w:cs="Times New Roman"/>
                <w:szCs w:val="21"/>
              </w:rPr>
            </w:pPr>
            <w:r>
              <w:rPr>
                <w:rFonts w:ascii="Times New Roman" w:cs="Times New Roman" w:hAnsiTheme="minorEastAsia"/>
                <w:szCs w:val="21"/>
              </w:rPr>
              <w:t>采深</w:t>
            </w:r>
          </w:p>
          <w:p>
            <w:pPr>
              <w:pStyle w:val="90"/>
              <w:snapToGrid/>
              <w:spacing w:line="240" w:lineRule="auto"/>
              <w:rPr>
                <w:rFonts w:ascii="Times New Roman" w:hAnsi="Times New Roman" w:cs="Times New Roman"/>
                <w:szCs w:val="21"/>
              </w:rPr>
            </w:pPr>
            <w:r>
              <w:rPr>
                <w:rFonts w:ascii="Times New Roman" w:hAnsi="Times New Roman" w:cs="Times New Roman"/>
                <w:szCs w:val="21"/>
              </w:rPr>
              <w:t>(m)</w:t>
            </w:r>
          </w:p>
        </w:tc>
        <w:tc>
          <w:tcPr>
            <w:tcW w:w="661" w:type="pct"/>
            <w:vAlign w:val="center"/>
          </w:tcPr>
          <w:p>
            <w:pPr>
              <w:pStyle w:val="90"/>
              <w:snapToGrid/>
              <w:spacing w:line="240" w:lineRule="auto"/>
              <w:rPr>
                <w:rFonts w:ascii="Times New Roman" w:hAnsi="Times New Roman" w:cs="Times New Roman"/>
                <w:szCs w:val="21"/>
              </w:rPr>
            </w:pPr>
            <w:r>
              <w:rPr>
                <w:rFonts w:ascii="Times New Roman" w:cs="Times New Roman" w:hAnsiTheme="minorEastAsia"/>
                <w:spacing w:val="-2"/>
                <w:szCs w:val="21"/>
              </w:rPr>
              <w:t>平均采厚</w:t>
            </w:r>
            <w:r>
              <w:rPr>
                <w:rFonts w:ascii="Times New Roman" w:hAnsi="Times New Roman" w:cs="Times New Roman"/>
                <w:szCs w:val="21"/>
              </w:rPr>
              <w:t>(mm)</w:t>
            </w:r>
          </w:p>
        </w:tc>
        <w:tc>
          <w:tcPr>
            <w:tcW w:w="712"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W</w:t>
            </w:r>
            <w:r>
              <w:rPr>
                <w:rFonts w:ascii="Times New Roman" w:hAnsi="Times New Roman" w:cs="Times New Roman"/>
                <w:szCs w:val="21"/>
                <w:vertAlign w:val="subscript"/>
              </w:rPr>
              <w:t>cm</w:t>
            </w:r>
            <w:r>
              <w:rPr>
                <w:rFonts w:ascii="Times New Roman" w:hAnsi="Times New Roman" w:cs="Times New Roman"/>
                <w:szCs w:val="21"/>
              </w:rPr>
              <w:t>(mm)</w:t>
            </w:r>
          </w:p>
        </w:tc>
        <w:tc>
          <w:tcPr>
            <w:tcW w:w="712"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i</w:t>
            </w:r>
            <w:r>
              <w:rPr>
                <w:rFonts w:ascii="Times New Roman" w:hAnsi="Times New Roman" w:cs="Times New Roman"/>
                <w:szCs w:val="21"/>
                <w:vertAlign w:val="subscript"/>
              </w:rPr>
              <w:t>cm</w:t>
            </w:r>
            <w:r>
              <w:rPr>
                <w:rFonts w:ascii="Times New Roman" w:hAnsi="Times New Roman" w:cs="Times New Roman"/>
                <w:szCs w:val="21"/>
              </w:rPr>
              <w:t>(mm/m)</w:t>
            </w:r>
          </w:p>
        </w:tc>
        <w:tc>
          <w:tcPr>
            <w:tcW w:w="712"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szCs w:val="21"/>
                <w:vertAlign w:val="subscript"/>
              </w:rPr>
              <w:t>cm</w:t>
            </w:r>
            <w:r>
              <w:rPr>
                <w:rFonts w:ascii="Times New Roman" w:hAnsi="Times New Roman" w:cs="Times New Roman"/>
                <w:szCs w:val="21"/>
              </w:rPr>
              <w:t>(10</w:t>
            </w:r>
            <w:r>
              <w:rPr>
                <w:rFonts w:ascii="Times New Roman" w:hAnsi="Times New Roman" w:cs="Times New Roman"/>
                <w:szCs w:val="21"/>
                <w:vertAlign w:val="superscript"/>
              </w:rPr>
              <w:t>-3</w:t>
            </w:r>
            <w:r>
              <w:rPr>
                <w:rFonts w:ascii="Times New Roman" w:hAnsi="Times New Roman" w:cs="Times New Roman"/>
                <w:szCs w:val="21"/>
              </w:rPr>
              <w:t>/m)</w:t>
            </w:r>
          </w:p>
        </w:tc>
        <w:tc>
          <w:tcPr>
            <w:tcW w:w="712"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U</w:t>
            </w:r>
            <w:r>
              <w:rPr>
                <w:rFonts w:ascii="Times New Roman" w:hAnsi="Times New Roman" w:cs="Times New Roman"/>
                <w:szCs w:val="21"/>
                <w:vertAlign w:val="subscript"/>
              </w:rPr>
              <w:t>cm</w:t>
            </w:r>
            <w:r>
              <w:rPr>
                <w:rFonts w:ascii="Times New Roman" w:hAnsi="Times New Roman" w:cs="Times New Roman"/>
                <w:szCs w:val="21"/>
              </w:rPr>
              <w:t>(mm)</w:t>
            </w:r>
          </w:p>
        </w:tc>
        <w:tc>
          <w:tcPr>
            <w:tcW w:w="709"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ε</w:t>
            </w:r>
            <w:r>
              <w:rPr>
                <w:rFonts w:ascii="Times New Roman" w:hAnsi="Times New Roman" w:cs="Times New Roman"/>
                <w:szCs w:val="21"/>
                <w:vertAlign w:val="subscript"/>
              </w:rPr>
              <w:t>cm</w:t>
            </w:r>
            <w:r>
              <w:rPr>
                <w:rFonts w:ascii="Times New Roman" w:hAnsi="Times New Roman" w:cs="Times New Roman"/>
                <w:szCs w:val="21"/>
              </w:rPr>
              <w:t>(mm/m)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32" w:type="pct"/>
            <w:vMerge w:val="restart"/>
            <w:vAlign w:val="center"/>
          </w:tcPr>
          <w:p>
            <w:pPr>
              <w:pStyle w:val="90"/>
              <w:snapToGrid/>
              <w:spacing w:line="240" w:lineRule="auto"/>
              <w:rPr>
                <w:rFonts w:ascii="Times New Roman" w:hAnsi="Times New Roman" w:cs="Times New Roman"/>
                <w:szCs w:val="21"/>
              </w:rPr>
            </w:pPr>
            <w:r>
              <w:rPr>
                <w:rFonts w:ascii="Times New Roman" w:cs="Times New Roman" w:hAnsiTheme="minorEastAsia"/>
                <w:szCs w:val="21"/>
              </w:rPr>
              <w:t>首采区</w:t>
            </w:r>
          </w:p>
        </w:tc>
        <w:tc>
          <w:tcPr>
            <w:tcW w:w="450" w:type="pct"/>
            <w:vAlign w:val="center"/>
          </w:tcPr>
          <w:p>
            <w:pPr>
              <w:jc w:val="center"/>
              <w:rPr>
                <w:rFonts w:eastAsiaTheme="minorEastAsia"/>
                <w:sz w:val="24"/>
              </w:rPr>
            </w:pPr>
            <w:r>
              <w:rPr>
                <w:rFonts w:hint="eastAsia" w:eastAsiaTheme="minorEastAsia"/>
              </w:rPr>
              <w:t>300</w:t>
            </w:r>
          </w:p>
        </w:tc>
        <w:tc>
          <w:tcPr>
            <w:tcW w:w="661" w:type="pct"/>
            <w:vAlign w:val="center"/>
          </w:tcPr>
          <w:p>
            <w:pPr>
              <w:jc w:val="center"/>
              <w:rPr>
                <w:rFonts w:eastAsiaTheme="minorEastAsia"/>
                <w:sz w:val="24"/>
              </w:rPr>
            </w:pPr>
            <w:r>
              <w:rPr>
                <w:rFonts w:hint="eastAsia" w:eastAsiaTheme="minorEastAsia"/>
              </w:rPr>
              <w:t>3620</w:t>
            </w:r>
          </w:p>
        </w:tc>
        <w:tc>
          <w:tcPr>
            <w:tcW w:w="712" w:type="pct"/>
            <w:vAlign w:val="center"/>
          </w:tcPr>
          <w:p>
            <w:pPr>
              <w:jc w:val="center"/>
              <w:rPr>
                <w:rFonts w:eastAsiaTheme="minorEastAsia"/>
                <w:sz w:val="24"/>
              </w:rPr>
            </w:pPr>
            <w:r>
              <w:rPr>
                <w:rFonts w:hint="eastAsia" w:eastAsiaTheme="minorEastAsia"/>
              </w:rPr>
              <w:t>2896.22</w:t>
            </w:r>
          </w:p>
        </w:tc>
        <w:tc>
          <w:tcPr>
            <w:tcW w:w="712" w:type="pct"/>
            <w:vAlign w:val="center"/>
          </w:tcPr>
          <w:p>
            <w:pPr>
              <w:jc w:val="center"/>
              <w:rPr>
                <w:rFonts w:eastAsiaTheme="minorEastAsia"/>
                <w:sz w:val="24"/>
              </w:rPr>
            </w:pPr>
            <w:r>
              <w:rPr>
                <w:rFonts w:eastAsiaTheme="minorEastAsia"/>
              </w:rPr>
              <w:t>5.15</w:t>
            </w:r>
          </w:p>
        </w:tc>
        <w:tc>
          <w:tcPr>
            <w:tcW w:w="712" w:type="pct"/>
            <w:vAlign w:val="center"/>
          </w:tcPr>
          <w:p>
            <w:pPr>
              <w:jc w:val="center"/>
              <w:rPr>
                <w:rFonts w:eastAsiaTheme="minorEastAsia"/>
                <w:sz w:val="24"/>
              </w:rPr>
            </w:pPr>
            <w:r>
              <w:rPr>
                <w:rFonts w:eastAsiaTheme="minorEastAsia"/>
              </w:rPr>
              <w:t>0.0497</w:t>
            </w:r>
          </w:p>
        </w:tc>
        <w:tc>
          <w:tcPr>
            <w:tcW w:w="712" w:type="pct"/>
            <w:vAlign w:val="center"/>
          </w:tcPr>
          <w:p>
            <w:pPr>
              <w:jc w:val="center"/>
              <w:rPr>
                <w:rFonts w:eastAsiaTheme="minorEastAsia"/>
                <w:sz w:val="24"/>
              </w:rPr>
            </w:pPr>
            <w:r>
              <w:rPr>
                <w:rFonts w:eastAsiaTheme="minorEastAsia"/>
              </w:rPr>
              <w:t>243.30</w:t>
            </w:r>
          </w:p>
        </w:tc>
        <w:tc>
          <w:tcPr>
            <w:tcW w:w="709" w:type="pct"/>
            <w:vAlign w:val="center"/>
          </w:tcPr>
          <w:p>
            <w:pPr>
              <w:jc w:val="center"/>
              <w:rPr>
                <w:rFonts w:eastAsiaTheme="minorEastAsia"/>
                <w:sz w:val="24"/>
              </w:rPr>
            </w:pPr>
            <w:r>
              <w:rPr>
                <w:rFonts w:eastAsiaTheme="minorEastAsia"/>
              </w:rPr>
              <w:t>2.35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0" w:type="auto"/>
            <w:vMerge w:val="continue"/>
            <w:vAlign w:val="center"/>
          </w:tcPr>
          <w:p>
            <w:pPr>
              <w:widowControl/>
              <w:jc w:val="left"/>
              <w:rPr>
                <w:rFonts w:eastAsiaTheme="minorEastAsia"/>
                <w:szCs w:val="21"/>
              </w:rPr>
            </w:pPr>
          </w:p>
        </w:tc>
        <w:tc>
          <w:tcPr>
            <w:tcW w:w="450" w:type="pct"/>
            <w:vAlign w:val="center"/>
          </w:tcPr>
          <w:p>
            <w:pPr>
              <w:jc w:val="center"/>
              <w:rPr>
                <w:rFonts w:eastAsiaTheme="minorEastAsia"/>
                <w:sz w:val="24"/>
              </w:rPr>
            </w:pPr>
            <w:r>
              <w:rPr>
                <w:rFonts w:hint="eastAsia" w:eastAsiaTheme="minorEastAsia"/>
              </w:rPr>
              <w:t>300</w:t>
            </w:r>
          </w:p>
        </w:tc>
        <w:tc>
          <w:tcPr>
            <w:tcW w:w="661" w:type="pct"/>
            <w:vAlign w:val="center"/>
          </w:tcPr>
          <w:p>
            <w:pPr>
              <w:jc w:val="center"/>
              <w:rPr>
                <w:rFonts w:eastAsiaTheme="minorEastAsia"/>
                <w:sz w:val="24"/>
              </w:rPr>
            </w:pPr>
            <w:r>
              <w:rPr>
                <w:rFonts w:hint="eastAsia" w:eastAsiaTheme="minorEastAsia"/>
              </w:rPr>
              <w:t>362</w:t>
            </w:r>
            <w:r>
              <w:rPr>
                <w:rFonts w:eastAsiaTheme="minorEastAsia"/>
              </w:rPr>
              <w:t>0</w:t>
            </w:r>
          </w:p>
        </w:tc>
        <w:tc>
          <w:tcPr>
            <w:tcW w:w="712" w:type="pct"/>
            <w:vAlign w:val="center"/>
          </w:tcPr>
          <w:p>
            <w:pPr>
              <w:jc w:val="center"/>
              <w:rPr>
                <w:rFonts w:eastAsiaTheme="minorEastAsia"/>
                <w:sz w:val="24"/>
              </w:rPr>
            </w:pPr>
            <w:r>
              <w:rPr>
                <w:rFonts w:hint="eastAsia" w:eastAsiaTheme="minorEastAsia"/>
              </w:rPr>
              <w:t>2896.22</w:t>
            </w:r>
          </w:p>
        </w:tc>
        <w:tc>
          <w:tcPr>
            <w:tcW w:w="712" w:type="pct"/>
            <w:vAlign w:val="center"/>
          </w:tcPr>
          <w:p>
            <w:pPr>
              <w:jc w:val="center"/>
              <w:rPr>
                <w:rFonts w:eastAsiaTheme="minorEastAsia"/>
                <w:sz w:val="24"/>
              </w:rPr>
            </w:pPr>
            <w:r>
              <w:rPr>
                <w:rFonts w:eastAsiaTheme="minorEastAsia"/>
              </w:rPr>
              <w:t>3.99</w:t>
            </w:r>
          </w:p>
        </w:tc>
        <w:tc>
          <w:tcPr>
            <w:tcW w:w="712" w:type="pct"/>
            <w:vAlign w:val="center"/>
          </w:tcPr>
          <w:p>
            <w:pPr>
              <w:jc w:val="center"/>
              <w:rPr>
                <w:rFonts w:eastAsiaTheme="minorEastAsia"/>
                <w:sz w:val="24"/>
              </w:rPr>
            </w:pPr>
            <w:r>
              <w:rPr>
                <w:rFonts w:eastAsiaTheme="minorEastAsia"/>
              </w:rPr>
              <w:t>0.0299</w:t>
            </w:r>
          </w:p>
        </w:tc>
        <w:tc>
          <w:tcPr>
            <w:tcW w:w="712" w:type="pct"/>
            <w:vAlign w:val="center"/>
          </w:tcPr>
          <w:p>
            <w:pPr>
              <w:jc w:val="center"/>
              <w:rPr>
                <w:rFonts w:eastAsiaTheme="minorEastAsia"/>
                <w:sz w:val="24"/>
              </w:rPr>
            </w:pPr>
            <w:r>
              <w:rPr>
                <w:rFonts w:eastAsiaTheme="minorEastAsia"/>
              </w:rPr>
              <w:t>243.30</w:t>
            </w:r>
          </w:p>
        </w:tc>
        <w:tc>
          <w:tcPr>
            <w:tcW w:w="709" w:type="pct"/>
            <w:vAlign w:val="center"/>
          </w:tcPr>
          <w:p>
            <w:pPr>
              <w:jc w:val="center"/>
              <w:rPr>
                <w:rFonts w:eastAsiaTheme="minorEastAsia"/>
                <w:sz w:val="24"/>
              </w:rPr>
            </w:pPr>
            <w:r>
              <w:rPr>
                <w:rFonts w:eastAsiaTheme="minorEastAsia"/>
              </w:rPr>
              <w:t>1.82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0" w:type="auto"/>
            <w:vMerge w:val="continue"/>
            <w:vAlign w:val="center"/>
          </w:tcPr>
          <w:p>
            <w:pPr>
              <w:widowControl/>
              <w:jc w:val="left"/>
              <w:rPr>
                <w:rFonts w:eastAsiaTheme="minorEastAsia"/>
                <w:szCs w:val="21"/>
              </w:rPr>
            </w:pPr>
          </w:p>
        </w:tc>
        <w:tc>
          <w:tcPr>
            <w:tcW w:w="450" w:type="pct"/>
            <w:vAlign w:val="center"/>
          </w:tcPr>
          <w:p>
            <w:pPr>
              <w:jc w:val="center"/>
              <w:rPr>
                <w:rFonts w:eastAsiaTheme="minorEastAsia"/>
                <w:sz w:val="24"/>
              </w:rPr>
            </w:pPr>
            <w:r>
              <w:rPr>
                <w:rFonts w:hint="eastAsia" w:eastAsiaTheme="minorEastAsia"/>
              </w:rPr>
              <w:t>400</w:t>
            </w:r>
          </w:p>
        </w:tc>
        <w:tc>
          <w:tcPr>
            <w:tcW w:w="661" w:type="pct"/>
            <w:vAlign w:val="center"/>
          </w:tcPr>
          <w:p>
            <w:pPr>
              <w:jc w:val="center"/>
              <w:rPr>
                <w:rFonts w:eastAsiaTheme="minorEastAsia"/>
                <w:sz w:val="24"/>
              </w:rPr>
            </w:pPr>
            <w:r>
              <w:rPr>
                <w:rFonts w:hint="eastAsia" w:eastAsiaTheme="minorEastAsia"/>
              </w:rPr>
              <w:t>3620</w:t>
            </w:r>
          </w:p>
        </w:tc>
        <w:tc>
          <w:tcPr>
            <w:tcW w:w="712" w:type="pct"/>
            <w:vAlign w:val="center"/>
          </w:tcPr>
          <w:p>
            <w:pPr>
              <w:jc w:val="center"/>
              <w:rPr>
                <w:rFonts w:eastAsiaTheme="minorEastAsia"/>
                <w:sz w:val="24"/>
              </w:rPr>
            </w:pPr>
            <w:r>
              <w:rPr>
                <w:rFonts w:hint="eastAsia" w:eastAsiaTheme="minorEastAsia"/>
              </w:rPr>
              <w:t>2896.22</w:t>
            </w:r>
          </w:p>
        </w:tc>
        <w:tc>
          <w:tcPr>
            <w:tcW w:w="712" w:type="pct"/>
            <w:vAlign w:val="center"/>
          </w:tcPr>
          <w:p>
            <w:pPr>
              <w:jc w:val="center"/>
              <w:rPr>
                <w:rFonts w:eastAsiaTheme="minorEastAsia"/>
                <w:sz w:val="24"/>
              </w:rPr>
            </w:pPr>
            <w:r>
              <w:rPr>
                <w:rFonts w:eastAsiaTheme="minorEastAsia"/>
              </w:rPr>
              <w:t>3.26</w:t>
            </w:r>
          </w:p>
        </w:tc>
        <w:tc>
          <w:tcPr>
            <w:tcW w:w="712" w:type="pct"/>
            <w:vAlign w:val="center"/>
          </w:tcPr>
          <w:p>
            <w:pPr>
              <w:jc w:val="center"/>
              <w:rPr>
                <w:rFonts w:eastAsiaTheme="minorEastAsia"/>
                <w:sz w:val="24"/>
              </w:rPr>
            </w:pPr>
            <w:r>
              <w:rPr>
                <w:rFonts w:eastAsiaTheme="minorEastAsia"/>
              </w:rPr>
              <w:t>0.0199</w:t>
            </w:r>
          </w:p>
        </w:tc>
        <w:tc>
          <w:tcPr>
            <w:tcW w:w="712" w:type="pct"/>
            <w:vAlign w:val="center"/>
          </w:tcPr>
          <w:p>
            <w:pPr>
              <w:jc w:val="center"/>
              <w:rPr>
                <w:rFonts w:eastAsiaTheme="minorEastAsia"/>
                <w:sz w:val="24"/>
              </w:rPr>
            </w:pPr>
            <w:r>
              <w:rPr>
                <w:rFonts w:eastAsiaTheme="minorEastAsia"/>
              </w:rPr>
              <w:t>243.30</w:t>
            </w:r>
          </w:p>
        </w:tc>
        <w:tc>
          <w:tcPr>
            <w:tcW w:w="709" w:type="pct"/>
            <w:vAlign w:val="center"/>
          </w:tcPr>
          <w:p>
            <w:pPr>
              <w:jc w:val="center"/>
              <w:rPr>
                <w:rFonts w:eastAsiaTheme="minorEastAsia"/>
                <w:sz w:val="24"/>
              </w:rPr>
            </w:pPr>
            <w:r>
              <w:rPr>
                <w:rFonts w:eastAsiaTheme="minorEastAsia"/>
              </w:rPr>
              <w:t>1.49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0" w:type="auto"/>
            <w:vMerge w:val="continue"/>
            <w:vAlign w:val="center"/>
          </w:tcPr>
          <w:p>
            <w:pPr>
              <w:widowControl/>
              <w:jc w:val="left"/>
              <w:rPr>
                <w:rFonts w:eastAsiaTheme="minorEastAsia"/>
                <w:szCs w:val="21"/>
              </w:rPr>
            </w:pPr>
          </w:p>
        </w:tc>
        <w:tc>
          <w:tcPr>
            <w:tcW w:w="450" w:type="pct"/>
            <w:vAlign w:val="center"/>
          </w:tcPr>
          <w:p>
            <w:pPr>
              <w:jc w:val="center"/>
              <w:rPr>
                <w:rFonts w:eastAsiaTheme="minorEastAsia"/>
                <w:sz w:val="24"/>
              </w:rPr>
            </w:pPr>
            <w:r>
              <w:rPr>
                <w:rFonts w:hint="eastAsia" w:eastAsiaTheme="minorEastAsia"/>
              </w:rPr>
              <w:t>500</w:t>
            </w:r>
          </w:p>
        </w:tc>
        <w:tc>
          <w:tcPr>
            <w:tcW w:w="661" w:type="pct"/>
            <w:vAlign w:val="center"/>
          </w:tcPr>
          <w:p>
            <w:pPr>
              <w:jc w:val="center"/>
              <w:rPr>
                <w:rFonts w:eastAsiaTheme="minorEastAsia"/>
                <w:sz w:val="24"/>
              </w:rPr>
            </w:pPr>
            <w:r>
              <w:rPr>
                <w:rFonts w:hint="eastAsia" w:eastAsiaTheme="minorEastAsia"/>
              </w:rPr>
              <w:t>3620</w:t>
            </w:r>
          </w:p>
        </w:tc>
        <w:tc>
          <w:tcPr>
            <w:tcW w:w="712" w:type="pct"/>
            <w:vAlign w:val="center"/>
          </w:tcPr>
          <w:p>
            <w:pPr>
              <w:jc w:val="center"/>
              <w:rPr>
                <w:rFonts w:eastAsiaTheme="minorEastAsia"/>
                <w:sz w:val="24"/>
              </w:rPr>
            </w:pPr>
            <w:r>
              <w:rPr>
                <w:rFonts w:hint="eastAsia" w:eastAsiaTheme="minorEastAsia"/>
              </w:rPr>
              <w:t>2896.22</w:t>
            </w:r>
          </w:p>
        </w:tc>
        <w:tc>
          <w:tcPr>
            <w:tcW w:w="712" w:type="pct"/>
            <w:vAlign w:val="center"/>
          </w:tcPr>
          <w:p>
            <w:pPr>
              <w:jc w:val="center"/>
              <w:rPr>
                <w:rFonts w:eastAsiaTheme="minorEastAsia"/>
                <w:sz w:val="24"/>
              </w:rPr>
            </w:pPr>
            <w:r>
              <w:rPr>
                <w:rFonts w:eastAsiaTheme="minorEastAsia"/>
              </w:rPr>
              <w:t>2.75</w:t>
            </w:r>
          </w:p>
        </w:tc>
        <w:tc>
          <w:tcPr>
            <w:tcW w:w="712" w:type="pct"/>
            <w:vAlign w:val="center"/>
          </w:tcPr>
          <w:p>
            <w:pPr>
              <w:jc w:val="center"/>
              <w:rPr>
                <w:rFonts w:eastAsiaTheme="minorEastAsia"/>
                <w:sz w:val="24"/>
              </w:rPr>
            </w:pPr>
            <w:r>
              <w:rPr>
                <w:rFonts w:eastAsiaTheme="minorEastAsia"/>
              </w:rPr>
              <w:t>0.0142</w:t>
            </w:r>
          </w:p>
        </w:tc>
        <w:tc>
          <w:tcPr>
            <w:tcW w:w="712" w:type="pct"/>
            <w:vAlign w:val="center"/>
          </w:tcPr>
          <w:p>
            <w:pPr>
              <w:jc w:val="center"/>
              <w:rPr>
                <w:rFonts w:eastAsiaTheme="minorEastAsia"/>
                <w:sz w:val="24"/>
              </w:rPr>
            </w:pPr>
            <w:r>
              <w:rPr>
                <w:rFonts w:eastAsiaTheme="minorEastAsia"/>
              </w:rPr>
              <w:t>243.30</w:t>
            </w:r>
          </w:p>
        </w:tc>
        <w:tc>
          <w:tcPr>
            <w:tcW w:w="709" w:type="pct"/>
            <w:vAlign w:val="center"/>
          </w:tcPr>
          <w:p>
            <w:pPr>
              <w:jc w:val="center"/>
              <w:rPr>
                <w:rFonts w:eastAsiaTheme="minorEastAsia"/>
                <w:sz w:val="24"/>
              </w:rPr>
            </w:pPr>
            <w:r>
              <w:rPr>
                <w:rFonts w:eastAsiaTheme="minorEastAsia"/>
              </w:rPr>
              <w:t>1.26</w:t>
            </w:r>
          </w:p>
        </w:tc>
      </w:tr>
    </w:tbl>
    <w:p>
      <w:pPr>
        <w:spacing w:line="360" w:lineRule="auto"/>
        <w:ind w:firstLine="480" w:firstLineChars="200"/>
        <w:rPr>
          <w:rFonts w:eastAsiaTheme="minorEastAsia"/>
          <w:sz w:val="24"/>
        </w:rPr>
      </w:pPr>
      <w:r>
        <w:rPr>
          <w:rFonts w:hAnsiTheme="minorEastAsia" w:eastAsiaTheme="minorEastAsia"/>
          <w:sz w:val="24"/>
        </w:rPr>
        <w:t>（</w:t>
      </w:r>
      <w:r>
        <w:rPr>
          <w:rFonts w:hint="eastAsia" w:eastAsiaTheme="minorEastAsia"/>
          <w:sz w:val="24"/>
        </w:rPr>
        <w:t>2</w:t>
      </w:r>
      <w:r>
        <w:rPr>
          <w:rFonts w:hAnsiTheme="minorEastAsia" w:eastAsiaTheme="minorEastAsia"/>
          <w:sz w:val="24"/>
        </w:rPr>
        <w:t>）</w:t>
      </w:r>
      <w:r>
        <w:rPr>
          <w:rFonts w:hint="eastAsia" w:hAnsiTheme="minorEastAsia" w:eastAsiaTheme="minorEastAsia"/>
          <w:sz w:val="24"/>
        </w:rPr>
        <w:t>4、5、8、</w:t>
      </w:r>
      <w:r>
        <w:rPr>
          <w:rFonts w:eastAsiaTheme="minorEastAsia"/>
          <w:sz w:val="24"/>
        </w:rPr>
        <w:t>9</w:t>
      </w:r>
      <w:r>
        <w:rPr>
          <w:rFonts w:hAnsiTheme="minorEastAsia" w:eastAsiaTheme="minorEastAsia"/>
          <w:sz w:val="24"/>
        </w:rPr>
        <w:t>号煤层下沉、移动与变形值最大值预测结果</w:t>
      </w:r>
    </w:p>
    <w:p>
      <w:pPr>
        <w:spacing w:line="360" w:lineRule="auto"/>
        <w:ind w:firstLine="480" w:firstLineChars="200"/>
        <w:rPr>
          <w:rFonts w:eastAsiaTheme="minorEastAsia"/>
          <w:bCs/>
          <w:spacing w:val="4"/>
          <w:sz w:val="24"/>
        </w:rPr>
      </w:pPr>
      <w:r>
        <w:rPr>
          <w:rFonts w:hAnsiTheme="minorEastAsia" w:eastAsiaTheme="minorEastAsia"/>
          <w:sz w:val="24"/>
        </w:rPr>
        <w:t>开采</w:t>
      </w:r>
      <w:r>
        <w:rPr>
          <w:rFonts w:hint="eastAsia" w:hAnsiTheme="minorEastAsia" w:eastAsiaTheme="minorEastAsia"/>
          <w:sz w:val="24"/>
        </w:rPr>
        <w:t>4、5、8、</w:t>
      </w:r>
      <w:r>
        <w:rPr>
          <w:rFonts w:eastAsiaTheme="minorEastAsia"/>
          <w:sz w:val="24"/>
        </w:rPr>
        <w:t>9</w:t>
      </w:r>
      <w:r>
        <w:rPr>
          <w:rFonts w:hAnsiTheme="minorEastAsia" w:eastAsiaTheme="minorEastAsia"/>
          <w:sz w:val="24"/>
        </w:rPr>
        <w:t>号煤层时，根据煤层开采厚度，采深及有关预计参数及公式，计算出煤层开采后产生的地表下沉、移动与变形预测结果见表</w:t>
      </w:r>
      <w:r>
        <w:rPr>
          <w:rFonts w:eastAsiaTheme="minorEastAsia"/>
          <w:sz w:val="24"/>
        </w:rPr>
        <w:t>5.1-</w:t>
      </w:r>
      <w:r>
        <w:rPr>
          <w:rFonts w:hint="eastAsia" w:eastAsiaTheme="minorEastAsia"/>
          <w:sz w:val="24"/>
        </w:rPr>
        <w:t>5</w:t>
      </w:r>
      <w:r>
        <w:rPr>
          <w:rFonts w:hAnsiTheme="minorEastAsia" w:eastAsiaTheme="minorEastAsia"/>
          <w:sz w:val="24"/>
        </w:rPr>
        <w:t>。</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5.1-</w:t>
      </w:r>
      <w:r>
        <w:rPr>
          <w:rFonts w:hint="eastAsia" w:eastAsiaTheme="minorEastAsia"/>
          <w:b/>
          <w:szCs w:val="21"/>
        </w:rPr>
        <w:t>5</w:t>
      </w:r>
      <w:r>
        <w:rPr>
          <w:rFonts w:eastAsiaTheme="minorEastAsia"/>
          <w:b/>
          <w:szCs w:val="21"/>
        </w:rPr>
        <w:t xml:space="preserve">  9</w:t>
      </w:r>
      <w:r>
        <w:rPr>
          <w:rFonts w:hAnsiTheme="minorEastAsia" w:eastAsiaTheme="minorEastAsia"/>
          <w:b/>
          <w:szCs w:val="21"/>
        </w:rPr>
        <w:t>、</w:t>
      </w:r>
      <w:r>
        <w:rPr>
          <w:rFonts w:eastAsiaTheme="minorEastAsia"/>
          <w:b/>
          <w:szCs w:val="21"/>
        </w:rPr>
        <w:t>15</w:t>
      </w:r>
      <w:r>
        <w:rPr>
          <w:rFonts w:hAnsiTheme="minorEastAsia" w:eastAsiaTheme="minorEastAsia"/>
          <w:b/>
          <w:szCs w:val="21"/>
        </w:rPr>
        <w:t>号煤开采后地表下沉、移动与变形的预测结果</w:t>
      </w:r>
    </w:p>
    <w:tbl>
      <w:tblPr>
        <w:tblStyle w:val="24"/>
        <w:tblW w:w="501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6"/>
        <w:gridCol w:w="843"/>
        <w:gridCol w:w="1232"/>
        <w:gridCol w:w="1327"/>
        <w:gridCol w:w="1327"/>
        <w:gridCol w:w="1327"/>
        <w:gridCol w:w="1327"/>
        <w:gridCol w:w="13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336" w:type="pct"/>
            <w:vAlign w:val="center"/>
          </w:tcPr>
          <w:p>
            <w:pPr>
              <w:pStyle w:val="90"/>
              <w:snapToGrid/>
              <w:spacing w:line="240" w:lineRule="auto"/>
              <w:rPr>
                <w:rFonts w:ascii="Times New Roman" w:hAnsi="Times New Roman" w:cs="Times New Roman"/>
                <w:szCs w:val="21"/>
              </w:rPr>
            </w:pPr>
            <w:r>
              <w:rPr>
                <w:rFonts w:ascii="Times New Roman" w:cs="Times New Roman" w:hAnsiTheme="minorEastAsia"/>
                <w:szCs w:val="21"/>
              </w:rPr>
              <w:t>煤</w:t>
            </w:r>
          </w:p>
          <w:p>
            <w:pPr>
              <w:pStyle w:val="90"/>
              <w:snapToGrid/>
              <w:spacing w:line="240" w:lineRule="auto"/>
              <w:rPr>
                <w:rFonts w:ascii="Times New Roman" w:hAnsi="Times New Roman" w:cs="Times New Roman"/>
                <w:szCs w:val="21"/>
              </w:rPr>
            </w:pPr>
            <w:r>
              <w:rPr>
                <w:rFonts w:ascii="Times New Roman" w:cs="Times New Roman" w:hAnsiTheme="minorEastAsia"/>
                <w:szCs w:val="21"/>
              </w:rPr>
              <w:t>层</w:t>
            </w:r>
          </w:p>
        </w:tc>
        <w:tc>
          <w:tcPr>
            <w:tcW w:w="452" w:type="pct"/>
            <w:vAlign w:val="center"/>
          </w:tcPr>
          <w:p>
            <w:pPr>
              <w:pStyle w:val="90"/>
              <w:snapToGrid/>
              <w:spacing w:line="240" w:lineRule="auto"/>
              <w:rPr>
                <w:rFonts w:ascii="Times New Roman" w:hAnsi="Times New Roman" w:cs="Times New Roman"/>
                <w:szCs w:val="21"/>
              </w:rPr>
            </w:pPr>
            <w:r>
              <w:rPr>
                <w:rFonts w:ascii="Times New Roman" w:cs="Times New Roman" w:hAnsiTheme="minorEastAsia"/>
                <w:szCs w:val="21"/>
              </w:rPr>
              <w:t>采深</w:t>
            </w:r>
          </w:p>
          <w:p>
            <w:pPr>
              <w:pStyle w:val="90"/>
              <w:snapToGrid/>
              <w:spacing w:line="240" w:lineRule="auto"/>
              <w:rPr>
                <w:rFonts w:ascii="Times New Roman" w:hAnsi="Times New Roman" w:cs="Times New Roman"/>
                <w:szCs w:val="21"/>
              </w:rPr>
            </w:pPr>
            <w:r>
              <w:rPr>
                <w:rFonts w:ascii="Times New Roman" w:hAnsi="Times New Roman" w:cs="Times New Roman"/>
                <w:szCs w:val="21"/>
              </w:rPr>
              <w:t>(m)</w:t>
            </w:r>
          </w:p>
        </w:tc>
        <w:tc>
          <w:tcPr>
            <w:tcW w:w="661" w:type="pct"/>
            <w:vAlign w:val="center"/>
          </w:tcPr>
          <w:p>
            <w:pPr>
              <w:pStyle w:val="90"/>
              <w:snapToGrid/>
              <w:spacing w:line="240" w:lineRule="auto"/>
              <w:rPr>
                <w:rFonts w:ascii="Times New Roman" w:hAnsi="Times New Roman" w:cs="Times New Roman"/>
                <w:szCs w:val="21"/>
              </w:rPr>
            </w:pPr>
            <w:r>
              <w:rPr>
                <w:rFonts w:ascii="Times New Roman" w:cs="Times New Roman" w:hAnsiTheme="minorEastAsia"/>
                <w:spacing w:val="-2"/>
                <w:szCs w:val="21"/>
              </w:rPr>
              <w:t>平均采厚</w:t>
            </w:r>
            <w:r>
              <w:rPr>
                <w:rFonts w:ascii="Times New Roman" w:hAnsi="Times New Roman" w:cs="Times New Roman"/>
                <w:szCs w:val="21"/>
              </w:rPr>
              <w:t>(mm)</w:t>
            </w:r>
          </w:p>
        </w:tc>
        <w:tc>
          <w:tcPr>
            <w:tcW w:w="712"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W</w:t>
            </w:r>
            <w:r>
              <w:rPr>
                <w:rFonts w:ascii="Times New Roman" w:hAnsi="Times New Roman" w:cs="Times New Roman"/>
                <w:szCs w:val="21"/>
                <w:vertAlign w:val="subscript"/>
              </w:rPr>
              <w:t>cm</w:t>
            </w:r>
            <w:r>
              <w:rPr>
                <w:rFonts w:ascii="Times New Roman" w:hAnsi="Times New Roman" w:cs="Times New Roman"/>
                <w:szCs w:val="21"/>
              </w:rPr>
              <w:t>(mm)</w:t>
            </w:r>
          </w:p>
        </w:tc>
        <w:tc>
          <w:tcPr>
            <w:tcW w:w="712"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i</w:t>
            </w:r>
            <w:r>
              <w:rPr>
                <w:rFonts w:ascii="Times New Roman" w:hAnsi="Times New Roman" w:cs="Times New Roman"/>
                <w:szCs w:val="21"/>
                <w:vertAlign w:val="subscript"/>
              </w:rPr>
              <w:t>cm</w:t>
            </w:r>
            <w:r>
              <w:rPr>
                <w:rFonts w:ascii="Times New Roman" w:hAnsi="Times New Roman" w:cs="Times New Roman"/>
                <w:szCs w:val="21"/>
              </w:rPr>
              <w:t>(mm/m)</w:t>
            </w:r>
          </w:p>
        </w:tc>
        <w:tc>
          <w:tcPr>
            <w:tcW w:w="712"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szCs w:val="21"/>
                <w:vertAlign w:val="subscript"/>
              </w:rPr>
              <w:t>cm</w:t>
            </w:r>
            <w:r>
              <w:rPr>
                <w:rFonts w:ascii="Times New Roman" w:hAnsi="Times New Roman" w:cs="Times New Roman"/>
                <w:szCs w:val="21"/>
              </w:rPr>
              <w:t>(10</w:t>
            </w:r>
            <w:r>
              <w:rPr>
                <w:rFonts w:ascii="Times New Roman" w:hAnsi="Times New Roman" w:cs="Times New Roman"/>
                <w:szCs w:val="21"/>
                <w:vertAlign w:val="superscript"/>
              </w:rPr>
              <w:t>-3</w:t>
            </w:r>
            <w:r>
              <w:rPr>
                <w:rFonts w:ascii="Times New Roman" w:hAnsi="Times New Roman" w:cs="Times New Roman"/>
                <w:szCs w:val="21"/>
              </w:rPr>
              <w:t>/m)</w:t>
            </w:r>
          </w:p>
        </w:tc>
        <w:tc>
          <w:tcPr>
            <w:tcW w:w="712"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U</w:t>
            </w:r>
            <w:r>
              <w:rPr>
                <w:rFonts w:ascii="Times New Roman" w:hAnsi="Times New Roman" w:cs="Times New Roman"/>
                <w:szCs w:val="21"/>
                <w:vertAlign w:val="subscript"/>
              </w:rPr>
              <w:t>cm</w:t>
            </w:r>
            <w:r>
              <w:rPr>
                <w:rFonts w:ascii="Times New Roman" w:hAnsi="Times New Roman" w:cs="Times New Roman"/>
                <w:szCs w:val="21"/>
              </w:rPr>
              <w:t>(mm)</w:t>
            </w:r>
          </w:p>
        </w:tc>
        <w:tc>
          <w:tcPr>
            <w:tcW w:w="703" w:type="pct"/>
            <w:vAlign w:val="center"/>
          </w:tcPr>
          <w:p>
            <w:pPr>
              <w:pStyle w:val="90"/>
              <w:snapToGrid/>
              <w:spacing w:line="240" w:lineRule="auto"/>
              <w:rPr>
                <w:rFonts w:ascii="Times New Roman" w:hAnsi="Times New Roman" w:cs="Times New Roman"/>
                <w:szCs w:val="21"/>
              </w:rPr>
            </w:pPr>
            <w:r>
              <w:rPr>
                <w:rFonts w:ascii="Times New Roman" w:hAnsi="Times New Roman" w:cs="Times New Roman"/>
                <w:szCs w:val="21"/>
              </w:rPr>
              <w:t>ε</w:t>
            </w:r>
            <w:r>
              <w:rPr>
                <w:rFonts w:ascii="Times New Roman" w:hAnsi="Times New Roman" w:cs="Times New Roman"/>
                <w:szCs w:val="21"/>
                <w:vertAlign w:val="subscript"/>
              </w:rPr>
              <w:t>cm</w:t>
            </w:r>
            <w:r>
              <w:rPr>
                <w:rFonts w:ascii="Times New Roman" w:hAnsi="Times New Roman" w:cs="Times New Roman"/>
                <w:szCs w:val="21"/>
              </w:rPr>
              <w:t>(mm/m)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336" w:type="pct"/>
            <w:vMerge w:val="restart"/>
            <w:vAlign w:val="center"/>
          </w:tcPr>
          <w:p>
            <w:pPr>
              <w:pStyle w:val="90"/>
              <w:snapToGrid/>
              <w:spacing w:line="240" w:lineRule="auto"/>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w:t>
            </w:r>
          </w:p>
        </w:tc>
        <w:tc>
          <w:tcPr>
            <w:tcW w:w="452" w:type="pct"/>
            <w:vAlign w:val="center"/>
          </w:tcPr>
          <w:p>
            <w:pPr>
              <w:jc w:val="center"/>
              <w:rPr>
                <w:rFonts w:eastAsiaTheme="minorEastAsia"/>
                <w:sz w:val="24"/>
              </w:rPr>
            </w:pPr>
            <w:r>
              <w:rPr>
                <w:rFonts w:hint="eastAsia" w:eastAsiaTheme="minorEastAsia"/>
              </w:rPr>
              <w:t>100</w:t>
            </w:r>
          </w:p>
        </w:tc>
        <w:tc>
          <w:tcPr>
            <w:tcW w:w="661" w:type="pct"/>
            <w:vAlign w:val="center"/>
          </w:tcPr>
          <w:p>
            <w:pPr>
              <w:jc w:val="center"/>
              <w:rPr>
                <w:rFonts w:eastAsiaTheme="minorEastAsia"/>
                <w:sz w:val="24"/>
              </w:rPr>
            </w:pPr>
            <w:r>
              <w:rPr>
                <w:rFonts w:hint="eastAsia" w:eastAsiaTheme="minorEastAsia"/>
              </w:rPr>
              <w:t>1640</w:t>
            </w:r>
          </w:p>
        </w:tc>
        <w:tc>
          <w:tcPr>
            <w:tcW w:w="712" w:type="pct"/>
            <w:vAlign w:val="center"/>
          </w:tcPr>
          <w:p>
            <w:pPr>
              <w:jc w:val="center"/>
              <w:rPr>
                <w:rFonts w:eastAsiaTheme="minorEastAsia"/>
                <w:sz w:val="24"/>
              </w:rPr>
            </w:pPr>
            <w:r>
              <w:rPr>
                <w:rFonts w:hint="eastAsia" w:eastAsiaTheme="minorEastAsia"/>
              </w:rPr>
              <w:t>1148.56</w:t>
            </w:r>
          </w:p>
        </w:tc>
        <w:tc>
          <w:tcPr>
            <w:tcW w:w="712" w:type="pct"/>
            <w:vAlign w:val="center"/>
          </w:tcPr>
          <w:p>
            <w:pPr>
              <w:jc w:val="center"/>
              <w:rPr>
                <w:rFonts w:eastAsiaTheme="minorEastAsia"/>
                <w:sz w:val="24"/>
              </w:rPr>
            </w:pPr>
            <w:r>
              <w:rPr>
                <w:rFonts w:eastAsiaTheme="minorEastAsia"/>
              </w:rPr>
              <w:t>5.15</w:t>
            </w:r>
          </w:p>
        </w:tc>
        <w:tc>
          <w:tcPr>
            <w:tcW w:w="712" w:type="pct"/>
            <w:vAlign w:val="center"/>
          </w:tcPr>
          <w:p>
            <w:pPr>
              <w:jc w:val="center"/>
              <w:rPr>
                <w:rFonts w:eastAsiaTheme="minorEastAsia"/>
                <w:sz w:val="24"/>
              </w:rPr>
            </w:pPr>
            <w:r>
              <w:rPr>
                <w:rFonts w:eastAsiaTheme="minorEastAsia"/>
              </w:rPr>
              <w:t>0.0497</w:t>
            </w:r>
          </w:p>
        </w:tc>
        <w:tc>
          <w:tcPr>
            <w:tcW w:w="712" w:type="pct"/>
            <w:vAlign w:val="center"/>
          </w:tcPr>
          <w:p>
            <w:pPr>
              <w:jc w:val="center"/>
              <w:rPr>
                <w:rFonts w:eastAsiaTheme="minorEastAsia"/>
                <w:sz w:val="24"/>
              </w:rPr>
            </w:pPr>
            <w:r>
              <w:rPr>
                <w:rFonts w:eastAsiaTheme="minorEastAsia"/>
              </w:rPr>
              <w:t>243.30</w:t>
            </w:r>
          </w:p>
        </w:tc>
        <w:tc>
          <w:tcPr>
            <w:tcW w:w="703" w:type="pct"/>
            <w:vAlign w:val="center"/>
          </w:tcPr>
          <w:p>
            <w:pPr>
              <w:jc w:val="center"/>
              <w:rPr>
                <w:rFonts w:eastAsiaTheme="minorEastAsia"/>
                <w:sz w:val="24"/>
              </w:rPr>
            </w:pPr>
            <w:r>
              <w:rPr>
                <w:rFonts w:eastAsiaTheme="minorEastAsia"/>
              </w:rPr>
              <w:t>2.35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widowControl/>
              <w:jc w:val="left"/>
              <w:rPr>
                <w:rFonts w:eastAsiaTheme="minorEastAsia"/>
                <w:szCs w:val="21"/>
              </w:rPr>
            </w:pPr>
          </w:p>
        </w:tc>
        <w:tc>
          <w:tcPr>
            <w:tcW w:w="452" w:type="pct"/>
            <w:vAlign w:val="center"/>
          </w:tcPr>
          <w:p>
            <w:pPr>
              <w:jc w:val="center"/>
              <w:rPr>
                <w:rFonts w:eastAsiaTheme="minorEastAsia"/>
                <w:sz w:val="24"/>
              </w:rPr>
            </w:pPr>
            <w:r>
              <w:rPr>
                <w:rFonts w:hint="eastAsia" w:eastAsiaTheme="minorEastAsia"/>
              </w:rPr>
              <w:t>200</w:t>
            </w:r>
          </w:p>
        </w:tc>
        <w:tc>
          <w:tcPr>
            <w:tcW w:w="661" w:type="pct"/>
            <w:vAlign w:val="center"/>
          </w:tcPr>
          <w:p>
            <w:pPr>
              <w:jc w:val="center"/>
              <w:rPr>
                <w:rFonts w:eastAsiaTheme="minorEastAsia"/>
                <w:sz w:val="24"/>
              </w:rPr>
            </w:pPr>
            <w:r>
              <w:rPr>
                <w:bCs/>
                <w:kern w:val="0"/>
                <w:szCs w:val="21"/>
              </w:rPr>
              <w:t>1640</w:t>
            </w:r>
          </w:p>
        </w:tc>
        <w:tc>
          <w:tcPr>
            <w:tcW w:w="712" w:type="pct"/>
            <w:vAlign w:val="center"/>
          </w:tcPr>
          <w:p>
            <w:pPr>
              <w:jc w:val="center"/>
              <w:rPr>
                <w:rFonts w:eastAsiaTheme="minorEastAsia"/>
                <w:sz w:val="24"/>
              </w:rPr>
            </w:pPr>
            <w:r>
              <w:rPr>
                <w:rFonts w:hint="eastAsia" w:eastAsiaTheme="minorEastAsia"/>
              </w:rPr>
              <w:t>1148.56</w:t>
            </w:r>
          </w:p>
        </w:tc>
        <w:tc>
          <w:tcPr>
            <w:tcW w:w="712" w:type="pct"/>
            <w:vAlign w:val="center"/>
          </w:tcPr>
          <w:p>
            <w:pPr>
              <w:jc w:val="center"/>
              <w:rPr>
                <w:rFonts w:eastAsiaTheme="minorEastAsia"/>
                <w:sz w:val="24"/>
              </w:rPr>
            </w:pPr>
            <w:r>
              <w:rPr>
                <w:rFonts w:eastAsiaTheme="minorEastAsia"/>
              </w:rPr>
              <w:t>3.99</w:t>
            </w:r>
          </w:p>
        </w:tc>
        <w:tc>
          <w:tcPr>
            <w:tcW w:w="712" w:type="pct"/>
            <w:vAlign w:val="center"/>
          </w:tcPr>
          <w:p>
            <w:pPr>
              <w:jc w:val="center"/>
              <w:rPr>
                <w:rFonts w:eastAsiaTheme="minorEastAsia"/>
                <w:sz w:val="24"/>
              </w:rPr>
            </w:pPr>
            <w:r>
              <w:rPr>
                <w:rFonts w:eastAsiaTheme="minorEastAsia"/>
              </w:rPr>
              <w:t>0.0299</w:t>
            </w:r>
          </w:p>
        </w:tc>
        <w:tc>
          <w:tcPr>
            <w:tcW w:w="712" w:type="pct"/>
            <w:vAlign w:val="center"/>
          </w:tcPr>
          <w:p>
            <w:pPr>
              <w:jc w:val="center"/>
              <w:rPr>
                <w:rFonts w:eastAsiaTheme="minorEastAsia"/>
                <w:sz w:val="24"/>
              </w:rPr>
            </w:pPr>
            <w:r>
              <w:rPr>
                <w:rFonts w:eastAsiaTheme="minorEastAsia"/>
              </w:rPr>
              <w:t>243.30</w:t>
            </w:r>
          </w:p>
        </w:tc>
        <w:tc>
          <w:tcPr>
            <w:tcW w:w="703" w:type="pct"/>
            <w:vAlign w:val="center"/>
          </w:tcPr>
          <w:p>
            <w:pPr>
              <w:jc w:val="center"/>
              <w:rPr>
                <w:rFonts w:eastAsiaTheme="minorEastAsia"/>
                <w:sz w:val="24"/>
              </w:rPr>
            </w:pPr>
            <w:r>
              <w:rPr>
                <w:rFonts w:eastAsiaTheme="minorEastAsia"/>
              </w:rPr>
              <w:t>1.82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widowControl/>
              <w:jc w:val="left"/>
              <w:rPr>
                <w:rFonts w:eastAsiaTheme="minorEastAsia"/>
                <w:szCs w:val="21"/>
              </w:rPr>
            </w:pPr>
          </w:p>
        </w:tc>
        <w:tc>
          <w:tcPr>
            <w:tcW w:w="452" w:type="pct"/>
            <w:vAlign w:val="center"/>
          </w:tcPr>
          <w:p>
            <w:pPr>
              <w:jc w:val="center"/>
              <w:rPr>
                <w:rFonts w:eastAsiaTheme="minorEastAsia"/>
                <w:sz w:val="24"/>
              </w:rPr>
            </w:pPr>
            <w:r>
              <w:rPr>
                <w:rFonts w:hint="eastAsia" w:eastAsiaTheme="minorEastAsia"/>
              </w:rPr>
              <w:t>300</w:t>
            </w:r>
          </w:p>
        </w:tc>
        <w:tc>
          <w:tcPr>
            <w:tcW w:w="661" w:type="pct"/>
            <w:vAlign w:val="center"/>
          </w:tcPr>
          <w:p>
            <w:pPr>
              <w:jc w:val="center"/>
              <w:rPr>
                <w:rFonts w:eastAsiaTheme="minorEastAsia"/>
                <w:sz w:val="24"/>
              </w:rPr>
            </w:pPr>
            <w:r>
              <w:rPr>
                <w:bCs/>
                <w:kern w:val="0"/>
                <w:szCs w:val="21"/>
              </w:rPr>
              <w:t>1640</w:t>
            </w:r>
          </w:p>
        </w:tc>
        <w:tc>
          <w:tcPr>
            <w:tcW w:w="712" w:type="pct"/>
            <w:vAlign w:val="center"/>
          </w:tcPr>
          <w:p>
            <w:pPr>
              <w:jc w:val="center"/>
              <w:rPr>
                <w:rFonts w:eastAsiaTheme="minorEastAsia"/>
                <w:sz w:val="24"/>
              </w:rPr>
            </w:pPr>
            <w:r>
              <w:rPr>
                <w:rFonts w:hint="eastAsia" w:eastAsiaTheme="minorEastAsia"/>
              </w:rPr>
              <w:t>1148.56</w:t>
            </w:r>
          </w:p>
        </w:tc>
        <w:tc>
          <w:tcPr>
            <w:tcW w:w="712" w:type="pct"/>
            <w:vAlign w:val="center"/>
          </w:tcPr>
          <w:p>
            <w:pPr>
              <w:jc w:val="center"/>
              <w:rPr>
                <w:rFonts w:eastAsiaTheme="minorEastAsia"/>
                <w:sz w:val="24"/>
              </w:rPr>
            </w:pPr>
            <w:r>
              <w:rPr>
                <w:rFonts w:eastAsiaTheme="minorEastAsia"/>
              </w:rPr>
              <w:t>3.26</w:t>
            </w:r>
          </w:p>
        </w:tc>
        <w:tc>
          <w:tcPr>
            <w:tcW w:w="712" w:type="pct"/>
            <w:vAlign w:val="center"/>
          </w:tcPr>
          <w:p>
            <w:pPr>
              <w:jc w:val="center"/>
              <w:rPr>
                <w:rFonts w:eastAsiaTheme="minorEastAsia"/>
                <w:sz w:val="24"/>
              </w:rPr>
            </w:pPr>
            <w:r>
              <w:rPr>
                <w:rFonts w:eastAsiaTheme="minorEastAsia"/>
              </w:rPr>
              <w:t>0.0199</w:t>
            </w:r>
          </w:p>
        </w:tc>
        <w:tc>
          <w:tcPr>
            <w:tcW w:w="712" w:type="pct"/>
            <w:vAlign w:val="center"/>
          </w:tcPr>
          <w:p>
            <w:pPr>
              <w:jc w:val="center"/>
              <w:rPr>
                <w:rFonts w:eastAsiaTheme="minorEastAsia"/>
                <w:sz w:val="24"/>
              </w:rPr>
            </w:pPr>
            <w:r>
              <w:rPr>
                <w:rFonts w:eastAsiaTheme="minorEastAsia"/>
              </w:rPr>
              <w:t>243.30</w:t>
            </w:r>
          </w:p>
        </w:tc>
        <w:tc>
          <w:tcPr>
            <w:tcW w:w="703" w:type="pct"/>
            <w:vAlign w:val="center"/>
          </w:tcPr>
          <w:p>
            <w:pPr>
              <w:jc w:val="center"/>
              <w:rPr>
                <w:rFonts w:eastAsiaTheme="minorEastAsia"/>
                <w:sz w:val="24"/>
              </w:rPr>
            </w:pPr>
            <w:r>
              <w:rPr>
                <w:rFonts w:eastAsiaTheme="minorEastAsia"/>
              </w:rPr>
              <w:t>1.49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widowControl/>
              <w:jc w:val="left"/>
              <w:rPr>
                <w:rFonts w:eastAsiaTheme="minorEastAsia"/>
                <w:szCs w:val="21"/>
              </w:rPr>
            </w:pPr>
          </w:p>
        </w:tc>
        <w:tc>
          <w:tcPr>
            <w:tcW w:w="452" w:type="pct"/>
            <w:vAlign w:val="center"/>
          </w:tcPr>
          <w:p>
            <w:pPr>
              <w:jc w:val="center"/>
              <w:rPr>
                <w:rFonts w:eastAsiaTheme="minorEastAsia"/>
                <w:sz w:val="24"/>
              </w:rPr>
            </w:pPr>
            <w:r>
              <w:rPr>
                <w:rFonts w:hint="eastAsia" w:eastAsiaTheme="minorEastAsia"/>
              </w:rPr>
              <w:t>400</w:t>
            </w:r>
          </w:p>
        </w:tc>
        <w:tc>
          <w:tcPr>
            <w:tcW w:w="661" w:type="pct"/>
            <w:vAlign w:val="center"/>
          </w:tcPr>
          <w:p>
            <w:pPr>
              <w:jc w:val="center"/>
              <w:rPr>
                <w:rFonts w:eastAsiaTheme="minorEastAsia"/>
                <w:sz w:val="24"/>
              </w:rPr>
            </w:pPr>
            <w:r>
              <w:rPr>
                <w:bCs/>
                <w:kern w:val="0"/>
                <w:szCs w:val="21"/>
              </w:rPr>
              <w:t>1640</w:t>
            </w:r>
          </w:p>
        </w:tc>
        <w:tc>
          <w:tcPr>
            <w:tcW w:w="712" w:type="pct"/>
            <w:vAlign w:val="center"/>
          </w:tcPr>
          <w:p>
            <w:pPr>
              <w:jc w:val="center"/>
              <w:rPr>
                <w:rFonts w:eastAsiaTheme="minorEastAsia"/>
                <w:sz w:val="24"/>
              </w:rPr>
            </w:pPr>
            <w:r>
              <w:rPr>
                <w:rFonts w:hint="eastAsia" w:eastAsiaTheme="minorEastAsia"/>
              </w:rPr>
              <w:t>1148.56</w:t>
            </w:r>
          </w:p>
        </w:tc>
        <w:tc>
          <w:tcPr>
            <w:tcW w:w="712" w:type="pct"/>
            <w:vAlign w:val="center"/>
          </w:tcPr>
          <w:p>
            <w:pPr>
              <w:jc w:val="center"/>
              <w:rPr>
                <w:rFonts w:eastAsiaTheme="minorEastAsia"/>
                <w:sz w:val="24"/>
              </w:rPr>
            </w:pPr>
            <w:r>
              <w:rPr>
                <w:rFonts w:eastAsiaTheme="minorEastAsia"/>
              </w:rPr>
              <w:t>2.75</w:t>
            </w:r>
          </w:p>
        </w:tc>
        <w:tc>
          <w:tcPr>
            <w:tcW w:w="712" w:type="pct"/>
            <w:vAlign w:val="center"/>
          </w:tcPr>
          <w:p>
            <w:pPr>
              <w:jc w:val="center"/>
              <w:rPr>
                <w:rFonts w:eastAsiaTheme="minorEastAsia"/>
                <w:sz w:val="24"/>
              </w:rPr>
            </w:pPr>
            <w:r>
              <w:rPr>
                <w:rFonts w:eastAsiaTheme="minorEastAsia"/>
              </w:rPr>
              <w:t>0.0142</w:t>
            </w:r>
          </w:p>
        </w:tc>
        <w:tc>
          <w:tcPr>
            <w:tcW w:w="712" w:type="pct"/>
            <w:vAlign w:val="center"/>
          </w:tcPr>
          <w:p>
            <w:pPr>
              <w:jc w:val="center"/>
              <w:rPr>
                <w:rFonts w:eastAsiaTheme="minorEastAsia"/>
                <w:sz w:val="24"/>
              </w:rPr>
            </w:pPr>
            <w:r>
              <w:rPr>
                <w:rFonts w:eastAsiaTheme="minorEastAsia"/>
              </w:rPr>
              <w:t>243.30</w:t>
            </w:r>
          </w:p>
        </w:tc>
        <w:tc>
          <w:tcPr>
            <w:tcW w:w="703" w:type="pct"/>
            <w:vAlign w:val="center"/>
          </w:tcPr>
          <w:p>
            <w:pPr>
              <w:jc w:val="center"/>
              <w:rPr>
                <w:rFonts w:eastAsiaTheme="minorEastAsia"/>
                <w:sz w:val="24"/>
              </w:rPr>
            </w:pPr>
            <w:r>
              <w:rPr>
                <w:rFonts w:eastAsiaTheme="minorEastAsia"/>
              </w:rPr>
              <w:t>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36" w:type="pct"/>
            <w:vMerge w:val="restart"/>
            <w:vAlign w:val="center"/>
          </w:tcPr>
          <w:p>
            <w:pPr>
              <w:pStyle w:val="90"/>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w:t>
            </w:r>
          </w:p>
        </w:tc>
        <w:tc>
          <w:tcPr>
            <w:tcW w:w="452" w:type="pct"/>
            <w:vAlign w:val="center"/>
          </w:tcPr>
          <w:p>
            <w:pPr>
              <w:jc w:val="center"/>
              <w:rPr>
                <w:rFonts w:eastAsiaTheme="minorEastAsia"/>
                <w:sz w:val="24"/>
              </w:rPr>
            </w:pPr>
            <w:r>
              <w:rPr>
                <w:rFonts w:hint="eastAsia" w:eastAsiaTheme="minorEastAsia"/>
              </w:rPr>
              <w:t>200</w:t>
            </w:r>
          </w:p>
        </w:tc>
        <w:tc>
          <w:tcPr>
            <w:tcW w:w="661" w:type="pct"/>
            <w:vAlign w:val="center"/>
          </w:tcPr>
          <w:p>
            <w:pPr>
              <w:jc w:val="center"/>
              <w:rPr>
                <w:rFonts w:eastAsiaTheme="minorEastAsia"/>
                <w:sz w:val="24"/>
              </w:rPr>
            </w:pPr>
            <w:r>
              <w:rPr>
                <w:rFonts w:eastAsiaTheme="minorEastAsia"/>
              </w:rPr>
              <w:t>3</w:t>
            </w:r>
            <w:r>
              <w:rPr>
                <w:rFonts w:hint="eastAsia" w:eastAsiaTheme="minorEastAsia"/>
              </w:rPr>
              <w:t>6</w:t>
            </w:r>
            <w:r>
              <w:rPr>
                <w:rFonts w:eastAsiaTheme="minorEastAsia"/>
              </w:rPr>
              <w:t>20</w:t>
            </w:r>
          </w:p>
        </w:tc>
        <w:tc>
          <w:tcPr>
            <w:tcW w:w="712" w:type="pct"/>
            <w:vAlign w:val="center"/>
          </w:tcPr>
          <w:p>
            <w:pPr>
              <w:jc w:val="center"/>
              <w:rPr>
                <w:rFonts w:eastAsiaTheme="minorEastAsia"/>
                <w:sz w:val="24"/>
              </w:rPr>
            </w:pPr>
            <w:r>
              <w:rPr>
                <w:rFonts w:hint="eastAsia" w:eastAsiaTheme="minorEastAsia"/>
              </w:rPr>
              <w:t>2896.22</w:t>
            </w:r>
          </w:p>
        </w:tc>
        <w:tc>
          <w:tcPr>
            <w:tcW w:w="712" w:type="pct"/>
            <w:vAlign w:val="center"/>
          </w:tcPr>
          <w:p>
            <w:pPr>
              <w:jc w:val="center"/>
              <w:rPr>
                <w:rFonts w:eastAsiaTheme="minorEastAsia"/>
                <w:sz w:val="24"/>
              </w:rPr>
            </w:pPr>
            <w:r>
              <w:rPr>
                <w:rFonts w:eastAsiaTheme="minorEastAsia"/>
              </w:rPr>
              <w:t>17.15</w:t>
            </w:r>
          </w:p>
        </w:tc>
        <w:tc>
          <w:tcPr>
            <w:tcW w:w="712" w:type="pct"/>
            <w:vAlign w:val="center"/>
          </w:tcPr>
          <w:p>
            <w:pPr>
              <w:jc w:val="center"/>
              <w:rPr>
                <w:rFonts w:eastAsiaTheme="minorEastAsia"/>
                <w:sz w:val="24"/>
              </w:rPr>
            </w:pPr>
            <w:r>
              <w:rPr>
                <w:rFonts w:eastAsiaTheme="minorEastAsia"/>
              </w:rPr>
              <w:t>0.1516</w:t>
            </w:r>
          </w:p>
        </w:tc>
        <w:tc>
          <w:tcPr>
            <w:tcW w:w="712" w:type="pct"/>
            <w:vAlign w:val="center"/>
          </w:tcPr>
          <w:p>
            <w:pPr>
              <w:jc w:val="center"/>
              <w:rPr>
                <w:rFonts w:eastAsiaTheme="minorEastAsia"/>
                <w:sz w:val="24"/>
              </w:rPr>
            </w:pPr>
            <w:r>
              <w:rPr>
                <w:rFonts w:eastAsiaTheme="minorEastAsia"/>
              </w:rPr>
              <w:t>884.06</w:t>
            </w:r>
          </w:p>
        </w:tc>
        <w:tc>
          <w:tcPr>
            <w:tcW w:w="703" w:type="pct"/>
            <w:vAlign w:val="center"/>
          </w:tcPr>
          <w:p>
            <w:pPr>
              <w:jc w:val="center"/>
              <w:rPr>
                <w:rFonts w:eastAsiaTheme="minorEastAsia"/>
                <w:sz w:val="24"/>
              </w:rPr>
            </w:pPr>
            <w:r>
              <w:rPr>
                <w:rFonts w:eastAsiaTheme="minorEastAsia"/>
              </w:rPr>
              <w:t>7.82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0" w:type="auto"/>
            <w:vMerge w:val="continue"/>
            <w:vAlign w:val="center"/>
          </w:tcPr>
          <w:p>
            <w:pPr>
              <w:pStyle w:val="90"/>
              <w:rPr>
                <w:rFonts w:ascii="Times New Roman" w:hAnsi="Times New Roman" w:cs="Times New Roman"/>
                <w:szCs w:val="21"/>
              </w:rPr>
            </w:pPr>
          </w:p>
        </w:tc>
        <w:tc>
          <w:tcPr>
            <w:tcW w:w="452" w:type="pct"/>
            <w:vAlign w:val="center"/>
          </w:tcPr>
          <w:p>
            <w:pPr>
              <w:jc w:val="center"/>
              <w:rPr>
                <w:rFonts w:eastAsiaTheme="minorEastAsia"/>
                <w:sz w:val="24"/>
              </w:rPr>
            </w:pPr>
            <w:r>
              <w:rPr>
                <w:rFonts w:hint="eastAsia" w:eastAsiaTheme="minorEastAsia"/>
              </w:rPr>
              <w:t>300</w:t>
            </w:r>
          </w:p>
        </w:tc>
        <w:tc>
          <w:tcPr>
            <w:tcW w:w="661" w:type="pct"/>
            <w:vAlign w:val="center"/>
          </w:tcPr>
          <w:p>
            <w:pPr>
              <w:jc w:val="center"/>
              <w:rPr>
                <w:rFonts w:eastAsiaTheme="minorEastAsia"/>
                <w:sz w:val="24"/>
              </w:rPr>
            </w:pPr>
            <w:r>
              <w:rPr>
                <w:rFonts w:eastAsiaTheme="minorEastAsia"/>
              </w:rPr>
              <w:t>3</w:t>
            </w:r>
            <w:r>
              <w:rPr>
                <w:rFonts w:hint="eastAsia" w:eastAsiaTheme="minorEastAsia"/>
              </w:rPr>
              <w:t>6</w:t>
            </w:r>
            <w:r>
              <w:rPr>
                <w:rFonts w:eastAsiaTheme="minorEastAsia"/>
              </w:rPr>
              <w:t>20</w:t>
            </w:r>
          </w:p>
        </w:tc>
        <w:tc>
          <w:tcPr>
            <w:tcW w:w="712" w:type="pct"/>
            <w:vAlign w:val="center"/>
          </w:tcPr>
          <w:p>
            <w:pPr>
              <w:jc w:val="center"/>
              <w:rPr>
                <w:rFonts w:eastAsiaTheme="minorEastAsia"/>
                <w:sz w:val="24"/>
              </w:rPr>
            </w:pPr>
            <w:r>
              <w:rPr>
                <w:rFonts w:hint="eastAsia" w:eastAsiaTheme="minorEastAsia"/>
              </w:rPr>
              <w:t>2896.22</w:t>
            </w:r>
          </w:p>
        </w:tc>
        <w:tc>
          <w:tcPr>
            <w:tcW w:w="712" w:type="pct"/>
            <w:vAlign w:val="center"/>
          </w:tcPr>
          <w:p>
            <w:pPr>
              <w:jc w:val="center"/>
              <w:rPr>
                <w:rFonts w:eastAsiaTheme="minorEastAsia"/>
                <w:sz w:val="24"/>
              </w:rPr>
            </w:pPr>
            <w:r>
              <w:rPr>
                <w:rFonts w:eastAsiaTheme="minorEastAsia"/>
              </w:rPr>
              <w:t>13.61</w:t>
            </w:r>
          </w:p>
        </w:tc>
        <w:tc>
          <w:tcPr>
            <w:tcW w:w="712" w:type="pct"/>
            <w:vAlign w:val="center"/>
          </w:tcPr>
          <w:p>
            <w:pPr>
              <w:jc w:val="center"/>
              <w:rPr>
                <w:rFonts w:eastAsiaTheme="minorEastAsia"/>
                <w:sz w:val="24"/>
              </w:rPr>
            </w:pPr>
            <w:r>
              <w:rPr>
                <w:rFonts w:eastAsiaTheme="minorEastAsia"/>
              </w:rPr>
              <w:t>0.0955</w:t>
            </w:r>
          </w:p>
        </w:tc>
        <w:tc>
          <w:tcPr>
            <w:tcW w:w="712" w:type="pct"/>
            <w:vAlign w:val="center"/>
          </w:tcPr>
          <w:p>
            <w:pPr>
              <w:jc w:val="center"/>
              <w:rPr>
                <w:rFonts w:eastAsiaTheme="minorEastAsia"/>
                <w:sz w:val="24"/>
              </w:rPr>
            </w:pPr>
            <w:r>
              <w:rPr>
                <w:rFonts w:eastAsiaTheme="minorEastAsia"/>
              </w:rPr>
              <w:t>884.06</w:t>
            </w:r>
          </w:p>
        </w:tc>
        <w:tc>
          <w:tcPr>
            <w:tcW w:w="703" w:type="pct"/>
            <w:vAlign w:val="center"/>
          </w:tcPr>
          <w:p>
            <w:pPr>
              <w:jc w:val="center"/>
              <w:rPr>
                <w:rFonts w:eastAsiaTheme="minorEastAsia"/>
                <w:sz w:val="24"/>
              </w:rPr>
            </w:pPr>
            <w:r>
              <w:rPr>
                <w:rFonts w:eastAsiaTheme="minorEastAsia"/>
              </w:rPr>
              <w:t>6.21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pStyle w:val="90"/>
              <w:rPr>
                <w:rFonts w:ascii="Times New Roman" w:hAnsi="Times New Roman" w:cs="Times New Roman"/>
                <w:szCs w:val="21"/>
              </w:rPr>
            </w:pPr>
          </w:p>
        </w:tc>
        <w:tc>
          <w:tcPr>
            <w:tcW w:w="452" w:type="pct"/>
            <w:vAlign w:val="center"/>
          </w:tcPr>
          <w:p>
            <w:pPr>
              <w:jc w:val="center"/>
              <w:rPr>
                <w:rFonts w:eastAsiaTheme="minorEastAsia"/>
                <w:sz w:val="24"/>
              </w:rPr>
            </w:pPr>
            <w:r>
              <w:rPr>
                <w:rFonts w:hint="eastAsia" w:eastAsiaTheme="minorEastAsia"/>
              </w:rPr>
              <w:t>400</w:t>
            </w:r>
          </w:p>
        </w:tc>
        <w:tc>
          <w:tcPr>
            <w:tcW w:w="661" w:type="pct"/>
            <w:vAlign w:val="center"/>
          </w:tcPr>
          <w:p>
            <w:pPr>
              <w:jc w:val="center"/>
              <w:rPr>
                <w:rFonts w:eastAsiaTheme="minorEastAsia"/>
                <w:sz w:val="24"/>
              </w:rPr>
            </w:pPr>
            <w:r>
              <w:rPr>
                <w:rFonts w:eastAsiaTheme="minorEastAsia"/>
              </w:rPr>
              <w:t>3</w:t>
            </w:r>
            <w:r>
              <w:rPr>
                <w:rFonts w:hint="eastAsia" w:eastAsiaTheme="minorEastAsia"/>
              </w:rPr>
              <w:t>6</w:t>
            </w:r>
            <w:r>
              <w:rPr>
                <w:rFonts w:eastAsiaTheme="minorEastAsia"/>
              </w:rPr>
              <w:t>20</w:t>
            </w:r>
          </w:p>
        </w:tc>
        <w:tc>
          <w:tcPr>
            <w:tcW w:w="712" w:type="pct"/>
            <w:vAlign w:val="center"/>
          </w:tcPr>
          <w:p>
            <w:pPr>
              <w:jc w:val="center"/>
              <w:rPr>
                <w:rFonts w:eastAsiaTheme="minorEastAsia"/>
                <w:sz w:val="24"/>
              </w:rPr>
            </w:pPr>
            <w:r>
              <w:rPr>
                <w:rFonts w:hint="eastAsia" w:eastAsiaTheme="minorEastAsia"/>
              </w:rPr>
              <w:t>2896.22</w:t>
            </w:r>
          </w:p>
        </w:tc>
        <w:tc>
          <w:tcPr>
            <w:tcW w:w="712" w:type="pct"/>
            <w:vAlign w:val="center"/>
          </w:tcPr>
          <w:p>
            <w:pPr>
              <w:jc w:val="center"/>
              <w:rPr>
                <w:rFonts w:eastAsiaTheme="minorEastAsia"/>
                <w:sz w:val="24"/>
              </w:rPr>
            </w:pPr>
            <w:r>
              <w:rPr>
                <w:rFonts w:eastAsiaTheme="minorEastAsia"/>
              </w:rPr>
              <w:t>11.28</w:t>
            </w:r>
          </w:p>
        </w:tc>
        <w:tc>
          <w:tcPr>
            <w:tcW w:w="712" w:type="pct"/>
            <w:vAlign w:val="center"/>
          </w:tcPr>
          <w:p>
            <w:pPr>
              <w:jc w:val="center"/>
              <w:rPr>
                <w:rFonts w:eastAsiaTheme="minorEastAsia"/>
                <w:sz w:val="24"/>
              </w:rPr>
            </w:pPr>
            <w:r>
              <w:rPr>
                <w:rFonts w:eastAsiaTheme="minorEastAsia"/>
              </w:rPr>
              <w:t>0.0657</w:t>
            </w:r>
          </w:p>
        </w:tc>
        <w:tc>
          <w:tcPr>
            <w:tcW w:w="712" w:type="pct"/>
            <w:vAlign w:val="center"/>
          </w:tcPr>
          <w:p>
            <w:pPr>
              <w:jc w:val="center"/>
              <w:rPr>
                <w:rFonts w:eastAsiaTheme="minorEastAsia"/>
                <w:sz w:val="24"/>
              </w:rPr>
            </w:pPr>
            <w:r>
              <w:rPr>
                <w:rFonts w:eastAsiaTheme="minorEastAsia"/>
              </w:rPr>
              <w:t>884.06</w:t>
            </w:r>
          </w:p>
        </w:tc>
        <w:tc>
          <w:tcPr>
            <w:tcW w:w="703" w:type="pct"/>
            <w:vAlign w:val="center"/>
          </w:tcPr>
          <w:p>
            <w:pPr>
              <w:jc w:val="center"/>
              <w:rPr>
                <w:rFonts w:eastAsiaTheme="minorEastAsia"/>
                <w:sz w:val="24"/>
              </w:rPr>
            </w:pPr>
            <w:r>
              <w:rPr>
                <w:rFonts w:eastAsiaTheme="minorEastAsia"/>
              </w:rPr>
              <w:t>5.15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pStyle w:val="90"/>
              <w:rPr>
                <w:rFonts w:ascii="Times New Roman" w:hAnsi="Times New Roman" w:cs="Times New Roman"/>
                <w:szCs w:val="21"/>
              </w:rPr>
            </w:pPr>
          </w:p>
        </w:tc>
        <w:tc>
          <w:tcPr>
            <w:tcW w:w="452" w:type="pct"/>
            <w:vAlign w:val="center"/>
          </w:tcPr>
          <w:p>
            <w:pPr>
              <w:jc w:val="center"/>
              <w:rPr>
                <w:rFonts w:eastAsiaTheme="minorEastAsia"/>
                <w:sz w:val="24"/>
              </w:rPr>
            </w:pPr>
            <w:r>
              <w:rPr>
                <w:rFonts w:eastAsiaTheme="minorEastAsia"/>
              </w:rPr>
              <w:t>5</w:t>
            </w:r>
            <w:r>
              <w:rPr>
                <w:rFonts w:hint="eastAsia" w:eastAsiaTheme="minorEastAsia"/>
              </w:rPr>
              <w:t>00</w:t>
            </w:r>
          </w:p>
        </w:tc>
        <w:tc>
          <w:tcPr>
            <w:tcW w:w="661" w:type="pct"/>
            <w:vAlign w:val="center"/>
          </w:tcPr>
          <w:p>
            <w:pPr>
              <w:jc w:val="center"/>
              <w:rPr>
                <w:rFonts w:eastAsiaTheme="minorEastAsia"/>
                <w:sz w:val="24"/>
              </w:rPr>
            </w:pPr>
            <w:r>
              <w:rPr>
                <w:rFonts w:eastAsiaTheme="minorEastAsia"/>
              </w:rPr>
              <w:t>3</w:t>
            </w:r>
            <w:r>
              <w:rPr>
                <w:rFonts w:hint="eastAsia" w:eastAsiaTheme="minorEastAsia"/>
              </w:rPr>
              <w:t>6</w:t>
            </w:r>
            <w:r>
              <w:rPr>
                <w:rFonts w:eastAsiaTheme="minorEastAsia"/>
              </w:rPr>
              <w:t>20</w:t>
            </w:r>
          </w:p>
        </w:tc>
        <w:tc>
          <w:tcPr>
            <w:tcW w:w="712" w:type="pct"/>
            <w:vAlign w:val="center"/>
          </w:tcPr>
          <w:p>
            <w:pPr>
              <w:jc w:val="center"/>
              <w:rPr>
                <w:rFonts w:eastAsiaTheme="minorEastAsia"/>
                <w:sz w:val="24"/>
              </w:rPr>
            </w:pPr>
            <w:r>
              <w:rPr>
                <w:rFonts w:hint="eastAsia" w:eastAsiaTheme="minorEastAsia"/>
              </w:rPr>
              <w:t>2896.22</w:t>
            </w:r>
          </w:p>
        </w:tc>
        <w:tc>
          <w:tcPr>
            <w:tcW w:w="712" w:type="pct"/>
            <w:vAlign w:val="center"/>
          </w:tcPr>
          <w:p>
            <w:pPr>
              <w:jc w:val="center"/>
              <w:rPr>
                <w:rFonts w:eastAsiaTheme="minorEastAsia"/>
                <w:sz w:val="24"/>
              </w:rPr>
            </w:pPr>
            <w:r>
              <w:rPr>
                <w:rFonts w:eastAsiaTheme="minorEastAsia"/>
              </w:rPr>
              <w:t>9.64</w:t>
            </w:r>
          </w:p>
        </w:tc>
        <w:tc>
          <w:tcPr>
            <w:tcW w:w="712" w:type="pct"/>
            <w:vAlign w:val="center"/>
          </w:tcPr>
          <w:p>
            <w:pPr>
              <w:jc w:val="center"/>
              <w:rPr>
                <w:rFonts w:eastAsiaTheme="minorEastAsia"/>
                <w:sz w:val="24"/>
              </w:rPr>
            </w:pPr>
            <w:r>
              <w:rPr>
                <w:rFonts w:eastAsiaTheme="minorEastAsia"/>
              </w:rPr>
              <w:t>0.0479</w:t>
            </w:r>
          </w:p>
        </w:tc>
        <w:tc>
          <w:tcPr>
            <w:tcW w:w="712" w:type="pct"/>
            <w:vAlign w:val="center"/>
          </w:tcPr>
          <w:p>
            <w:pPr>
              <w:jc w:val="center"/>
              <w:rPr>
                <w:rFonts w:eastAsiaTheme="minorEastAsia"/>
                <w:sz w:val="24"/>
              </w:rPr>
            </w:pPr>
            <w:r>
              <w:rPr>
                <w:rFonts w:eastAsiaTheme="minorEastAsia"/>
              </w:rPr>
              <w:t>884.06</w:t>
            </w:r>
          </w:p>
        </w:tc>
        <w:tc>
          <w:tcPr>
            <w:tcW w:w="703" w:type="pct"/>
            <w:vAlign w:val="center"/>
          </w:tcPr>
          <w:p>
            <w:pPr>
              <w:jc w:val="center"/>
              <w:rPr>
                <w:rFonts w:eastAsiaTheme="minorEastAsia"/>
                <w:sz w:val="24"/>
              </w:rPr>
            </w:pPr>
            <w:r>
              <w:rPr>
                <w:rFonts w:eastAsiaTheme="minorEastAsia"/>
              </w:rPr>
              <w:t>4.39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restart"/>
            <w:vAlign w:val="center"/>
          </w:tcPr>
          <w:p>
            <w:pPr>
              <w:pStyle w:val="90"/>
              <w:rPr>
                <w:rFonts w:ascii="Times New Roman" w:hAnsi="Times New Roman" w:cs="Times New Roman"/>
                <w:szCs w:val="21"/>
              </w:rPr>
            </w:pPr>
            <w:r>
              <w:rPr>
                <w:rFonts w:hint="eastAsia" w:ascii="Times New Roman" w:hAnsi="Times New Roman" w:cs="Times New Roman"/>
                <w:szCs w:val="21"/>
              </w:rPr>
              <w:t>8#</w:t>
            </w:r>
          </w:p>
        </w:tc>
        <w:tc>
          <w:tcPr>
            <w:tcW w:w="452" w:type="pct"/>
            <w:vAlign w:val="center"/>
          </w:tcPr>
          <w:p>
            <w:pPr>
              <w:jc w:val="center"/>
              <w:rPr>
                <w:rFonts w:eastAsiaTheme="minorEastAsia"/>
              </w:rPr>
            </w:pPr>
            <w:r>
              <w:rPr>
                <w:rFonts w:hint="eastAsia" w:eastAsiaTheme="minorEastAsia"/>
              </w:rPr>
              <w:t>250</w:t>
            </w:r>
          </w:p>
        </w:tc>
        <w:tc>
          <w:tcPr>
            <w:tcW w:w="661" w:type="pct"/>
            <w:vAlign w:val="center"/>
          </w:tcPr>
          <w:p>
            <w:pPr>
              <w:jc w:val="center"/>
              <w:rPr>
                <w:rFonts w:eastAsiaTheme="minorEastAsia"/>
              </w:rPr>
            </w:pPr>
            <w:r>
              <w:rPr>
                <w:rFonts w:hint="eastAsia" w:eastAsiaTheme="minorEastAsia"/>
              </w:rPr>
              <w:t>2720</w:t>
            </w:r>
          </w:p>
        </w:tc>
        <w:tc>
          <w:tcPr>
            <w:tcW w:w="712" w:type="pct"/>
            <w:vAlign w:val="center"/>
          </w:tcPr>
          <w:p>
            <w:pPr>
              <w:jc w:val="center"/>
              <w:rPr>
                <w:rFonts w:eastAsiaTheme="minorEastAsia"/>
              </w:rPr>
            </w:pPr>
            <w:r>
              <w:rPr>
                <w:rFonts w:hint="eastAsia" w:eastAsiaTheme="minorEastAsia"/>
              </w:rPr>
              <w:t>2176</w:t>
            </w:r>
          </w:p>
        </w:tc>
        <w:tc>
          <w:tcPr>
            <w:tcW w:w="712" w:type="pct"/>
            <w:vAlign w:val="center"/>
          </w:tcPr>
          <w:p>
            <w:pPr>
              <w:jc w:val="center"/>
              <w:rPr>
                <w:rFonts w:eastAsiaTheme="minorEastAsia"/>
                <w:sz w:val="24"/>
              </w:rPr>
            </w:pPr>
            <w:r>
              <w:rPr>
                <w:rFonts w:hint="eastAsia" w:eastAsiaTheme="minorEastAsia"/>
              </w:rPr>
              <w:t>12.56</w:t>
            </w:r>
          </w:p>
        </w:tc>
        <w:tc>
          <w:tcPr>
            <w:tcW w:w="712" w:type="pct"/>
            <w:vAlign w:val="center"/>
          </w:tcPr>
          <w:p>
            <w:pPr>
              <w:jc w:val="center"/>
              <w:rPr>
                <w:rFonts w:eastAsiaTheme="minorEastAsia"/>
                <w:sz w:val="24"/>
              </w:rPr>
            </w:pPr>
            <w:r>
              <w:rPr>
                <w:rFonts w:eastAsiaTheme="minorEastAsia"/>
              </w:rPr>
              <w:t>0.</w:t>
            </w:r>
            <w:r>
              <w:rPr>
                <w:rFonts w:hint="eastAsia" w:eastAsiaTheme="minorEastAsia"/>
              </w:rPr>
              <w:t>1462</w:t>
            </w:r>
          </w:p>
        </w:tc>
        <w:tc>
          <w:tcPr>
            <w:tcW w:w="712" w:type="pct"/>
            <w:vAlign w:val="center"/>
          </w:tcPr>
          <w:p>
            <w:pPr>
              <w:jc w:val="center"/>
              <w:rPr>
                <w:rFonts w:eastAsiaTheme="minorEastAsia"/>
                <w:sz w:val="24"/>
              </w:rPr>
            </w:pPr>
            <w:r>
              <w:rPr>
                <w:rFonts w:hint="eastAsia" w:eastAsiaTheme="minorEastAsia"/>
              </w:rPr>
              <w:t>653</w:t>
            </w:r>
            <w:r>
              <w:rPr>
                <w:rFonts w:eastAsiaTheme="minorEastAsia"/>
              </w:rPr>
              <w:t>.</w:t>
            </w:r>
            <w:r>
              <w:rPr>
                <w:rFonts w:hint="eastAsia" w:eastAsiaTheme="minorEastAsia"/>
              </w:rPr>
              <w:t>28</w:t>
            </w:r>
          </w:p>
        </w:tc>
        <w:tc>
          <w:tcPr>
            <w:tcW w:w="703" w:type="pct"/>
            <w:vAlign w:val="center"/>
          </w:tcPr>
          <w:p>
            <w:pPr>
              <w:jc w:val="center"/>
              <w:rPr>
                <w:rFonts w:eastAsiaTheme="minorEastAsia"/>
                <w:sz w:val="24"/>
              </w:rPr>
            </w:pPr>
            <w:r>
              <w:rPr>
                <w:rFonts w:eastAsiaTheme="minorEastAsia"/>
              </w:rPr>
              <w:t>7.82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7" w:hRule="atLeast"/>
          <w:jc w:val="center"/>
        </w:trPr>
        <w:tc>
          <w:tcPr>
            <w:tcW w:w="0" w:type="auto"/>
            <w:vMerge w:val="continue"/>
            <w:vAlign w:val="center"/>
          </w:tcPr>
          <w:p>
            <w:pPr>
              <w:pStyle w:val="90"/>
              <w:rPr>
                <w:rFonts w:ascii="Times New Roman" w:hAnsi="Times New Roman" w:cs="Times New Roman"/>
                <w:szCs w:val="21"/>
              </w:rPr>
            </w:pPr>
          </w:p>
        </w:tc>
        <w:tc>
          <w:tcPr>
            <w:tcW w:w="452" w:type="pct"/>
            <w:vAlign w:val="center"/>
          </w:tcPr>
          <w:p>
            <w:pPr>
              <w:jc w:val="center"/>
              <w:rPr>
                <w:rFonts w:eastAsiaTheme="minorEastAsia"/>
              </w:rPr>
            </w:pPr>
            <w:r>
              <w:rPr>
                <w:rFonts w:hint="eastAsia" w:eastAsiaTheme="minorEastAsia"/>
              </w:rPr>
              <w:t>350</w:t>
            </w:r>
          </w:p>
        </w:tc>
        <w:tc>
          <w:tcPr>
            <w:tcW w:w="661" w:type="pct"/>
            <w:vAlign w:val="center"/>
          </w:tcPr>
          <w:p>
            <w:pPr>
              <w:jc w:val="center"/>
              <w:rPr>
                <w:rFonts w:eastAsiaTheme="minorEastAsia"/>
              </w:rPr>
            </w:pPr>
            <w:r>
              <w:rPr>
                <w:rFonts w:hint="eastAsia" w:eastAsiaTheme="minorEastAsia"/>
              </w:rPr>
              <w:t>2720</w:t>
            </w:r>
          </w:p>
        </w:tc>
        <w:tc>
          <w:tcPr>
            <w:tcW w:w="712" w:type="pct"/>
            <w:vAlign w:val="center"/>
          </w:tcPr>
          <w:p>
            <w:pPr>
              <w:jc w:val="center"/>
              <w:rPr>
                <w:rFonts w:eastAsiaTheme="minorEastAsia"/>
              </w:rPr>
            </w:pPr>
            <w:r>
              <w:rPr>
                <w:rFonts w:hint="eastAsia" w:eastAsiaTheme="minorEastAsia"/>
              </w:rPr>
              <w:t>2176</w:t>
            </w:r>
          </w:p>
        </w:tc>
        <w:tc>
          <w:tcPr>
            <w:tcW w:w="712" w:type="pct"/>
            <w:vAlign w:val="center"/>
          </w:tcPr>
          <w:p>
            <w:pPr>
              <w:jc w:val="center"/>
              <w:rPr>
                <w:rFonts w:eastAsiaTheme="minorEastAsia"/>
                <w:sz w:val="24"/>
              </w:rPr>
            </w:pPr>
            <w:r>
              <w:rPr>
                <w:rFonts w:hint="eastAsia" w:eastAsiaTheme="minorEastAsia"/>
              </w:rPr>
              <w:t>11.48</w:t>
            </w:r>
          </w:p>
        </w:tc>
        <w:tc>
          <w:tcPr>
            <w:tcW w:w="712" w:type="pct"/>
            <w:vAlign w:val="center"/>
          </w:tcPr>
          <w:p>
            <w:pPr>
              <w:jc w:val="center"/>
              <w:rPr>
                <w:rFonts w:eastAsiaTheme="minorEastAsia"/>
                <w:sz w:val="24"/>
              </w:rPr>
            </w:pPr>
            <w:r>
              <w:rPr>
                <w:rFonts w:eastAsiaTheme="minorEastAsia"/>
              </w:rPr>
              <w:t>0.</w:t>
            </w:r>
            <w:r>
              <w:rPr>
                <w:rFonts w:hint="eastAsia" w:eastAsiaTheme="minorEastAsia"/>
              </w:rPr>
              <w:t>0765</w:t>
            </w:r>
          </w:p>
        </w:tc>
        <w:tc>
          <w:tcPr>
            <w:tcW w:w="712" w:type="pct"/>
            <w:vAlign w:val="center"/>
          </w:tcPr>
          <w:p>
            <w:pPr>
              <w:jc w:val="center"/>
              <w:rPr>
                <w:rFonts w:eastAsiaTheme="minorEastAsia"/>
                <w:sz w:val="24"/>
              </w:rPr>
            </w:pPr>
            <w:r>
              <w:rPr>
                <w:rFonts w:eastAsiaTheme="minorEastAsia"/>
              </w:rPr>
              <w:t>884.06</w:t>
            </w:r>
          </w:p>
        </w:tc>
        <w:tc>
          <w:tcPr>
            <w:tcW w:w="703" w:type="pct"/>
            <w:vAlign w:val="center"/>
          </w:tcPr>
          <w:p>
            <w:pPr>
              <w:jc w:val="center"/>
              <w:rPr>
                <w:rFonts w:eastAsiaTheme="minorEastAsia"/>
                <w:sz w:val="24"/>
              </w:rPr>
            </w:pPr>
            <w:r>
              <w:rPr>
                <w:rFonts w:eastAsiaTheme="minorEastAsia"/>
              </w:rPr>
              <w:t>6.21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pStyle w:val="90"/>
              <w:rPr>
                <w:rFonts w:ascii="Times New Roman" w:hAnsi="Times New Roman" w:cs="Times New Roman"/>
                <w:szCs w:val="21"/>
              </w:rPr>
            </w:pPr>
          </w:p>
        </w:tc>
        <w:tc>
          <w:tcPr>
            <w:tcW w:w="452" w:type="pct"/>
            <w:vAlign w:val="center"/>
          </w:tcPr>
          <w:p>
            <w:pPr>
              <w:jc w:val="center"/>
              <w:rPr>
                <w:rFonts w:eastAsiaTheme="minorEastAsia"/>
              </w:rPr>
            </w:pPr>
            <w:r>
              <w:rPr>
                <w:rFonts w:hint="eastAsia" w:eastAsiaTheme="minorEastAsia"/>
              </w:rPr>
              <w:t>450</w:t>
            </w:r>
          </w:p>
        </w:tc>
        <w:tc>
          <w:tcPr>
            <w:tcW w:w="661" w:type="pct"/>
            <w:vAlign w:val="center"/>
          </w:tcPr>
          <w:p>
            <w:pPr>
              <w:jc w:val="center"/>
              <w:rPr>
                <w:rFonts w:eastAsiaTheme="minorEastAsia"/>
              </w:rPr>
            </w:pPr>
            <w:r>
              <w:rPr>
                <w:rFonts w:hint="eastAsia" w:eastAsiaTheme="minorEastAsia"/>
              </w:rPr>
              <w:t>2720</w:t>
            </w:r>
          </w:p>
        </w:tc>
        <w:tc>
          <w:tcPr>
            <w:tcW w:w="712" w:type="pct"/>
            <w:vAlign w:val="center"/>
          </w:tcPr>
          <w:p>
            <w:pPr>
              <w:jc w:val="center"/>
              <w:rPr>
                <w:rFonts w:eastAsiaTheme="minorEastAsia"/>
              </w:rPr>
            </w:pPr>
            <w:r>
              <w:rPr>
                <w:rFonts w:hint="eastAsia" w:eastAsiaTheme="minorEastAsia"/>
              </w:rPr>
              <w:t>2176</w:t>
            </w:r>
          </w:p>
        </w:tc>
        <w:tc>
          <w:tcPr>
            <w:tcW w:w="712" w:type="pct"/>
            <w:vAlign w:val="center"/>
          </w:tcPr>
          <w:p>
            <w:pPr>
              <w:jc w:val="center"/>
              <w:rPr>
                <w:rFonts w:eastAsiaTheme="minorEastAsia"/>
                <w:sz w:val="24"/>
              </w:rPr>
            </w:pPr>
            <w:r>
              <w:rPr>
                <w:rFonts w:hint="eastAsia" w:eastAsiaTheme="minorEastAsia"/>
              </w:rPr>
              <w:t>10.92</w:t>
            </w:r>
          </w:p>
        </w:tc>
        <w:tc>
          <w:tcPr>
            <w:tcW w:w="712" w:type="pct"/>
            <w:vAlign w:val="center"/>
          </w:tcPr>
          <w:p>
            <w:pPr>
              <w:jc w:val="center"/>
              <w:rPr>
                <w:rFonts w:eastAsiaTheme="minorEastAsia"/>
                <w:sz w:val="24"/>
              </w:rPr>
            </w:pPr>
            <w:r>
              <w:rPr>
                <w:rFonts w:eastAsiaTheme="minorEastAsia"/>
              </w:rPr>
              <w:t>0.0</w:t>
            </w:r>
            <w:r>
              <w:rPr>
                <w:rFonts w:hint="eastAsia" w:eastAsiaTheme="minorEastAsia"/>
              </w:rPr>
              <w:t>598</w:t>
            </w:r>
          </w:p>
        </w:tc>
        <w:tc>
          <w:tcPr>
            <w:tcW w:w="712" w:type="pct"/>
            <w:vAlign w:val="center"/>
          </w:tcPr>
          <w:p>
            <w:pPr>
              <w:jc w:val="center"/>
              <w:rPr>
                <w:rFonts w:eastAsiaTheme="minorEastAsia"/>
                <w:sz w:val="24"/>
              </w:rPr>
            </w:pPr>
            <w:r>
              <w:rPr>
                <w:rFonts w:eastAsiaTheme="minorEastAsia"/>
              </w:rPr>
              <w:t>884.06</w:t>
            </w:r>
          </w:p>
        </w:tc>
        <w:tc>
          <w:tcPr>
            <w:tcW w:w="703" w:type="pct"/>
            <w:vAlign w:val="center"/>
          </w:tcPr>
          <w:p>
            <w:pPr>
              <w:jc w:val="center"/>
              <w:rPr>
                <w:rFonts w:eastAsiaTheme="minorEastAsia"/>
                <w:sz w:val="24"/>
              </w:rPr>
            </w:pPr>
            <w:r>
              <w:rPr>
                <w:rFonts w:eastAsiaTheme="minorEastAsia"/>
              </w:rPr>
              <w:t>5.15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pStyle w:val="90"/>
              <w:rPr>
                <w:rFonts w:ascii="Times New Roman" w:hAnsi="Times New Roman" w:cs="Times New Roman"/>
                <w:szCs w:val="21"/>
              </w:rPr>
            </w:pPr>
          </w:p>
        </w:tc>
        <w:tc>
          <w:tcPr>
            <w:tcW w:w="452" w:type="pct"/>
            <w:vAlign w:val="center"/>
          </w:tcPr>
          <w:p>
            <w:pPr>
              <w:jc w:val="center"/>
              <w:rPr>
                <w:rFonts w:eastAsiaTheme="minorEastAsia"/>
              </w:rPr>
            </w:pPr>
            <w:r>
              <w:rPr>
                <w:rFonts w:hint="eastAsia" w:eastAsiaTheme="minorEastAsia"/>
              </w:rPr>
              <w:t>550</w:t>
            </w:r>
          </w:p>
        </w:tc>
        <w:tc>
          <w:tcPr>
            <w:tcW w:w="661" w:type="pct"/>
            <w:vAlign w:val="center"/>
          </w:tcPr>
          <w:p>
            <w:pPr>
              <w:jc w:val="center"/>
              <w:rPr>
                <w:rFonts w:eastAsiaTheme="minorEastAsia"/>
              </w:rPr>
            </w:pPr>
            <w:r>
              <w:rPr>
                <w:rFonts w:hint="eastAsia" w:eastAsiaTheme="minorEastAsia"/>
              </w:rPr>
              <w:t>2720</w:t>
            </w:r>
          </w:p>
        </w:tc>
        <w:tc>
          <w:tcPr>
            <w:tcW w:w="712" w:type="pct"/>
            <w:vAlign w:val="center"/>
          </w:tcPr>
          <w:p>
            <w:pPr>
              <w:jc w:val="center"/>
              <w:rPr>
                <w:rFonts w:eastAsiaTheme="minorEastAsia"/>
              </w:rPr>
            </w:pPr>
            <w:r>
              <w:rPr>
                <w:rFonts w:hint="eastAsia" w:eastAsiaTheme="minorEastAsia"/>
              </w:rPr>
              <w:t>2176</w:t>
            </w:r>
          </w:p>
        </w:tc>
        <w:tc>
          <w:tcPr>
            <w:tcW w:w="712" w:type="pct"/>
            <w:vAlign w:val="center"/>
          </w:tcPr>
          <w:p>
            <w:pPr>
              <w:jc w:val="center"/>
              <w:rPr>
                <w:rFonts w:eastAsiaTheme="minorEastAsia"/>
                <w:sz w:val="24"/>
              </w:rPr>
            </w:pPr>
            <w:r>
              <w:rPr>
                <w:rFonts w:hint="eastAsia" w:eastAsiaTheme="minorEastAsia"/>
              </w:rPr>
              <w:t>7.65</w:t>
            </w:r>
          </w:p>
        </w:tc>
        <w:tc>
          <w:tcPr>
            <w:tcW w:w="712" w:type="pct"/>
            <w:vAlign w:val="center"/>
          </w:tcPr>
          <w:p>
            <w:pPr>
              <w:jc w:val="center"/>
              <w:rPr>
                <w:rFonts w:eastAsiaTheme="minorEastAsia"/>
                <w:sz w:val="24"/>
              </w:rPr>
            </w:pPr>
            <w:r>
              <w:rPr>
                <w:rFonts w:eastAsiaTheme="minorEastAsia"/>
              </w:rPr>
              <w:t>0.0</w:t>
            </w:r>
            <w:r>
              <w:rPr>
                <w:rFonts w:hint="eastAsia" w:eastAsiaTheme="minorEastAsia"/>
              </w:rPr>
              <w:t>356</w:t>
            </w:r>
          </w:p>
        </w:tc>
        <w:tc>
          <w:tcPr>
            <w:tcW w:w="712" w:type="pct"/>
            <w:vAlign w:val="center"/>
          </w:tcPr>
          <w:p>
            <w:pPr>
              <w:jc w:val="center"/>
              <w:rPr>
                <w:rFonts w:eastAsiaTheme="minorEastAsia"/>
                <w:sz w:val="24"/>
              </w:rPr>
            </w:pPr>
            <w:r>
              <w:rPr>
                <w:rFonts w:eastAsiaTheme="minorEastAsia"/>
              </w:rPr>
              <w:t>884.06</w:t>
            </w:r>
          </w:p>
        </w:tc>
        <w:tc>
          <w:tcPr>
            <w:tcW w:w="703" w:type="pct"/>
            <w:vAlign w:val="center"/>
          </w:tcPr>
          <w:p>
            <w:pPr>
              <w:jc w:val="center"/>
              <w:rPr>
                <w:rFonts w:eastAsiaTheme="minorEastAsia"/>
                <w:sz w:val="24"/>
              </w:rPr>
            </w:pPr>
            <w:r>
              <w:rPr>
                <w:rFonts w:eastAsiaTheme="minorEastAsia"/>
              </w:rPr>
              <w:t>4.39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restart"/>
            <w:vAlign w:val="center"/>
          </w:tcPr>
          <w:p>
            <w:pPr>
              <w:pStyle w:val="90"/>
              <w:rPr>
                <w:rFonts w:ascii="Times New Roman" w:hAnsi="Times New Roman" w:cs="Times New Roman"/>
                <w:szCs w:val="21"/>
              </w:rPr>
            </w:pPr>
            <w:r>
              <w:rPr>
                <w:rFonts w:hint="eastAsia" w:ascii="Times New Roman" w:hAnsi="Times New Roman" w:cs="Times New Roman"/>
                <w:szCs w:val="21"/>
              </w:rPr>
              <w:t>9#</w:t>
            </w:r>
          </w:p>
        </w:tc>
        <w:tc>
          <w:tcPr>
            <w:tcW w:w="452" w:type="pct"/>
            <w:vAlign w:val="center"/>
          </w:tcPr>
          <w:p>
            <w:pPr>
              <w:jc w:val="center"/>
              <w:rPr>
                <w:rFonts w:eastAsiaTheme="minorEastAsia"/>
              </w:rPr>
            </w:pPr>
            <w:r>
              <w:rPr>
                <w:rFonts w:hint="eastAsia" w:eastAsiaTheme="minorEastAsia"/>
              </w:rPr>
              <w:t>300</w:t>
            </w:r>
          </w:p>
        </w:tc>
        <w:tc>
          <w:tcPr>
            <w:tcW w:w="661" w:type="pct"/>
            <w:vAlign w:val="center"/>
          </w:tcPr>
          <w:p>
            <w:pPr>
              <w:jc w:val="center"/>
              <w:rPr>
                <w:rFonts w:eastAsiaTheme="minorEastAsia"/>
              </w:rPr>
            </w:pPr>
            <w:r>
              <w:rPr>
                <w:rFonts w:hint="eastAsia" w:eastAsiaTheme="minorEastAsia"/>
              </w:rPr>
              <w:t>2900</w:t>
            </w:r>
          </w:p>
        </w:tc>
        <w:tc>
          <w:tcPr>
            <w:tcW w:w="712" w:type="pct"/>
            <w:vAlign w:val="center"/>
          </w:tcPr>
          <w:p>
            <w:pPr>
              <w:jc w:val="center"/>
              <w:rPr>
                <w:rFonts w:eastAsiaTheme="minorEastAsia"/>
              </w:rPr>
            </w:pPr>
            <w:r>
              <w:rPr>
                <w:rFonts w:hint="eastAsia" w:eastAsiaTheme="minorEastAsia"/>
              </w:rPr>
              <w:t>2259.21</w:t>
            </w:r>
          </w:p>
        </w:tc>
        <w:tc>
          <w:tcPr>
            <w:tcW w:w="712" w:type="pct"/>
            <w:vAlign w:val="bottom"/>
          </w:tcPr>
          <w:p>
            <w:pPr>
              <w:widowControl/>
              <w:jc w:val="center"/>
              <w:rPr>
                <w:bCs/>
                <w:kern w:val="0"/>
                <w:szCs w:val="21"/>
              </w:rPr>
            </w:pPr>
            <w:r>
              <w:rPr>
                <w:bCs/>
                <w:kern w:val="0"/>
                <w:szCs w:val="21"/>
              </w:rPr>
              <w:t>1</w:t>
            </w:r>
            <w:r>
              <w:rPr>
                <w:rFonts w:hint="eastAsia"/>
                <w:bCs/>
                <w:kern w:val="0"/>
                <w:szCs w:val="21"/>
              </w:rPr>
              <w:t>6</w:t>
            </w:r>
            <w:r>
              <w:rPr>
                <w:bCs/>
                <w:kern w:val="0"/>
                <w:szCs w:val="21"/>
              </w:rPr>
              <w:t>.</w:t>
            </w:r>
            <w:r>
              <w:rPr>
                <w:rFonts w:hint="eastAsia"/>
                <w:bCs/>
                <w:kern w:val="0"/>
                <w:szCs w:val="21"/>
              </w:rPr>
              <w:t>75</w:t>
            </w:r>
          </w:p>
        </w:tc>
        <w:tc>
          <w:tcPr>
            <w:tcW w:w="712" w:type="pct"/>
            <w:vAlign w:val="bottom"/>
          </w:tcPr>
          <w:p>
            <w:pPr>
              <w:widowControl/>
              <w:jc w:val="center"/>
              <w:rPr>
                <w:bCs/>
                <w:kern w:val="0"/>
                <w:szCs w:val="21"/>
              </w:rPr>
            </w:pPr>
            <w:r>
              <w:rPr>
                <w:bCs/>
                <w:kern w:val="0"/>
                <w:szCs w:val="21"/>
              </w:rPr>
              <w:t>0.1</w:t>
            </w:r>
            <w:r>
              <w:rPr>
                <w:rFonts w:hint="eastAsia"/>
                <w:bCs/>
                <w:kern w:val="0"/>
                <w:szCs w:val="21"/>
              </w:rPr>
              <w:t>596</w:t>
            </w:r>
            <w:r>
              <w:rPr>
                <w:bCs/>
                <w:kern w:val="0"/>
                <w:szCs w:val="21"/>
              </w:rPr>
              <w:t xml:space="preserve"> </w:t>
            </w:r>
          </w:p>
        </w:tc>
        <w:tc>
          <w:tcPr>
            <w:tcW w:w="712" w:type="pct"/>
            <w:vAlign w:val="bottom"/>
          </w:tcPr>
          <w:p>
            <w:pPr>
              <w:widowControl/>
              <w:jc w:val="center"/>
              <w:rPr>
                <w:bCs/>
                <w:kern w:val="0"/>
                <w:szCs w:val="21"/>
              </w:rPr>
            </w:pPr>
            <w:r>
              <w:rPr>
                <w:bCs/>
                <w:kern w:val="0"/>
                <w:szCs w:val="21"/>
              </w:rPr>
              <w:t xml:space="preserve">592.60 </w:t>
            </w:r>
          </w:p>
        </w:tc>
        <w:tc>
          <w:tcPr>
            <w:tcW w:w="703" w:type="pct"/>
            <w:vAlign w:val="bottom"/>
          </w:tcPr>
          <w:p>
            <w:pPr>
              <w:widowControl/>
              <w:jc w:val="center"/>
              <w:rPr>
                <w:bCs/>
                <w:kern w:val="0"/>
                <w:szCs w:val="21"/>
              </w:rPr>
            </w:pPr>
            <w:r>
              <w:rPr>
                <w:bCs/>
                <w:kern w:val="0"/>
                <w:szCs w:val="21"/>
              </w:rPr>
              <w:t xml:space="preserve">5.66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pStyle w:val="90"/>
              <w:rPr>
                <w:rFonts w:ascii="Times New Roman" w:hAnsi="Times New Roman" w:cs="Times New Roman"/>
                <w:szCs w:val="21"/>
              </w:rPr>
            </w:pPr>
          </w:p>
        </w:tc>
        <w:tc>
          <w:tcPr>
            <w:tcW w:w="452" w:type="pct"/>
            <w:vAlign w:val="center"/>
          </w:tcPr>
          <w:p>
            <w:pPr>
              <w:jc w:val="center"/>
              <w:rPr>
                <w:rFonts w:eastAsiaTheme="minorEastAsia"/>
              </w:rPr>
            </w:pPr>
            <w:r>
              <w:rPr>
                <w:rFonts w:hint="eastAsia" w:eastAsiaTheme="minorEastAsia"/>
              </w:rPr>
              <w:t>400</w:t>
            </w:r>
          </w:p>
        </w:tc>
        <w:tc>
          <w:tcPr>
            <w:tcW w:w="661" w:type="pct"/>
            <w:vAlign w:val="center"/>
          </w:tcPr>
          <w:p>
            <w:pPr>
              <w:jc w:val="center"/>
              <w:rPr>
                <w:rFonts w:eastAsiaTheme="minorEastAsia"/>
              </w:rPr>
            </w:pPr>
            <w:r>
              <w:rPr>
                <w:rFonts w:hint="eastAsia" w:eastAsiaTheme="minorEastAsia"/>
              </w:rPr>
              <w:t>2900</w:t>
            </w:r>
          </w:p>
        </w:tc>
        <w:tc>
          <w:tcPr>
            <w:tcW w:w="712" w:type="pct"/>
            <w:vAlign w:val="center"/>
          </w:tcPr>
          <w:p>
            <w:pPr>
              <w:jc w:val="center"/>
              <w:rPr>
                <w:rFonts w:eastAsiaTheme="minorEastAsia"/>
              </w:rPr>
            </w:pPr>
            <w:r>
              <w:rPr>
                <w:rFonts w:hint="eastAsia" w:eastAsiaTheme="minorEastAsia"/>
              </w:rPr>
              <w:t>2259.21</w:t>
            </w:r>
          </w:p>
        </w:tc>
        <w:tc>
          <w:tcPr>
            <w:tcW w:w="712" w:type="pct"/>
            <w:vAlign w:val="bottom"/>
          </w:tcPr>
          <w:p>
            <w:pPr>
              <w:widowControl/>
              <w:jc w:val="center"/>
              <w:rPr>
                <w:bCs/>
                <w:kern w:val="0"/>
                <w:szCs w:val="21"/>
              </w:rPr>
            </w:pPr>
            <w:r>
              <w:rPr>
                <w:bCs/>
                <w:kern w:val="0"/>
                <w:szCs w:val="21"/>
              </w:rPr>
              <w:t xml:space="preserve">11.59 </w:t>
            </w:r>
          </w:p>
        </w:tc>
        <w:tc>
          <w:tcPr>
            <w:tcW w:w="712" w:type="pct"/>
            <w:vAlign w:val="bottom"/>
          </w:tcPr>
          <w:p>
            <w:pPr>
              <w:widowControl/>
              <w:jc w:val="center"/>
              <w:rPr>
                <w:bCs/>
                <w:kern w:val="0"/>
                <w:szCs w:val="21"/>
              </w:rPr>
            </w:pPr>
            <w:r>
              <w:rPr>
                <w:bCs/>
                <w:kern w:val="0"/>
                <w:szCs w:val="21"/>
              </w:rPr>
              <w:t xml:space="preserve">0.09 </w:t>
            </w:r>
          </w:p>
        </w:tc>
        <w:tc>
          <w:tcPr>
            <w:tcW w:w="712" w:type="pct"/>
            <w:vAlign w:val="bottom"/>
          </w:tcPr>
          <w:p>
            <w:pPr>
              <w:widowControl/>
              <w:jc w:val="center"/>
              <w:rPr>
                <w:bCs/>
                <w:kern w:val="0"/>
                <w:szCs w:val="21"/>
              </w:rPr>
            </w:pPr>
            <w:r>
              <w:rPr>
                <w:bCs/>
                <w:kern w:val="0"/>
                <w:szCs w:val="21"/>
              </w:rPr>
              <w:t xml:space="preserve">592.60 </w:t>
            </w:r>
          </w:p>
        </w:tc>
        <w:tc>
          <w:tcPr>
            <w:tcW w:w="703" w:type="pct"/>
            <w:vAlign w:val="bottom"/>
          </w:tcPr>
          <w:p>
            <w:pPr>
              <w:widowControl/>
              <w:jc w:val="center"/>
              <w:rPr>
                <w:bCs/>
                <w:kern w:val="0"/>
                <w:szCs w:val="21"/>
              </w:rPr>
            </w:pPr>
            <w:r>
              <w:rPr>
                <w:bCs/>
                <w:kern w:val="0"/>
                <w:szCs w:val="21"/>
              </w:rPr>
              <w:t xml:space="preserve">4.40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pStyle w:val="90"/>
              <w:rPr>
                <w:rFonts w:ascii="Times New Roman" w:hAnsi="Times New Roman" w:cs="Times New Roman"/>
                <w:szCs w:val="21"/>
              </w:rPr>
            </w:pPr>
          </w:p>
        </w:tc>
        <w:tc>
          <w:tcPr>
            <w:tcW w:w="452" w:type="pct"/>
            <w:vAlign w:val="center"/>
          </w:tcPr>
          <w:p>
            <w:pPr>
              <w:jc w:val="center"/>
              <w:rPr>
                <w:rFonts w:eastAsiaTheme="minorEastAsia"/>
              </w:rPr>
            </w:pPr>
            <w:r>
              <w:rPr>
                <w:rFonts w:hint="eastAsia" w:eastAsiaTheme="minorEastAsia"/>
              </w:rPr>
              <w:t>500</w:t>
            </w:r>
          </w:p>
        </w:tc>
        <w:tc>
          <w:tcPr>
            <w:tcW w:w="661" w:type="pct"/>
            <w:vAlign w:val="center"/>
          </w:tcPr>
          <w:p>
            <w:pPr>
              <w:jc w:val="center"/>
              <w:rPr>
                <w:rFonts w:eastAsiaTheme="minorEastAsia"/>
              </w:rPr>
            </w:pPr>
            <w:r>
              <w:rPr>
                <w:rFonts w:hint="eastAsia" w:eastAsiaTheme="minorEastAsia"/>
              </w:rPr>
              <w:t>2900</w:t>
            </w:r>
          </w:p>
        </w:tc>
        <w:tc>
          <w:tcPr>
            <w:tcW w:w="712" w:type="pct"/>
            <w:vAlign w:val="center"/>
          </w:tcPr>
          <w:p>
            <w:pPr>
              <w:jc w:val="center"/>
              <w:rPr>
                <w:rFonts w:eastAsiaTheme="minorEastAsia"/>
              </w:rPr>
            </w:pPr>
            <w:r>
              <w:rPr>
                <w:rFonts w:hint="eastAsia" w:eastAsiaTheme="minorEastAsia"/>
              </w:rPr>
              <w:t>2259.21</w:t>
            </w:r>
          </w:p>
        </w:tc>
        <w:tc>
          <w:tcPr>
            <w:tcW w:w="712" w:type="pct"/>
            <w:vAlign w:val="bottom"/>
          </w:tcPr>
          <w:p>
            <w:pPr>
              <w:widowControl/>
              <w:jc w:val="center"/>
              <w:rPr>
                <w:bCs/>
                <w:kern w:val="0"/>
                <w:szCs w:val="21"/>
              </w:rPr>
            </w:pPr>
            <w:r>
              <w:rPr>
                <w:bCs/>
                <w:kern w:val="0"/>
                <w:szCs w:val="21"/>
              </w:rPr>
              <w:t xml:space="preserve">9.48 </w:t>
            </w:r>
          </w:p>
        </w:tc>
        <w:tc>
          <w:tcPr>
            <w:tcW w:w="712" w:type="pct"/>
            <w:vAlign w:val="bottom"/>
          </w:tcPr>
          <w:p>
            <w:pPr>
              <w:widowControl/>
              <w:jc w:val="center"/>
              <w:rPr>
                <w:bCs/>
                <w:kern w:val="0"/>
                <w:szCs w:val="21"/>
              </w:rPr>
            </w:pPr>
            <w:r>
              <w:rPr>
                <w:bCs/>
                <w:kern w:val="0"/>
                <w:szCs w:val="21"/>
              </w:rPr>
              <w:t xml:space="preserve">0.06 </w:t>
            </w:r>
          </w:p>
        </w:tc>
        <w:tc>
          <w:tcPr>
            <w:tcW w:w="712" w:type="pct"/>
            <w:vAlign w:val="bottom"/>
          </w:tcPr>
          <w:p>
            <w:pPr>
              <w:widowControl/>
              <w:jc w:val="center"/>
              <w:rPr>
                <w:bCs/>
                <w:kern w:val="0"/>
                <w:szCs w:val="21"/>
              </w:rPr>
            </w:pPr>
            <w:r>
              <w:rPr>
                <w:bCs/>
                <w:kern w:val="0"/>
                <w:szCs w:val="21"/>
              </w:rPr>
              <w:t xml:space="preserve">592.60 </w:t>
            </w:r>
          </w:p>
        </w:tc>
        <w:tc>
          <w:tcPr>
            <w:tcW w:w="703" w:type="pct"/>
            <w:vAlign w:val="bottom"/>
          </w:tcPr>
          <w:p>
            <w:pPr>
              <w:widowControl/>
              <w:jc w:val="center"/>
              <w:rPr>
                <w:bCs/>
                <w:kern w:val="0"/>
                <w:szCs w:val="21"/>
              </w:rPr>
            </w:pPr>
            <w:r>
              <w:rPr>
                <w:bCs/>
                <w:kern w:val="0"/>
                <w:szCs w:val="21"/>
              </w:rPr>
              <w:t xml:space="preserve">3.60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0" w:type="auto"/>
            <w:vMerge w:val="continue"/>
            <w:vAlign w:val="center"/>
          </w:tcPr>
          <w:p>
            <w:pPr>
              <w:pStyle w:val="90"/>
              <w:rPr>
                <w:rFonts w:ascii="Times New Roman" w:hAnsi="Times New Roman" w:cs="Times New Roman"/>
                <w:szCs w:val="21"/>
              </w:rPr>
            </w:pPr>
          </w:p>
        </w:tc>
        <w:tc>
          <w:tcPr>
            <w:tcW w:w="452" w:type="pct"/>
            <w:vAlign w:val="center"/>
          </w:tcPr>
          <w:p>
            <w:pPr>
              <w:jc w:val="center"/>
              <w:rPr>
                <w:rFonts w:eastAsiaTheme="minorEastAsia"/>
              </w:rPr>
            </w:pPr>
            <w:r>
              <w:rPr>
                <w:rFonts w:hint="eastAsia" w:eastAsiaTheme="minorEastAsia"/>
              </w:rPr>
              <w:t>600</w:t>
            </w:r>
          </w:p>
        </w:tc>
        <w:tc>
          <w:tcPr>
            <w:tcW w:w="661" w:type="pct"/>
            <w:vAlign w:val="center"/>
          </w:tcPr>
          <w:p>
            <w:pPr>
              <w:jc w:val="center"/>
              <w:rPr>
                <w:rFonts w:eastAsiaTheme="minorEastAsia"/>
              </w:rPr>
            </w:pPr>
            <w:r>
              <w:rPr>
                <w:rFonts w:hint="eastAsia" w:eastAsiaTheme="minorEastAsia"/>
              </w:rPr>
              <w:t>2900</w:t>
            </w:r>
          </w:p>
        </w:tc>
        <w:tc>
          <w:tcPr>
            <w:tcW w:w="712" w:type="pct"/>
            <w:vAlign w:val="center"/>
          </w:tcPr>
          <w:p>
            <w:pPr>
              <w:jc w:val="center"/>
              <w:rPr>
                <w:rFonts w:eastAsiaTheme="minorEastAsia"/>
              </w:rPr>
            </w:pPr>
            <w:r>
              <w:rPr>
                <w:rFonts w:hint="eastAsia" w:eastAsiaTheme="minorEastAsia"/>
              </w:rPr>
              <w:t>2259.21</w:t>
            </w:r>
          </w:p>
        </w:tc>
        <w:tc>
          <w:tcPr>
            <w:tcW w:w="712" w:type="pct"/>
            <w:vAlign w:val="bottom"/>
          </w:tcPr>
          <w:p>
            <w:pPr>
              <w:widowControl/>
              <w:jc w:val="center"/>
              <w:rPr>
                <w:bCs/>
                <w:kern w:val="0"/>
                <w:szCs w:val="21"/>
              </w:rPr>
            </w:pPr>
            <w:r>
              <w:rPr>
                <w:bCs/>
                <w:kern w:val="0"/>
                <w:szCs w:val="21"/>
              </w:rPr>
              <w:t xml:space="preserve">8.69 </w:t>
            </w:r>
          </w:p>
        </w:tc>
        <w:tc>
          <w:tcPr>
            <w:tcW w:w="712" w:type="pct"/>
            <w:vAlign w:val="bottom"/>
          </w:tcPr>
          <w:p>
            <w:pPr>
              <w:widowControl/>
              <w:jc w:val="center"/>
              <w:rPr>
                <w:bCs/>
                <w:kern w:val="0"/>
                <w:szCs w:val="21"/>
              </w:rPr>
            </w:pPr>
            <w:r>
              <w:rPr>
                <w:bCs/>
                <w:kern w:val="0"/>
                <w:szCs w:val="21"/>
              </w:rPr>
              <w:t xml:space="preserve">0.05 </w:t>
            </w:r>
          </w:p>
        </w:tc>
        <w:tc>
          <w:tcPr>
            <w:tcW w:w="712" w:type="pct"/>
            <w:vAlign w:val="bottom"/>
          </w:tcPr>
          <w:p>
            <w:pPr>
              <w:widowControl/>
              <w:jc w:val="center"/>
              <w:rPr>
                <w:bCs/>
                <w:kern w:val="0"/>
                <w:szCs w:val="21"/>
              </w:rPr>
            </w:pPr>
            <w:r>
              <w:rPr>
                <w:bCs/>
                <w:kern w:val="0"/>
                <w:szCs w:val="21"/>
              </w:rPr>
              <w:t xml:space="preserve">592.60 </w:t>
            </w:r>
          </w:p>
        </w:tc>
        <w:tc>
          <w:tcPr>
            <w:tcW w:w="703" w:type="pct"/>
            <w:vAlign w:val="bottom"/>
          </w:tcPr>
          <w:p>
            <w:pPr>
              <w:widowControl/>
              <w:jc w:val="center"/>
              <w:rPr>
                <w:bCs/>
                <w:kern w:val="0"/>
                <w:szCs w:val="21"/>
              </w:rPr>
            </w:pPr>
            <w:r>
              <w:rPr>
                <w:bCs/>
                <w:kern w:val="0"/>
                <w:szCs w:val="21"/>
              </w:rPr>
              <w:t xml:space="preserve">3.30 </w:t>
            </w:r>
          </w:p>
        </w:tc>
      </w:tr>
    </w:tbl>
    <w:p>
      <w:pPr>
        <w:jc w:val="center"/>
        <w:rPr>
          <w:rFonts w:eastAsiaTheme="minorEastAsia"/>
          <w:szCs w:val="21"/>
          <w:highlight w:val="yellow"/>
        </w:rPr>
      </w:pPr>
    </w:p>
    <w:p>
      <w:pPr>
        <w:spacing w:line="360" w:lineRule="auto"/>
        <w:outlineLvl w:val="3"/>
        <w:rPr>
          <w:rFonts w:eastAsiaTheme="minorEastAsia"/>
          <w:b/>
          <w:sz w:val="24"/>
        </w:rPr>
      </w:pPr>
      <w:r>
        <w:rPr>
          <w:rFonts w:eastAsiaTheme="minorEastAsia"/>
          <w:b/>
          <w:sz w:val="24"/>
        </w:rPr>
        <w:t>5.1.</w:t>
      </w:r>
      <w:r>
        <w:rPr>
          <w:rFonts w:hint="eastAsia" w:eastAsiaTheme="minorEastAsia"/>
          <w:b/>
          <w:sz w:val="24"/>
        </w:rPr>
        <w:t>3</w:t>
      </w:r>
      <w:r>
        <w:rPr>
          <w:rFonts w:eastAsiaTheme="minorEastAsia"/>
          <w:b/>
          <w:sz w:val="24"/>
        </w:rPr>
        <w:t>.3</w:t>
      </w:r>
      <w:r>
        <w:rPr>
          <w:rFonts w:hAnsiTheme="minorEastAsia" w:eastAsiaTheme="minorEastAsia"/>
          <w:b/>
          <w:sz w:val="24"/>
        </w:rPr>
        <w:t>地表沉陷影响范围预测结果</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）首</w:t>
      </w:r>
      <w:r>
        <w:rPr>
          <w:rFonts w:hAnsiTheme="minorEastAsia" w:eastAsiaTheme="minorEastAsia"/>
          <w:spacing w:val="4"/>
          <w:sz w:val="24"/>
        </w:rPr>
        <w:t>采区</w:t>
      </w:r>
    </w:p>
    <w:p>
      <w:pPr>
        <w:spacing w:line="360" w:lineRule="auto"/>
        <w:ind w:firstLine="480" w:firstLineChars="200"/>
        <w:rPr>
          <w:rFonts w:eastAsiaTheme="minorEastAsia"/>
          <w:sz w:val="24"/>
        </w:rPr>
      </w:pPr>
      <w:r>
        <w:rPr>
          <w:rFonts w:hAnsiTheme="minorEastAsia" w:eastAsiaTheme="minorEastAsia"/>
          <w:sz w:val="24"/>
        </w:rPr>
        <w:t>本次配采首采区为</w:t>
      </w:r>
      <w:r>
        <w:rPr>
          <w:rFonts w:hint="eastAsia" w:eastAsiaTheme="minorEastAsia"/>
          <w:sz w:val="24"/>
        </w:rPr>
        <w:t>5</w:t>
      </w:r>
      <w:r>
        <w:rPr>
          <w:rFonts w:hAnsiTheme="minorEastAsia" w:eastAsiaTheme="minorEastAsia"/>
          <w:sz w:val="24"/>
        </w:rPr>
        <w:t>号煤</w:t>
      </w:r>
      <w:r>
        <w:rPr>
          <w:rFonts w:hint="eastAsia" w:hAnsiTheme="minorEastAsia" w:eastAsiaTheme="minorEastAsia"/>
          <w:sz w:val="24"/>
        </w:rPr>
        <w:t>西一采</w:t>
      </w:r>
      <w:r>
        <w:rPr>
          <w:rFonts w:hAnsiTheme="minorEastAsia" w:eastAsiaTheme="minorEastAsia"/>
          <w:sz w:val="24"/>
        </w:rPr>
        <w:t>区</w:t>
      </w:r>
      <w:r>
        <w:rPr>
          <w:rFonts w:hint="eastAsia" w:hAnsiTheme="minorEastAsia" w:eastAsiaTheme="minorEastAsia"/>
          <w:sz w:val="24"/>
        </w:rPr>
        <w:t>，</w:t>
      </w:r>
      <w:r>
        <w:rPr>
          <w:rFonts w:hAnsiTheme="minorEastAsia" w:eastAsiaTheme="minorEastAsia"/>
          <w:sz w:val="24"/>
        </w:rPr>
        <w:t>本矿首采区沉陷面积为</w:t>
      </w:r>
      <w:r>
        <w:rPr>
          <w:rFonts w:hint="eastAsia" w:eastAsiaTheme="minorEastAsia"/>
          <w:sz w:val="24"/>
        </w:rPr>
        <w:t>0.26</w:t>
      </w:r>
      <w:r>
        <w:rPr>
          <w:rFonts w:eastAsiaTheme="minorEastAsia"/>
          <w:sz w:val="24"/>
        </w:rPr>
        <w:t>km</w:t>
      </w:r>
      <w:r>
        <w:rPr>
          <w:rFonts w:eastAsiaTheme="minorEastAsia"/>
          <w:sz w:val="24"/>
          <w:vertAlign w:val="superscript"/>
        </w:rPr>
        <w:t>2</w:t>
      </w:r>
      <w:r>
        <w:rPr>
          <w:rFonts w:hAnsiTheme="minorEastAsia" w:eastAsiaTheme="minorEastAsia"/>
          <w:sz w:val="24"/>
        </w:rPr>
        <w:t>，其中沉陷值在</w:t>
      </w:r>
      <w:r>
        <w:rPr>
          <w:rFonts w:eastAsiaTheme="minorEastAsia"/>
          <w:sz w:val="24"/>
        </w:rPr>
        <w:t>-</w:t>
      </w:r>
      <w:r>
        <w:rPr>
          <w:rFonts w:hint="eastAsia" w:eastAsiaTheme="minorEastAsia"/>
          <w:sz w:val="24"/>
        </w:rPr>
        <w:t>2896.22</w:t>
      </w:r>
      <w:r>
        <w:rPr>
          <w:rFonts w:eastAsiaTheme="minorEastAsia"/>
          <w:sz w:val="24"/>
        </w:rPr>
        <w:t>mm</w:t>
      </w:r>
      <w:r>
        <w:rPr>
          <w:rFonts w:hAnsiTheme="minorEastAsia" w:eastAsiaTheme="minorEastAsia"/>
          <w:sz w:val="24"/>
        </w:rPr>
        <w:t>以上的面积为</w:t>
      </w:r>
      <w:r>
        <w:rPr>
          <w:rFonts w:hint="eastAsia" w:eastAsiaTheme="minorEastAsia"/>
          <w:sz w:val="24"/>
        </w:rPr>
        <w:t>0.08</w:t>
      </w:r>
      <w:r>
        <w:rPr>
          <w:rFonts w:eastAsiaTheme="minorEastAsia"/>
          <w:sz w:val="24"/>
        </w:rPr>
        <w:t>km</w:t>
      </w:r>
      <w:r>
        <w:rPr>
          <w:rFonts w:eastAsiaTheme="minorEastAsia"/>
          <w:sz w:val="24"/>
          <w:vertAlign w:val="superscript"/>
        </w:rPr>
        <w:t>2</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项目首采区地表沉陷范围预测结果，详见表</w:t>
      </w:r>
      <w:r>
        <w:rPr>
          <w:rFonts w:eastAsiaTheme="minorEastAsia"/>
          <w:sz w:val="24"/>
        </w:rPr>
        <w:t>5.1-</w:t>
      </w:r>
      <w:r>
        <w:rPr>
          <w:rFonts w:hint="eastAsia" w:eastAsiaTheme="minorEastAsia"/>
          <w:sz w:val="24"/>
        </w:rPr>
        <w:t>6</w:t>
      </w:r>
      <w:r>
        <w:rPr>
          <w:rFonts w:hAnsiTheme="minorEastAsia" w:eastAsiaTheme="minorEastAsia"/>
          <w:sz w:val="24"/>
        </w:rPr>
        <w:t>。首采区地表沉陷等值线图，见图</w:t>
      </w:r>
      <w:r>
        <w:rPr>
          <w:rFonts w:eastAsiaTheme="minorEastAsia"/>
          <w:sz w:val="24"/>
        </w:rPr>
        <w:t>5.1-1</w:t>
      </w:r>
      <w:r>
        <w:rPr>
          <w:rFonts w:hAnsiTheme="minorEastAsia" w:eastAsiaTheme="minorEastAsia"/>
          <w:sz w:val="24"/>
        </w:rPr>
        <w:t>。</w:t>
      </w:r>
    </w:p>
    <w:p>
      <w:pPr>
        <w:pStyle w:val="96"/>
        <w:adjustRightInd/>
        <w:snapToGrid/>
        <w:spacing w:beforeLines="0" w:line="360" w:lineRule="auto"/>
        <w:rPr>
          <w:rFonts w:ascii="Times New Roman" w:hAnsi="Times New Roman" w:cs="Times New Roman"/>
        </w:rPr>
      </w:pPr>
      <w:r>
        <w:rPr>
          <w:rFonts w:ascii="Times New Roman" w:cs="Times New Roman" w:hAnsiTheme="minorEastAsia"/>
        </w:rPr>
        <w:t>表</w:t>
      </w:r>
      <w:r>
        <w:rPr>
          <w:rFonts w:ascii="Times New Roman" w:hAnsi="Times New Roman" w:cs="Times New Roman"/>
        </w:rPr>
        <w:t>5.1-</w:t>
      </w:r>
      <w:r>
        <w:rPr>
          <w:rFonts w:hint="eastAsia" w:ascii="Times New Roman" w:hAnsi="Times New Roman" w:cs="Times New Roman"/>
        </w:rPr>
        <w:t>6</w:t>
      </w:r>
      <w:r>
        <w:rPr>
          <w:rFonts w:ascii="Times New Roman" w:cs="Times New Roman" w:hAnsiTheme="minorEastAsia"/>
        </w:rPr>
        <w:t>本项目首采区地表沉陷范围预测结果</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8"/>
        <w:gridCol w:w="1137"/>
        <w:gridCol w:w="1272"/>
        <w:gridCol w:w="1133"/>
        <w:gridCol w:w="1135"/>
        <w:gridCol w:w="1135"/>
        <w:gridCol w:w="1135"/>
        <w:gridCol w:w="12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1" w:type="pct"/>
            <w:vAlign w:val="center"/>
          </w:tcPr>
          <w:p>
            <w:pPr>
              <w:pStyle w:val="90"/>
              <w:rPr>
                <w:rFonts w:ascii="Times New Roman" w:hAnsi="Times New Roman" w:cs="Times New Roman"/>
                <w:szCs w:val="21"/>
              </w:rPr>
            </w:pPr>
            <w:r>
              <w:rPr>
                <w:rFonts w:ascii="Times New Roman" w:cs="Times New Roman" w:hAnsiTheme="minorEastAsia"/>
                <w:szCs w:val="21"/>
              </w:rPr>
              <w:t>采区</w:t>
            </w:r>
          </w:p>
        </w:tc>
        <w:tc>
          <w:tcPr>
            <w:tcW w:w="612" w:type="pct"/>
            <w:vAlign w:val="center"/>
          </w:tcPr>
          <w:p>
            <w:pPr>
              <w:pStyle w:val="90"/>
              <w:rPr>
                <w:rFonts w:ascii="Times New Roman" w:hAnsi="Times New Roman" w:cs="Times New Roman"/>
                <w:szCs w:val="21"/>
              </w:rPr>
            </w:pPr>
            <w:r>
              <w:rPr>
                <w:rFonts w:ascii="Times New Roman" w:cs="Times New Roman" w:hAnsiTheme="minorEastAsia"/>
                <w:szCs w:val="21"/>
              </w:rPr>
              <w:t>开采煤层</w:t>
            </w:r>
          </w:p>
        </w:tc>
        <w:tc>
          <w:tcPr>
            <w:tcW w:w="685" w:type="pct"/>
            <w:vAlign w:val="center"/>
          </w:tcPr>
          <w:p>
            <w:pPr>
              <w:pStyle w:val="90"/>
              <w:rPr>
                <w:rFonts w:ascii="Times New Roman" w:hAnsi="Times New Roman" w:cs="Times New Roman"/>
                <w:szCs w:val="21"/>
              </w:rPr>
            </w:pPr>
            <w:r>
              <w:rPr>
                <w:rFonts w:ascii="Times New Roman" w:hAnsi="Times New Roman" w:cs="Times New Roman"/>
                <w:szCs w:val="21"/>
              </w:rPr>
              <w:t>W</w:t>
            </w:r>
            <w:r>
              <w:rPr>
                <w:rFonts w:ascii="Times New Roman" w:cs="Times New Roman" w:hAnsiTheme="minorEastAsia"/>
                <w:szCs w:val="21"/>
              </w:rPr>
              <w:t>（</w:t>
            </w:r>
            <w:r>
              <w:rPr>
                <w:rFonts w:ascii="Times New Roman" w:hAnsi="Times New Roman" w:cs="Times New Roman"/>
                <w:szCs w:val="21"/>
              </w:rPr>
              <w:t>mm</w:t>
            </w:r>
            <w:r>
              <w:rPr>
                <w:rFonts w:ascii="Times New Roman" w:cs="Times New Roman" w:hAnsiTheme="minorEastAsia"/>
                <w:szCs w:val="21"/>
              </w:rPr>
              <w:t>）</w:t>
            </w:r>
          </w:p>
        </w:tc>
        <w:tc>
          <w:tcPr>
            <w:tcW w:w="610" w:type="pct"/>
            <w:vAlign w:val="center"/>
          </w:tcPr>
          <w:p>
            <w:pPr>
              <w:pStyle w:val="90"/>
              <w:rPr>
                <w:rFonts w:ascii="Times New Roman" w:hAnsi="Times New Roman" w:cs="Times New Roman"/>
                <w:szCs w:val="21"/>
              </w:rPr>
            </w:pPr>
            <w:r>
              <w:rPr>
                <w:rFonts w:ascii="Times New Roman" w:hAnsi="Times New Roman" w:cs="Times New Roman"/>
                <w:szCs w:val="21"/>
              </w:rPr>
              <w:t>Icm</w:t>
            </w:r>
          </w:p>
          <w:p>
            <w:pPr>
              <w:pStyle w:val="90"/>
              <w:rPr>
                <w:rFonts w:ascii="Times New Roman" w:hAnsi="Times New Roman" w:cs="Times New Roman"/>
                <w:szCs w:val="21"/>
              </w:rPr>
            </w:pPr>
            <w:r>
              <w:rPr>
                <w:rFonts w:ascii="Times New Roman" w:hAnsi="Times New Roman" w:cs="Times New Roman"/>
                <w:szCs w:val="21"/>
              </w:rPr>
              <w:t>(mm/m)</w:t>
            </w:r>
          </w:p>
        </w:tc>
        <w:tc>
          <w:tcPr>
            <w:tcW w:w="611" w:type="pct"/>
            <w:vAlign w:val="center"/>
          </w:tcPr>
          <w:p>
            <w:pPr>
              <w:pStyle w:val="90"/>
              <w:rPr>
                <w:rFonts w:ascii="Times New Roman" w:hAnsi="Times New Roman" w:cs="Times New Roman"/>
                <w:szCs w:val="21"/>
              </w:rPr>
            </w:pPr>
            <w:r>
              <w:rPr>
                <w:rFonts w:ascii="Times New Roman" w:hAnsi="Times New Roman" w:cs="Times New Roman"/>
                <w:szCs w:val="21"/>
              </w:rPr>
              <w:t>Kcm</w:t>
            </w:r>
          </w:p>
          <w:p>
            <w:pPr>
              <w:pStyle w:val="90"/>
              <w:rPr>
                <w:rFonts w:ascii="Times New Roman" w:hAnsi="Times New Roman" w:cs="Times New Roman"/>
                <w:szCs w:val="21"/>
              </w:rPr>
            </w:pPr>
            <w:r>
              <w:rPr>
                <w:rFonts w:ascii="Times New Roman" w:hAnsi="Times New Roman" w:cs="Times New Roman"/>
                <w:szCs w:val="21"/>
              </w:rPr>
              <w:t>(10</w:t>
            </w:r>
            <w:r>
              <w:rPr>
                <w:rFonts w:ascii="Times New Roman" w:hAnsi="Times New Roman" w:cs="Times New Roman"/>
                <w:szCs w:val="21"/>
                <w:vertAlign w:val="superscript"/>
              </w:rPr>
              <w:t>-3</w:t>
            </w:r>
            <w:r>
              <w:rPr>
                <w:rFonts w:ascii="Times New Roman" w:hAnsi="Times New Roman" w:cs="Times New Roman"/>
                <w:szCs w:val="21"/>
              </w:rPr>
              <w:t>/m)</w:t>
            </w:r>
          </w:p>
        </w:tc>
        <w:tc>
          <w:tcPr>
            <w:tcW w:w="611" w:type="pct"/>
            <w:vAlign w:val="center"/>
          </w:tcPr>
          <w:p>
            <w:pPr>
              <w:pStyle w:val="90"/>
              <w:rPr>
                <w:rFonts w:ascii="Times New Roman" w:hAnsi="Times New Roman" w:cs="Times New Roman"/>
                <w:szCs w:val="21"/>
              </w:rPr>
            </w:pPr>
            <w:r>
              <w:rPr>
                <w:rFonts w:ascii="Times New Roman" w:hAnsi="Times New Roman" w:cs="Times New Roman"/>
                <w:szCs w:val="21"/>
              </w:rPr>
              <w:t>U</w:t>
            </w:r>
            <w:r>
              <w:rPr>
                <w:rFonts w:ascii="Times New Roman" w:cs="Times New Roman" w:hAnsiTheme="minorEastAsia"/>
                <w:szCs w:val="21"/>
              </w:rPr>
              <w:t>（</w:t>
            </w:r>
            <w:r>
              <w:rPr>
                <w:rFonts w:ascii="Times New Roman" w:hAnsi="Times New Roman" w:cs="Times New Roman"/>
                <w:szCs w:val="21"/>
              </w:rPr>
              <w:t>cm</w:t>
            </w:r>
            <w:r>
              <w:rPr>
                <w:rFonts w:ascii="Times New Roman" w:cs="Times New Roman" w:hAnsiTheme="minorEastAsia"/>
                <w:szCs w:val="21"/>
              </w:rPr>
              <w:t>）</w:t>
            </w:r>
          </w:p>
        </w:tc>
        <w:tc>
          <w:tcPr>
            <w:tcW w:w="611" w:type="pct"/>
            <w:vAlign w:val="center"/>
          </w:tcPr>
          <w:p>
            <w:pPr>
              <w:pStyle w:val="90"/>
              <w:rPr>
                <w:rFonts w:ascii="Times New Roman" w:hAnsi="Times New Roman" w:cs="Times New Roman"/>
                <w:szCs w:val="21"/>
              </w:rPr>
            </w:pPr>
            <w:r>
              <w:rPr>
                <w:rFonts w:ascii="Times New Roman" w:hAnsi="Times New Roman" w:cs="Times New Roman"/>
                <w:szCs w:val="21"/>
              </w:rPr>
              <w:t>Εcm</w:t>
            </w:r>
          </w:p>
          <w:p>
            <w:pPr>
              <w:pStyle w:val="90"/>
              <w:rPr>
                <w:rFonts w:ascii="Times New Roman" w:hAnsi="Times New Roman" w:cs="Times New Roman"/>
                <w:szCs w:val="21"/>
              </w:rPr>
            </w:pPr>
            <w:r>
              <w:rPr>
                <w:rFonts w:ascii="Times New Roman" w:hAnsi="Times New Roman" w:cs="Times New Roman"/>
                <w:szCs w:val="21"/>
              </w:rPr>
              <w:t>(mm/m)</w:t>
            </w:r>
          </w:p>
        </w:tc>
        <w:tc>
          <w:tcPr>
            <w:tcW w:w="668" w:type="pct"/>
            <w:vAlign w:val="center"/>
          </w:tcPr>
          <w:p>
            <w:pPr>
              <w:pStyle w:val="90"/>
              <w:rPr>
                <w:rFonts w:ascii="Times New Roman" w:hAnsi="Times New Roman" w:cs="Times New Roman"/>
                <w:szCs w:val="21"/>
              </w:rPr>
            </w:pPr>
            <w:r>
              <w:rPr>
                <w:rFonts w:ascii="Times New Roman" w:cs="Times New Roman" w:hAnsiTheme="minorEastAsia"/>
                <w:szCs w:val="21"/>
              </w:rPr>
              <w:t>影响面积</w:t>
            </w:r>
            <w:r>
              <w:rPr>
                <w:rFonts w:hint="eastAsia" w:ascii="Times New Roman" w:hAnsi="Times New Roman" w:cs="Times New Roman"/>
                <w:szCs w:val="21"/>
              </w:rPr>
              <w:t>k</w:t>
            </w:r>
            <w:r>
              <w:rPr>
                <w:rFonts w:ascii="Times New Roman" w:hAnsi="Times New Roman" w:cs="Times New Roman"/>
                <w:szCs w:val="21"/>
              </w:rPr>
              <w:t>m</w:t>
            </w:r>
            <w:r>
              <w:rPr>
                <w:rFonts w:ascii="Times New Roman" w:hAnsi="Times New Roman" w:cs="Times New Roman"/>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591" w:type="pct"/>
            <w:vAlign w:val="center"/>
          </w:tcPr>
          <w:p>
            <w:pPr>
              <w:pStyle w:val="90"/>
              <w:rPr>
                <w:rFonts w:ascii="Times New Roman" w:hAnsi="Times New Roman" w:cs="Times New Roman"/>
                <w:szCs w:val="21"/>
              </w:rPr>
            </w:pPr>
            <w:r>
              <w:rPr>
                <w:rFonts w:ascii="Times New Roman" w:cs="Times New Roman" w:hAnsiTheme="minorEastAsia"/>
                <w:szCs w:val="21"/>
              </w:rPr>
              <w:t>首采区</w:t>
            </w:r>
          </w:p>
        </w:tc>
        <w:tc>
          <w:tcPr>
            <w:tcW w:w="612" w:type="pct"/>
            <w:vAlign w:val="center"/>
          </w:tcPr>
          <w:p>
            <w:pPr>
              <w:pStyle w:val="90"/>
              <w:rPr>
                <w:rFonts w:ascii="Times New Roman" w:hAnsi="Times New Roman" w:cs="Times New Roman"/>
                <w:szCs w:val="21"/>
              </w:rPr>
            </w:pPr>
            <w:r>
              <w:rPr>
                <w:rFonts w:hint="eastAsia" w:ascii="Times New Roman" w:hAnsi="Times New Roman" w:cs="Times New Roman"/>
                <w:szCs w:val="21"/>
              </w:rPr>
              <w:t>5号煤层</w:t>
            </w:r>
          </w:p>
        </w:tc>
        <w:tc>
          <w:tcPr>
            <w:tcW w:w="685" w:type="pct"/>
            <w:vAlign w:val="center"/>
          </w:tcPr>
          <w:p>
            <w:pPr>
              <w:jc w:val="center"/>
              <w:rPr>
                <w:rFonts w:eastAsiaTheme="minorEastAsia"/>
                <w:szCs w:val="21"/>
              </w:rPr>
            </w:pPr>
            <w:r>
              <w:rPr>
                <w:rFonts w:hint="eastAsia" w:eastAsiaTheme="minorEastAsia"/>
                <w:szCs w:val="21"/>
              </w:rPr>
              <w:t>2896.22</w:t>
            </w:r>
          </w:p>
        </w:tc>
        <w:tc>
          <w:tcPr>
            <w:tcW w:w="610" w:type="pct"/>
            <w:vAlign w:val="center"/>
          </w:tcPr>
          <w:p>
            <w:pPr>
              <w:jc w:val="center"/>
              <w:rPr>
                <w:rFonts w:eastAsiaTheme="minorEastAsia"/>
                <w:szCs w:val="21"/>
              </w:rPr>
            </w:pPr>
            <w:r>
              <w:rPr>
                <w:rFonts w:eastAsiaTheme="minorEastAsia"/>
                <w:szCs w:val="21"/>
              </w:rPr>
              <w:t>5.15</w:t>
            </w:r>
          </w:p>
        </w:tc>
        <w:tc>
          <w:tcPr>
            <w:tcW w:w="611" w:type="pct"/>
            <w:vAlign w:val="center"/>
          </w:tcPr>
          <w:p>
            <w:pPr>
              <w:jc w:val="center"/>
              <w:rPr>
                <w:rFonts w:eastAsiaTheme="minorEastAsia"/>
                <w:szCs w:val="21"/>
              </w:rPr>
            </w:pPr>
            <w:r>
              <w:rPr>
                <w:rFonts w:eastAsiaTheme="minorEastAsia"/>
                <w:szCs w:val="21"/>
              </w:rPr>
              <w:t>0.0497</w:t>
            </w:r>
          </w:p>
        </w:tc>
        <w:tc>
          <w:tcPr>
            <w:tcW w:w="611" w:type="pct"/>
            <w:vAlign w:val="center"/>
          </w:tcPr>
          <w:p>
            <w:pPr>
              <w:jc w:val="center"/>
              <w:rPr>
                <w:rFonts w:eastAsiaTheme="minorEastAsia"/>
                <w:szCs w:val="21"/>
              </w:rPr>
            </w:pPr>
            <w:r>
              <w:rPr>
                <w:rFonts w:eastAsiaTheme="minorEastAsia"/>
                <w:szCs w:val="21"/>
              </w:rPr>
              <w:t>243.30</w:t>
            </w:r>
          </w:p>
        </w:tc>
        <w:tc>
          <w:tcPr>
            <w:tcW w:w="611" w:type="pct"/>
            <w:vAlign w:val="center"/>
          </w:tcPr>
          <w:p>
            <w:pPr>
              <w:jc w:val="center"/>
              <w:rPr>
                <w:rFonts w:eastAsiaTheme="minorEastAsia"/>
                <w:szCs w:val="21"/>
              </w:rPr>
            </w:pPr>
            <w:r>
              <w:rPr>
                <w:rFonts w:eastAsiaTheme="minorEastAsia"/>
                <w:szCs w:val="21"/>
              </w:rPr>
              <w:t>2.35</w:t>
            </w:r>
          </w:p>
        </w:tc>
        <w:tc>
          <w:tcPr>
            <w:tcW w:w="668" w:type="pct"/>
            <w:vAlign w:val="center"/>
          </w:tcPr>
          <w:p>
            <w:pPr>
              <w:jc w:val="center"/>
              <w:rPr>
                <w:rFonts w:eastAsiaTheme="minorEastAsia"/>
                <w:szCs w:val="21"/>
              </w:rPr>
            </w:pPr>
            <w:r>
              <w:rPr>
                <w:rFonts w:hint="eastAsia" w:eastAsiaTheme="minorEastAsia"/>
                <w:szCs w:val="21"/>
              </w:rPr>
              <w:t>0.26</w:t>
            </w:r>
          </w:p>
        </w:tc>
      </w:tr>
    </w:tbl>
    <w:p>
      <w:pPr>
        <w:spacing w:line="360" w:lineRule="auto"/>
        <w:ind w:firstLine="496" w:firstLineChars="200"/>
        <w:rPr>
          <w:rFonts w:eastAsiaTheme="minorEastAsia"/>
          <w:spacing w:val="4"/>
          <w:sz w:val="24"/>
        </w:rPr>
      </w:pPr>
      <w:r>
        <w:rPr>
          <w:rFonts w:eastAsiaTheme="minorEastAsia"/>
          <w:spacing w:val="4"/>
          <w:sz w:val="24"/>
        </w:rPr>
        <w:t>2</w:t>
      </w:r>
      <w:r>
        <w:rPr>
          <w:rFonts w:hAnsiTheme="minorEastAsia" w:eastAsiaTheme="minorEastAsia"/>
          <w:spacing w:val="4"/>
          <w:sz w:val="24"/>
        </w:rPr>
        <w:t>）全采</w:t>
      </w:r>
    </w:p>
    <w:p>
      <w:pPr>
        <w:spacing w:line="360" w:lineRule="auto"/>
        <w:ind w:firstLine="480" w:firstLineChars="200"/>
        <w:rPr>
          <w:rFonts w:eastAsiaTheme="minorEastAsia"/>
          <w:sz w:val="24"/>
        </w:rPr>
      </w:pPr>
      <w:r>
        <w:rPr>
          <w:rFonts w:hAnsiTheme="minorEastAsia" w:eastAsiaTheme="minorEastAsia"/>
          <w:sz w:val="24"/>
        </w:rPr>
        <w:t>井田内可采采区全采后，总沉陷面积为</w:t>
      </w:r>
      <w:r>
        <w:rPr>
          <w:rFonts w:hint="eastAsia" w:eastAsiaTheme="minorEastAsia"/>
          <w:sz w:val="24"/>
        </w:rPr>
        <w:t>5.2361</w:t>
      </w:r>
      <w:r>
        <w:rPr>
          <w:rFonts w:eastAsiaTheme="minorEastAsia"/>
          <w:sz w:val="24"/>
        </w:rPr>
        <w:t>km</w:t>
      </w:r>
      <w:r>
        <w:rPr>
          <w:rFonts w:eastAsiaTheme="minorEastAsia"/>
          <w:sz w:val="24"/>
          <w:vertAlign w:val="superscript"/>
        </w:rPr>
        <w:t>2</w:t>
      </w:r>
      <w:r>
        <w:rPr>
          <w:rFonts w:hAnsiTheme="minorEastAsia" w:eastAsiaTheme="minorEastAsia"/>
          <w:sz w:val="24"/>
        </w:rPr>
        <w:t>，其中</w:t>
      </w:r>
      <w:r>
        <w:rPr>
          <w:rFonts w:eastAsiaTheme="minorEastAsia"/>
          <w:sz w:val="24"/>
        </w:rPr>
        <w:t>-</w:t>
      </w:r>
      <w:r>
        <w:rPr>
          <w:rFonts w:hint="eastAsia" w:eastAsiaTheme="minorEastAsia"/>
          <w:sz w:val="24"/>
        </w:rPr>
        <w:t>8480</w:t>
      </w:r>
      <w:r>
        <w:rPr>
          <w:rFonts w:eastAsiaTheme="minorEastAsia"/>
          <w:sz w:val="24"/>
        </w:rPr>
        <w:t>mm</w:t>
      </w:r>
      <w:r>
        <w:rPr>
          <w:rFonts w:hAnsiTheme="minorEastAsia" w:eastAsiaTheme="minorEastAsia"/>
          <w:sz w:val="24"/>
        </w:rPr>
        <w:t>的沉陷影响面积为</w:t>
      </w:r>
      <w:r>
        <w:rPr>
          <w:rFonts w:hint="eastAsia" w:eastAsiaTheme="minorEastAsia"/>
          <w:sz w:val="24"/>
        </w:rPr>
        <w:t>0.8654k</w:t>
      </w:r>
      <w:r>
        <w:rPr>
          <w:rFonts w:eastAsiaTheme="minorEastAsia"/>
          <w:sz w:val="24"/>
        </w:rPr>
        <w:t>m</w:t>
      </w:r>
      <w:r>
        <w:rPr>
          <w:rFonts w:eastAsiaTheme="minorEastAsia"/>
          <w:sz w:val="24"/>
          <w:vertAlign w:val="superscript"/>
        </w:rPr>
        <w:t>2</w:t>
      </w:r>
      <w:r>
        <w:rPr>
          <w:rFonts w:hAnsiTheme="minorEastAsia" w:eastAsiaTheme="minorEastAsia"/>
          <w:sz w:val="24"/>
        </w:rPr>
        <w:t>。</w:t>
      </w:r>
      <w:r>
        <w:rPr>
          <w:rFonts w:hAnsiTheme="minorEastAsia" w:eastAsiaTheme="minorEastAsia"/>
          <w:bCs/>
          <w:sz w:val="24"/>
        </w:rPr>
        <w:t>地表沉陷范围分别波及到井田边界以外：南</w:t>
      </w:r>
      <w:r>
        <w:rPr>
          <w:rFonts w:hint="eastAsia" w:eastAsiaTheme="minorEastAsia"/>
          <w:bCs/>
          <w:sz w:val="24"/>
        </w:rPr>
        <w:t>252</w:t>
      </w:r>
      <w:r>
        <w:rPr>
          <w:rFonts w:hAnsiTheme="minorEastAsia" w:eastAsiaTheme="minorEastAsia"/>
          <w:bCs/>
          <w:sz w:val="24"/>
        </w:rPr>
        <w:t>米、西</w:t>
      </w:r>
      <w:r>
        <w:rPr>
          <w:rFonts w:hint="eastAsia" w:eastAsiaTheme="minorEastAsia"/>
          <w:bCs/>
          <w:sz w:val="24"/>
        </w:rPr>
        <w:t>85</w:t>
      </w:r>
      <w:r>
        <w:rPr>
          <w:rFonts w:hAnsiTheme="minorEastAsia" w:eastAsiaTheme="minorEastAsia"/>
          <w:bCs/>
          <w:sz w:val="24"/>
        </w:rPr>
        <w:t>米、北</w:t>
      </w:r>
      <w:r>
        <w:rPr>
          <w:rFonts w:hint="eastAsia" w:eastAsiaTheme="minorEastAsia"/>
          <w:bCs/>
          <w:sz w:val="24"/>
        </w:rPr>
        <w:t>373</w:t>
      </w:r>
      <w:r>
        <w:rPr>
          <w:rFonts w:eastAsiaTheme="minorEastAsia"/>
          <w:bCs/>
          <w:sz w:val="24"/>
        </w:rPr>
        <w:t>m</w:t>
      </w:r>
      <w:r>
        <w:rPr>
          <w:rFonts w:hint="eastAsia" w:eastAsiaTheme="minorEastAsia"/>
          <w:bCs/>
          <w:sz w:val="24"/>
        </w:rPr>
        <w:t>、东268m</w:t>
      </w:r>
      <w:r>
        <w:rPr>
          <w:rFonts w:hAnsiTheme="minorEastAsia" w:eastAsiaTheme="minorEastAsia"/>
          <w:bCs/>
          <w:sz w:val="24"/>
        </w:rPr>
        <w:t>。</w:t>
      </w:r>
      <w:r>
        <w:rPr>
          <w:rFonts w:hAnsiTheme="minorEastAsia" w:eastAsiaTheme="minorEastAsia"/>
          <w:sz w:val="24"/>
        </w:rPr>
        <w:t>全采时</w:t>
      </w:r>
      <w:r>
        <w:rPr>
          <w:rFonts w:eastAsiaTheme="minorEastAsia"/>
          <w:sz w:val="24"/>
        </w:rPr>
        <w:t>-10mm</w:t>
      </w:r>
      <w:r>
        <w:rPr>
          <w:rFonts w:hAnsiTheme="minorEastAsia" w:eastAsiaTheme="minorEastAsia"/>
          <w:sz w:val="24"/>
        </w:rPr>
        <w:t>等值线未波及井田</w:t>
      </w:r>
      <w:r>
        <w:rPr>
          <w:rFonts w:hint="eastAsia" w:hAnsiTheme="minorEastAsia" w:eastAsiaTheme="minorEastAsia"/>
          <w:sz w:val="24"/>
        </w:rPr>
        <w:t>外招贤镇集中供水水源地</w:t>
      </w:r>
      <w:r>
        <w:rPr>
          <w:rFonts w:hAnsiTheme="minorEastAsia" w:eastAsiaTheme="minorEastAsia"/>
          <w:sz w:val="24"/>
        </w:rPr>
        <w:t>，地表下沉不会对其产生影响。</w:t>
      </w:r>
    </w:p>
    <w:p>
      <w:pPr>
        <w:spacing w:line="360" w:lineRule="auto"/>
        <w:ind w:firstLine="480" w:firstLineChars="200"/>
        <w:rPr>
          <w:rFonts w:eastAsiaTheme="minorEastAsia"/>
          <w:sz w:val="24"/>
        </w:rPr>
      </w:pPr>
      <w:r>
        <w:rPr>
          <w:rFonts w:hAnsiTheme="minorEastAsia" w:eastAsiaTheme="minorEastAsia"/>
          <w:sz w:val="24"/>
        </w:rPr>
        <w:t>项目全采后地表沉陷范围预测结果，详见表</w:t>
      </w:r>
      <w:r>
        <w:rPr>
          <w:rFonts w:eastAsiaTheme="minorEastAsia"/>
          <w:sz w:val="24"/>
        </w:rPr>
        <w:t>5.1-</w:t>
      </w:r>
      <w:r>
        <w:rPr>
          <w:rFonts w:hint="eastAsia" w:eastAsiaTheme="minorEastAsia"/>
          <w:sz w:val="24"/>
        </w:rPr>
        <w:t>7</w:t>
      </w:r>
      <w:r>
        <w:rPr>
          <w:rFonts w:hAnsiTheme="minorEastAsia" w:eastAsiaTheme="minorEastAsia"/>
          <w:sz w:val="24"/>
        </w:rPr>
        <w:t>。全采地表沉陷等值线图，见图</w:t>
      </w:r>
      <w:r>
        <w:rPr>
          <w:rFonts w:eastAsiaTheme="minorEastAsia"/>
          <w:sz w:val="24"/>
        </w:rPr>
        <w:t>5.1-</w:t>
      </w:r>
      <w:r>
        <w:rPr>
          <w:rFonts w:hint="eastAsia" w:eastAsiaTheme="minorEastAsia"/>
          <w:sz w:val="24"/>
        </w:rPr>
        <w:t>2</w:t>
      </w:r>
      <w:r>
        <w:rPr>
          <w:rFonts w:hAnsiTheme="minorEastAsia" w:eastAsiaTheme="minorEastAsia"/>
          <w:sz w:val="24"/>
        </w:rPr>
        <w:t>。</w:t>
      </w:r>
    </w:p>
    <w:p>
      <w:pPr>
        <w:pStyle w:val="96"/>
        <w:adjustRightInd/>
        <w:snapToGrid/>
        <w:spacing w:beforeLines="0" w:line="360" w:lineRule="auto"/>
        <w:rPr>
          <w:rFonts w:ascii="Times New Roman" w:hAnsi="Times New Roman" w:cs="Times New Roman"/>
        </w:rPr>
      </w:pPr>
      <w:r>
        <w:rPr>
          <w:rFonts w:ascii="Times New Roman" w:cs="Times New Roman" w:hAnsiTheme="minorEastAsia"/>
        </w:rPr>
        <w:t>表</w:t>
      </w:r>
      <w:r>
        <w:rPr>
          <w:rFonts w:ascii="Times New Roman" w:hAnsi="Times New Roman" w:cs="Times New Roman"/>
        </w:rPr>
        <w:t>5.1-</w:t>
      </w:r>
      <w:r>
        <w:rPr>
          <w:rFonts w:hint="eastAsia" w:ascii="Times New Roman" w:hAnsi="Times New Roman" w:cs="Times New Roman"/>
        </w:rPr>
        <w:t>7</w:t>
      </w:r>
      <w:r>
        <w:rPr>
          <w:rFonts w:ascii="Times New Roman" w:cs="Times New Roman" w:hAnsiTheme="minorEastAsia"/>
        </w:rPr>
        <w:t>本项目项目全采地表沉陷范围预测结果</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8"/>
        <w:gridCol w:w="1137"/>
        <w:gridCol w:w="1274"/>
        <w:gridCol w:w="1133"/>
        <w:gridCol w:w="1133"/>
        <w:gridCol w:w="1135"/>
        <w:gridCol w:w="1135"/>
        <w:gridCol w:w="12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591" w:type="pct"/>
            <w:vAlign w:val="center"/>
          </w:tcPr>
          <w:p>
            <w:pPr>
              <w:pStyle w:val="90"/>
              <w:rPr>
                <w:rFonts w:ascii="Times New Roman" w:hAnsi="Times New Roman" w:cs="Times New Roman"/>
              </w:rPr>
            </w:pPr>
            <w:r>
              <w:rPr>
                <w:rFonts w:ascii="Times New Roman" w:cs="Times New Roman" w:hAnsiTheme="minorEastAsia"/>
              </w:rPr>
              <w:t>采区</w:t>
            </w:r>
          </w:p>
        </w:tc>
        <w:tc>
          <w:tcPr>
            <w:tcW w:w="612" w:type="pct"/>
            <w:vAlign w:val="center"/>
          </w:tcPr>
          <w:p>
            <w:pPr>
              <w:pStyle w:val="90"/>
              <w:rPr>
                <w:rFonts w:ascii="Times New Roman" w:hAnsi="Times New Roman" w:cs="Times New Roman"/>
              </w:rPr>
            </w:pPr>
            <w:r>
              <w:rPr>
                <w:rFonts w:ascii="Times New Roman" w:cs="Times New Roman" w:hAnsiTheme="minorEastAsia"/>
              </w:rPr>
              <w:t>开采煤层</w:t>
            </w:r>
          </w:p>
        </w:tc>
        <w:tc>
          <w:tcPr>
            <w:tcW w:w="686" w:type="pct"/>
            <w:vAlign w:val="center"/>
          </w:tcPr>
          <w:p>
            <w:pPr>
              <w:pStyle w:val="90"/>
              <w:rPr>
                <w:rFonts w:ascii="Times New Roman" w:hAnsi="Times New Roman" w:cs="Times New Roman"/>
              </w:rPr>
            </w:pPr>
            <w:r>
              <w:rPr>
                <w:rFonts w:ascii="Times New Roman" w:hAnsi="Times New Roman" w:cs="Times New Roman"/>
              </w:rPr>
              <w:t>W</w:t>
            </w:r>
            <w:r>
              <w:rPr>
                <w:rFonts w:ascii="Times New Roman" w:cs="Times New Roman" w:hAnsiTheme="minorEastAsia"/>
              </w:rPr>
              <w:t>（</w:t>
            </w:r>
            <w:r>
              <w:rPr>
                <w:rFonts w:ascii="Times New Roman" w:hAnsi="Times New Roman" w:cs="Times New Roman"/>
              </w:rPr>
              <w:t>mm</w:t>
            </w:r>
            <w:r>
              <w:rPr>
                <w:rFonts w:ascii="Times New Roman" w:cs="Times New Roman" w:hAnsiTheme="minorEastAsia"/>
              </w:rPr>
              <w:t>）</w:t>
            </w:r>
          </w:p>
        </w:tc>
        <w:tc>
          <w:tcPr>
            <w:tcW w:w="610" w:type="pct"/>
            <w:vAlign w:val="center"/>
          </w:tcPr>
          <w:p>
            <w:pPr>
              <w:pStyle w:val="90"/>
              <w:rPr>
                <w:rFonts w:ascii="Times New Roman" w:hAnsi="Times New Roman" w:cs="Times New Roman"/>
              </w:rPr>
            </w:pPr>
            <w:r>
              <w:rPr>
                <w:rFonts w:ascii="Times New Roman" w:hAnsi="Times New Roman" w:cs="Times New Roman"/>
              </w:rPr>
              <w:t>Icm</w:t>
            </w:r>
          </w:p>
          <w:p>
            <w:pPr>
              <w:pStyle w:val="90"/>
              <w:rPr>
                <w:rFonts w:ascii="Times New Roman" w:hAnsi="Times New Roman" w:cs="Times New Roman"/>
              </w:rPr>
            </w:pPr>
            <w:r>
              <w:rPr>
                <w:rFonts w:ascii="Times New Roman" w:hAnsi="Times New Roman" w:cs="Times New Roman"/>
              </w:rPr>
              <w:t>(mm/m)</w:t>
            </w:r>
          </w:p>
        </w:tc>
        <w:tc>
          <w:tcPr>
            <w:tcW w:w="610" w:type="pct"/>
            <w:vAlign w:val="center"/>
          </w:tcPr>
          <w:p>
            <w:pPr>
              <w:pStyle w:val="90"/>
              <w:rPr>
                <w:rFonts w:ascii="Times New Roman" w:hAnsi="Times New Roman" w:cs="Times New Roman"/>
              </w:rPr>
            </w:pPr>
            <w:r>
              <w:rPr>
                <w:rFonts w:ascii="Times New Roman" w:hAnsi="Times New Roman" w:cs="Times New Roman"/>
              </w:rPr>
              <w:t>Kcm</w:t>
            </w:r>
          </w:p>
          <w:p>
            <w:pPr>
              <w:pStyle w:val="90"/>
              <w:rPr>
                <w:rFonts w:ascii="Times New Roman" w:hAnsi="Times New Roman" w:cs="Times New Roman"/>
              </w:rPr>
            </w:pP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/m)</w:t>
            </w:r>
          </w:p>
        </w:tc>
        <w:tc>
          <w:tcPr>
            <w:tcW w:w="611" w:type="pct"/>
            <w:vAlign w:val="center"/>
          </w:tcPr>
          <w:p>
            <w:pPr>
              <w:pStyle w:val="90"/>
              <w:rPr>
                <w:rFonts w:ascii="Times New Roman" w:hAnsi="Times New Roman" w:cs="Times New Roman"/>
              </w:rPr>
            </w:pPr>
            <w:r>
              <w:rPr>
                <w:rFonts w:ascii="Times New Roman" w:hAnsi="Times New Roman" w:cs="Times New Roman"/>
              </w:rPr>
              <w:t>U</w:t>
            </w:r>
            <w:r>
              <w:rPr>
                <w:rFonts w:ascii="Times New Roman" w:cs="Times New Roman" w:hAnsiTheme="minorEastAsia"/>
              </w:rPr>
              <w:t>（</w:t>
            </w:r>
            <w:r>
              <w:rPr>
                <w:rFonts w:ascii="Times New Roman" w:hAnsi="Times New Roman" w:cs="Times New Roman"/>
              </w:rPr>
              <w:t>cm</w:t>
            </w:r>
            <w:r>
              <w:rPr>
                <w:rFonts w:ascii="Times New Roman" w:cs="Times New Roman" w:hAnsiTheme="minorEastAsia"/>
              </w:rPr>
              <w:t>）</w:t>
            </w:r>
          </w:p>
        </w:tc>
        <w:tc>
          <w:tcPr>
            <w:tcW w:w="611" w:type="pct"/>
            <w:vAlign w:val="center"/>
          </w:tcPr>
          <w:p>
            <w:pPr>
              <w:pStyle w:val="90"/>
              <w:rPr>
                <w:rFonts w:ascii="Times New Roman" w:hAnsi="Times New Roman" w:cs="Times New Roman"/>
              </w:rPr>
            </w:pPr>
            <w:r>
              <w:rPr>
                <w:rFonts w:ascii="Times New Roman" w:hAnsi="Times New Roman" w:cs="Times New Roman"/>
              </w:rPr>
              <w:t>Εcm</w:t>
            </w:r>
          </w:p>
          <w:p>
            <w:pPr>
              <w:pStyle w:val="90"/>
              <w:rPr>
                <w:rFonts w:ascii="Times New Roman" w:hAnsi="Times New Roman" w:cs="Times New Roman"/>
              </w:rPr>
            </w:pPr>
            <w:r>
              <w:rPr>
                <w:rFonts w:ascii="Times New Roman" w:hAnsi="Times New Roman" w:cs="Times New Roman"/>
              </w:rPr>
              <w:t>(mm/m)</w:t>
            </w:r>
          </w:p>
        </w:tc>
        <w:tc>
          <w:tcPr>
            <w:tcW w:w="668" w:type="pct"/>
            <w:vAlign w:val="center"/>
          </w:tcPr>
          <w:p>
            <w:pPr>
              <w:pStyle w:val="90"/>
              <w:rPr>
                <w:rFonts w:ascii="Times New Roman" w:hAnsi="Times New Roman" w:cs="Times New Roman"/>
              </w:rPr>
            </w:pPr>
            <w:r>
              <w:rPr>
                <w:rFonts w:ascii="Times New Roman" w:cs="Times New Roman" w:hAnsiTheme="minorEastAsia"/>
              </w:rPr>
              <w:t>影响面积</w:t>
            </w:r>
            <w:r>
              <w:rPr>
                <w:rFonts w:ascii="Times New Roman" w:hAnsi="Times New Roman" w:cs="Times New Roman"/>
              </w:rPr>
              <w:t>km</w:t>
            </w:r>
            <w:r>
              <w:rPr>
                <w:rFonts w:ascii="Times New Roman" w:hAnsi="Times New Roman" w:cs="Times New Roman"/>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591" w:type="pct"/>
            <w:vAlign w:val="center"/>
          </w:tcPr>
          <w:p>
            <w:pPr>
              <w:pStyle w:val="90"/>
              <w:rPr>
                <w:rFonts w:ascii="Times New Roman" w:hAnsi="Times New Roman" w:cs="Times New Roman"/>
              </w:rPr>
            </w:pPr>
            <w:r>
              <w:rPr>
                <w:rFonts w:ascii="Times New Roman" w:cs="Times New Roman" w:hAnsiTheme="minorEastAsia"/>
              </w:rPr>
              <w:t>全采</w:t>
            </w:r>
          </w:p>
        </w:tc>
        <w:tc>
          <w:tcPr>
            <w:tcW w:w="612" w:type="pct"/>
            <w:vAlign w:val="center"/>
          </w:tcPr>
          <w:p>
            <w:pPr>
              <w:pStyle w:val="9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rPr>
              <w:t>8+9</w:t>
            </w:r>
            <w:r>
              <w:rPr>
                <w:rFonts w:ascii="Times New Roman" w:cs="Times New Roman" w:hAnsiTheme="minorEastAsia"/>
              </w:rPr>
              <w:t>号</w:t>
            </w:r>
          </w:p>
        </w:tc>
        <w:tc>
          <w:tcPr>
            <w:tcW w:w="686" w:type="pct"/>
            <w:vAlign w:val="center"/>
          </w:tcPr>
          <w:p>
            <w:pPr>
              <w:pStyle w:val="90"/>
              <w:rPr>
                <w:rFonts w:ascii="Times New Roman" w:hAnsi="Times New Roman" w:cs="Times New Roman"/>
              </w:rPr>
            </w:pPr>
            <w:r>
              <w:rPr>
                <w:rFonts w:hint="eastAsia" w:ascii="Times New Roman" w:hAnsi="Times New Roman" w:cs="Times New Roman"/>
              </w:rPr>
              <w:t>8480</w:t>
            </w:r>
          </w:p>
        </w:tc>
        <w:tc>
          <w:tcPr>
            <w:tcW w:w="610" w:type="pct"/>
            <w:vAlign w:val="center"/>
          </w:tcPr>
          <w:p>
            <w:pPr>
              <w:pStyle w:val="90"/>
              <w:rPr>
                <w:rFonts w:ascii="Times New Roman" w:hAnsi="Times New Roman" w:cs="Times New Roman"/>
              </w:rPr>
            </w:pPr>
            <w:r>
              <w:rPr>
                <w:rFonts w:hint="eastAsia" w:ascii="Times New Roman" w:hAnsi="Times New Roman" w:cs="Times New Roman"/>
              </w:rPr>
              <w:t>26.73</w:t>
            </w:r>
          </w:p>
        </w:tc>
        <w:tc>
          <w:tcPr>
            <w:tcW w:w="610" w:type="pct"/>
            <w:vAlign w:val="center"/>
          </w:tcPr>
          <w:p>
            <w:pPr>
              <w:pStyle w:val="90"/>
              <w:rPr>
                <w:rFonts w:ascii="Times New Roman" w:hAnsi="Times New Roman" w:cs="Times New Roman"/>
              </w:rPr>
            </w:pPr>
            <w:r>
              <w:rPr>
                <w:rFonts w:hint="eastAsia" w:ascii="Times New Roman" w:hAnsi="Times New Roman" w:cs="Times New Roman"/>
              </w:rPr>
              <w:t>0.49</w:t>
            </w:r>
          </w:p>
        </w:tc>
        <w:tc>
          <w:tcPr>
            <w:tcW w:w="611" w:type="pct"/>
            <w:vAlign w:val="center"/>
          </w:tcPr>
          <w:p>
            <w:pPr>
              <w:pStyle w:val="90"/>
              <w:rPr>
                <w:rFonts w:ascii="Times New Roman" w:hAnsi="Times New Roman" w:cs="Times New Roman"/>
              </w:rPr>
            </w:pPr>
            <w:r>
              <w:rPr>
                <w:rFonts w:hint="eastAsia" w:ascii="Times New Roman" w:hAnsi="Times New Roman" w:cs="Times New Roman"/>
              </w:rPr>
              <w:t>2356.12</w:t>
            </w:r>
          </w:p>
        </w:tc>
        <w:tc>
          <w:tcPr>
            <w:tcW w:w="611" w:type="pct"/>
            <w:vAlign w:val="center"/>
          </w:tcPr>
          <w:p>
            <w:pPr>
              <w:pStyle w:val="90"/>
              <w:rPr>
                <w:rFonts w:ascii="Times New Roman" w:hAnsi="Times New Roman" w:cs="Times New Roman"/>
              </w:rPr>
            </w:pPr>
            <w:r>
              <w:rPr>
                <w:rFonts w:hint="eastAsia" w:ascii="Times New Roman" w:hAnsi="Times New Roman" w:cs="Times New Roman"/>
              </w:rPr>
              <w:t>15.56</w:t>
            </w:r>
          </w:p>
        </w:tc>
        <w:tc>
          <w:tcPr>
            <w:tcW w:w="668" w:type="pct"/>
            <w:vAlign w:val="center"/>
          </w:tcPr>
          <w:p>
            <w:pPr>
              <w:pStyle w:val="90"/>
              <w:rPr>
                <w:rFonts w:ascii="Times New Roman" w:hAnsi="Times New Roman" w:cs="Times New Roman"/>
              </w:rPr>
            </w:pPr>
            <w:r>
              <w:rPr>
                <w:rFonts w:hint="eastAsia" w:ascii="Times New Roman" w:hAnsi="Times New Roman" w:cs="Times New Roman"/>
              </w:rPr>
              <w:t>5.2361</w:t>
            </w:r>
          </w:p>
        </w:tc>
      </w:tr>
    </w:tbl>
    <w:p>
      <w:pPr>
        <w:spacing w:line="360" w:lineRule="auto"/>
        <w:outlineLvl w:val="2"/>
        <w:rPr>
          <w:rFonts w:eastAsiaTheme="minorEastAsia"/>
          <w:b/>
          <w:sz w:val="24"/>
        </w:rPr>
      </w:pPr>
      <w:bookmarkStart w:id="239" w:name="_Toc102590596"/>
      <w:bookmarkStart w:id="240" w:name="_Toc159320615"/>
      <w:bookmarkStart w:id="241" w:name="_Toc247940800"/>
      <w:r>
        <w:rPr>
          <w:rFonts w:eastAsiaTheme="minorEastAsia"/>
          <w:b/>
          <w:sz w:val="24"/>
        </w:rPr>
        <w:t>5.1.</w:t>
      </w:r>
      <w:r>
        <w:rPr>
          <w:rFonts w:hint="eastAsia" w:eastAsiaTheme="minorEastAsia"/>
          <w:b/>
          <w:sz w:val="24"/>
        </w:rPr>
        <w:t>4</w:t>
      </w:r>
      <w:r>
        <w:rPr>
          <w:rFonts w:hAnsiTheme="minorEastAsia" w:eastAsiaTheme="minorEastAsia"/>
          <w:b/>
          <w:sz w:val="24"/>
        </w:rPr>
        <w:t>运营期生态影响评价</w:t>
      </w:r>
    </w:p>
    <w:p>
      <w:pPr>
        <w:spacing w:line="360" w:lineRule="auto"/>
        <w:outlineLvl w:val="3"/>
        <w:rPr>
          <w:rFonts w:eastAsiaTheme="minorEastAsia"/>
          <w:b/>
          <w:sz w:val="24"/>
        </w:rPr>
      </w:pPr>
      <w:r>
        <w:rPr>
          <w:rFonts w:eastAsiaTheme="minorEastAsia"/>
          <w:b/>
          <w:sz w:val="24"/>
        </w:rPr>
        <w:t>5.1.</w:t>
      </w:r>
      <w:r>
        <w:rPr>
          <w:rFonts w:hint="eastAsia" w:eastAsiaTheme="minorEastAsia"/>
          <w:b/>
          <w:sz w:val="24"/>
        </w:rPr>
        <w:t>4</w:t>
      </w:r>
      <w:r>
        <w:rPr>
          <w:rFonts w:eastAsiaTheme="minorEastAsia"/>
          <w:b/>
          <w:sz w:val="24"/>
        </w:rPr>
        <w:t>.1</w:t>
      </w:r>
      <w:r>
        <w:rPr>
          <w:rFonts w:hAnsiTheme="minorEastAsia" w:eastAsiaTheme="minorEastAsia"/>
          <w:b/>
          <w:sz w:val="24"/>
        </w:rPr>
        <w:t>地表沉陷影响受体情况</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、地形地貌</w:t>
      </w:r>
    </w:p>
    <w:p>
      <w:pPr>
        <w:spacing w:line="360" w:lineRule="auto"/>
        <w:ind w:firstLine="480" w:firstLineChars="200"/>
        <w:rPr>
          <w:rFonts w:hAnsiTheme="minorEastAsia" w:eastAsiaTheme="minorEastAsia"/>
          <w:sz w:val="24"/>
        </w:rPr>
      </w:pPr>
      <w:r>
        <w:rPr>
          <w:rFonts w:hint="eastAsia" w:hAnsiTheme="minorEastAsia" w:eastAsiaTheme="minorEastAsia"/>
          <w:sz w:val="24"/>
        </w:rPr>
        <w:t>本区属吕梁山系，为典型的黄土高原地貌。井田内多被黄土所覆盖，黄土层受强烈的侵蚀切割，形成梁峁状低中山黄土丘陵，多呈近南北向展布，其间发育同向冲沟。井田内地形复杂，沟谷纵贯，总体呈现为南高北低的态势，最高点位于井田南部丰山村南的山顶，标高1091.7m，最低点位于井田西北部边缘的招贤沟沟谷，标高815m，最大相对高差276.7m。</w:t>
      </w:r>
    </w:p>
    <w:p>
      <w:pPr>
        <w:spacing w:line="360" w:lineRule="auto"/>
        <w:ind w:firstLine="480" w:firstLineChars="200"/>
        <w:rPr>
          <w:rFonts w:eastAsiaTheme="minorEastAsia"/>
          <w:sz w:val="24"/>
        </w:rPr>
      </w:pPr>
      <w:r>
        <w:rPr>
          <w:rFonts w:eastAsiaTheme="minorEastAsia"/>
          <w:sz w:val="24"/>
        </w:rPr>
        <w:t>2</w:t>
      </w:r>
      <w:r>
        <w:rPr>
          <w:rFonts w:hAnsiTheme="minorEastAsia" w:eastAsiaTheme="minorEastAsia"/>
          <w:sz w:val="24"/>
        </w:rPr>
        <w:t>、井田内地表水</w:t>
      </w:r>
    </w:p>
    <w:p>
      <w:pPr>
        <w:spacing w:line="360" w:lineRule="auto"/>
        <w:ind w:firstLine="480" w:firstLineChars="200"/>
        <w:rPr>
          <w:rFonts w:hAnsiTheme="minorEastAsia" w:eastAsiaTheme="minorEastAsia"/>
          <w:sz w:val="24"/>
        </w:rPr>
      </w:pPr>
      <w:r>
        <w:rPr>
          <w:rFonts w:hint="eastAsia" w:hAnsiTheme="minorEastAsia" w:eastAsiaTheme="minorEastAsia"/>
          <w:sz w:val="24"/>
        </w:rPr>
        <w:t>临县境内河流均属黄河水系，黄河自北向南从县境西部边界流经，河道总长度91km。临县水系的发育特点以湫水河为主，河道水系呈羽毛状，向北北西、北东东向放射，除此之外还有直接入黄的八堡水河、兔板河、曲峪河、清凉寺河及月镜河等。临县境内的河流均属夏雨型河流，雨天河水猛涨，雨后水量迅速减退，7～9月份河流水量占全年总水量的50～70%；枯水季节流量甚小，主要依靠小泉小水的汇入，河道才有清水。</w:t>
      </w:r>
    </w:p>
    <w:p>
      <w:pPr>
        <w:spacing w:line="360" w:lineRule="auto"/>
        <w:ind w:firstLine="480" w:firstLineChars="200"/>
        <w:rPr>
          <w:rFonts w:hAnsiTheme="minorEastAsia" w:eastAsiaTheme="minorEastAsia"/>
          <w:sz w:val="24"/>
        </w:rPr>
      </w:pPr>
      <w:r>
        <w:rPr>
          <w:rFonts w:hint="eastAsia" w:hAnsiTheme="minorEastAsia" w:eastAsiaTheme="minorEastAsia"/>
          <w:sz w:val="24"/>
        </w:rPr>
        <w:t>湫水河是黄河的一级支流，位于吕梁山脉西脊，发源于兴县的白龙山东北麓大坪头，由东北西南贯穿临县，于临县碛口镇入黄河。干流全长122km，流域总面积1984.21km</w:t>
      </w:r>
      <w:r>
        <w:rPr>
          <w:rFonts w:hint="eastAsia" w:hAnsiTheme="minorEastAsia" w:eastAsiaTheme="minorEastAsia"/>
          <w:sz w:val="24"/>
          <w:vertAlign w:val="superscript"/>
        </w:rPr>
        <w:t>2</w:t>
      </w:r>
      <w:r>
        <w:rPr>
          <w:rFonts w:hint="eastAsia" w:hAnsiTheme="minorEastAsia" w:eastAsiaTheme="minorEastAsia"/>
          <w:sz w:val="24"/>
        </w:rPr>
        <w:t>，临县境内干流长约86km，流域面积1479.76km</w:t>
      </w:r>
      <w:r>
        <w:rPr>
          <w:rFonts w:hint="eastAsia" w:hAnsiTheme="minorEastAsia" w:eastAsiaTheme="minorEastAsia"/>
          <w:sz w:val="24"/>
          <w:vertAlign w:val="superscript"/>
        </w:rPr>
        <w:t>2</w:t>
      </w:r>
      <w:r>
        <w:rPr>
          <w:rFonts w:hint="eastAsia" w:hAnsiTheme="minorEastAsia" w:eastAsiaTheme="minorEastAsia"/>
          <w:sz w:val="24"/>
        </w:rPr>
        <w:t>。流域多年均降水量497.8mm，流域多年平均径流量6517万m</w:t>
      </w:r>
      <w:r>
        <w:rPr>
          <w:rFonts w:hint="eastAsia" w:hAnsiTheme="minorEastAsia" w:eastAsiaTheme="minorEastAsia"/>
          <w:sz w:val="24"/>
          <w:vertAlign w:val="superscript"/>
        </w:rPr>
        <w:t>3</w:t>
      </w:r>
      <w:r>
        <w:rPr>
          <w:rFonts w:hint="eastAsia" w:hAnsiTheme="minorEastAsia" w:eastAsiaTheme="minorEastAsia"/>
          <w:sz w:val="24"/>
        </w:rPr>
        <w:t>。湫水河上主要支沟有城庄沟、榆林沟、安业沟和湍水头沟。</w:t>
      </w:r>
    </w:p>
    <w:p>
      <w:pPr>
        <w:spacing w:line="360" w:lineRule="auto"/>
        <w:ind w:firstLine="480" w:firstLineChars="200"/>
        <w:rPr>
          <w:rFonts w:hAnsiTheme="minorEastAsia" w:eastAsiaTheme="minorEastAsia"/>
          <w:sz w:val="24"/>
        </w:rPr>
      </w:pPr>
      <w:r>
        <w:rPr>
          <w:rFonts w:hint="eastAsia" w:hAnsiTheme="minorEastAsia" w:eastAsiaTheme="minorEastAsia"/>
          <w:sz w:val="24"/>
        </w:rPr>
        <w:t>本区属黄河流域湫水河水系，井田内无常年性河流，沟谷发育，沟内平时无水，雨季有洪水流过，水流方向为先向西北流入湫水河，再向西南汇入黄河。</w:t>
      </w:r>
    </w:p>
    <w:p>
      <w:pPr>
        <w:spacing w:line="360" w:lineRule="auto"/>
        <w:ind w:firstLine="480" w:firstLineChars="200"/>
        <w:rPr>
          <w:rFonts w:eastAsiaTheme="minorEastAsia"/>
          <w:sz w:val="24"/>
        </w:rPr>
      </w:pPr>
      <w:r>
        <w:rPr>
          <w:rFonts w:eastAsiaTheme="minorEastAsia"/>
          <w:sz w:val="24"/>
        </w:rPr>
        <w:t>3</w:t>
      </w:r>
      <w:r>
        <w:rPr>
          <w:rFonts w:hAnsiTheme="minorEastAsia" w:eastAsiaTheme="minorEastAsia"/>
          <w:sz w:val="24"/>
        </w:rPr>
        <w:t>、井田内建筑情况</w:t>
      </w:r>
    </w:p>
    <w:p>
      <w:pPr>
        <w:spacing w:line="360" w:lineRule="auto"/>
        <w:ind w:firstLine="480" w:firstLineChars="200"/>
        <w:rPr>
          <w:rFonts w:eastAsiaTheme="minorEastAsia"/>
          <w:sz w:val="24"/>
        </w:rPr>
      </w:pPr>
      <w:r>
        <w:rPr>
          <w:rFonts w:hAnsiTheme="minorEastAsia" w:eastAsiaTheme="minorEastAsia"/>
          <w:sz w:val="24"/>
        </w:rPr>
        <w:t>井田范围内地面建筑主要为工业广场内的建筑、村庄内的民房等建筑，以砖木结构的平房和楼房为主，抗地表变形能力一般。</w:t>
      </w:r>
    </w:p>
    <w:p>
      <w:pPr>
        <w:spacing w:line="360" w:lineRule="auto"/>
        <w:ind w:firstLine="480" w:firstLineChars="200"/>
        <w:rPr>
          <w:rFonts w:eastAsiaTheme="minorEastAsia"/>
          <w:sz w:val="24"/>
        </w:rPr>
      </w:pPr>
      <w:r>
        <w:rPr>
          <w:rFonts w:eastAsiaTheme="minorEastAsia"/>
          <w:sz w:val="24"/>
        </w:rPr>
        <w:t>4</w:t>
      </w:r>
      <w:r>
        <w:rPr>
          <w:rFonts w:hAnsiTheme="minorEastAsia" w:eastAsiaTheme="minorEastAsia"/>
          <w:sz w:val="24"/>
        </w:rPr>
        <w:t>、地表植被</w:t>
      </w:r>
    </w:p>
    <w:p>
      <w:pPr>
        <w:spacing w:line="360" w:lineRule="auto"/>
        <w:ind w:firstLine="480" w:firstLineChars="200"/>
        <w:rPr>
          <w:rFonts w:eastAsiaTheme="minorEastAsia"/>
          <w:sz w:val="24"/>
        </w:rPr>
      </w:pPr>
      <w:r>
        <w:rPr>
          <w:rFonts w:hAnsiTheme="minorEastAsia" w:eastAsiaTheme="minorEastAsia"/>
          <w:sz w:val="24"/>
        </w:rPr>
        <w:t>井田范围内植物主要有草地、林木和农田植被等，林地分布在井田内少量分布，低覆盖度草地和农田植被在井田范围内交错分布。</w:t>
      </w:r>
    </w:p>
    <w:p>
      <w:pPr>
        <w:spacing w:line="360" w:lineRule="auto"/>
        <w:outlineLvl w:val="3"/>
        <w:rPr>
          <w:rFonts w:eastAsiaTheme="minorEastAsia"/>
          <w:b/>
          <w:sz w:val="24"/>
        </w:rPr>
      </w:pPr>
      <w:r>
        <w:rPr>
          <w:rFonts w:eastAsiaTheme="minorEastAsia"/>
          <w:b/>
          <w:sz w:val="24"/>
        </w:rPr>
        <w:t>5.1.</w:t>
      </w:r>
      <w:r>
        <w:rPr>
          <w:rFonts w:hint="eastAsia" w:eastAsiaTheme="minorEastAsia"/>
          <w:b/>
          <w:sz w:val="24"/>
        </w:rPr>
        <w:t>4</w:t>
      </w:r>
      <w:r>
        <w:rPr>
          <w:rFonts w:eastAsiaTheme="minorEastAsia"/>
          <w:b/>
          <w:sz w:val="24"/>
        </w:rPr>
        <w:t>.2</w:t>
      </w:r>
      <w:r>
        <w:rPr>
          <w:rFonts w:hAnsiTheme="minorEastAsia" w:eastAsiaTheme="minorEastAsia"/>
          <w:b/>
          <w:sz w:val="24"/>
        </w:rPr>
        <w:t>地表沉陷环境影响评价</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、地表沉陷对地表形态影响分析</w:t>
      </w:r>
    </w:p>
    <w:p>
      <w:pPr>
        <w:spacing w:line="360" w:lineRule="auto"/>
        <w:ind w:firstLine="480" w:firstLineChars="200"/>
        <w:rPr>
          <w:rFonts w:eastAsiaTheme="minorEastAsia"/>
          <w:sz w:val="24"/>
        </w:rPr>
      </w:pPr>
      <w:r>
        <w:rPr>
          <w:rFonts w:hAnsiTheme="minorEastAsia" w:eastAsiaTheme="minorEastAsia"/>
          <w:sz w:val="24"/>
        </w:rPr>
        <w:t>井田开采面积大，井田内煤层赋存稳定，开采后预计地表最终下沉值达到</w:t>
      </w:r>
      <w:r>
        <w:rPr>
          <w:rFonts w:eastAsiaTheme="minorEastAsia"/>
          <w:sz w:val="24"/>
        </w:rPr>
        <w:t>8.3m</w:t>
      </w:r>
      <w:r>
        <w:rPr>
          <w:rFonts w:hAnsiTheme="minorEastAsia" w:eastAsiaTheme="minorEastAsia"/>
          <w:sz w:val="24"/>
        </w:rPr>
        <w:t>。由于本井田地处</w:t>
      </w:r>
      <w:r>
        <w:rPr>
          <w:rFonts w:hint="eastAsia" w:hAnsiTheme="minorEastAsia" w:eastAsiaTheme="minorEastAsia"/>
          <w:sz w:val="24"/>
        </w:rPr>
        <w:t>中山黄土丘陵区</w:t>
      </w:r>
      <w:r>
        <w:rPr>
          <w:rFonts w:hAnsiTheme="minorEastAsia" w:eastAsiaTheme="minorEastAsia"/>
          <w:sz w:val="24"/>
        </w:rPr>
        <w:t>，境内山岭纵横，多为石质山区和土石山区构造的丘陵山地，煤炭开采后造成的地表沉陷表现形式主要是出现程度不等的暂时或永久性裂缝、台阶状下沉和小面积滑坡，对地表形态的影响不显著，一般不会出现永久性积水，对耕地的破坏也相对较轻。地表沉陷对该区域地表形态和自然景观的影响仅局限在采空区边界上方的局部范围内。</w:t>
      </w:r>
    </w:p>
    <w:p>
      <w:pPr>
        <w:spacing w:line="360" w:lineRule="auto"/>
        <w:ind w:firstLine="480" w:firstLineChars="200"/>
        <w:rPr>
          <w:rFonts w:eastAsiaTheme="minorEastAsia"/>
          <w:sz w:val="24"/>
        </w:rPr>
      </w:pPr>
      <w:r>
        <w:rPr>
          <w:rFonts w:hAnsiTheme="minorEastAsia" w:eastAsiaTheme="minorEastAsia"/>
          <w:sz w:val="24"/>
        </w:rPr>
        <w:t>本井田开采地表沉陷变形的特点主要表现在以下</w:t>
      </w:r>
      <w:r>
        <w:rPr>
          <w:rFonts w:eastAsiaTheme="minorEastAsia"/>
          <w:sz w:val="24"/>
        </w:rPr>
        <w:t>5</w:t>
      </w:r>
      <w:r>
        <w:rPr>
          <w:rFonts w:hAnsiTheme="minorEastAsia" w:eastAsiaTheme="minorEastAsia"/>
          <w:sz w:val="24"/>
        </w:rPr>
        <w:t>个方面。</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）地表下沉是逐步形成的，要经历较长的时间。现实生产中对沉陷耕地的复垦首先进行简易复垦，恢复耕种，待沉陷稳定后再进行机械复垦，就是因为地表沉陷经历的时间相对较长。</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）开采下沉造成地形坡度变化只发生在采空区边界上方，只是局部区域</w:t>
      </w:r>
      <w:r>
        <w:rPr>
          <w:rFonts w:hint="eastAsia"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）区内地形属剥蚀强烈的中山区，最高点标高</w:t>
      </w:r>
      <w:r>
        <w:rPr>
          <w:rFonts w:eastAsiaTheme="minorEastAsia"/>
          <w:sz w:val="24"/>
        </w:rPr>
        <w:t>+1</w:t>
      </w:r>
      <w:r>
        <w:rPr>
          <w:rFonts w:hint="eastAsia" w:eastAsiaTheme="minorEastAsia"/>
          <w:sz w:val="24"/>
        </w:rPr>
        <w:t>091.7</w:t>
      </w:r>
      <w:r>
        <w:rPr>
          <w:rFonts w:eastAsiaTheme="minorEastAsia"/>
          <w:sz w:val="24"/>
        </w:rPr>
        <w:t>m</w:t>
      </w:r>
      <w:r>
        <w:rPr>
          <w:rFonts w:hAnsiTheme="minorEastAsia" w:eastAsiaTheme="minorEastAsia"/>
          <w:sz w:val="24"/>
        </w:rPr>
        <w:t>，最低点标高</w:t>
      </w:r>
      <w:r>
        <w:rPr>
          <w:rFonts w:eastAsiaTheme="minorEastAsia"/>
          <w:sz w:val="24"/>
        </w:rPr>
        <w:t>+</w:t>
      </w:r>
      <w:r>
        <w:rPr>
          <w:rFonts w:hint="eastAsia" w:eastAsiaTheme="minorEastAsia"/>
          <w:sz w:val="24"/>
        </w:rPr>
        <w:t>815</w:t>
      </w:r>
      <w:r>
        <w:rPr>
          <w:rFonts w:eastAsiaTheme="minorEastAsia"/>
          <w:sz w:val="24"/>
        </w:rPr>
        <w:t>m</w:t>
      </w:r>
      <w:r>
        <w:rPr>
          <w:rFonts w:hAnsiTheme="minorEastAsia" w:eastAsiaTheme="minorEastAsia"/>
          <w:sz w:val="24"/>
        </w:rPr>
        <w:t>，相对高差</w:t>
      </w:r>
      <w:r>
        <w:rPr>
          <w:rFonts w:hint="eastAsia" w:eastAsiaTheme="minorEastAsia"/>
          <w:sz w:val="24"/>
        </w:rPr>
        <w:t>276.7</w:t>
      </w:r>
      <w:r>
        <w:rPr>
          <w:rFonts w:eastAsiaTheme="minorEastAsia"/>
          <w:sz w:val="24"/>
        </w:rPr>
        <w:t>m</w:t>
      </w:r>
      <w:r>
        <w:rPr>
          <w:rFonts w:hAnsiTheme="minorEastAsia" w:eastAsiaTheme="minorEastAsia"/>
          <w:sz w:val="24"/>
        </w:rPr>
        <w:t>，井田内山岭纵横，四面环山，平地较少。开采引起的地表下沉量相对于地表本身的落差要小得多，因此沉陷的表现不明显。</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）开采产生的地表裂缝，从几米到十几米不等。一些较大的裂缝，破坏了原始地貌的完整性，造成与周围自然景观的不相协调，对生态景观有一定的负面影响。但通过填充复垦，可以消除这方面的影响。</w:t>
      </w:r>
      <w:r>
        <w:rPr>
          <w:rFonts w:hint="eastAsia" w:hAnsiTheme="minorEastAsia" w:eastAsiaTheme="minorEastAsia"/>
          <w:sz w:val="24"/>
        </w:rPr>
        <w:t>4号煤层</w:t>
      </w:r>
      <w:r>
        <w:rPr>
          <w:rFonts w:hAnsiTheme="minorEastAsia" w:eastAsiaTheme="minorEastAsia"/>
          <w:sz w:val="24"/>
        </w:rPr>
        <w:t>大部分</w:t>
      </w:r>
      <w:r>
        <w:rPr>
          <w:rFonts w:hint="eastAsia" w:hAnsiTheme="minorEastAsia" w:eastAsiaTheme="minorEastAsia"/>
          <w:sz w:val="24"/>
        </w:rPr>
        <w:t>已采空，</w:t>
      </w:r>
      <w:r>
        <w:rPr>
          <w:rFonts w:hAnsiTheme="minorEastAsia" w:eastAsiaTheme="minorEastAsia"/>
          <w:sz w:val="24"/>
        </w:rPr>
        <w:t>裂缝都得到了及时的填充，现场观测中看不到明显的裂缝。</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）地表沉陷将会引起地形坡度的变化，坡度的变化主要发生在沉陷区边缘，而且坡度变化呈两极趋势发展，地表下沉引起的倾斜和原始地形本身倾斜方向一致时，坡度加大，方向相反时坡度变小。变化的结果是</w:t>
      </w:r>
      <w:r>
        <w:rPr>
          <w:rFonts w:eastAsiaTheme="minorEastAsia"/>
          <w:sz w:val="24"/>
        </w:rPr>
        <w:t>0-5</w:t>
      </w:r>
      <w:r>
        <w:rPr>
          <w:rFonts w:hAnsiTheme="minorEastAsia" w:eastAsiaTheme="minorEastAsia"/>
          <w:sz w:val="24"/>
        </w:rPr>
        <w:t>度范围的面积增大，</w:t>
      </w:r>
      <w:r>
        <w:rPr>
          <w:rFonts w:eastAsiaTheme="minorEastAsia"/>
          <w:sz w:val="24"/>
        </w:rPr>
        <w:t>25</w:t>
      </w:r>
      <w:r>
        <w:rPr>
          <w:rFonts w:hAnsiTheme="minorEastAsia" w:eastAsiaTheme="minorEastAsia"/>
          <w:sz w:val="24"/>
        </w:rPr>
        <w:t>度以上的范围面积也增大。坡度的变化致使少量耕地丧失耕种作用。</w:t>
      </w:r>
    </w:p>
    <w:p>
      <w:pPr>
        <w:spacing w:line="360" w:lineRule="auto"/>
        <w:ind w:firstLine="480" w:firstLineChars="200"/>
        <w:rPr>
          <w:rFonts w:eastAsiaTheme="minorEastAsia"/>
          <w:sz w:val="24"/>
        </w:rPr>
      </w:pPr>
      <w:r>
        <w:rPr>
          <w:rFonts w:hAnsiTheme="minorEastAsia" w:eastAsiaTheme="minorEastAsia"/>
          <w:sz w:val="24"/>
        </w:rPr>
        <w:t>由地表沉陷预测可知，井下开采对地表形态和地形标高会产生一定影响，但由于整个井田区域都会相继下沉，加上井田内地形复杂，因此不会改变区域总体地貌类型。</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w:t>
      </w:r>
      <w:r>
        <w:rPr>
          <w:rFonts w:ascii="Times New Roman" w:hAnsiTheme="minorEastAsia" w:eastAsiaTheme="minorEastAsia"/>
          <w:sz w:val="24"/>
          <w:szCs w:val="24"/>
        </w:rPr>
        <w:t>、地表沉陷对土地资源影响分析</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由于煤层埋藏深度较深，通过对冒落带高度预测井下采动形成的冒落带和裂隙带不会导通地表而形成大大小小的宽度和深度不等的地表裂缝和沉陷台阶。</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本井田区农耕地主要分布在黄土覆盖、较缓的土坡及河谷两岸，多为旱坡地。由于冒落带和裂隙带不能导通地表，因此对土地资源不会产生影响。</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3</w:t>
      </w:r>
      <w:r>
        <w:rPr>
          <w:rFonts w:ascii="Times New Roman" w:hAnsiTheme="minorEastAsia" w:eastAsiaTheme="minorEastAsia"/>
          <w:sz w:val="24"/>
          <w:szCs w:val="24"/>
        </w:rPr>
        <w:t>、地表塌陷对建筑物的影响</w:t>
      </w:r>
      <w:r>
        <w:rPr>
          <w:rFonts w:hint="eastAsia" w:ascii="MingLiU_HKSCS" w:hAnsi="MingLiU_HKSCS" w:eastAsia="MingLiU_HKSCS" w:cs="MingLiU_HKSCS"/>
          <w:sz w:val="24"/>
          <w:szCs w:val="24"/>
        </w:rPr>
        <w:t></w:t>
      </w:r>
    </w:p>
    <w:p>
      <w:pPr>
        <w:spacing w:line="360" w:lineRule="auto"/>
        <w:ind w:firstLine="480" w:firstLineChars="200"/>
        <w:rPr>
          <w:rFonts w:eastAsiaTheme="minorEastAsia"/>
          <w:sz w:val="24"/>
        </w:rPr>
      </w:pPr>
      <w:r>
        <w:rPr>
          <w:rFonts w:hint="eastAsia" w:hAnsiTheme="minorEastAsia" w:eastAsiaTheme="minorEastAsia"/>
          <w:sz w:val="24"/>
        </w:rPr>
        <w:t>其主要的地表建筑物有砖混结构的村民房屋和本井田工业广场建筑。</w:t>
      </w:r>
      <w:r>
        <w:rPr>
          <w:rFonts w:hAnsiTheme="minorEastAsia" w:eastAsiaTheme="minorEastAsia"/>
          <w:sz w:val="24"/>
        </w:rPr>
        <w:t>项目的初步设计对大巷上方、井田边界、工业场地、风井场地及涉及村庄考虑留设永久保护煤柱。表</w:t>
      </w:r>
      <w:r>
        <w:rPr>
          <w:rFonts w:eastAsiaTheme="minorEastAsia"/>
          <w:sz w:val="24"/>
        </w:rPr>
        <w:t>5.1-</w:t>
      </w:r>
      <w:r>
        <w:rPr>
          <w:rFonts w:hint="eastAsia" w:eastAsiaTheme="minorEastAsia"/>
          <w:sz w:val="24"/>
        </w:rPr>
        <w:t>9</w:t>
      </w:r>
      <w:r>
        <w:rPr>
          <w:rFonts w:hAnsiTheme="minorEastAsia" w:eastAsiaTheme="minorEastAsia"/>
          <w:sz w:val="24"/>
        </w:rPr>
        <w:t>给出了各类建（构）筑物的保护等级。</w:t>
      </w:r>
    </w:p>
    <w:p>
      <w:pPr>
        <w:spacing w:line="360" w:lineRule="auto"/>
        <w:ind w:firstLine="422" w:firstLineChars="200"/>
        <w:jc w:val="center"/>
        <w:rPr>
          <w:rFonts w:eastAsiaTheme="minorEastAsia"/>
          <w:b/>
          <w:snapToGrid w:val="0"/>
          <w:kern w:val="0"/>
          <w:szCs w:val="21"/>
        </w:rPr>
      </w:pPr>
      <w:r>
        <w:rPr>
          <w:rFonts w:hAnsiTheme="minorEastAsia" w:eastAsiaTheme="minorEastAsia"/>
          <w:b/>
          <w:snapToGrid w:val="0"/>
          <w:kern w:val="0"/>
          <w:szCs w:val="21"/>
        </w:rPr>
        <w:t>表</w:t>
      </w:r>
      <w:r>
        <w:rPr>
          <w:rFonts w:eastAsiaTheme="minorEastAsia"/>
          <w:b/>
          <w:snapToGrid w:val="0"/>
          <w:kern w:val="0"/>
          <w:szCs w:val="21"/>
        </w:rPr>
        <w:t>5.1-</w:t>
      </w:r>
      <w:r>
        <w:rPr>
          <w:rFonts w:hint="eastAsia" w:eastAsiaTheme="minorEastAsia"/>
          <w:b/>
          <w:snapToGrid w:val="0"/>
          <w:kern w:val="0"/>
          <w:szCs w:val="21"/>
        </w:rPr>
        <w:t>9</w:t>
      </w:r>
      <w:r>
        <w:rPr>
          <w:rFonts w:eastAsiaTheme="minorEastAsia"/>
          <w:b/>
          <w:snapToGrid w:val="0"/>
          <w:kern w:val="0"/>
          <w:szCs w:val="21"/>
        </w:rPr>
        <w:t xml:space="preserve">   </w:t>
      </w:r>
      <w:r>
        <w:rPr>
          <w:rFonts w:hAnsiTheme="minorEastAsia" w:eastAsiaTheme="minorEastAsia"/>
          <w:b/>
          <w:snapToGrid w:val="0"/>
          <w:kern w:val="0"/>
          <w:szCs w:val="21"/>
        </w:rPr>
        <w:t>矿区建（构）筑物保护等级划分</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2"/>
        <w:gridCol w:w="81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1" w:type="pct"/>
            <w:vAlign w:val="center"/>
          </w:tcPr>
          <w:p>
            <w:pPr>
              <w:pStyle w:val="13"/>
              <w:spacing w:line="360" w:lineRule="exact"/>
              <w:jc w:val="center"/>
              <w:rPr>
                <w:rFonts w:ascii="Times New Roman" w:hAnsi="Times New Roman" w:eastAsiaTheme="minorEastAsia"/>
                <w:szCs w:val="21"/>
              </w:rPr>
            </w:pPr>
            <w:r>
              <w:rPr>
                <w:rFonts w:ascii="Times New Roman" w:hAnsiTheme="minorEastAsia" w:eastAsiaTheme="minorEastAsia"/>
                <w:szCs w:val="21"/>
              </w:rPr>
              <w:t>保护等级</w:t>
            </w:r>
          </w:p>
        </w:tc>
        <w:tc>
          <w:tcPr>
            <w:tcW w:w="4369" w:type="pct"/>
            <w:vAlign w:val="center"/>
          </w:tcPr>
          <w:p>
            <w:pPr>
              <w:pStyle w:val="13"/>
              <w:spacing w:line="360" w:lineRule="exact"/>
              <w:jc w:val="center"/>
              <w:rPr>
                <w:rFonts w:ascii="Times New Roman" w:hAnsi="Times New Roman" w:eastAsiaTheme="minorEastAsia"/>
                <w:szCs w:val="21"/>
              </w:rPr>
            </w:pPr>
            <w:r>
              <w:rPr>
                <w:rFonts w:ascii="Times New Roman" w:hAnsiTheme="minorEastAsia" w:eastAsiaTheme="minorEastAsia"/>
                <w:szCs w:val="21"/>
              </w:rPr>
              <w:t>主要建筑物和构筑物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1" w:type="pct"/>
            <w:vAlign w:val="center"/>
          </w:tcPr>
          <w:p>
            <w:pPr>
              <w:pStyle w:val="13"/>
              <w:spacing w:line="360" w:lineRule="exact"/>
              <w:jc w:val="center"/>
              <w:rPr>
                <w:rFonts w:ascii="Times New Roman" w:hAnsi="Times New Roman" w:eastAsiaTheme="minorEastAsia"/>
                <w:szCs w:val="21"/>
              </w:rPr>
            </w:pPr>
            <w:r>
              <w:rPr>
                <w:rFonts w:asciiTheme="minorEastAsia" w:hAnsiTheme="minorEastAsia" w:eastAsiaTheme="minorEastAsia"/>
                <w:szCs w:val="21"/>
              </w:rPr>
              <w:t>Ⅰ</w:t>
            </w:r>
          </w:p>
        </w:tc>
        <w:tc>
          <w:tcPr>
            <w:tcW w:w="4369" w:type="pct"/>
            <w:vAlign w:val="center"/>
          </w:tcPr>
          <w:p>
            <w:pPr>
              <w:pStyle w:val="13"/>
              <w:spacing w:line="360" w:lineRule="exact"/>
              <w:jc w:val="center"/>
              <w:rPr>
                <w:rFonts w:ascii="Times New Roman" w:hAnsi="Times New Roman" w:eastAsiaTheme="minorEastAsia"/>
                <w:szCs w:val="21"/>
              </w:rPr>
            </w:pPr>
            <w:r>
              <w:rPr>
                <w:rFonts w:ascii="Times New Roman" w:hAnsiTheme="minorEastAsia" w:eastAsiaTheme="minorEastAsia"/>
                <w:szCs w:val="21"/>
              </w:rPr>
              <w:t>国务院明令保护的文物和纪念性建筑；一等火车站，发电厂主厂房，在同一跨度内有两台重型桥式吊车的大型厂房，平炉，水泥厂回转窑，大型选煤厂主厂房等特别重要或特别敏感的、采动后可能导致发生重大生产、伤亡事故的建（构）筑物；铸铁瓦斯管道干线，大、中型矿井主要通风机房，瓦期抽放站，高速公路，机场跑道，高层住宅楼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1" w:type="pct"/>
            <w:vAlign w:val="center"/>
          </w:tcPr>
          <w:p>
            <w:pPr>
              <w:pStyle w:val="13"/>
              <w:spacing w:line="360" w:lineRule="exact"/>
              <w:jc w:val="center"/>
              <w:rPr>
                <w:rFonts w:ascii="Times New Roman" w:hAnsi="Times New Roman" w:eastAsiaTheme="minorEastAsia"/>
                <w:szCs w:val="21"/>
              </w:rPr>
            </w:pPr>
            <w:r>
              <w:rPr>
                <w:rFonts w:asciiTheme="minorEastAsia" w:hAnsiTheme="minorEastAsia" w:eastAsiaTheme="minorEastAsia"/>
                <w:szCs w:val="21"/>
              </w:rPr>
              <w:t>Ⅱ</w:t>
            </w:r>
          </w:p>
        </w:tc>
        <w:tc>
          <w:tcPr>
            <w:tcW w:w="4369" w:type="pct"/>
            <w:vAlign w:val="center"/>
          </w:tcPr>
          <w:p>
            <w:pPr>
              <w:pStyle w:val="13"/>
              <w:spacing w:line="360" w:lineRule="exact"/>
              <w:jc w:val="center"/>
              <w:rPr>
                <w:rFonts w:ascii="Times New Roman" w:hAnsi="Times New Roman" w:eastAsiaTheme="minorEastAsia"/>
                <w:szCs w:val="21"/>
              </w:rPr>
            </w:pPr>
            <w:r>
              <w:rPr>
                <w:rFonts w:ascii="Times New Roman" w:hAnsiTheme="minorEastAsia" w:eastAsiaTheme="minorEastAsia"/>
                <w:szCs w:val="21"/>
              </w:rPr>
              <w:t>高炉，焦化炉，</w:t>
            </w:r>
            <w:r>
              <w:rPr>
                <w:rFonts w:ascii="Times New Roman" w:hAnsi="Times New Roman" w:eastAsiaTheme="minorEastAsia"/>
                <w:szCs w:val="21"/>
              </w:rPr>
              <w:t>220kV</w:t>
            </w:r>
            <w:r>
              <w:rPr>
                <w:rFonts w:ascii="Times New Roman" w:hAnsiTheme="minorEastAsia" w:eastAsiaTheme="minorEastAsia"/>
                <w:szCs w:val="21"/>
              </w:rPr>
              <w:t>以上超高压输电线路杆塔，矿区总变电所，立交桥；钢筋混凝土框架结构的工业厂房，设有桥式吊车的工业厂房，铁路煤仓、总机修厂等较重要的大型工业建（构）筑物；办公楼，医院、剧院、学校，百货大楼，二等火车站，长度大于</w:t>
            </w:r>
            <w:r>
              <w:rPr>
                <w:rFonts w:ascii="Times New Roman" w:hAnsi="Times New Roman" w:eastAsiaTheme="minorEastAsia"/>
                <w:szCs w:val="21"/>
              </w:rPr>
              <w:t>20m</w:t>
            </w:r>
            <w:r>
              <w:rPr>
                <w:rFonts w:ascii="Times New Roman" w:hAnsiTheme="minorEastAsia" w:eastAsiaTheme="minorEastAsia"/>
                <w:szCs w:val="21"/>
              </w:rPr>
              <w:t>的二层楼房和三层以上多层住宅楼，输水管干线和铸铁瓦斯管道支线；架空索道，电视塔及其转播塔，一级公路等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1" w:type="pct"/>
            <w:vAlign w:val="center"/>
          </w:tcPr>
          <w:p>
            <w:pPr>
              <w:pStyle w:val="13"/>
              <w:spacing w:line="360" w:lineRule="exact"/>
              <w:jc w:val="center"/>
              <w:rPr>
                <w:rFonts w:ascii="Times New Roman" w:hAnsi="Times New Roman" w:eastAsiaTheme="minorEastAsia"/>
                <w:szCs w:val="21"/>
              </w:rPr>
            </w:pPr>
            <w:r>
              <w:rPr>
                <w:rFonts w:asciiTheme="minorEastAsia" w:hAnsiTheme="minorEastAsia" w:eastAsiaTheme="minorEastAsia"/>
                <w:szCs w:val="21"/>
              </w:rPr>
              <w:t>Ⅲ</w:t>
            </w:r>
          </w:p>
        </w:tc>
        <w:tc>
          <w:tcPr>
            <w:tcW w:w="4369" w:type="pct"/>
            <w:vAlign w:val="center"/>
          </w:tcPr>
          <w:p>
            <w:pPr>
              <w:pStyle w:val="13"/>
              <w:spacing w:line="360" w:lineRule="exact"/>
              <w:jc w:val="center"/>
              <w:rPr>
                <w:rFonts w:ascii="Times New Roman" w:hAnsi="Times New Roman" w:eastAsiaTheme="minorEastAsia"/>
                <w:szCs w:val="21"/>
              </w:rPr>
            </w:pPr>
            <w:r>
              <w:rPr>
                <w:rFonts w:ascii="Times New Roman" w:hAnsiTheme="minorEastAsia" w:eastAsiaTheme="minorEastAsia"/>
                <w:szCs w:val="21"/>
              </w:rPr>
              <w:t>无吊车设备的砖木结构工业厂房，三、四等火车站，砖木、砖混结构平房或变形缝区段小于</w:t>
            </w:r>
            <w:r>
              <w:rPr>
                <w:rFonts w:ascii="Times New Roman" w:hAnsi="Times New Roman" w:eastAsiaTheme="minorEastAsia"/>
                <w:szCs w:val="21"/>
              </w:rPr>
              <w:t>20m</w:t>
            </w:r>
            <w:r>
              <w:rPr>
                <w:rFonts w:ascii="Times New Roman" w:hAnsiTheme="minorEastAsia" w:eastAsiaTheme="minorEastAsia"/>
                <w:szCs w:val="21"/>
              </w:rPr>
              <w:t>的两层楼房、村庄砖瓦民房；高压输电线路杆塔，钢瓦斯管道等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1" w:type="pct"/>
            <w:vAlign w:val="center"/>
          </w:tcPr>
          <w:p>
            <w:pPr>
              <w:pStyle w:val="13"/>
              <w:spacing w:line="360" w:lineRule="exact"/>
              <w:jc w:val="center"/>
              <w:rPr>
                <w:rFonts w:ascii="Times New Roman" w:hAnsi="Times New Roman" w:eastAsiaTheme="minorEastAsia"/>
                <w:szCs w:val="21"/>
              </w:rPr>
            </w:pPr>
            <w:r>
              <w:rPr>
                <w:rFonts w:asciiTheme="minorEastAsia" w:hAnsiTheme="minorEastAsia" w:eastAsiaTheme="minorEastAsia"/>
                <w:szCs w:val="21"/>
              </w:rPr>
              <w:t>Ⅳ</w:t>
            </w:r>
          </w:p>
        </w:tc>
        <w:tc>
          <w:tcPr>
            <w:tcW w:w="4369" w:type="pct"/>
            <w:vAlign w:val="center"/>
          </w:tcPr>
          <w:p>
            <w:pPr>
              <w:pStyle w:val="13"/>
              <w:spacing w:line="360" w:lineRule="exact"/>
              <w:jc w:val="center"/>
              <w:rPr>
                <w:rFonts w:ascii="Times New Roman" w:hAnsi="Times New Roman" w:eastAsiaTheme="minorEastAsia"/>
                <w:szCs w:val="21"/>
              </w:rPr>
            </w:pPr>
            <w:r>
              <w:rPr>
                <w:rFonts w:ascii="Times New Roman" w:hAnsiTheme="minorEastAsia" w:eastAsiaTheme="minorEastAsia"/>
                <w:szCs w:val="21"/>
              </w:rPr>
              <w:t>农村木结构承重房屋，简易仓库等</w:t>
            </w:r>
          </w:p>
        </w:tc>
      </w:tr>
    </w:tbl>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表中等级分类可知：矿区矿井工业场地的主井井架、主厂房和风井场地的矿井主风机房等工业建筑的保护等级为</w:t>
      </w:r>
      <w:r>
        <w:rPr>
          <w:rFonts w:asciiTheme="minorEastAsia" w:hAnsiTheme="minorEastAsia" w:eastAsiaTheme="minorEastAsia"/>
          <w:sz w:val="24"/>
          <w:szCs w:val="24"/>
        </w:rPr>
        <w:t>Ⅰ</w:t>
      </w:r>
      <w:r>
        <w:rPr>
          <w:rFonts w:ascii="Times New Roman" w:hAnsiTheme="minorEastAsia" w:eastAsiaTheme="minorEastAsia"/>
          <w:sz w:val="24"/>
          <w:szCs w:val="24"/>
        </w:rPr>
        <w:t>级；农村民房保护等级为</w:t>
      </w:r>
      <w:r>
        <w:rPr>
          <w:rFonts w:asciiTheme="minorEastAsia" w:hAnsiTheme="minorEastAsia" w:eastAsiaTheme="minorEastAsia"/>
          <w:sz w:val="24"/>
          <w:szCs w:val="24"/>
        </w:rPr>
        <w:t>Ⅲ</w:t>
      </w:r>
      <w:r>
        <w:rPr>
          <w:rFonts w:ascii="Times New Roman" w:hAnsiTheme="minorEastAsia" w:eastAsiaTheme="minorEastAsia"/>
          <w:sz w:val="24"/>
          <w:szCs w:val="24"/>
        </w:rPr>
        <w:t>级，个别为</w:t>
      </w:r>
      <w:r>
        <w:rPr>
          <w:rFonts w:asciiTheme="minorEastAsia" w:hAnsiTheme="minorEastAsia" w:eastAsiaTheme="minorEastAsia"/>
          <w:sz w:val="24"/>
          <w:szCs w:val="24"/>
        </w:rPr>
        <w:t>Ⅳ</w:t>
      </w:r>
      <w:r>
        <w:rPr>
          <w:rFonts w:ascii="Times New Roman" w:hAnsiTheme="minorEastAsia" w:eastAsiaTheme="minorEastAsia"/>
          <w:sz w:val="24"/>
          <w:szCs w:val="24"/>
        </w:rPr>
        <w:t>级，长度大于</w:t>
      </w:r>
      <w:r>
        <w:rPr>
          <w:rFonts w:ascii="Times New Roman" w:hAnsi="Times New Roman" w:eastAsiaTheme="minorEastAsia"/>
          <w:sz w:val="24"/>
          <w:szCs w:val="24"/>
        </w:rPr>
        <w:t>20m</w:t>
      </w:r>
      <w:r>
        <w:rPr>
          <w:rFonts w:ascii="Times New Roman" w:hAnsiTheme="minorEastAsia" w:eastAsiaTheme="minorEastAsia"/>
          <w:sz w:val="24"/>
          <w:szCs w:val="24"/>
        </w:rPr>
        <w:t>的二层楼房和三层以上多层住宅楼保护等级为</w:t>
      </w:r>
      <w:r>
        <w:rPr>
          <w:rFonts w:asciiTheme="minorEastAsia" w:hAnsiTheme="minorEastAsia" w:eastAsiaTheme="minorEastAsia"/>
          <w:sz w:val="24"/>
          <w:szCs w:val="24"/>
        </w:rPr>
        <w:t>Ⅱ</w:t>
      </w:r>
      <w:r>
        <w:rPr>
          <w:rFonts w:ascii="Times New Roman" w:hAnsiTheme="minorEastAsia" w:eastAsiaTheme="minorEastAsia"/>
          <w:sz w:val="24"/>
          <w:szCs w:val="24"/>
        </w:rPr>
        <w:t>级。根据预测的地表移动及变形值和建筑物的破坏对比可知：在不采取任何保护措施情况下，开采建筑物下压煤，其采动影响将使建筑物遭到彻底破坏。</w:t>
      </w:r>
    </w:p>
    <w:p>
      <w:pPr>
        <w:pStyle w:val="13"/>
        <w:spacing w:line="360" w:lineRule="auto"/>
        <w:ind w:firstLine="480" w:firstLineChars="200"/>
        <w:rPr>
          <w:rFonts w:ascii="Times New Roman" w:hAnsi="Times New Roman" w:eastAsiaTheme="minorEastAsia"/>
          <w:b/>
          <w:sz w:val="24"/>
          <w:szCs w:val="24"/>
        </w:rPr>
      </w:pPr>
      <w:r>
        <w:rPr>
          <w:rFonts w:ascii="Times New Roman" w:hAnsiTheme="minorEastAsia" w:eastAsiaTheme="minorEastAsia"/>
          <w:sz w:val="24"/>
          <w:szCs w:val="24"/>
        </w:rPr>
        <w:t>井下开采后，从工作面采动地表移动变形预计值和井田内最大移动变形值（见表</w:t>
      </w:r>
      <w:r>
        <w:rPr>
          <w:rFonts w:ascii="Times New Roman" w:hAnsi="Times New Roman" w:eastAsiaTheme="minorEastAsia"/>
          <w:sz w:val="24"/>
          <w:szCs w:val="24"/>
        </w:rPr>
        <w:t>5.1-9</w:t>
      </w:r>
      <w:r>
        <w:rPr>
          <w:rFonts w:ascii="Times New Roman" w:hAnsiTheme="minorEastAsia" w:eastAsiaTheme="minorEastAsia"/>
          <w:sz w:val="24"/>
          <w:szCs w:val="24"/>
        </w:rPr>
        <w:t>），与《开采规程》中所列建筑物的破坏等级（见表</w:t>
      </w:r>
      <w:r>
        <w:rPr>
          <w:rFonts w:ascii="Times New Roman" w:hAnsi="Times New Roman" w:eastAsiaTheme="minorEastAsia"/>
          <w:sz w:val="24"/>
          <w:szCs w:val="24"/>
        </w:rPr>
        <w:t>5.1-10</w:t>
      </w:r>
      <w:r>
        <w:rPr>
          <w:rFonts w:ascii="Times New Roman" w:hAnsiTheme="minorEastAsia" w:eastAsiaTheme="minorEastAsia"/>
          <w:sz w:val="24"/>
          <w:szCs w:val="24"/>
        </w:rPr>
        <w:t>）对比可知，全采煤层时，在不留设煤柱的情况下，其破坏等级理论计算值</w:t>
      </w:r>
      <w:r>
        <w:rPr>
          <w:rFonts w:ascii="Times New Roman" w:hAnsi="Times New Roman" w:eastAsiaTheme="minorEastAsia"/>
          <w:sz w:val="24"/>
          <w:szCs w:val="24"/>
        </w:rPr>
        <w:t>(</w:t>
      </w:r>
      <w:r>
        <w:rPr>
          <w:rFonts w:ascii="Times New Roman" w:hAnsiTheme="minorEastAsia" w:eastAsiaTheme="minorEastAsia"/>
          <w:sz w:val="24"/>
          <w:szCs w:val="24"/>
        </w:rPr>
        <w:t>倾斜</w:t>
      </w:r>
      <w:r>
        <w:rPr>
          <w:rFonts w:ascii="Times New Roman" w:hAnsi="Times New Roman" w:eastAsiaTheme="minorEastAsia"/>
          <w:sz w:val="24"/>
          <w:szCs w:val="24"/>
        </w:rPr>
        <w:t>i</w:t>
      </w:r>
      <w:r>
        <w:rPr>
          <w:rFonts w:ascii="Times New Roman" w:hAnsiTheme="minorEastAsia" w:eastAsiaTheme="minorEastAsia"/>
          <w:sz w:val="24"/>
          <w:szCs w:val="24"/>
        </w:rPr>
        <w:t>、水平变形</w:t>
      </w:r>
      <w:r>
        <w:rPr>
          <w:rFonts w:ascii="Times New Roman" w:hAnsi="Times New Roman" w:eastAsiaTheme="minorEastAsia"/>
          <w:sz w:val="24"/>
          <w:szCs w:val="24"/>
        </w:rPr>
        <w:t>ε</w:t>
      </w:r>
      <w:r>
        <w:rPr>
          <w:rFonts w:ascii="Times New Roman" w:hAnsiTheme="minorEastAsia" w:eastAsiaTheme="minorEastAsia"/>
          <w:sz w:val="24"/>
          <w:szCs w:val="24"/>
        </w:rPr>
        <w:t>、曲率</w:t>
      </w:r>
      <w:r>
        <w:rPr>
          <w:rFonts w:ascii="Times New Roman" w:hAnsi="Times New Roman" w:eastAsiaTheme="minorEastAsia"/>
          <w:sz w:val="24"/>
          <w:szCs w:val="24"/>
        </w:rPr>
        <w:t>k</w:t>
      </w:r>
      <w:r>
        <w:rPr>
          <w:rFonts w:ascii="Times New Roman" w:hAnsiTheme="minorEastAsia" w:eastAsiaTheme="minorEastAsia"/>
          <w:sz w:val="24"/>
          <w:szCs w:val="24"/>
        </w:rPr>
        <w:t>值</w:t>
      </w:r>
      <w:r>
        <w:rPr>
          <w:rFonts w:ascii="Times New Roman" w:hAnsi="Times New Roman" w:eastAsiaTheme="minorEastAsia"/>
          <w:sz w:val="24"/>
          <w:szCs w:val="24"/>
        </w:rPr>
        <w:t>)</w:t>
      </w:r>
      <w:r>
        <w:rPr>
          <w:rFonts w:ascii="Times New Roman" w:hAnsiTheme="minorEastAsia" w:eastAsiaTheme="minorEastAsia"/>
          <w:sz w:val="24"/>
          <w:szCs w:val="24"/>
        </w:rPr>
        <w:t>超过了</w:t>
      </w:r>
      <w:r>
        <w:rPr>
          <w:rFonts w:asciiTheme="minorEastAsia" w:hAnsiTheme="minorEastAsia" w:eastAsiaTheme="minorEastAsia"/>
          <w:sz w:val="24"/>
          <w:szCs w:val="24"/>
        </w:rPr>
        <w:t>Ⅳ</w:t>
      </w:r>
      <w:r>
        <w:rPr>
          <w:rFonts w:ascii="Times New Roman" w:hAnsiTheme="minorEastAsia" w:eastAsiaTheme="minorEastAsia"/>
          <w:sz w:val="24"/>
          <w:szCs w:val="24"/>
        </w:rPr>
        <w:t>级，其地面建筑将会受到一定的破坏。根据煤矿开采计划，应留设足够的保安煤柱，在没有采取搬迁等措施的情况下村庄及各种建筑下压煤层不可开采。同时应建立岩移观测站，取得可靠的适合于当地的岩移数据后，再作保护措施或搬迁计划，以避免因开采引起的村庄房屋的安全问题。评价总的意见是：工业广场主风机房等建筑按</w:t>
      </w:r>
      <w:r>
        <w:rPr>
          <w:rFonts w:asciiTheme="minorEastAsia" w:hAnsiTheme="minorEastAsia" w:eastAsiaTheme="minorEastAsia"/>
          <w:sz w:val="24"/>
          <w:szCs w:val="24"/>
        </w:rPr>
        <w:t>Ⅰ</w:t>
      </w:r>
      <w:r>
        <w:rPr>
          <w:rFonts w:ascii="Times New Roman" w:hAnsiTheme="minorEastAsia" w:eastAsiaTheme="minorEastAsia"/>
          <w:sz w:val="24"/>
          <w:szCs w:val="24"/>
        </w:rPr>
        <w:t>级保护、井田边界外要按照</w:t>
      </w:r>
      <w:r>
        <w:rPr>
          <w:rFonts w:asciiTheme="minorEastAsia" w:hAnsiTheme="minorEastAsia" w:eastAsiaTheme="minorEastAsia"/>
          <w:sz w:val="24"/>
          <w:szCs w:val="24"/>
        </w:rPr>
        <w:t>Ⅲ</w:t>
      </w:r>
      <w:r>
        <w:rPr>
          <w:rFonts w:ascii="Times New Roman" w:hAnsiTheme="minorEastAsia" w:eastAsiaTheme="minorEastAsia"/>
          <w:sz w:val="24"/>
          <w:szCs w:val="24"/>
        </w:rPr>
        <w:t>级保护，少数按</w:t>
      </w:r>
      <w:r>
        <w:rPr>
          <w:rFonts w:asciiTheme="minorEastAsia" w:hAnsiTheme="minorEastAsia" w:eastAsiaTheme="minorEastAsia"/>
          <w:sz w:val="24"/>
          <w:szCs w:val="24"/>
        </w:rPr>
        <w:t>Ⅳ</w:t>
      </w:r>
      <w:r>
        <w:rPr>
          <w:rFonts w:ascii="Times New Roman" w:hAnsiTheme="minorEastAsia" w:eastAsiaTheme="minorEastAsia"/>
          <w:sz w:val="24"/>
          <w:szCs w:val="24"/>
        </w:rPr>
        <w:t>要求保护，井田内村庄民房</w:t>
      </w:r>
      <w:r>
        <w:rPr>
          <w:rFonts w:asciiTheme="minorEastAsia" w:hAnsiTheme="minorEastAsia" w:eastAsiaTheme="minorEastAsia"/>
          <w:sz w:val="24"/>
          <w:szCs w:val="24"/>
        </w:rPr>
        <w:t>Ⅲ</w:t>
      </w:r>
      <w:r>
        <w:rPr>
          <w:rFonts w:ascii="Times New Roman" w:hAnsiTheme="minorEastAsia" w:eastAsiaTheme="minorEastAsia"/>
          <w:sz w:val="24"/>
          <w:szCs w:val="24"/>
        </w:rPr>
        <w:t>级保护，长度大于</w:t>
      </w:r>
      <w:r>
        <w:rPr>
          <w:rFonts w:ascii="Times New Roman" w:hAnsi="Times New Roman" w:eastAsiaTheme="minorEastAsia"/>
          <w:sz w:val="24"/>
          <w:szCs w:val="24"/>
        </w:rPr>
        <w:t>20m</w:t>
      </w:r>
      <w:r>
        <w:rPr>
          <w:rFonts w:ascii="Times New Roman" w:hAnsiTheme="minorEastAsia" w:eastAsiaTheme="minorEastAsia"/>
          <w:sz w:val="24"/>
          <w:szCs w:val="24"/>
        </w:rPr>
        <w:t>的二层楼房和三层以上多层住宅楼保护等级为</w:t>
      </w:r>
      <w:r>
        <w:rPr>
          <w:rFonts w:asciiTheme="minorEastAsia" w:hAnsiTheme="minorEastAsia" w:eastAsiaTheme="minorEastAsia"/>
          <w:sz w:val="24"/>
          <w:szCs w:val="24"/>
        </w:rPr>
        <w:t>Ⅱ</w:t>
      </w:r>
      <w:r>
        <w:rPr>
          <w:rFonts w:ascii="Times New Roman" w:hAnsiTheme="minorEastAsia" w:eastAsiaTheme="minorEastAsia"/>
          <w:sz w:val="24"/>
          <w:szCs w:val="24"/>
        </w:rPr>
        <w:t>级。井田边界留设隔离煤柱。防止采煤对其造成影响。通过采取上述措施，本矿开采不会对村庄居民房屋造成影响。</w:t>
      </w:r>
    </w:p>
    <w:p>
      <w:pPr>
        <w:spacing w:line="288" w:lineRule="auto"/>
        <w:ind w:firstLine="422" w:firstLineChars="200"/>
        <w:jc w:val="center"/>
        <w:rPr>
          <w:rFonts w:eastAsiaTheme="minorEastAsia"/>
          <w:b/>
          <w:snapToGrid w:val="0"/>
          <w:kern w:val="0"/>
          <w:szCs w:val="21"/>
        </w:rPr>
      </w:pPr>
      <w:r>
        <w:rPr>
          <w:rFonts w:hAnsiTheme="minorEastAsia" w:eastAsiaTheme="minorEastAsia"/>
          <w:b/>
          <w:snapToGrid w:val="0"/>
          <w:kern w:val="0"/>
          <w:szCs w:val="21"/>
        </w:rPr>
        <w:t>表</w:t>
      </w:r>
      <w:r>
        <w:rPr>
          <w:rFonts w:eastAsiaTheme="minorEastAsia"/>
          <w:b/>
          <w:snapToGrid w:val="0"/>
          <w:kern w:val="0"/>
          <w:szCs w:val="21"/>
        </w:rPr>
        <w:t xml:space="preserve">5.1-10  </w:t>
      </w:r>
      <w:r>
        <w:rPr>
          <w:rFonts w:hAnsiTheme="minorEastAsia" w:eastAsiaTheme="minorEastAsia"/>
          <w:b/>
          <w:snapToGrid w:val="0"/>
          <w:kern w:val="0"/>
          <w:szCs w:val="21"/>
        </w:rPr>
        <w:t>砖混结构建筑物损坏等级</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6"/>
        <w:gridCol w:w="3391"/>
        <w:gridCol w:w="1057"/>
        <w:gridCol w:w="1059"/>
        <w:gridCol w:w="964"/>
        <w:gridCol w:w="1270"/>
        <w:gridCol w:w="8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380"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损坏</w:t>
            </w:r>
          </w:p>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等级</w:t>
            </w:r>
          </w:p>
        </w:tc>
        <w:tc>
          <w:tcPr>
            <w:tcW w:w="1826"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建筑物损坏程度</w:t>
            </w:r>
          </w:p>
        </w:tc>
        <w:tc>
          <w:tcPr>
            <w:tcW w:w="1657" w:type="pct"/>
            <w:gridSpan w:val="3"/>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地表变形值</w:t>
            </w:r>
          </w:p>
        </w:tc>
        <w:tc>
          <w:tcPr>
            <w:tcW w:w="684"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损坏分类</w:t>
            </w:r>
          </w:p>
        </w:tc>
        <w:tc>
          <w:tcPr>
            <w:tcW w:w="452"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结构处理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 w:hRule="atLeast"/>
          <w:jc w:val="center"/>
        </w:trPr>
        <w:tc>
          <w:tcPr>
            <w:tcW w:w="380"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1826"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569"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水平变形</w:t>
            </w:r>
          </w:p>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ε(mm/m)</w:t>
            </w:r>
          </w:p>
        </w:tc>
        <w:tc>
          <w:tcPr>
            <w:tcW w:w="570"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曲率</w:t>
            </w:r>
          </w:p>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K(10</w:t>
            </w:r>
            <w:r>
              <w:rPr>
                <w:rFonts w:ascii="Times New Roman" w:hAnsi="Times New Roman" w:eastAsiaTheme="minorEastAsia"/>
                <w:szCs w:val="21"/>
                <w:vertAlign w:val="superscript"/>
              </w:rPr>
              <w:t>-3</w:t>
            </w:r>
            <w:r>
              <w:rPr>
                <w:rFonts w:ascii="Times New Roman" w:hAnsi="Times New Roman" w:eastAsiaTheme="minorEastAsia"/>
                <w:szCs w:val="21"/>
              </w:rPr>
              <w:t>/m)</w:t>
            </w:r>
          </w:p>
        </w:tc>
        <w:tc>
          <w:tcPr>
            <w:tcW w:w="519"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倾斜</w:t>
            </w:r>
          </w:p>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i(mm/m)</w:t>
            </w:r>
          </w:p>
        </w:tc>
        <w:tc>
          <w:tcPr>
            <w:tcW w:w="684"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452" w:type="pct"/>
            <w:vMerge w:val="continue"/>
            <w:vAlign w:val="center"/>
          </w:tcPr>
          <w:p>
            <w:pPr>
              <w:pStyle w:val="13"/>
              <w:tabs>
                <w:tab w:val="left" w:pos="0"/>
              </w:tabs>
              <w:spacing w:line="280" w:lineRule="exact"/>
              <w:jc w:val="center"/>
              <w:rPr>
                <w:rFonts w:ascii="Times New Roman" w:hAnsi="Times New Roman"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80"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heme="minorEastAsia" w:hAnsiTheme="minorEastAsia" w:eastAsiaTheme="minorEastAsia"/>
                <w:szCs w:val="21"/>
              </w:rPr>
              <w:t>Ⅰ</w:t>
            </w:r>
          </w:p>
        </w:tc>
        <w:tc>
          <w:tcPr>
            <w:tcW w:w="1826"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自然间砖墙上出现宽度</w:t>
            </w:r>
            <w:r>
              <w:rPr>
                <w:rFonts w:ascii="Times New Roman" w:hAnsi="Times New Roman" w:eastAsiaTheme="minorEastAsia"/>
                <w:szCs w:val="21"/>
              </w:rPr>
              <w:t>1</w:t>
            </w:r>
            <w:r>
              <w:rPr>
                <w:rFonts w:ascii="Times New Roman" w:hAnsiTheme="minorEastAsia" w:eastAsiaTheme="minorEastAsia"/>
                <w:szCs w:val="21"/>
              </w:rPr>
              <w:t>～</w:t>
            </w:r>
            <w:r>
              <w:rPr>
                <w:rFonts w:ascii="Times New Roman" w:hAnsi="Times New Roman" w:eastAsiaTheme="minorEastAsia"/>
                <w:szCs w:val="21"/>
              </w:rPr>
              <w:t>2mm</w:t>
            </w:r>
            <w:r>
              <w:rPr>
                <w:rFonts w:ascii="Times New Roman" w:hAnsiTheme="minorEastAsia" w:eastAsiaTheme="minorEastAsia"/>
                <w:szCs w:val="21"/>
              </w:rPr>
              <w:t>的裂缝</w:t>
            </w:r>
          </w:p>
        </w:tc>
        <w:tc>
          <w:tcPr>
            <w:tcW w:w="569"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≤2.0</w:t>
            </w:r>
          </w:p>
        </w:tc>
        <w:tc>
          <w:tcPr>
            <w:tcW w:w="570"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≤0.2</w:t>
            </w:r>
          </w:p>
        </w:tc>
        <w:tc>
          <w:tcPr>
            <w:tcW w:w="519"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≤3.0</w:t>
            </w:r>
          </w:p>
        </w:tc>
        <w:tc>
          <w:tcPr>
            <w:tcW w:w="684"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极轻微损坏</w:t>
            </w:r>
          </w:p>
        </w:tc>
        <w:tc>
          <w:tcPr>
            <w:tcW w:w="452"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不修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380"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1826"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自然间砖墙上出现宽度小于</w:t>
            </w:r>
            <w:r>
              <w:rPr>
                <w:rFonts w:ascii="Times New Roman" w:hAnsi="Times New Roman" w:eastAsiaTheme="minorEastAsia"/>
                <w:szCs w:val="21"/>
              </w:rPr>
              <w:t>4mm</w:t>
            </w:r>
            <w:r>
              <w:rPr>
                <w:rFonts w:ascii="Times New Roman" w:hAnsiTheme="minorEastAsia" w:eastAsiaTheme="minorEastAsia"/>
                <w:szCs w:val="21"/>
              </w:rPr>
              <w:t>的裂缝；多条裂缝总宽度小于</w:t>
            </w:r>
            <w:r>
              <w:rPr>
                <w:rFonts w:ascii="Times New Roman" w:hAnsi="Times New Roman" w:eastAsiaTheme="minorEastAsia"/>
                <w:szCs w:val="21"/>
              </w:rPr>
              <w:t>10mm</w:t>
            </w:r>
          </w:p>
        </w:tc>
        <w:tc>
          <w:tcPr>
            <w:tcW w:w="569"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570"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519"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684"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轻微损坏</w:t>
            </w:r>
          </w:p>
        </w:tc>
        <w:tc>
          <w:tcPr>
            <w:tcW w:w="452"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简单维修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380" w:type="pct"/>
            <w:vAlign w:val="center"/>
          </w:tcPr>
          <w:p>
            <w:pPr>
              <w:pStyle w:val="13"/>
              <w:tabs>
                <w:tab w:val="left" w:pos="0"/>
              </w:tabs>
              <w:spacing w:line="280" w:lineRule="exact"/>
              <w:jc w:val="center"/>
              <w:rPr>
                <w:rFonts w:ascii="Times New Roman" w:hAnsi="Times New Roman" w:eastAsiaTheme="minorEastAsia"/>
                <w:szCs w:val="21"/>
              </w:rPr>
            </w:pPr>
            <w:r>
              <w:rPr>
                <w:rFonts w:asciiTheme="minorEastAsia" w:hAnsiTheme="minorEastAsia" w:eastAsiaTheme="minorEastAsia"/>
                <w:szCs w:val="21"/>
              </w:rPr>
              <w:t>Ⅱ</w:t>
            </w:r>
          </w:p>
        </w:tc>
        <w:tc>
          <w:tcPr>
            <w:tcW w:w="1826"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自然间砖墙上出现宽度小于</w:t>
            </w:r>
            <w:r>
              <w:rPr>
                <w:rFonts w:ascii="Times New Roman" w:hAnsi="Times New Roman" w:eastAsiaTheme="minorEastAsia"/>
                <w:szCs w:val="21"/>
              </w:rPr>
              <w:t>15mm</w:t>
            </w:r>
            <w:r>
              <w:rPr>
                <w:rFonts w:ascii="Times New Roman" w:hAnsiTheme="minorEastAsia" w:eastAsiaTheme="minorEastAsia"/>
                <w:szCs w:val="21"/>
              </w:rPr>
              <w:t>的裂缝，多条裂缝总宽度小于</w:t>
            </w:r>
            <w:r>
              <w:rPr>
                <w:rFonts w:ascii="Times New Roman" w:hAnsi="Times New Roman" w:eastAsiaTheme="minorEastAsia"/>
                <w:szCs w:val="21"/>
              </w:rPr>
              <w:t>30mm</w:t>
            </w:r>
            <w:r>
              <w:rPr>
                <w:rFonts w:ascii="Times New Roman" w:hAnsiTheme="minorEastAsia" w:eastAsiaTheme="minorEastAsia"/>
                <w:szCs w:val="21"/>
              </w:rPr>
              <w:t>；钢筋混凝土梁、柱上裂缝长度小于</w:t>
            </w:r>
            <w:r>
              <w:rPr>
                <w:rFonts w:ascii="Times New Roman" w:hAnsi="Times New Roman" w:eastAsiaTheme="minorEastAsia"/>
                <w:szCs w:val="21"/>
              </w:rPr>
              <w:t>1/3</w:t>
            </w:r>
            <w:r>
              <w:rPr>
                <w:rFonts w:ascii="Times New Roman" w:hAnsiTheme="minorEastAsia" w:eastAsiaTheme="minorEastAsia"/>
                <w:szCs w:val="21"/>
              </w:rPr>
              <w:t>截面高度；梁端抽出小于</w:t>
            </w:r>
            <w:r>
              <w:rPr>
                <w:rFonts w:ascii="Times New Roman" w:hAnsi="Times New Roman" w:eastAsiaTheme="minorEastAsia"/>
                <w:szCs w:val="21"/>
              </w:rPr>
              <w:t>20mm</w:t>
            </w:r>
            <w:r>
              <w:rPr>
                <w:rFonts w:ascii="Times New Roman" w:hAnsiTheme="minorEastAsia" w:eastAsiaTheme="minorEastAsia"/>
                <w:szCs w:val="21"/>
              </w:rPr>
              <w:t>；砖柱上出现水平裂缝，缝长大于</w:t>
            </w:r>
            <w:r>
              <w:rPr>
                <w:rFonts w:ascii="Times New Roman" w:hAnsi="Times New Roman" w:eastAsiaTheme="minorEastAsia"/>
                <w:szCs w:val="21"/>
              </w:rPr>
              <w:t>1/2</w:t>
            </w:r>
            <w:r>
              <w:rPr>
                <w:rFonts w:ascii="Times New Roman" w:hAnsiTheme="minorEastAsia" w:eastAsiaTheme="minorEastAsia"/>
                <w:szCs w:val="21"/>
              </w:rPr>
              <w:t>截面边长；门窗略有歪斜</w:t>
            </w:r>
          </w:p>
        </w:tc>
        <w:tc>
          <w:tcPr>
            <w:tcW w:w="569"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≤4.0</w:t>
            </w:r>
          </w:p>
        </w:tc>
        <w:tc>
          <w:tcPr>
            <w:tcW w:w="570"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≤0.4</w:t>
            </w:r>
          </w:p>
        </w:tc>
        <w:tc>
          <w:tcPr>
            <w:tcW w:w="519"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≤6.0</w:t>
            </w:r>
          </w:p>
        </w:tc>
        <w:tc>
          <w:tcPr>
            <w:tcW w:w="684"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轻度损坏</w:t>
            </w:r>
          </w:p>
        </w:tc>
        <w:tc>
          <w:tcPr>
            <w:tcW w:w="452"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小修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atLeast"/>
          <w:jc w:val="center"/>
        </w:trPr>
        <w:tc>
          <w:tcPr>
            <w:tcW w:w="380" w:type="pct"/>
            <w:vAlign w:val="center"/>
          </w:tcPr>
          <w:p>
            <w:pPr>
              <w:pStyle w:val="13"/>
              <w:tabs>
                <w:tab w:val="left" w:pos="0"/>
              </w:tabs>
              <w:spacing w:line="280" w:lineRule="exact"/>
              <w:jc w:val="center"/>
              <w:rPr>
                <w:rFonts w:ascii="Times New Roman" w:hAnsi="Times New Roman" w:eastAsiaTheme="minorEastAsia"/>
                <w:szCs w:val="21"/>
              </w:rPr>
            </w:pPr>
            <w:r>
              <w:rPr>
                <w:rFonts w:asciiTheme="minorEastAsia" w:hAnsiTheme="minorEastAsia" w:eastAsiaTheme="minorEastAsia"/>
                <w:szCs w:val="21"/>
              </w:rPr>
              <w:t>Ⅲ</w:t>
            </w:r>
          </w:p>
        </w:tc>
        <w:tc>
          <w:tcPr>
            <w:tcW w:w="1826"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自然间砖墙上出现宽度小于</w:t>
            </w:r>
            <w:r>
              <w:rPr>
                <w:rFonts w:ascii="Times New Roman" w:hAnsi="Times New Roman" w:eastAsiaTheme="minorEastAsia"/>
                <w:szCs w:val="21"/>
              </w:rPr>
              <w:t>30mm</w:t>
            </w:r>
            <w:r>
              <w:rPr>
                <w:rFonts w:ascii="Times New Roman" w:hAnsiTheme="minorEastAsia" w:eastAsiaTheme="minorEastAsia"/>
                <w:szCs w:val="21"/>
              </w:rPr>
              <w:t>的裂缝，多条裂缝总宽度小于</w:t>
            </w:r>
            <w:r>
              <w:rPr>
                <w:rFonts w:ascii="Times New Roman" w:hAnsi="Times New Roman" w:eastAsiaTheme="minorEastAsia"/>
                <w:szCs w:val="21"/>
              </w:rPr>
              <w:t>50mm</w:t>
            </w:r>
            <w:r>
              <w:rPr>
                <w:rFonts w:ascii="Times New Roman" w:hAnsiTheme="minorEastAsia" w:eastAsiaTheme="minorEastAsia"/>
                <w:szCs w:val="21"/>
              </w:rPr>
              <w:t>；钢筋混凝土梁、柱上裂缝长度小于</w:t>
            </w:r>
            <w:r>
              <w:rPr>
                <w:rFonts w:ascii="Times New Roman" w:hAnsi="Times New Roman" w:eastAsiaTheme="minorEastAsia"/>
                <w:szCs w:val="21"/>
              </w:rPr>
              <w:t>1/2</w:t>
            </w:r>
            <w:r>
              <w:rPr>
                <w:rFonts w:ascii="Times New Roman" w:hAnsiTheme="minorEastAsia" w:eastAsiaTheme="minorEastAsia"/>
                <w:szCs w:val="21"/>
              </w:rPr>
              <w:t>截面高度；梁端抽出小于</w:t>
            </w:r>
            <w:r>
              <w:rPr>
                <w:rFonts w:ascii="Times New Roman" w:hAnsi="Times New Roman" w:eastAsiaTheme="minorEastAsia"/>
                <w:szCs w:val="21"/>
              </w:rPr>
              <w:t>50mm</w:t>
            </w:r>
            <w:r>
              <w:rPr>
                <w:rFonts w:ascii="Times New Roman" w:hAnsiTheme="minorEastAsia" w:eastAsiaTheme="minorEastAsia"/>
                <w:szCs w:val="21"/>
              </w:rPr>
              <w:t>；砖柱上出现小于</w:t>
            </w:r>
            <w:r>
              <w:rPr>
                <w:rFonts w:ascii="Times New Roman" w:hAnsi="Times New Roman" w:eastAsiaTheme="minorEastAsia"/>
                <w:szCs w:val="21"/>
              </w:rPr>
              <w:t>5mm</w:t>
            </w:r>
            <w:r>
              <w:rPr>
                <w:rFonts w:ascii="Times New Roman" w:hAnsiTheme="minorEastAsia" w:eastAsiaTheme="minorEastAsia"/>
                <w:szCs w:val="21"/>
              </w:rPr>
              <w:t>的水平错动；门窗严重变形</w:t>
            </w:r>
          </w:p>
        </w:tc>
        <w:tc>
          <w:tcPr>
            <w:tcW w:w="569"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≤6.0</w:t>
            </w:r>
          </w:p>
        </w:tc>
        <w:tc>
          <w:tcPr>
            <w:tcW w:w="570"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≤0.6</w:t>
            </w:r>
          </w:p>
        </w:tc>
        <w:tc>
          <w:tcPr>
            <w:tcW w:w="519"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imes New Roman" w:eastAsiaTheme="minorEastAsia"/>
                <w:szCs w:val="21"/>
              </w:rPr>
              <w:t>≤10.0</w:t>
            </w:r>
          </w:p>
        </w:tc>
        <w:tc>
          <w:tcPr>
            <w:tcW w:w="684"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中度损坏</w:t>
            </w:r>
          </w:p>
        </w:tc>
        <w:tc>
          <w:tcPr>
            <w:tcW w:w="452"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中修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7" w:hRule="atLeast"/>
          <w:jc w:val="center"/>
        </w:trPr>
        <w:tc>
          <w:tcPr>
            <w:tcW w:w="380"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heme="minorEastAsia" w:hAnsiTheme="minorEastAsia" w:eastAsiaTheme="minorEastAsia"/>
                <w:szCs w:val="21"/>
              </w:rPr>
              <w:t>Ⅳ</w:t>
            </w:r>
          </w:p>
        </w:tc>
        <w:tc>
          <w:tcPr>
            <w:tcW w:w="1826"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自然间砖墙上出现宽度大于</w:t>
            </w:r>
            <w:r>
              <w:rPr>
                <w:rFonts w:ascii="Times New Roman" w:hAnsi="Times New Roman" w:eastAsiaTheme="minorEastAsia"/>
                <w:szCs w:val="21"/>
              </w:rPr>
              <w:t>30mm</w:t>
            </w:r>
            <w:r>
              <w:rPr>
                <w:rFonts w:ascii="Times New Roman" w:hAnsiTheme="minorEastAsia" w:eastAsiaTheme="minorEastAsia"/>
                <w:szCs w:val="21"/>
              </w:rPr>
              <w:t>的裂缝，多条裂缝总宽度大于</w:t>
            </w:r>
            <w:r>
              <w:rPr>
                <w:rFonts w:ascii="Times New Roman" w:hAnsi="Times New Roman" w:eastAsiaTheme="minorEastAsia"/>
                <w:szCs w:val="21"/>
              </w:rPr>
              <w:t>50mm</w:t>
            </w:r>
            <w:r>
              <w:rPr>
                <w:rFonts w:ascii="Times New Roman" w:hAnsiTheme="minorEastAsia" w:eastAsiaTheme="minorEastAsia"/>
                <w:szCs w:val="21"/>
              </w:rPr>
              <w:t>；梁端抽出小于</w:t>
            </w:r>
            <w:r>
              <w:rPr>
                <w:rFonts w:ascii="Times New Roman" w:hAnsi="Times New Roman" w:eastAsiaTheme="minorEastAsia"/>
                <w:szCs w:val="21"/>
              </w:rPr>
              <w:t>60mm</w:t>
            </w:r>
            <w:r>
              <w:rPr>
                <w:rFonts w:ascii="Times New Roman" w:hAnsiTheme="minorEastAsia" w:eastAsiaTheme="minorEastAsia"/>
                <w:szCs w:val="21"/>
              </w:rPr>
              <w:t>；砖柱上出现小于</w:t>
            </w:r>
            <w:r>
              <w:rPr>
                <w:rFonts w:ascii="Times New Roman" w:hAnsi="Times New Roman" w:eastAsiaTheme="minorEastAsia"/>
                <w:szCs w:val="21"/>
              </w:rPr>
              <w:t>25mm</w:t>
            </w:r>
            <w:r>
              <w:rPr>
                <w:rFonts w:ascii="Times New Roman" w:hAnsiTheme="minorEastAsia" w:eastAsiaTheme="minorEastAsia"/>
                <w:szCs w:val="21"/>
              </w:rPr>
              <w:t>的水平错动</w:t>
            </w:r>
          </w:p>
        </w:tc>
        <w:tc>
          <w:tcPr>
            <w:tcW w:w="569"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w:t>
            </w:r>
            <w:r>
              <w:rPr>
                <w:rFonts w:ascii="Times New Roman" w:hAnsi="Times New Roman" w:eastAsiaTheme="minorEastAsia"/>
                <w:szCs w:val="21"/>
              </w:rPr>
              <w:t>6.0</w:t>
            </w:r>
          </w:p>
        </w:tc>
        <w:tc>
          <w:tcPr>
            <w:tcW w:w="570"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w:t>
            </w:r>
            <w:r>
              <w:rPr>
                <w:rFonts w:ascii="Times New Roman" w:hAnsi="Times New Roman" w:eastAsiaTheme="minorEastAsia"/>
                <w:szCs w:val="21"/>
              </w:rPr>
              <w:t>0.6</w:t>
            </w:r>
          </w:p>
        </w:tc>
        <w:tc>
          <w:tcPr>
            <w:tcW w:w="519" w:type="pct"/>
            <w:vMerge w:val="restar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w:t>
            </w:r>
            <w:r>
              <w:rPr>
                <w:rFonts w:ascii="Times New Roman" w:hAnsi="Times New Roman" w:eastAsiaTheme="minorEastAsia"/>
                <w:szCs w:val="21"/>
              </w:rPr>
              <w:t>10.0</w:t>
            </w:r>
          </w:p>
        </w:tc>
        <w:tc>
          <w:tcPr>
            <w:tcW w:w="684"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严重损坏</w:t>
            </w:r>
          </w:p>
        </w:tc>
        <w:tc>
          <w:tcPr>
            <w:tcW w:w="452"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大修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380"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1826"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自然间砖墙上出现严重交叉裂缝、上下贯通裂缝，以及墙体严重外鼓、歪斜；钢筋混凝土梁、柱裂缝沿截面贯通；梁端抽出大于</w:t>
            </w:r>
            <w:r>
              <w:rPr>
                <w:rFonts w:ascii="Times New Roman" w:hAnsi="Times New Roman" w:eastAsiaTheme="minorEastAsia"/>
                <w:szCs w:val="21"/>
              </w:rPr>
              <w:t>60mm</w:t>
            </w:r>
            <w:r>
              <w:rPr>
                <w:rFonts w:ascii="Times New Roman" w:hAnsiTheme="minorEastAsia" w:eastAsiaTheme="minorEastAsia"/>
                <w:szCs w:val="21"/>
              </w:rPr>
              <w:t>；砖柱出现大于</w:t>
            </w:r>
            <w:r>
              <w:rPr>
                <w:rFonts w:ascii="Times New Roman" w:hAnsi="Times New Roman" w:eastAsiaTheme="minorEastAsia"/>
                <w:szCs w:val="21"/>
              </w:rPr>
              <w:t>25mm</w:t>
            </w:r>
            <w:r>
              <w:rPr>
                <w:rFonts w:ascii="Times New Roman" w:hAnsiTheme="minorEastAsia" w:eastAsiaTheme="minorEastAsia"/>
                <w:szCs w:val="21"/>
              </w:rPr>
              <w:t>的水平错动；有倒塌的危险</w:t>
            </w:r>
          </w:p>
        </w:tc>
        <w:tc>
          <w:tcPr>
            <w:tcW w:w="569"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570"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519" w:type="pct"/>
            <w:vMerge w:val="continue"/>
            <w:vAlign w:val="center"/>
          </w:tcPr>
          <w:p>
            <w:pPr>
              <w:pStyle w:val="13"/>
              <w:tabs>
                <w:tab w:val="left" w:pos="0"/>
              </w:tabs>
              <w:spacing w:line="280" w:lineRule="exact"/>
              <w:jc w:val="center"/>
              <w:rPr>
                <w:rFonts w:ascii="Times New Roman" w:hAnsi="Times New Roman" w:eastAsiaTheme="minorEastAsia"/>
                <w:szCs w:val="21"/>
              </w:rPr>
            </w:pPr>
          </w:p>
        </w:tc>
        <w:tc>
          <w:tcPr>
            <w:tcW w:w="684"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极度严重损坏</w:t>
            </w:r>
          </w:p>
        </w:tc>
        <w:tc>
          <w:tcPr>
            <w:tcW w:w="452" w:type="pct"/>
            <w:vAlign w:val="center"/>
          </w:tcPr>
          <w:p>
            <w:pPr>
              <w:pStyle w:val="13"/>
              <w:tabs>
                <w:tab w:val="left" w:pos="0"/>
              </w:tabs>
              <w:spacing w:line="280" w:lineRule="exact"/>
              <w:jc w:val="center"/>
              <w:rPr>
                <w:rFonts w:ascii="Times New Roman" w:hAnsi="Times New Roman" w:eastAsiaTheme="minorEastAsia"/>
                <w:szCs w:val="21"/>
              </w:rPr>
            </w:pPr>
            <w:r>
              <w:rPr>
                <w:rFonts w:ascii="Times New Roman" w:hAnsiTheme="minorEastAsia" w:eastAsiaTheme="minorEastAsia"/>
                <w:szCs w:val="21"/>
              </w:rPr>
              <w:t>拆建</w:t>
            </w:r>
          </w:p>
        </w:tc>
      </w:tr>
    </w:tbl>
    <w:p>
      <w:pPr>
        <w:pStyle w:val="13"/>
        <w:spacing w:line="360" w:lineRule="auto"/>
        <w:ind w:firstLine="480" w:firstLineChars="200"/>
        <w:rPr>
          <w:rFonts w:ascii="Times New Roman" w:hAnsi="Times New Roman" w:eastAsiaTheme="minorEastAsia"/>
          <w:sz w:val="24"/>
        </w:rPr>
      </w:pPr>
      <w:r>
        <w:rPr>
          <w:rFonts w:hint="eastAsia" w:ascii="Times New Roman" w:hAnsiTheme="minorEastAsia" w:eastAsiaTheme="minorEastAsia"/>
          <w:sz w:val="24"/>
        </w:rPr>
        <w:t>根据预测结果，全采煤层时其破坏等级理论计算值(倾斜i、水平变形ε、曲率k值)达到破坏等级的</w:t>
      </w:r>
      <w:r>
        <w:rPr>
          <w:rFonts w:hint="eastAsia" w:ascii="Times New Roman" w:hAnsiTheme="minorEastAsia" w:eastAsiaTheme="minorEastAsia"/>
          <w:sz w:val="24"/>
        </w:rPr>
        <w:fldChar w:fldCharType="begin"/>
      </w:r>
      <w:r>
        <w:rPr>
          <w:rFonts w:hint="eastAsia" w:ascii="Times New Roman" w:hAnsiTheme="minorEastAsia" w:eastAsiaTheme="minorEastAsia"/>
          <w:sz w:val="24"/>
        </w:rPr>
        <w:instrText xml:space="preserve"> = 4 \* ROMAN </w:instrText>
      </w:r>
      <w:r>
        <w:rPr>
          <w:rFonts w:hint="eastAsia" w:ascii="Times New Roman" w:hAnsiTheme="minorEastAsia" w:eastAsiaTheme="minorEastAsia"/>
          <w:sz w:val="24"/>
        </w:rPr>
        <w:fldChar w:fldCharType="separate"/>
      </w:r>
      <w:r>
        <w:rPr>
          <w:rFonts w:hint="eastAsia" w:ascii="Times New Roman" w:hAnsiTheme="minorEastAsia" w:eastAsiaTheme="minorEastAsia"/>
          <w:sz w:val="24"/>
        </w:rPr>
        <w:t>IV</w:t>
      </w:r>
      <w:r>
        <w:rPr>
          <w:rFonts w:hint="eastAsia" w:ascii="Times New Roman" w:hAnsiTheme="minorEastAsia" w:eastAsiaTheme="minorEastAsia"/>
          <w:sz w:val="24"/>
        </w:rPr>
        <w:fldChar w:fldCharType="end"/>
      </w:r>
      <w:r>
        <w:rPr>
          <w:rFonts w:hint="eastAsia" w:ascii="Times New Roman" w:hAnsiTheme="minorEastAsia" w:eastAsiaTheme="minorEastAsia"/>
          <w:sz w:val="24"/>
        </w:rPr>
        <w:t>级，可见，此矿各煤层的开采对井田范围内村庄影响较大。评价要求矿方开采过程中按照开采规程的要求，给井田范围内及边界处的村庄留设充分的安全煤柱措施。从地表沉陷等值线图上看，井田范围内及边界处未搬迁的村庄没有落入10mm等值线之间，因此，地表沉陷对村庄影响不大。</w:t>
      </w:r>
      <w:r>
        <w:rPr>
          <w:rFonts w:ascii="Times New Roman" w:hAnsiTheme="minorEastAsia" w:eastAsiaTheme="minorEastAsia"/>
          <w:sz w:val="24"/>
        </w:rPr>
        <w:t>若开采过程中，采区范围内的村庄受影响，则矿方应负责对受影响的房屋进行维修，必要时可采取搬迁方式处理。</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4</w:t>
      </w:r>
      <w:r>
        <w:rPr>
          <w:rFonts w:ascii="Times New Roman" w:hAnsiTheme="minorEastAsia" w:eastAsiaTheme="minorEastAsia"/>
          <w:sz w:val="24"/>
          <w:szCs w:val="24"/>
        </w:rPr>
        <w:t>、地表塌陷对地下水和居民饮用水的影响</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地表塌陷对地下水和居民饮用水的影响详见地下水环境影响评价章节。</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5</w:t>
      </w:r>
      <w:r>
        <w:rPr>
          <w:rFonts w:ascii="Times New Roman" w:hAnsiTheme="minorEastAsia" w:eastAsiaTheme="minorEastAsia"/>
          <w:sz w:val="24"/>
          <w:szCs w:val="24"/>
        </w:rPr>
        <w:t>、地表塌陷对地表水的影响</w:t>
      </w:r>
    </w:p>
    <w:p>
      <w:pPr>
        <w:spacing w:line="360" w:lineRule="auto"/>
        <w:ind w:firstLine="480" w:firstLineChars="200"/>
        <w:rPr>
          <w:rFonts w:eastAsiaTheme="minorEastAsia"/>
          <w:sz w:val="24"/>
        </w:rPr>
      </w:pPr>
      <w:r>
        <w:rPr>
          <w:rFonts w:hAnsiTheme="minorEastAsia" w:eastAsiaTheme="minorEastAsia"/>
          <w:sz w:val="24"/>
        </w:rPr>
        <w:t>地表塌陷对地表水影响详见地表水环境影响评价章节。</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6</w:t>
      </w:r>
      <w:r>
        <w:rPr>
          <w:rFonts w:ascii="Times New Roman" w:hAnsiTheme="minorEastAsia" w:eastAsiaTheme="minorEastAsia"/>
          <w:sz w:val="24"/>
          <w:szCs w:val="24"/>
        </w:rPr>
        <w:t>、对交通、输电线路的影响</w:t>
      </w:r>
    </w:p>
    <w:p>
      <w:pPr>
        <w:spacing w:line="360" w:lineRule="auto"/>
        <w:ind w:firstLine="480" w:firstLineChars="200"/>
        <w:rPr>
          <w:rFonts w:eastAsiaTheme="minorEastAsia"/>
          <w:sz w:val="24"/>
        </w:rPr>
      </w:pPr>
      <w:r>
        <w:rPr>
          <w:rFonts w:hAnsiTheme="minorEastAsia" w:eastAsiaTheme="minorEastAsia"/>
          <w:sz w:val="24"/>
        </w:rPr>
        <w:t>地表沉陷对公路的影响主要表现在下沉造成路面低凹起伏不平，在拉伸区和压缩区会造成路面的开裂等路面损坏，导致车速减慢。评价区内没有重要的交通干道，仅有几条乡间小路和风井场地对外联络道路。对这些低级别道路，无须留设煤柱保护，仅需采取随沉随填、填后夯实的措施保持原来的高度和强度即可。国内许多矿区的实践证明，及时维护后一般不会影响正常交通，通常的维护措施为垫高路基，垫高夯实，路基垫高可采用矿井排出的矸石。</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7</w:t>
      </w:r>
      <w:r>
        <w:rPr>
          <w:rFonts w:ascii="Times New Roman" w:hAnsiTheme="minorEastAsia" w:eastAsiaTheme="minorEastAsia"/>
          <w:sz w:val="24"/>
          <w:szCs w:val="24"/>
        </w:rPr>
        <w:t>、对农田、植被的影响</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1</w:t>
      </w:r>
      <w:r>
        <w:rPr>
          <w:rFonts w:ascii="Times New Roman" w:hAnsiTheme="minorEastAsia" w:eastAsiaTheme="minorEastAsia"/>
          <w:sz w:val="24"/>
          <w:szCs w:val="24"/>
        </w:rPr>
        <w:t>）对土地、农田造成破坏原因是地表移动变形产生的地裂缝、塌方或小滑坡。</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2</w:t>
      </w:r>
      <w:r>
        <w:rPr>
          <w:rFonts w:ascii="Times New Roman" w:hAnsiTheme="minorEastAsia" w:eastAsiaTheme="minorEastAsia"/>
          <w:sz w:val="24"/>
          <w:szCs w:val="24"/>
        </w:rPr>
        <w:t>）地表裂缝主要使土地、农田被分割破碎，影响耕种，裂缝带可造成少量农田毁坏。</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3</w:t>
      </w:r>
      <w:r>
        <w:rPr>
          <w:rFonts w:ascii="Times New Roman" w:hAnsiTheme="minorEastAsia" w:eastAsiaTheme="minorEastAsia"/>
          <w:sz w:val="24"/>
          <w:szCs w:val="24"/>
        </w:rPr>
        <w:t>）塌方及小滑坡，主要发生在地形较陡峭、黄土层较厚的地方，造成地表表层土滑移、松动、岩石裸露，庄稼、树木、植被不能正常生长。</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4</w:t>
      </w:r>
      <w:r>
        <w:rPr>
          <w:rFonts w:ascii="Times New Roman" w:hAnsiTheme="minorEastAsia" w:eastAsiaTheme="minorEastAsia"/>
          <w:sz w:val="24"/>
          <w:szCs w:val="24"/>
        </w:rPr>
        <w:t>）地表裂缝、塌方或小滑坡，对地表土层原始内聚力和附着力产生了</w:t>
      </w:r>
      <w:r>
        <w:rPr>
          <w:rFonts w:ascii="Times New Roman" w:hAnsi="Times New Roman" w:eastAsiaTheme="minorEastAsia"/>
          <w:sz w:val="24"/>
          <w:szCs w:val="24"/>
        </w:rPr>
        <w:t>“</w:t>
      </w:r>
      <w:r>
        <w:rPr>
          <w:rFonts w:ascii="Times New Roman" w:hAnsiTheme="minorEastAsia" w:eastAsiaTheme="minorEastAsia"/>
          <w:sz w:val="24"/>
          <w:szCs w:val="24"/>
        </w:rPr>
        <w:t>质</w:t>
      </w:r>
      <w:r>
        <w:rPr>
          <w:rFonts w:ascii="Times New Roman" w:hAnsi="Times New Roman" w:eastAsiaTheme="minorEastAsia"/>
          <w:sz w:val="24"/>
          <w:szCs w:val="24"/>
        </w:rPr>
        <w:t>”</w:t>
      </w:r>
      <w:r>
        <w:rPr>
          <w:rFonts w:ascii="Times New Roman" w:hAnsiTheme="minorEastAsia" w:eastAsiaTheme="minorEastAsia"/>
          <w:sz w:val="24"/>
          <w:szCs w:val="24"/>
        </w:rPr>
        <w:t>的改变，使得在原有侵蚀力不变的情况下，侵蚀模数加大，加剧了水土流失的强度，加速水、土、肥的流失，使土地、农田变得贫瘠。</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矿区为中山区，地形起伏变化不大，在井田范围内有农田，农作物有玉米、谷子、豆类、高粱、土豆等，以旱地作物为多。地表塌陷对农田构成的破坏主要是裂缝、塌方和滑坡。裂缝使土地被割和破碎、裂缝较大时影响耕种并使少量耕地废弃。一般情况下不影响大部分农田作物及草木植物的生长。塌方及小滑坡易发生在坡度较陡的土坡及在第四系地层形成的冲沟两侧陡崖，使处在这种地形的土地遭到彻底破坏，庄稼、植物被毁并造成水地流失。</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8</w:t>
      </w:r>
      <w:r>
        <w:rPr>
          <w:rFonts w:ascii="Times New Roman" w:hAnsiTheme="minorEastAsia" w:eastAsiaTheme="minorEastAsia"/>
          <w:sz w:val="24"/>
          <w:szCs w:val="24"/>
        </w:rPr>
        <w:t>、对区域水土流失现状的影响</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1</w:t>
      </w:r>
      <w:r>
        <w:rPr>
          <w:rFonts w:ascii="Times New Roman" w:hAnsiTheme="minorEastAsia" w:eastAsiaTheme="minorEastAsia"/>
          <w:sz w:val="24"/>
          <w:szCs w:val="24"/>
        </w:rPr>
        <w:t>）土壤理化性状</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土地塌陷后，在局部的坡度变陡和裂缝密集地块，由于水土流失，表层土壤中的粘粒下移，使表层土壤砂化。土壤有机质、全氮、速效磷养分含量会减少，从而影响到作物的产量。</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2</w:t>
      </w:r>
      <w:r>
        <w:rPr>
          <w:rFonts w:ascii="Times New Roman" w:hAnsiTheme="minorEastAsia" w:eastAsiaTheme="minorEastAsia"/>
          <w:sz w:val="24"/>
          <w:szCs w:val="24"/>
        </w:rPr>
        <w:t>）水土流失及地质灾害</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采煤后地表会出现盆型、马鞍型、波浪型等塌陷形式。但不论何种形式，地面都会出现不同程度的变形下沉和坡度增加。在变形下沉的边缘必然开裂产生裂缝。塌陷地边缘坡度变陡、裂缝较多，由裂缝开始逐渐向下沉形成的盆地中央倾斜。在盆地中央的大部分地块，水土流失与塌陷前基本没有变化。但在局部的边缘地块，由于坡度增加和裂缝增多，水力侵蚀会由塌陷前的中度侵蚀增加到重度侵蚀。在沟谷</w:t>
      </w:r>
      <w:r>
        <w:rPr>
          <w:rFonts w:ascii="Times New Roman" w:hAnsi="Times New Roman" w:eastAsiaTheme="minorEastAsia"/>
          <w:sz w:val="24"/>
          <w:szCs w:val="24"/>
        </w:rPr>
        <w:t>—</w:t>
      </w:r>
      <w:r>
        <w:rPr>
          <w:rFonts w:ascii="Times New Roman" w:hAnsiTheme="minorEastAsia" w:eastAsiaTheme="minorEastAsia"/>
          <w:sz w:val="24"/>
          <w:szCs w:val="24"/>
        </w:rPr>
        <w:t>陡坡丘陵区，由于局部错位较大，裂缝较多，地面径流汇集，深层渗漏，增加了滑坡、泥石流等地质灾害发生的机率。</w:t>
      </w:r>
    </w:p>
    <w:p>
      <w:pPr>
        <w:pStyle w:val="13"/>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9</w:t>
      </w:r>
      <w:r>
        <w:rPr>
          <w:rFonts w:ascii="Times New Roman" w:hAnsiTheme="minorEastAsia" w:eastAsiaTheme="minorEastAsia"/>
          <w:sz w:val="24"/>
          <w:szCs w:val="24"/>
        </w:rPr>
        <w:t>、对动植物资源的影响</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项目建设期所占用场地为荒地，基建施工、运输、临时占地等将使周围植被受到不同程度的影响。评价区内的植物均为广布种和常见种，没有国家和地方重点保护的植物物种，且分布较均匀。因此，尽管建设项目会使原有的植被遭到局部影响，但不会使评价区的植物群落的种类组成发生变化，也不会造成某一植物种类的消失。</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评价区没有濒危野生动物。因此，矿井的建设所产生的影响只是引起动物局部的迁移，不会使评价区野生动物种数发生变化，其种群数量也不会发生明显变化。</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影响生态植被的变化主要与植物生长的土壤性质变化，尤其是水分和养分变化有关。矿井开采土地塌陷后，由于理化性状在局部地段发生了变化，对养分的利用率和降水的利用率降低，从而影响到植物群落生物量及农作物产量。其中，由于坡度增加和裂缝增加，地表径流、深层渗漏和无效蒸发，降水资源利用率可能比塌陷前减少</w:t>
      </w:r>
      <w:r>
        <w:rPr>
          <w:rFonts w:ascii="Times New Roman" w:hAnsi="Times New Roman" w:eastAsiaTheme="minorEastAsia"/>
          <w:sz w:val="24"/>
          <w:szCs w:val="24"/>
        </w:rPr>
        <w:t>10</w:t>
      </w:r>
      <w:r>
        <w:rPr>
          <w:rFonts w:ascii="Times New Roman" w:hAnsiTheme="minorEastAsia" w:eastAsiaTheme="minorEastAsia"/>
          <w:sz w:val="24"/>
          <w:szCs w:val="24"/>
        </w:rPr>
        <w:t>～</w:t>
      </w:r>
      <w:r>
        <w:rPr>
          <w:rFonts w:ascii="Times New Roman" w:hAnsi="Times New Roman" w:eastAsiaTheme="minorEastAsia"/>
          <w:sz w:val="24"/>
          <w:szCs w:val="24"/>
        </w:rPr>
        <w:t>20%</w:t>
      </w:r>
      <w:r>
        <w:rPr>
          <w:rFonts w:ascii="Times New Roman" w:hAnsiTheme="minorEastAsia" w:eastAsiaTheme="minorEastAsia"/>
          <w:sz w:val="24"/>
          <w:szCs w:val="24"/>
        </w:rPr>
        <w:t>，但由于本区地下水位较深，塌陷前后地下水利用率仅从地表植物这一角度来看变化不大。</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由于种植农作物的耕地主要是旱地，在下沉盆地的中央部位，作物产量减产不明显，但在部分边缘地带，旱地农作物产量下降</w:t>
      </w:r>
      <w:r>
        <w:rPr>
          <w:rFonts w:ascii="Times New Roman" w:hAnsi="Times New Roman" w:eastAsiaTheme="minorEastAsia"/>
          <w:sz w:val="24"/>
          <w:szCs w:val="24"/>
        </w:rPr>
        <w:t>10</w:t>
      </w:r>
      <w:r>
        <w:rPr>
          <w:rFonts w:ascii="Times New Roman" w:hAnsiTheme="minorEastAsia" w:eastAsiaTheme="minorEastAsia"/>
          <w:sz w:val="24"/>
          <w:szCs w:val="24"/>
        </w:rPr>
        <w:t>～</w:t>
      </w:r>
      <w:r>
        <w:rPr>
          <w:rFonts w:ascii="Times New Roman" w:hAnsi="Times New Roman" w:eastAsiaTheme="minorEastAsia"/>
          <w:sz w:val="24"/>
          <w:szCs w:val="24"/>
        </w:rPr>
        <w:t>30%</w:t>
      </w:r>
      <w:r>
        <w:rPr>
          <w:rFonts w:ascii="Times New Roman" w:hAnsiTheme="minorEastAsia" w:eastAsiaTheme="minorEastAsia"/>
          <w:sz w:val="24"/>
          <w:szCs w:val="24"/>
        </w:rPr>
        <w:t>。极少部分的水地，由于采煤塌陷引起覆岩冒顶裂带和地表裂缝，使矿区地下水和地表水发生程度不同的泄漏，农田水利设施受到破坏，从而在一定期限内影响地表水和地下水的循环，进一步影响到农作物生长，产量下降</w:t>
      </w:r>
      <w:r>
        <w:rPr>
          <w:rFonts w:ascii="Times New Roman" w:hAnsi="Times New Roman" w:eastAsiaTheme="minorEastAsia"/>
          <w:sz w:val="24"/>
          <w:szCs w:val="24"/>
        </w:rPr>
        <w:t>40%</w:t>
      </w:r>
      <w:r>
        <w:rPr>
          <w:rFonts w:ascii="Times New Roman" w:hAnsiTheme="minorEastAsia" w:eastAsiaTheme="minorEastAsia"/>
          <w:sz w:val="24"/>
          <w:szCs w:val="24"/>
        </w:rPr>
        <w:t>左右。少数季节性积水和采动滑坡区，土壤破坏严重，会造成土地绝产。</w:t>
      </w:r>
    </w:p>
    <w:p>
      <w:pPr>
        <w:pStyle w:val="13"/>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塌陷后生态系统的稳定性，可通过对植被异质性程度的改变程度来度量的。由于异质的组分具有不同的生态位，给动物和植物的栖息、移动以及抵御内外干扰，提供了复杂和微妙的相应利用关系。因此，异质性的变化是评价生态系统稳定性的核心问题。矿井开采塌陷后绝大部分面积上的植被不会发生根本性的变化，这绝大部分面积上的植被是该区域具有动态控制能力的组分，因此，项目实施与运行对该区域自然体系中组分自身的异质化程度影响不大。</w:t>
      </w:r>
    </w:p>
    <w:p>
      <w:pPr>
        <w:spacing w:line="360" w:lineRule="auto"/>
        <w:outlineLvl w:val="2"/>
        <w:rPr>
          <w:rFonts w:eastAsiaTheme="minorEastAsia"/>
          <w:b/>
          <w:sz w:val="24"/>
        </w:rPr>
      </w:pPr>
      <w:r>
        <w:rPr>
          <w:rFonts w:eastAsiaTheme="minorEastAsia"/>
          <w:b/>
          <w:sz w:val="24"/>
        </w:rPr>
        <w:t>5.1.</w:t>
      </w:r>
      <w:r>
        <w:rPr>
          <w:rFonts w:hint="eastAsia" w:eastAsiaTheme="minorEastAsia"/>
          <w:b/>
          <w:sz w:val="24"/>
        </w:rPr>
        <w:t>5</w:t>
      </w:r>
      <w:r>
        <w:rPr>
          <w:rFonts w:hAnsiTheme="minorEastAsia" w:eastAsiaTheme="minorEastAsia"/>
          <w:b/>
          <w:sz w:val="24"/>
        </w:rPr>
        <w:t>地表沉陷治理和生态环境综合整治</w:t>
      </w:r>
    </w:p>
    <w:p>
      <w:pPr>
        <w:spacing w:line="360" w:lineRule="auto"/>
        <w:outlineLvl w:val="3"/>
        <w:rPr>
          <w:rFonts w:eastAsiaTheme="minorEastAsia"/>
          <w:b/>
          <w:sz w:val="24"/>
        </w:rPr>
      </w:pPr>
      <w:r>
        <w:rPr>
          <w:rFonts w:eastAsiaTheme="minorEastAsia"/>
          <w:b/>
          <w:sz w:val="24"/>
        </w:rPr>
        <w:t>5.1.</w:t>
      </w:r>
      <w:r>
        <w:rPr>
          <w:rFonts w:hint="eastAsia" w:eastAsiaTheme="minorEastAsia"/>
          <w:b/>
          <w:sz w:val="24"/>
        </w:rPr>
        <w:t>5</w:t>
      </w:r>
      <w:r>
        <w:rPr>
          <w:rFonts w:eastAsiaTheme="minorEastAsia"/>
          <w:b/>
          <w:sz w:val="24"/>
        </w:rPr>
        <w:t>.1</w:t>
      </w:r>
      <w:r>
        <w:rPr>
          <w:rFonts w:hAnsiTheme="minorEastAsia" w:eastAsiaTheme="minorEastAsia"/>
          <w:b/>
          <w:sz w:val="24"/>
        </w:rPr>
        <w:t>生态影响防护与恢复原则</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、自然资源损失的补偿原则</w:t>
      </w:r>
    </w:p>
    <w:p>
      <w:pPr>
        <w:spacing w:line="360" w:lineRule="auto"/>
        <w:ind w:firstLine="480" w:firstLineChars="200"/>
        <w:rPr>
          <w:rFonts w:eastAsiaTheme="minorEastAsia"/>
          <w:sz w:val="24"/>
        </w:rPr>
      </w:pPr>
      <w:r>
        <w:rPr>
          <w:rFonts w:hAnsiTheme="minorEastAsia" w:eastAsiaTheme="minorEastAsia"/>
          <w:sz w:val="24"/>
        </w:rPr>
        <w:t>由于评价区域内的自然资源会因为矿井开采产生地表塌陷和变形，将会造成土地生产力下降，因此必须执行自然资源损失的补偿原则。</w:t>
      </w:r>
    </w:p>
    <w:p>
      <w:pPr>
        <w:spacing w:line="360" w:lineRule="auto"/>
        <w:ind w:firstLine="480" w:firstLineChars="200"/>
        <w:rPr>
          <w:rFonts w:eastAsiaTheme="minorEastAsia"/>
          <w:sz w:val="24"/>
        </w:rPr>
      </w:pPr>
      <w:r>
        <w:rPr>
          <w:rFonts w:eastAsiaTheme="minorEastAsia"/>
          <w:sz w:val="24"/>
        </w:rPr>
        <w:t>2</w:t>
      </w:r>
      <w:r>
        <w:rPr>
          <w:rFonts w:hAnsiTheme="minorEastAsia" w:eastAsiaTheme="minorEastAsia"/>
          <w:sz w:val="24"/>
        </w:rPr>
        <w:t>、区域自然体系生态完整性受损的恢复原则</w:t>
      </w:r>
    </w:p>
    <w:p>
      <w:pPr>
        <w:spacing w:line="360" w:lineRule="auto"/>
        <w:ind w:firstLine="480" w:firstLineChars="200"/>
        <w:rPr>
          <w:rFonts w:eastAsiaTheme="minorEastAsia"/>
          <w:sz w:val="24"/>
        </w:rPr>
      </w:pPr>
      <w:r>
        <w:rPr>
          <w:rFonts w:hAnsiTheme="minorEastAsia" w:eastAsiaTheme="minorEastAsia"/>
          <w:sz w:val="24"/>
        </w:rPr>
        <w:t>矿井工程处于农业和自然生态系统，生态完整性受损程度不高，应进行生态完整性受损的恢复和合适的经济补偿。</w:t>
      </w:r>
    </w:p>
    <w:p>
      <w:pPr>
        <w:spacing w:line="360" w:lineRule="auto"/>
        <w:ind w:firstLine="480" w:firstLineChars="200"/>
        <w:rPr>
          <w:rFonts w:eastAsiaTheme="minorEastAsia"/>
          <w:sz w:val="24"/>
        </w:rPr>
      </w:pPr>
      <w:r>
        <w:rPr>
          <w:rFonts w:eastAsiaTheme="minorEastAsia"/>
          <w:sz w:val="24"/>
        </w:rPr>
        <w:t>3</w:t>
      </w:r>
      <w:r>
        <w:rPr>
          <w:rFonts w:hAnsiTheme="minorEastAsia" w:eastAsiaTheme="minorEastAsia"/>
          <w:sz w:val="24"/>
        </w:rPr>
        <w:t>、人类需求与生态完整性相协调的原则</w:t>
      </w:r>
    </w:p>
    <w:p>
      <w:pPr>
        <w:spacing w:line="360" w:lineRule="auto"/>
        <w:rPr>
          <w:rFonts w:eastAsiaTheme="minorEastAsia"/>
          <w:sz w:val="24"/>
        </w:rPr>
      </w:pPr>
      <w:r>
        <w:rPr>
          <w:rFonts w:hAnsiTheme="minorEastAsia" w:eastAsiaTheme="minorEastAsia"/>
          <w:sz w:val="24"/>
        </w:rPr>
        <w:t>项目建设和运行是人类利用自然资源满足自身需求的行为，这种行为往往与生态完整性的维护发生矛盾，生态保护的措施就在于尽力缓解这种矛盾，在自然体系可以承受的范围内开发利用资源，为社会的不断进步服务。</w:t>
      </w:r>
    </w:p>
    <w:p>
      <w:pPr>
        <w:spacing w:line="360" w:lineRule="auto"/>
        <w:outlineLvl w:val="3"/>
        <w:rPr>
          <w:rFonts w:eastAsiaTheme="minorEastAsia"/>
          <w:b/>
          <w:sz w:val="24"/>
        </w:rPr>
      </w:pPr>
      <w:r>
        <w:rPr>
          <w:rFonts w:eastAsiaTheme="minorEastAsia"/>
          <w:b/>
          <w:sz w:val="24"/>
        </w:rPr>
        <w:t>5.1.</w:t>
      </w:r>
      <w:r>
        <w:rPr>
          <w:rFonts w:hint="eastAsia" w:eastAsiaTheme="minorEastAsia"/>
          <w:b/>
          <w:sz w:val="24"/>
        </w:rPr>
        <w:t>5</w:t>
      </w:r>
      <w:r>
        <w:rPr>
          <w:rFonts w:eastAsiaTheme="minorEastAsia"/>
          <w:b/>
          <w:sz w:val="24"/>
        </w:rPr>
        <w:t>.2</w:t>
      </w:r>
      <w:r>
        <w:rPr>
          <w:rFonts w:hAnsiTheme="minorEastAsia" w:eastAsiaTheme="minorEastAsia"/>
          <w:b/>
          <w:sz w:val="24"/>
        </w:rPr>
        <w:t>生态环境综合整治措施</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、工业场地</w:t>
      </w:r>
      <w:r>
        <w:rPr>
          <w:rFonts w:hint="eastAsia" w:hAnsiTheme="minorEastAsia" w:eastAsiaTheme="minorEastAsia"/>
          <w:sz w:val="24"/>
        </w:rPr>
        <w:t>生态恢复</w:t>
      </w:r>
      <w:r>
        <w:rPr>
          <w:rFonts w:hAnsiTheme="minorEastAsia" w:eastAsiaTheme="minorEastAsia"/>
          <w:sz w:val="24"/>
        </w:rPr>
        <w:t>措施</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）场地绿化措施</w:t>
      </w:r>
    </w:p>
    <w:p>
      <w:pPr>
        <w:spacing w:line="360" w:lineRule="auto"/>
        <w:ind w:firstLine="480" w:firstLineChars="200"/>
        <w:rPr>
          <w:rFonts w:eastAsiaTheme="minorEastAsia"/>
          <w:sz w:val="24"/>
        </w:rPr>
      </w:pPr>
      <w:r>
        <w:rPr>
          <w:rFonts w:hAnsiTheme="minorEastAsia" w:eastAsiaTheme="minorEastAsia"/>
          <w:sz w:val="24"/>
        </w:rPr>
        <w:t>在生产区要结合各种生产设施的特点，种植高低相结合的乔灌木，形成隔离林带，防止污染扩散；办公及居住区应以美化环境为主，种植绿篱、布置花坛、草坪等。道路的绿化以种植行道树为主，选择油松、杨、榆树、落叶松等，树间距</w:t>
      </w:r>
      <w:r>
        <w:rPr>
          <w:rFonts w:eastAsiaTheme="minorEastAsia"/>
          <w:sz w:val="24"/>
        </w:rPr>
        <w:t>5-6</w:t>
      </w:r>
      <w:r>
        <w:rPr>
          <w:rFonts w:hAnsiTheme="minorEastAsia" w:eastAsiaTheme="minorEastAsia"/>
          <w:sz w:val="24"/>
        </w:rPr>
        <w:t>米，形成沿道路的绿化带，工业场地绿化系数</w:t>
      </w:r>
      <w:r>
        <w:rPr>
          <w:rFonts w:hint="eastAsia" w:hAnsiTheme="minorEastAsia" w:eastAsiaTheme="minorEastAsia"/>
          <w:sz w:val="24"/>
        </w:rPr>
        <w:t>要</w:t>
      </w:r>
      <w:r>
        <w:rPr>
          <w:rFonts w:hAnsiTheme="minorEastAsia" w:eastAsiaTheme="minorEastAsia"/>
          <w:sz w:val="24"/>
        </w:rPr>
        <w:t>达到</w:t>
      </w:r>
      <w:r>
        <w:rPr>
          <w:rFonts w:hint="eastAsia" w:eastAsiaTheme="minorEastAsia"/>
          <w:sz w:val="24"/>
        </w:rPr>
        <w:t>30</w:t>
      </w:r>
      <w:r>
        <w:rPr>
          <w:rFonts w:eastAsiaTheme="minorEastAsia"/>
          <w:sz w:val="24"/>
        </w:rPr>
        <w:t>%</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）防洪排涝</w:t>
      </w:r>
    </w:p>
    <w:p>
      <w:pPr>
        <w:spacing w:line="360" w:lineRule="auto"/>
        <w:ind w:firstLine="480" w:firstLineChars="200"/>
        <w:rPr>
          <w:rFonts w:eastAsiaTheme="minorEastAsia"/>
          <w:sz w:val="24"/>
        </w:rPr>
      </w:pPr>
      <w:r>
        <w:rPr>
          <w:rFonts w:hAnsiTheme="minorEastAsia" w:eastAsiaTheme="minorEastAsia"/>
          <w:sz w:val="24"/>
        </w:rPr>
        <w:t>工业场地</w:t>
      </w:r>
      <w:r>
        <w:rPr>
          <w:rFonts w:hint="eastAsia" w:hAnsiTheme="minorEastAsia" w:eastAsiaTheme="minorEastAsia"/>
          <w:sz w:val="24"/>
        </w:rPr>
        <w:t>设置</w:t>
      </w:r>
      <w:r>
        <w:rPr>
          <w:rFonts w:hAnsiTheme="minorEastAsia" w:eastAsiaTheme="minorEastAsia"/>
          <w:sz w:val="24"/>
        </w:rPr>
        <w:t>排水明（暗）沟，保证场内排水畅通。</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）护坡工程</w:t>
      </w:r>
    </w:p>
    <w:p>
      <w:pPr>
        <w:spacing w:line="360" w:lineRule="auto"/>
        <w:ind w:firstLine="480" w:firstLineChars="200"/>
        <w:rPr>
          <w:rFonts w:hAnsiTheme="minorEastAsia" w:eastAsiaTheme="minorEastAsia"/>
          <w:sz w:val="24"/>
        </w:rPr>
      </w:pPr>
      <w:r>
        <w:rPr>
          <w:rFonts w:hAnsiTheme="minorEastAsia" w:eastAsiaTheme="minorEastAsia"/>
          <w:sz w:val="24"/>
        </w:rPr>
        <w:t>为防止水土流失，对</w:t>
      </w:r>
      <w:r>
        <w:rPr>
          <w:rFonts w:hint="eastAsia" w:hAnsiTheme="minorEastAsia" w:eastAsiaTheme="minorEastAsia"/>
          <w:sz w:val="24"/>
        </w:rPr>
        <w:t>工业</w:t>
      </w:r>
      <w:r>
        <w:rPr>
          <w:rFonts w:hAnsiTheme="minorEastAsia" w:eastAsiaTheme="minorEastAsia"/>
          <w:sz w:val="24"/>
        </w:rPr>
        <w:t>场地</w:t>
      </w:r>
      <w:r>
        <w:rPr>
          <w:rFonts w:hint="eastAsia" w:hAnsiTheme="minorEastAsia" w:eastAsiaTheme="minorEastAsia"/>
          <w:sz w:val="24"/>
        </w:rPr>
        <w:t>内边坡</w:t>
      </w:r>
      <w:r>
        <w:rPr>
          <w:rFonts w:hAnsiTheme="minorEastAsia" w:eastAsiaTheme="minorEastAsia"/>
          <w:sz w:val="24"/>
        </w:rPr>
        <w:t>进行防护工程，如：建护坡、挡墙等。</w:t>
      </w:r>
    </w:p>
    <w:p>
      <w:pPr>
        <w:spacing w:line="360" w:lineRule="auto"/>
        <w:ind w:firstLine="480" w:firstLineChars="200"/>
        <w:rPr>
          <w:rFonts w:eastAsiaTheme="minorEastAsia"/>
          <w:sz w:val="24"/>
        </w:rPr>
      </w:pPr>
      <w:r>
        <w:rPr>
          <w:rFonts w:hint="eastAsia" w:eastAsiaTheme="minorEastAsia"/>
          <w:sz w:val="24"/>
        </w:rPr>
        <w:t>工业场地的绿化、防洪排涝及护坡工程要在煤矿投产运营前完成。</w:t>
      </w:r>
    </w:p>
    <w:p>
      <w:pPr>
        <w:spacing w:line="360" w:lineRule="auto"/>
        <w:ind w:firstLine="480" w:firstLineChars="200"/>
        <w:rPr>
          <w:rFonts w:eastAsiaTheme="minorEastAsia"/>
          <w:sz w:val="24"/>
        </w:rPr>
      </w:pPr>
      <w:r>
        <w:rPr>
          <w:rFonts w:hint="eastAsia" w:eastAsiaTheme="minorEastAsia"/>
          <w:sz w:val="24"/>
        </w:rPr>
        <w:t>（4）</w:t>
      </w:r>
      <w:r>
        <w:rPr>
          <w:rFonts w:hAnsiTheme="minorEastAsia" w:eastAsiaTheme="minorEastAsia"/>
          <w:sz w:val="24"/>
        </w:rPr>
        <w:t>废弃工业场地生态恢复措施</w:t>
      </w:r>
    </w:p>
    <w:p>
      <w:pPr>
        <w:spacing w:line="360" w:lineRule="auto"/>
        <w:ind w:firstLine="480" w:firstLineChars="200"/>
        <w:rPr>
          <w:rFonts w:hAnsiTheme="minorEastAsia" w:eastAsiaTheme="minorEastAsia"/>
          <w:sz w:val="24"/>
        </w:rPr>
      </w:pPr>
      <w:r>
        <w:rPr>
          <w:rFonts w:hint="eastAsia" w:hAnsiTheme="minorEastAsia" w:eastAsiaTheme="minorEastAsia"/>
          <w:sz w:val="24"/>
        </w:rPr>
        <w:t>现场踏勘，飞起的工业场地尚未进行生态恢复。</w:t>
      </w:r>
    </w:p>
    <w:p>
      <w:pPr>
        <w:spacing w:line="360" w:lineRule="auto"/>
        <w:ind w:firstLine="480" w:firstLineChars="200"/>
        <w:rPr>
          <w:rFonts w:eastAsiaTheme="minorEastAsia"/>
          <w:sz w:val="24"/>
        </w:rPr>
      </w:pPr>
      <w:r>
        <w:rPr>
          <w:rFonts w:hint="eastAsia" w:hAnsiTheme="minorEastAsia" w:eastAsiaTheme="minorEastAsia"/>
          <w:sz w:val="24"/>
        </w:rPr>
        <w:t>本次变更</w:t>
      </w:r>
      <w:r>
        <w:rPr>
          <w:rFonts w:hAnsiTheme="minorEastAsia" w:eastAsiaTheme="minorEastAsia"/>
          <w:sz w:val="24"/>
        </w:rPr>
        <w:t>风井场地利用原</w:t>
      </w:r>
      <w:r>
        <w:rPr>
          <w:rFonts w:hint="eastAsia" w:hAnsiTheme="minorEastAsia" w:eastAsiaTheme="minorEastAsia"/>
          <w:sz w:val="24"/>
        </w:rPr>
        <w:t>后庄</w:t>
      </w:r>
      <w:r>
        <w:rPr>
          <w:rFonts w:hAnsiTheme="minorEastAsia" w:eastAsiaTheme="minorEastAsia"/>
          <w:sz w:val="24"/>
        </w:rPr>
        <w:t>煤业部分工业场地；其余各工业场地均废弃，遗留的环境问题主要是各废弃工业场地的生态恢复治理，其工程内容主要包括废旧建筑拆除，土地平整、人工种植及自然恢复等。</w:t>
      </w:r>
    </w:p>
    <w:p>
      <w:pPr>
        <w:spacing w:line="360" w:lineRule="auto"/>
        <w:ind w:firstLine="480" w:firstLineChars="200"/>
        <w:rPr>
          <w:rFonts w:eastAsiaTheme="minorEastAsia"/>
          <w:sz w:val="24"/>
        </w:rPr>
      </w:pPr>
      <w:r>
        <w:rPr>
          <w:rFonts w:hAnsiTheme="minorEastAsia" w:eastAsiaTheme="minorEastAsia"/>
          <w:sz w:val="24"/>
        </w:rPr>
        <w:t>拆除场地内不可利用建筑物，建筑垃圾约</w:t>
      </w:r>
      <w:r>
        <w:rPr>
          <w:rFonts w:hint="eastAsia" w:eastAsiaTheme="minorEastAsia"/>
          <w:sz w:val="24"/>
        </w:rPr>
        <w:t>1.8</w:t>
      </w:r>
      <w:r>
        <w:rPr>
          <w:rFonts w:hAnsiTheme="minorEastAsia" w:eastAsiaTheme="minorEastAsia"/>
          <w:sz w:val="24"/>
        </w:rPr>
        <w:t>万</w:t>
      </w:r>
      <w:r>
        <w:rPr>
          <w:rFonts w:eastAsiaTheme="minorEastAsia"/>
          <w:sz w:val="24"/>
        </w:rPr>
        <w:t>m</w:t>
      </w:r>
      <w:r>
        <w:rPr>
          <w:rFonts w:eastAsiaTheme="minorEastAsia"/>
          <w:sz w:val="24"/>
          <w:vertAlign w:val="superscript"/>
        </w:rPr>
        <w:t>3</w:t>
      </w:r>
      <w:r>
        <w:rPr>
          <w:rFonts w:hAnsiTheme="minorEastAsia" w:eastAsiaTheme="minorEastAsia"/>
          <w:sz w:val="24"/>
        </w:rPr>
        <w:t>，建筑垃圾运至</w:t>
      </w:r>
      <w:r>
        <w:rPr>
          <w:rFonts w:hint="eastAsia" w:hAnsiTheme="minorEastAsia" w:eastAsiaTheme="minorEastAsia"/>
          <w:sz w:val="24"/>
        </w:rPr>
        <w:t>吕梁市临县指定的建筑垃圾填埋场</w:t>
      </w:r>
      <w:r>
        <w:rPr>
          <w:rFonts w:hAnsiTheme="minorEastAsia" w:eastAsiaTheme="minorEastAsia"/>
          <w:sz w:val="24"/>
        </w:rPr>
        <w:t>，建筑垃圾清运完成后，进行场地的平整，场地平整</w:t>
      </w:r>
      <w:r>
        <w:rPr>
          <w:rFonts w:eastAsiaTheme="minorEastAsia"/>
          <w:sz w:val="24"/>
        </w:rPr>
        <w:t>2</w:t>
      </w:r>
      <w:r>
        <w:rPr>
          <w:rFonts w:hint="eastAsia" w:eastAsiaTheme="minorEastAsia"/>
          <w:sz w:val="24"/>
        </w:rPr>
        <w:t>8</w:t>
      </w:r>
      <w:r>
        <w:rPr>
          <w:rFonts w:eastAsiaTheme="minorEastAsia"/>
          <w:sz w:val="24"/>
        </w:rPr>
        <w:t>000m</w:t>
      </w:r>
      <w:r>
        <w:rPr>
          <w:rFonts w:eastAsiaTheme="minorEastAsia"/>
          <w:sz w:val="24"/>
          <w:vertAlign w:val="superscript"/>
        </w:rPr>
        <w:t>2</w:t>
      </w:r>
      <w:r>
        <w:rPr>
          <w:rFonts w:hAnsiTheme="minorEastAsia" w:eastAsiaTheme="minorEastAsia"/>
          <w:sz w:val="24"/>
        </w:rPr>
        <w:t>，场地平整后进行恢复植被。</w:t>
      </w:r>
    </w:p>
    <w:p>
      <w:pPr>
        <w:spacing w:line="360" w:lineRule="auto"/>
        <w:ind w:firstLine="480" w:firstLineChars="200"/>
        <w:rPr>
          <w:rFonts w:eastAsiaTheme="minorEastAsia"/>
          <w:sz w:val="24"/>
        </w:rPr>
      </w:pPr>
      <w:r>
        <w:rPr>
          <w:rFonts w:hAnsiTheme="minorEastAsia" w:eastAsiaTheme="minorEastAsia"/>
          <w:sz w:val="24"/>
        </w:rPr>
        <w:t>拟将废弃不用的工业场地恢复为林地，根据临县地区的立地条件及土地资源，本次恢复植被树种选择油松和侧柏。植被绿化面积</w:t>
      </w:r>
      <w:r>
        <w:rPr>
          <w:rFonts w:eastAsiaTheme="minorEastAsia"/>
          <w:sz w:val="24"/>
        </w:rPr>
        <w:t>2</w:t>
      </w:r>
      <w:r>
        <w:rPr>
          <w:rFonts w:hint="eastAsia" w:eastAsiaTheme="minorEastAsia"/>
          <w:sz w:val="24"/>
        </w:rPr>
        <w:t>80</w:t>
      </w:r>
      <w:r>
        <w:rPr>
          <w:rFonts w:eastAsiaTheme="minorEastAsia"/>
          <w:sz w:val="24"/>
        </w:rPr>
        <w:t>00 m</w:t>
      </w:r>
      <w:r>
        <w:rPr>
          <w:rFonts w:eastAsiaTheme="minorEastAsia"/>
          <w:sz w:val="24"/>
          <w:vertAlign w:val="superscript"/>
        </w:rPr>
        <w:t>2</w:t>
      </w:r>
      <w:r>
        <w:rPr>
          <w:rFonts w:hAnsiTheme="minorEastAsia" w:eastAsiaTheme="minorEastAsia"/>
          <w:sz w:val="24"/>
        </w:rPr>
        <w:t>，采用油松和侧柏混交的方式进行种植。油松和侧柏种植株行距均为</w:t>
      </w:r>
      <w:r>
        <w:rPr>
          <w:rFonts w:eastAsiaTheme="minorEastAsia"/>
          <w:sz w:val="24"/>
        </w:rPr>
        <w:t>3m</w:t>
      </w:r>
      <w:r>
        <w:rPr>
          <w:rFonts w:hAnsiTheme="minorEastAsia" w:eastAsiaTheme="minorEastAsia"/>
          <w:sz w:val="24"/>
        </w:rPr>
        <w:t>。树种种植及种植完成后要做好植被的养护（洒水等抚育管理措施）工作，以保证植被的成活率。</w:t>
      </w:r>
    </w:p>
    <w:p>
      <w:pPr>
        <w:spacing w:line="360" w:lineRule="auto"/>
        <w:ind w:firstLine="480" w:firstLineChars="200"/>
        <w:rPr>
          <w:rFonts w:eastAsiaTheme="minorEastAsia"/>
          <w:sz w:val="24"/>
        </w:rPr>
      </w:pPr>
      <w:r>
        <w:rPr>
          <w:rFonts w:hAnsiTheme="minorEastAsia" w:eastAsiaTheme="minorEastAsia"/>
          <w:sz w:val="24"/>
        </w:rPr>
        <w:t>所有工业场地绿化后，绿化系数约为</w:t>
      </w:r>
      <w:r>
        <w:rPr>
          <w:rFonts w:eastAsiaTheme="minorEastAsia"/>
          <w:sz w:val="24"/>
        </w:rPr>
        <w:t>30%</w:t>
      </w:r>
      <w:r>
        <w:rPr>
          <w:rFonts w:hAnsiTheme="minorEastAsia" w:eastAsiaTheme="minorEastAsia"/>
          <w:sz w:val="24"/>
        </w:rPr>
        <w:t>，标定绿地系数为</w:t>
      </w:r>
      <w:r>
        <w:rPr>
          <w:rFonts w:eastAsiaTheme="minorEastAsia"/>
          <w:sz w:val="24"/>
        </w:rPr>
        <w:t>100%</w:t>
      </w:r>
      <w:r>
        <w:rPr>
          <w:rFonts w:hAnsiTheme="minorEastAsia" w:eastAsiaTheme="minorEastAsia"/>
          <w:sz w:val="24"/>
        </w:rPr>
        <w:t>，得标定相对绿地系数为</w:t>
      </w:r>
      <w:r>
        <w:rPr>
          <w:rFonts w:eastAsiaTheme="minorEastAsia"/>
          <w:sz w:val="24"/>
        </w:rPr>
        <w:t>0.3</w:t>
      </w:r>
      <w:r>
        <w:rPr>
          <w:rFonts w:hAnsiTheme="minorEastAsia" w:eastAsiaTheme="minorEastAsia"/>
          <w:sz w:val="24"/>
        </w:rPr>
        <w:t>。</w:t>
      </w:r>
    </w:p>
    <w:p>
      <w:pPr>
        <w:spacing w:line="360" w:lineRule="auto"/>
        <w:ind w:firstLine="480" w:firstLineChars="200"/>
        <w:rPr>
          <w:rFonts w:eastAsiaTheme="minorEastAsia"/>
          <w:sz w:val="24"/>
        </w:rPr>
      </w:pPr>
      <w:r>
        <w:rPr>
          <w:rFonts w:hint="eastAsia" w:eastAsiaTheme="minorEastAsia"/>
          <w:sz w:val="24"/>
        </w:rPr>
        <w:t>2、运输道路生态恢复措施</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）进场公路</w:t>
      </w:r>
    </w:p>
    <w:p>
      <w:pPr>
        <w:spacing w:line="360" w:lineRule="auto"/>
        <w:ind w:firstLine="480" w:firstLineChars="200"/>
        <w:rPr>
          <w:rFonts w:eastAsiaTheme="minorEastAsia"/>
          <w:sz w:val="24"/>
        </w:rPr>
      </w:pPr>
      <w:r>
        <w:rPr>
          <w:rFonts w:hAnsiTheme="minorEastAsia" w:eastAsiaTheme="minorEastAsia"/>
          <w:sz w:val="24"/>
        </w:rPr>
        <w:t>进场道路全长</w:t>
      </w:r>
      <w:r>
        <w:rPr>
          <w:rFonts w:eastAsiaTheme="minorEastAsia"/>
          <w:sz w:val="24"/>
        </w:rPr>
        <w:t>1.662km</w:t>
      </w:r>
      <w:r>
        <w:rPr>
          <w:rFonts w:hAnsiTheme="minorEastAsia" w:eastAsiaTheme="minorEastAsia"/>
          <w:sz w:val="24"/>
        </w:rPr>
        <w:t>，利用原有道路改建，</w:t>
      </w:r>
      <w:r>
        <w:rPr>
          <w:rFonts w:hint="eastAsia" w:hAnsiTheme="minorEastAsia" w:eastAsiaTheme="minorEastAsia"/>
          <w:sz w:val="24"/>
        </w:rPr>
        <w:t>现已改建完成，</w:t>
      </w:r>
      <w:r>
        <w:rPr>
          <w:rFonts w:hAnsiTheme="minorEastAsia" w:eastAsiaTheme="minorEastAsia"/>
          <w:sz w:val="24"/>
        </w:rPr>
        <w:t>路基宽</w:t>
      </w:r>
      <w:r>
        <w:rPr>
          <w:rFonts w:eastAsiaTheme="minorEastAsia"/>
          <w:sz w:val="24"/>
        </w:rPr>
        <w:t>8.5m</w:t>
      </w:r>
      <w:r>
        <w:rPr>
          <w:rFonts w:hAnsiTheme="minorEastAsia" w:eastAsiaTheme="minorEastAsia"/>
          <w:sz w:val="24"/>
        </w:rPr>
        <w:t>，路面宽</w:t>
      </w:r>
      <w:r>
        <w:rPr>
          <w:rFonts w:eastAsiaTheme="minorEastAsia"/>
          <w:sz w:val="24"/>
        </w:rPr>
        <w:t>7m</w:t>
      </w:r>
      <w:r>
        <w:rPr>
          <w:rFonts w:hAnsiTheme="minorEastAsia" w:eastAsiaTheme="minorEastAsia"/>
          <w:sz w:val="24"/>
        </w:rPr>
        <w:t>，</w:t>
      </w:r>
      <w:r>
        <w:rPr>
          <w:rFonts w:hint="eastAsia" w:hAnsiTheme="minorEastAsia" w:eastAsiaTheme="minorEastAsia"/>
          <w:sz w:val="24"/>
        </w:rPr>
        <w:t>但是尚未进行硬化和绿化，煤矿投产前对进场道路路面采用</w:t>
      </w:r>
      <w:r>
        <w:rPr>
          <w:rFonts w:hAnsiTheme="minorEastAsia" w:eastAsiaTheme="minorEastAsia"/>
          <w:sz w:val="24"/>
        </w:rPr>
        <w:t>水泥混凝土</w:t>
      </w:r>
      <w:r>
        <w:rPr>
          <w:rFonts w:hint="eastAsia" w:hAnsiTheme="minorEastAsia" w:eastAsiaTheme="minorEastAsia"/>
          <w:sz w:val="24"/>
        </w:rPr>
        <w:t>硬化</w:t>
      </w:r>
      <w:r>
        <w:rPr>
          <w:rFonts w:hAnsiTheme="minorEastAsia" w:eastAsiaTheme="minorEastAsia"/>
          <w:sz w:val="24"/>
        </w:rPr>
        <w:t>，道路两侧种植行道树新疆杨</w:t>
      </w:r>
      <w:r>
        <w:rPr>
          <w:rFonts w:hint="eastAsia" w:hAnsiTheme="minorEastAsia" w:eastAsiaTheme="minorEastAsia"/>
          <w:sz w:val="24"/>
        </w:rPr>
        <w:t>，树种间距5m</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）运矸道路</w:t>
      </w:r>
    </w:p>
    <w:p>
      <w:pPr>
        <w:spacing w:line="360" w:lineRule="auto"/>
        <w:ind w:firstLine="480" w:firstLineChars="200"/>
        <w:rPr>
          <w:rFonts w:eastAsiaTheme="minorEastAsia"/>
          <w:sz w:val="24"/>
        </w:rPr>
      </w:pPr>
      <w:r>
        <w:rPr>
          <w:rFonts w:hint="eastAsia" w:hAnsiTheme="minorEastAsia" w:eastAsiaTheme="minorEastAsia"/>
          <w:sz w:val="24"/>
        </w:rPr>
        <w:t>已修建</w:t>
      </w:r>
      <w:r>
        <w:rPr>
          <w:rFonts w:hAnsiTheme="minorEastAsia" w:eastAsiaTheme="minorEastAsia"/>
          <w:sz w:val="24"/>
        </w:rPr>
        <w:t>运矸道路</w:t>
      </w:r>
      <w:r>
        <w:rPr>
          <w:rFonts w:hint="eastAsia" w:hAnsiTheme="minorEastAsia" w:eastAsiaTheme="minorEastAsia"/>
          <w:sz w:val="24"/>
        </w:rPr>
        <w:t>，</w:t>
      </w:r>
      <w:r>
        <w:rPr>
          <w:rFonts w:hAnsiTheme="minorEastAsia" w:eastAsiaTheme="minorEastAsia"/>
          <w:sz w:val="24"/>
        </w:rPr>
        <w:t>长</w:t>
      </w:r>
      <w:r>
        <w:rPr>
          <w:rFonts w:eastAsiaTheme="minorEastAsia"/>
          <w:sz w:val="24"/>
        </w:rPr>
        <w:t>0.2km</w:t>
      </w:r>
      <w:r>
        <w:rPr>
          <w:rFonts w:hAnsiTheme="minorEastAsia" w:eastAsiaTheme="minorEastAsia"/>
          <w:sz w:val="24"/>
        </w:rPr>
        <w:t>，路基宽</w:t>
      </w:r>
      <w:r>
        <w:rPr>
          <w:rFonts w:eastAsiaTheme="minorEastAsia"/>
          <w:sz w:val="24"/>
        </w:rPr>
        <w:t>7.0m</w:t>
      </w:r>
      <w:r>
        <w:rPr>
          <w:rFonts w:hAnsiTheme="minorEastAsia" w:eastAsiaTheme="minorEastAsia"/>
          <w:sz w:val="24"/>
        </w:rPr>
        <w:t>，路面宽</w:t>
      </w:r>
      <w:r>
        <w:rPr>
          <w:rFonts w:eastAsiaTheme="minorEastAsia"/>
          <w:sz w:val="24"/>
        </w:rPr>
        <w:t>6.0m</w:t>
      </w:r>
      <w:r>
        <w:rPr>
          <w:rFonts w:hAnsiTheme="minorEastAsia" w:eastAsiaTheme="minorEastAsia"/>
          <w:sz w:val="24"/>
        </w:rPr>
        <w:t>，采用水泥混凝土路面，道路两侧</w:t>
      </w:r>
      <w:r>
        <w:rPr>
          <w:rFonts w:hint="eastAsia" w:hAnsiTheme="minorEastAsia" w:eastAsiaTheme="minorEastAsia"/>
          <w:sz w:val="24"/>
        </w:rPr>
        <w:t>尚未绿化，煤矿投产前对运杆道路两侧</w:t>
      </w:r>
      <w:r>
        <w:rPr>
          <w:rFonts w:hAnsiTheme="minorEastAsia" w:eastAsiaTheme="minorEastAsia"/>
          <w:sz w:val="24"/>
        </w:rPr>
        <w:t>种植新疆杨</w:t>
      </w:r>
      <w:r>
        <w:rPr>
          <w:rFonts w:hint="eastAsia" w:hAnsiTheme="minorEastAsia" w:eastAsiaTheme="minorEastAsia"/>
          <w:sz w:val="24"/>
        </w:rPr>
        <w:t>，</w:t>
      </w:r>
      <w:r>
        <w:rPr>
          <w:rFonts w:hAnsiTheme="minorEastAsia" w:eastAsiaTheme="minorEastAsia"/>
          <w:sz w:val="24"/>
        </w:rPr>
        <w:t>树种间距</w:t>
      </w:r>
      <w:r>
        <w:rPr>
          <w:rFonts w:eastAsiaTheme="minorEastAsia"/>
          <w:sz w:val="24"/>
        </w:rPr>
        <w:t>5m</w:t>
      </w:r>
      <w:r>
        <w:rPr>
          <w:rFonts w:hAnsiTheme="minorEastAsia" w:eastAsiaTheme="minorEastAsia"/>
          <w:sz w:val="24"/>
        </w:rPr>
        <w:t>。</w:t>
      </w:r>
    </w:p>
    <w:p>
      <w:pPr>
        <w:spacing w:line="360" w:lineRule="auto"/>
        <w:ind w:firstLine="480" w:firstLineChars="200"/>
        <w:rPr>
          <w:rFonts w:eastAsiaTheme="minorEastAsia"/>
          <w:sz w:val="24"/>
        </w:rPr>
      </w:pPr>
      <w:r>
        <w:rPr>
          <w:rFonts w:hint="eastAsia" w:eastAsiaTheme="minorEastAsia"/>
          <w:sz w:val="24"/>
        </w:rPr>
        <w:t>3、村庄搬迁遗迹地生态恢复措施</w:t>
      </w:r>
    </w:p>
    <w:p>
      <w:pPr>
        <w:spacing w:line="360" w:lineRule="auto"/>
        <w:ind w:firstLine="480" w:firstLineChars="200"/>
        <w:rPr>
          <w:rFonts w:eastAsiaTheme="minorEastAsia"/>
          <w:sz w:val="24"/>
        </w:rPr>
      </w:pPr>
      <w:r>
        <w:rPr>
          <w:rFonts w:hAnsiTheme="minorEastAsia" w:eastAsiaTheme="minorEastAsia"/>
          <w:sz w:val="24"/>
        </w:rPr>
        <w:t>为防止采煤对村庄造成影响，对井田内的高家庄、大长、新窑上、红崖、后庄、丰山</w:t>
      </w:r>
      <w:r>
        <w:rPr>
          <w:rFonts w:hint="eastAsia" w:hAnsiTheme="minorEastAsia" w:eastAsiaTheme="minorEastAsia"/>
          <w:sz w:val="24"/>
        </w:rPr>
        <w:t>、水源村</w:t>
      </w:r>
      <w:r>
        <w:rPr>
          <w:rFonts w:hAnsiTheme="minorEastAsia" w:eastAsiaTheme="minorEastAsia"/>
          <w:sz w:val="24"/>
        </w:rPr>
        <w:t>等村庄进行搬迁。</w:t>
      </w:r>
    </w:p>
    <w:p>
      <w:pPr>
        <w:spacing w:line="360" w:lineRule="auto"/>
        <w:ind w:firstLine="480" w:firstLineChars="200"/>
        <w:rPr>
          <w:rFonts w:hAnsiTheme="minorEastAsia" w:eastAsiaTheme="minorEastAsia"/>
          <w:sz w:val="24"/>
        </w:rPr>
      </w:pPr>
      <w:r>
        <w:rPr>
          <w:rFonts w:hAnsiTheme="minorEastAsia" w:eastAsiaTheme="minorEastAsia"/>
          <w:sz w:val="24"/>
        </w:rPr>
        <w:t>目前高家庄、大长、新窑上、红崖、后庄、丰山</w:t>
      </w:r>
      <w:r>
        <w:rPr>
          <w:rFonts w:hint="eastAsia" w:hAnsiTheme="minorEastAsia" w:eastAsiaTheme="minorEastAsia"/>
          <w:sz w:val="24"/>
        </w:rPr>
        <w:t>、水源</w:t>
      </w:r>
      <w:r>
        <w:rPr>
          <w:rFonts w:hAnsiTheme="minorEastAsia" w:eastAsiaTheme="minorEastAsia"/>
          <w:sz w:val="24"/>
        </w:rPr>
        <w:t>等村庄还未进行搬迁</w:t>
      </w:r>
      <w:r>
        <w:rPr>
          <w:rFonts w:hint="eastAsia" w:hAnsiTheme="minorEastAsia" w:eastAsiaTheme="minorEastAsia"/>
          <w:sz w:val="24"/>
        </w:rPr>
        <w:t>。水源村已与煤矿达成协议，于2022年底搬迁完成，详见附件8</w:t>
      </w:r>
      <w:r>
        <w:rPr>
          <w:rFonts w:hAnsiTheme="minorEastAsia" w:eastAsiaTheme="minorEastAsia"/>
          <w:sz w:val="24"/>
        </w:rPr>
        <w:t>。</w:t>
      </w:r>
      <w:r>
        <w:rPr>
          <w:rFonts w:hint="eastAsia" w:hAnsiTheme="minorEastAsia" w:eastAsiaTheme="minorEastAsia"/>
          <w:sz w:val="24"/>
        </w:rPr>
        <w:t>其余村庄在煤矿开采前均需搬迁完成。</w:t>
      </w:r>
    </w:p>
    <w:p>
      <w:pPr>
        <w:spacing w:line="360" w:lineRule="auto"/>
        <w:ind w:firstLine="480" w:firstLineChars="200"/>
        <w:rPr>
          <w:rFonts w:eastAsiaTheme="minorEastAsia"/>
          <w:sz w:val="24"/>
        </w:rPr>
      </w:pPr>
      <w:r>
        <w:rPr>
          <w:rFonts w:hAnsiTheme="minorEastAsia" w:eastAsiaTheme="minorEastAsia"/>
          <w:sz w:val="24"/>
        </w:rPr>
        <w:t>搬迁后村庄的生态恢复要求和方案：</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）拆除剩余建筑物，清理建筑垃圾，除村民可利用的建筑材料外，剩余建筑垃圾运往矸石场填埋。</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）平整土地，植被恢复。对原有房屋所占土地进行平整，平整后恢复为耕地。</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）村庄搬迁遗迹地需要生态恢复治理面积共计约</w:t>
      </w:r>
      <w:r>
        <w:rPr>
          <w:rFonts w:hint="eastAsia" w:eastAsiaTheme="minorEastAsia"/>
          <w:sz w:val="24"/>
        </w:rPr>
        <w:t>45.18</w:t>
      </w:r>
      <w:r>
        <w:rPr>
          <w:rFonts w:eastAsiaTheme="minorEastAsia"/>
          <w:sz w:val="24"/>
        </w:rPr>
        <w:t>hm</w:t>
      </w:r>
      <w:r>
        <w:rPr>
          <w:rFonts w:eastAsiaTheme="minorEastAsia"/>
          <w:sz w:val="24"/>
          <w:vertAlign w:val="superscript"/>
        </w:rPr>
        <w:t>2</w:t>
      </w:r>
      <w:r>
        <w:rPr>
          <w:rFonts w:hAnsiTheme="minorEastAsia" w:eastAsiaTheme="minorEastAsia"/>
          <w:sz w:val="24"/>
        </w:rPr>
        <w:t>。</w:t>
      </w:r>
    </w:p>
    <w:p>
      <w:pPr>
        <w:spacing w:line="360" w:lineRule="auto"/>
        <w:ind w:firstLine="480" w:firstLineChars="200"/>
        <w:rPr>
          <w:rFonts w:eastAsiaTheme="minorEastAsia"/>
          <w:sz w:val="24"/>
        </w:rPr>
      </w:pPr>
      <w:r>
        <w:rPr>
          <w:rFonts w:hint="eastAsia" w:eastAsiaTheme="minorEastAsia"/>
          <w:sz w:val="24"/>
        </w:rPr>
        <w:t>4</w:t>
      </w:r>
      <w:r>
        <w:rPr>
          <w:rFonts w:hAnsiTheme="minorEastAsia" w:eastAsiaTheme="minorEastAsia"/>
          <w:sz w:val="24"/>
        </w:rPr>
        <w:t>、井田内生态治理措施</w:t>
      </w:r>
    </w:p>
    <w:p>
      <w:pPr>
        <w:spacing w:line="360" w:lineRule="auto"/>
        <w:ind w:firstLine="480" w:firstLineChars="200"/>
        <w:rPr>
          <w:rFonts w:hAnsiTheme="minorEastAsia" w:eastAsiaTheme="minorEastAsia"/>
          <w:sz w:val="24"/>
        </w:rPr>
      </w:pPr>
      <w:r>
        <w:rPr>
          <w:rFonts w:hAnsiTheme="minorEastAsia" w:eastAsiaTheme="minorEastAsia"/>
          <w:sz w:val="24"/>
        </w:rPr>
        <w:t>由于采动影响产生裂缝、滑坡、塌方等破坏现象，将加剧水土流失。</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）水土保持工程</w:t>
      </w:r>
    </w:p>
    <w:p>
      <w:pPr>
        <w:spacing w:line="360" w:lineRule="auto"/>
        <w:ind w:firstLine="480" w:firstLineChars="200"/>
        <w:rPr>
          <w:rFonts w:eastAsiaTheme="minorEastAsia"/>
          <w:sz w:val="24"/>
        </w:rPr>
      </w:pPr>
      <w:r>
        <w:rPr>
          <w:rFonts w:hAnsiTheme="minorEastAsia" w:eastAsiaTheme="minorEastAsia"/>
          <w:sz w:val="24"/>
        </w:rPr>
        <w:t>井田范围内通透性较好，一般降水可渗入其中，不会发生地表径流。但有外来水源，集水面增大，此种情况会引起滑坡、塌方等地质灾害，故井田范围首先要注意其安全性。井田范围内在降雨强度较大时会引起面蚀，面蚀严重时，可进而形成浅沟和切沟。故井田范围首先必须作好水土保持工程。</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）对裂缝治理措施</w:t>
      </w:r>
    </w:p>
    <w:p>
      <w:pPr>
        <w:spacing w:line="360" w:lineRule="auto"/>
        <w:ind w:firstLine="480" w:firstLineChars="200"/>
        <w:rPr>
          <w:rFonts w:eastAsiaTheme="minorEastAsia"/>
          <w:sz w:val="24"/>
        </w:rPr>
      </w:pPr>
      <w:r>
        <w:rPr>
          <w:rFonts w:hAnsiTheme="minorEastAsia" w:eastAsiaTheme="minorEastAsia"/>
          <w:sz w:val="24"/>
        </w:rPr>
        <w:t>根据裂缝宽度大小，对较小裂缝经耕地平整恢复原状，对裂缝采取充填、平整的顺序，使耕地恢复原状，以减小雨水侵蚀，减轻水土流失。</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）对塌方、滑坡的治理措施</w:t>
      </w:r>
    </w:p>
    <w:p>
      <w:pPr>
        <w:spacing w:line="360" w:lineRule="auto"/>
        <w:ind w:firstLine="480" w:firstLineChars="200"/>
        <w:rPr>
          <w:rFonts w:eastAsiaTheme="minorEastAsia"/>
          <w:sz w:val="24"/>
        </w:rPr>
      </w:pPr>
      <w:r>
        <w:rPr>
          <w:rFonts w:hAnsiTheme="minorEastAsia" w:eastAsiaTheme="minorEastAsia"/>
          <w:sz w:val="24"/>
        </w:rPr>
        <w:t>在采动影响活动期，对塌方或滑坡沿边缘做排水沟，减少降水进入塌方或滑坡处，以防止水土流失，同时可减缓塌方或滑坡加剧。待影响停止稳定后，在塌方体进行护坡工程，对滑坡采取滑坡治理工程，主要以植物护坡为主，工程护坡为辅的综合治理措施。</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）植树造林、开展绿化</w:t>
      </w:r>
    </w:p>
    <w:p>
      <w:pPr>
        <w:spacing w:line="360" w:lineRule="auto"/>
        <w:ind w:firstLine="480" w:firstLineChars="200"/>
        <w:rPr>
          <w:rFonts w:eastAsiaTheme="minorEastAsia"/>
          <w:sz w:val="24"/>
        </w:rPr>
      </w:pPr>
      <w:r>
        <w:rPr>
          <w:rFonts w:hAnsiTheme="minorEastAsia" w:eastAsiaTheme="minorEastAsia"/>
          <w:sz w:val="24"/>
        </w:rPr>
        <w:t>绿化是改善生态环境的最重要途径之一。绿化具有蓄水、挡风、固沙、降噪、改善小气候、防止水土流失等功能。因此，在矿井开发建设中，应有绿化规划，全民动员、群策群动，大面积地开展植树造林，选用适宜本地区生长的植物栽种，在单项工程设计中应有绿化设计作为一项重要的环保工程来对待。</w:t>
      </w:r>
    </w:p>
    <w:p>
      <w:pPr>
        <w:spacing w:line="360" w:lineRule="auto"/>
        <w:ind w:firstLine="480" w:firstLineChars="200"/>
        <w:rPr>
          <w:rFonts w:eastAsiaTheme="minorEastAsia"/>
          <w:sz w:val="24"/>
        </w:rPr>
      </w:pPr>
      <w:r>
        <w:rPr>
          <w:rFonts w:hint="eastAsia" w:eastAsiaTheme="minorEastAsia"/>
          <w:sz w:val="24"/>
        </w:rPr>
        <w:t>5</w:t>
      </w:r>
      <w:r>
        <w:rPr>
          <w:rFonts w:hAnsiTheme="minorEastAsia" w:eastAsiaTheme="minorEastAsia"/>
          <w:sz w:val="24"/>
        </w:rPr>
        <w:t>、对地下水影响的恢复措施</w:t>
      </w:r>
    </w:p>
    <w:p>
      <w:pPr>
        <w:spacing w:line="360" w:lineRule="auto"/>
        <w:ind w:firstLine="480" w:firstLineChars="200"/>
        <w:rPr>
          <w:rFonts w:eastAsiaTheme="minorEastAsia"/>
          <w:sz w:val="24"/>
        </w:rPr>
      </w:pPr>
      <w:r>
        <w:rPr>
          <w:rFonts w:hAnsiTheme="minorEastAsia" w:eastAsiaTheme="minorEastAsia"/>
          <w:sz w:val="24"/>
        </w:rPr>
        <w:t>本区煤矿开采一般情况下对第四系孔隙潜水含水层影响较小，但不能完全排除在部分地段上部地层产生塑性变形的可能性，从而影响浅层地下水，使水位下降，村民饮水安全评价见地下水影响分析章节。</w:t>
      </w:r>
    </w:p>
    <w:p>
      <w:pPr>
        <w:spacing w:line="360" w:lineRule="auto"/>
        <w:ind w:firstLine="480" w:firstLineChars="200"/>
        <w:rPr>
          <w:rFonts w:eastAsiaTheme="minorEastAsia"/>
          <w:sz w:val="24"/>
        </w:rPr>
      </w:pPr>
      <w:r>
        <w:rPr>
          <w:rFonts w:hAnsiTheme="minorEastAsia" w:eastAsiaTheme="minorEastAsia"/>
          <w:sz w:val="24"/>
        </w:rPr>
        <w:t>评价提出在生产中应加强对地下水情况的长期跟踪观察和监测。观测期间从村庄井泉所在区域开采前</w:t>
      </w:r>
      <w:r>
        <w:rPr>
          <w:rFonts w:eastAsiaTheme="minorEastAsia"/>
          <w:sz w:val="24"/>
        </w:rPr>
        <w:t>1</w:t>
      </w:r>
      <w:r>
        <w:rPr>
          <w:rFonts w:hAnsiTheme="minorEastAsia" w:eastAsiaTheme="minorEastAsia"/>
          <w:sz w:val="24"/>
        </w:rPr>
        <w:t>年至所在区域开采后</w:t>
      </w:r>
      <w:r>
        <w:rPr>
          <w:rFonts w:eastAsiaTheme="minorEastAsia"/>
          <w:sz w:val="24"/>
        </w:rPr>
        <w:t>3</w:t>
      </w:r>
      <w:r>
        <w:rPr>
          <w:rFonts w:hAnsiTheme="minorEastAsia" w:eastAsiaTheme="minorEastAsia"/>
          <w:sz w:val="24"/>
        </w:rPr>
        <w:t>年结束。</w:t>
      </w:r>
    </w:p>
    <w:p>
      <w:pPr>
        <w:spacing w:line="360" w:lineRule="auto"/>
        <w:ind w:firstLine="480" w:firstLineChars="200"/>
        <w:rPr>
          <w:rFonts w:eastAsiaTheme="minorEastAsia"/>
          <w:sz w:val="24"/>
        </w:rPr>
      </w:pPr>
      <w:r>
        <w:rPr>
          <w:rFonts w:hint="eastAsia" w:eastAsiaTheme="minorEastAsia"/>
          <w:sz w:val="24"/>
        </w:rPr>
        <w:t>6</w:t>
      </w:r>
      <w:r>
        <w:rPr>
          <w:rFonts w:hAnsiTheme="minorEastAsia" w:eastAsiaTheme="minorEastAsia"/>
          <w:sz w:val="24"/>
        </w:rPr>
        <w:t>、</w:t>
      </w:r>
      <w:r>
        <w:rPr>
          <w:rFonts w:hint="eastAsia" w:hAnsiTheme="minorEastAsia" w:eastAsiaTheme="minorEastAsia"/>
          <w:sz w:val="24"/>
        </w:rPr>
        <w:t>新工</w:t>
      </w:r>
      <w:r>
        <w:rPr>
          <w:rFonts w:hAnsiTheme="minorEastAsia" w:eastAsiaTheme="minorEastAsia"/>
          <w:sz w:val="24"/>
        </w:rPr>
        <w:t>矿闭矿后恢复措施</w:t>
      </w:r>
    </w:p>
    <w:p>
      <w:pPr>
        <w:spacing w:line="360" w:lineRule="auto"/>
        <w:ind w:firstLine="480" w:firstLineChars="200"/>
        <w:rPr>
          <w:rFonts w:eastAsiaTheme="minorEastAsia"/>
          <w:bCs/>
          <w:sz w:val="24"/>
        </w:rPr>
      </w:pPr>
      <w:r>
        <w:rPr>
          <w:rFonts w:hAnsiTheme="minorEastAsia" w:eastAsiaTheme="minorEastAsia"/>
          <w:bCs/>
          <w:sz w:val="24"/>
        </w:rPr>
        <w:t>矿井服务期满后，煤矿生产</w:t>
      </w:r>
      <w:r>
        <w:rPr>
          <w:rFonts w:hint="eastAsia" w:hAnsiTheme="minorEastAsia" w:eastAsiaTheme="minorEastAsia"/>
          <w:bCs/>
          <w:sz w:val="24"/>
        </w:rPr>
        <w:t>已</w:t>
      </w:r>
      <w:r>
        <w:rPr>
          <w:rFonts w:hAnsiTheme="minorEastAsia" w:eastAsiaTheme="minorEastAsia"/>
          <w:bCs/>
          <w:sz w:val="24"/>
        </w:rPr>
        <w:t>停止，对环境造成污染影响的废气、废水排放量已明显减少，随着生产设备和人员的撤离，最终消除对环境的影响。井下采动引起的地表移动、变形具有延迟性，废弃的工业场地对生态环境及当地景观将造成明显的影响，如不采取有效恢复措施，对生态环境的影响将是长期的。因此，服务期满后的生态恢复及废弃地的再利用必须引起高度重视。</w:t>
      </w:r>
    </w:p>
    <w:p>
      <w:pPr>
        <w:spacing w:line="360" w:lineRule="auto"/>
        <w:ind w:firstLine="480" w:firstLineChars="200"/>
        <w:rPr>
          <w:rFonts w:eastAsiaTheme="minorEastAsia"/>
          <w:bCs/>
          <w:sz w:val="24"/>
        </w:rPr>
      </w:pPr>
      <w:r>
        <w:rPr>
          <w:rFonts w:hAnsiTheme="minorEastAsia" w:eastAsiaTheme="minorEastAsia"/>
          <w:bCs/>
          <w:sz w:val="24"/>
        </w:rPr>
        <w:t>（</w:t>
      </w:r>
      <w:r>
        <w:rPr>
          <w:rFonts w:eastAsiaTheme="minorEastAsia"/>
          <w:bCs/>
          <w:sz w:val="24"/>
        </w:rPr>
        <w:t>1</w:t>
      </w:r>
      <w:r>
        <w:rPr>
          <w:rFonts w:hAnsiTheme="minorEastAsia" w:eastAsiaTheme="minorEastAsia"/>
          <w:bCs/>
          <w:sz w:val="24"/>
        </w:rPr>
        <w:t>）生态环境恢复措施</w:t>
      </w:r>
    </w:p>
    <w:p>
      <w:pPr>
        <w:spacing w:line="360" w:lineRule="auto"/>
        <w:ind w:firstLine="480" w:firstLineChars="200"/>
        <w:rPr>
          <w:rFonts w:eastAsiaTheme="minorEastAsia"/>
          <w:bCs/>
          <w:sz w:val="24"/>
        </w:rPr>
      </w:pPr>
      <w:r>
        <w:rPr>
          <w:rFonts w:hAnsiTheme="minorEastAsia" w:eastAsiaTheme="minorEastAsia"/>
          <w:bCs/>
          <w:sz w:val="24"/>
        </w:rPr>
        <w:t>地表移动变形影响，仍采用运营期的土地复垦和水土保持措施，使被破坏的土地、农田得到治理，植被得以恢复，生态环境得到改善。</w:t>
      </w:r>
    </w:p>
    <w:p>
      <w:pPr>
        <w:spacing w:line="360" w:lineRule="auto"/>
        <w:ind w:firstLine="480" w:firstLineChars="200"/>
        <w:rPr>
          <w:rFonts w:eastAsiaTheme="minorEastAsia"/>
          <w:bCs/>
          <w:sz w:val="24"/>
        </w:rPr>
      </w:pPr>
      <w:r>
        <w:rPr>
          <w:rFonts w:hAnsiTheme="minorEastAsia" w:eastAsiaTheme="minorEastAsia"/>
          <w:bCs/>
          <w:sz w:val="24"/>
        </w:rPr>
        <w:t>地表塌陷恢复治理期按矿井停产后</w:t>
      </w:r>
      <w:r>
        <w:rPr>
          <w:rFonts w:eastAsiaTheme="minorEastAsia"/>
          <w:bCs/>
          <w:sz w:val="24"/>
        </w:rPr>
        <w:t>2</w:t>
      </w:r>
      <w:r>
        <w:rPr>
          <w:rFonts w:hAnsiTheme="minorEastAsia" w:eastAsiaTheme="minorEastAsia"/>
          <w:bCs/>
          <w:sz w:val="24"/>
        </w:rPr>
        <w:t>年计。</w:t>
      </w:r>
    </w:p>
    <w:p>
      <w:pPr>
        <w:spacing w:line="360" w:lineRule="auto"/>
        <w:ind w:firstLine="480" w:firstLineChars="200"/>
        <w:rPr>
          <w:rFonts w:eastAsiaTheme="minorEastAsia"/>
          <w:bCs/>
          <w:sz w:val="24"/>
        </w:rPr>
      </w:pPr>
      <w:r>
        <w:rPr>
          <w:rFonts w:hAnsiTheme="minorEastAsia" w:eastAsiaTheme="minorEastAsia"/>
          <w:bCs/>
          <w:sz w:val="24"/>
        </w:rPr>
        <w:t>（</w:t>
      </w:r>
      <w:r>
        <w:rPr>
          <w:rFonts w:eastAsiaTheme="minorEastAsia"/>
          <w:bCs/>
          <w:sz w:val="24"/>
        </w:rPr>
        <w:t>2</w:t>
      </w:r>
      <w:r>
        <w:rPr>
          <w:rFonts w:hAnsiTheme="minorEastAsia" w:eastAsiaTheme="minorEastAsia"/>
          <w:bCs/>
          <w:sz w:val="24"/>
        </w:rPr>
        <w:t>）废弃煤矿工业场地再利用措施</w:t>
      </w:r>
    </w:p>
    <w:p>
      <w:pPr>
        <w:spacing w:line="360" w:lineRule="auto"/>
        <w:ind w:firstLine="480" w:firstLineChars="200"/>
        <w:rPr>
          <w:rFonts w:eastAsiaTheme="minorEastAsia"/>
          <w:bCs/>
          <w:sz w:val="24"/>
        </w:rPr>
      </w:pPr>
      <w:r>
        <w:rPr>
          <w:rFonts w:hAnsiTheme="minorEastAsia" w:eastAsiaTheme="minorEastAsia"/>
          <w:bCs/>
          <w:sz w:val="24"/>
        </w:rPr>
        <w:t>对工业场地内各种建筑设施可根据当地村庄、或企业需要双方协商妥善处理如办公区、食堂、灯房浴室、库房等。</w:t>
      </w:r>
    </w:p>
    <w:p>
      <w:pPr>
        <w:spacing w:line="360" w:lineRule="auto"/>
        <w:ind w:firstLine="480" w:firstLineChars="200"/>
        <w:rPr>
          <w:rFonts w:eastAsiaTheme="minorEastAsia"/>
          <w:sz w:val="24"/>
        </w:rPr>
      </w:pPr>
      <w:r>
        <w:rPr>
          <w:rFonts w:hAnsiTheme="minorEastAsia" w:eastAsiaTheme="minorEastAsia"/>
          <w:bCs/>
          <w:sz w:val="24"/>
        </w:rPr>
        <w:t>对当地不能利用的矿井各种井筒等采取封闭措施，以免对附近人群活动造成意外伤害。</w:t>
      </w:r>
      <w:r>
        <w:rPr>
          <w:rFonts w:hAnsiTheme="minorEastAsia" w:eastAsiaTheme="minorEastAsia"/>
          <w:sz w:val="24"/>
        </w:rPr>
        <w:t>对废弃运煤道路采用土地平整、植被</w:t>
      </w:r>
      <w:r>
        <w:rPr>
          <w:rFonts w:hint="eastAsia" w:hAnsiTheme="minorEastAsia" w:eastAsiaTheme="minorEastAsia"/>
          <w:sz w:val="24"/>
          <w:lang w:val="en-US" w:eastAsia="zh-CN"/>
        </w:rPr>
        <w:t>覆盖</w:t>
      </w:r>
      <w:r>
        <w:rPr>
          <w:rFonts w:hAnsiTheme="minorEastAsia" w:eastAsiaTheme="minorEastAsia"/>
          <w:sz w:val="24"/>
        </w:rPr>
        <w:t>的方式进行生态恢复。</w:t>
      </w:r>
    </w:p>
    <w:p>
      <w:pPr>
        <w:spacing w:line="360" w:lineRule="auto"/>
        <w:ind w:firstLine="480" w:firstLineChars="200"/>
        <w:rPr>
          <w:rFonts w:eastAsiaTheme="minorEastAsia"/>
          <w:bCs/>
          <w:sz w:val="24"/>
        </w:rPr>
      </w:pPr>
      <w:r>
        <w:rPr>
          <w:rFonts w:hAnsiTheme="minorEastAsia" w:eastAsiaTheme="minorEastAsia"/>
          <w:bCs/>
          <w:sz w:val="24"/>
        </w:rPr>
        <w:t>对不能利用场地，宜恢复为耕地。对废弃工业场地采取的工程措施主要有：拆除旧场地上残余房屋设施，并挖除地基部分设施、硬化地面，原场地深翻、覆土。复垦时应保持原有地形坡度基本不变，进行平整土地、深耕深翻、增肥改土。一般翻耕深度约</w:t>
      </w:r>
      <w:r>
        <w:rPr>
          <w:rFonts w:eastAsiaTheme="minorEastAsia"/>
          <w:bCs/>
          <w:sz w:val="24"/>
        </w:rPr>
        <w:t>20-30cm</w:t>
      </w:r>
      <w:r>
        <w:rPr>
          <w:rFonts w:hAnsiTheme="minorEastAsia" w:eastAsiaTheme="minorEastAsia"/>
          <w:bCs/>
          <w:sz w:val="24"/>
        </w:rPr>
        <w:t>。</w:t>
      </w:r>
    </w:p>
    <w:p>
      <w:pPr>
        <w:spacing w:line="360" w:lineRule="auto"/>
        <w:ind w:firstLine="480" w:firstLineChars="200"/>
        <w:rPr>
          <w:rFonts w:eastAsiaTheme="minorEastAsia"/>
          <w:bCs/>
          <w:sz w:val="24"/>
        </w:rPr>
      </w:pPr>
      <w:r>
        <w:rPr>
          <w:rFonts w:hAnsiTheme="minorEastAsia" w:eastAsiaTheme="minorEastAsia"/>
          <w:bCs/>
          <w:sz w:val="24"/>
        </w:rPr>
        <w:t>增肥改土。主要指增加有机肥料如沤肥、土杂肥、人畜粪尿等。矿区土壤有机质含量较低，增施有机肥有助于改良土壤结构及其理化性质，提高土壤保肥保水能力。在施</w:t>
      </w:r>
      <w:bookmarkStart w:id="355" w:name="_GoBack"/>
      <w:bookmarkEnd w:id="355"/>
      <w:r>
        <w:rPr>
          <w:rFonts w:hAnsiTheme="minorEastAsia" w:eastAsiaTheme="minorEastAsia"/>
          <w:bCs/>
          <w:sz w:val="24"/>
        </w:rPr>
        <w:t>肥时，可把有机肥与化学改良剂、化肥等结合起来，注意肥料的交叉作用，避免混施时造成肥效降低或失效。</w:t>
      </w:r>
    </w:p>
    <w:p>
      <w:pPr>
        <w:spacing w:line="360" w:lineRule="auto"/>
        <w:outlineLvl w:val="3"/>
        <w:rPr>
          <w:rFonts w:eastAsiaTheme="minorEastAsia"/>
          <w:b/>
          <w:sz w:val="24"/>
        </w:rPr>
      </w:pPr>
      <w:r>
        <w:rPr>
          <w:rFonts w:eastAsiaTheme="minorEastAsia"/>
          <w:b/>
          <w:sz w:val="24"/>
        </w:rPr>
        <w:t>5.1.</w:t>
      </w:r>
      <w:r>
        <w:rPr>
          <w:rFonts w:hint="eastAsia" w:eastAsiaTheme="minorEastAsia"/>
          <w:b/>
          <w:sz w:val="24"/>
        </w:rPr>
        <w:t>5</w:t>
      </w:r>
      <w:r>
        <w:rPr>
          <w:rFonts w:eastAsiaTheme="minorEastAsia"/>
          <w:b/>
          <w:sz w:val="24"/>
        </w:rPr>
        <w:t>.3</w:t>
      </w:r>
      <w:r>
        <w:rPr>
          <w:rFonts w:hAnsiTheme="minorEastAsia" w:eastAsiaTheme="minorEastAsia"/>
          <w:b/>
          <w:sz w:val="24"/>
        </w:rPr>
        <w:t>地表沉陷治理措施</w:t>
      </w:r>
    </w:p>
    <w:p>
      <w:pPr>
        <w:spacing w:line="360" w:lineRule="auto"/>
        <w:ind w:firstLine="480" w:firstLineChars="200"/>
        <w:rPr>
          <w:rFonts w:eastAsiaTheme="minorEastAsia"/>
          <w:sz w:val="24"/>
        </w:rPr>
      </w:pPr>
      <w:r>
        <w:rPr>
          <w:rFonts w:hAnsiTheme="minorEastAsia" w:eastAsiaTheme="minorEastAsia"/>
          <w:sz w:val="24"/>
        </w:rPr>
        <w:t>对由于地表塌陷引起的土地破坏，可以通过制定土地复垦计划，实施土地复垦进行恢复。本着</w:t>
      </w:r>
      <w:r>
        <w:rPr>
          <w:rFonts w:eastAsiaTheme="minorEastAsia"/>
          <w:sz w:val="24"/>
        </w:rPr>
        <w:t>“</w:t>
      </w:r>
      <w:r>
        <w:rPr>
          <w:rFonts w:hAnsiTheme="minorEastAsia" w:eastAsiaTheme="minorEastAsia"/>
          <w:sz w:val="24"/>
        </w:rPr>
        <w:t>谁损毁，谁复垦</w:t>
      </w:r>
      <w:r>
        <w:rPr>
          <w:rFonts w:eastAsiaTheme="minorEastAsia"/>
          <w:sz w:val="24"/>
        </w:rPr>
        <w:t>”</w:t>
      </w:r>
      <w:r>
        <w:rPr>
          <w:rFonts w:hAnsiTheme="minorEastAsia" w:eastAsiaTheme="minorEastAsia"/>
          <w:sz w:val="24"/>
        </w:rPr>
        <w:t>的原则，采动影响破坏的土地由矿方进行土地复垦。</w:t>
      </w:r>
    </w:p>
    <w:p>
      <w:pPr>
        <w:spacing w:line="360" w:lineRule="auto"/>
        <w:ind w:firstLine="480" w:firstLineChars="200"/>
        <w:rPr>
          <w:rFonts w:eastAsiaTheme="minorEastAsia"/>
          <w:sz w:val="24"/>
        </w:rPr>
      </w:pPr>
      <w:r>
        <w:rPr>
          <w:rFonts w:hAnsiTheme="minorEastAsia" w:eastAsiaTheme="minorEastAsia"/>
          <w:sz w:val="24"/>
        </w:rPr>
        <w:t>土地复垦后根据土地破坏程度的不同，采取不同的方式。对破坏较严重的土地，进行复垦，恢复土地耕种，并按有关土地法规定给土地使用者一定的补偿。破坏严重的土地、并使土地绝产，应作为征地处理。</w:t>
      </w:r>
    </w:p>
    <w:p>
      <w:pPr>
        <w:spacing w:line="360" w:lineRule="auto"/>
        <w:ind w:firstLine="480" w:firstLineChars="200"/>
        <w:rPr>
          <w:rFonts w:eastAsiaTheme="minorEastAsia"/>
          <w:sz w:val="24"/>
        </w:rPr>
      </w:pPr>
      <w:r>
        <w:rPr>
          <w:rFonts w:hAnsiTheme="minorEastAsia" w:eastAsiaTheme="minorEastAsia"/>
          <w:sz w:val="24"/>
        </w:rPr>
        <w:t>实施土地复垦工程时，应在采动停止后进行，在采动过程中可做些防止水土流失的工程。</w:t>
      </w:r>
    </w:p>
    <w:p>
      <w:pPr>
        <w:spacing w:line="360" w:lineRule="auto"/>
        <w:ind w:firstLine="480" w:firstLineChars="200"/>
        <w:rPr>
          <w:rFonts w:eastAsiaTheme="minorEastAsia"/>
          <w:bCs/>
          <w:sz w:val="24"/>
        </w:rPr>
      </w:pPr>
      <w:r>
        <w:rPr>
          <w:rFonts w:hAnsiTheme="minorEastAsia" w:eastAsiaTheme="minorEastAsia"/>
          <w:sz w:val="24"/>
        </w:rPr>
        <w:t>根据采区接替顺序制定复垦规划，并积极筹集复垦费，鼓励土地使用者进行土地复垦，并取得当地政府的支持和配合。土地复垦时在确定对环境无影响前提下，以矿井排放的矸石作为允填材料，这样，既消除了矸石对环境的影响，又治理塌陷区。参考相关资料制定下述复垦方案：</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、土地破坏情况分析</w:t>
      </w:r>
    </w:p>
    <w:p>
      <w:pPr>
        <w:spacing w:line="360" w:lineRule="auto"/>
        <w:ind w:firstLine="480" w:firstLineChars="200"/>
        <w:rPr>
          <w:rFonts w:eastAsiaTheme="minorEastAsia"/>
          <w:sz w:val="24"/>
        </w:rPr>
      </w:pPr>
      <w:r>
        <w:rPr>
          <w:rFonts w:hAnsiTheme="minorEastAsia" w:eastAsiaTheme="minorEastAsia"/>
          <w:sz w:val="24"/>
        </w:rPr>
        <w:t>根据首采区破坏土地状况，结合当地自然条件，通过适宜性分析，确定其恢复到可供利用状态的复垦模式。地表塌陷下沉盆地以显现地表破坏现象为主要特征，对土地的破坏呈现局部特征，分为三种类型：</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）井田内塌陷预测小于</w:t>
      </w:r>
      <w:r>
        <w:rPr>
          <w:rFonts w:eastAsiaTheme="minorEastAsia"/>
          <w:sz w:val="24"/>
        </w:rPr>
        <w:t>l0mm</w:t>
      </w:r>
      <w:r>
        <w:rPr>
          <w:rFonts w:hAnsiTheme="minorEastAsia" w:eastAsiaTheme="minorEastAsia"/>
          <w:sz w:val="24"/>
        </w:rPr>
        <w:t>的区域，基本不受影响；</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）塌陷预测深度大于等于</w:t>
      </w:r>
      <w:r>
        <w:rPr>
          <w:rFonts w:eastAsiaTheme="minorEastAsia"/>
          <w:sz w:val="24"/>
        </w:rPr>
        <w:t>3m</w:t>
      </w:r>
      <w:r>
        <w:rPr>
          <w:rFonts w:hAnsiTheme="minorEastAsia" w:eastAsiaTheme="minorEastAsia"/>
          <w:sz w:val="24"/>
        </w:rPr>
        <w:t>的区域，斑块面积较大，基本不倾斜，多集中在塌陷中央地带，破坏影响轻微，不影响农田耕种及植被生长：</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）塌陷预测大于</w:t>
      </w:r>
      <w:r>
        <w:rPr>
          <w:rFonts w:eastAsiaTheme="minorEastAsia"/>
          <w:sz w:val="24"/>
        </w:rPr>
        <w:t>10mm</w:t>
      </w:r>
      <w:r>
        <w:rPr>
          <w:rFonts w:hAnsiTheme="minorEastAsia" w:eastAsiaTheme="minorEastAsia"/>
          <w:sz w:val="24"/>
        </w:rPr>
        <w:t>小于</w:t>
      </w:r>
      <w:r>
        <w:rPr>
          <w:rFonts w:eastAsiaTheme="minorEastAsia"/>
          <w:sz w:val="24"/>
        </w:rPr>
        <w:t>3m</w:t>
      </w:r>
      <w:r>
        <w:rPr>
          <w:rFonts w:hAnsiTheme="minorEastAsia" w:eastAsiaTheme="minorEastAsia"/>
          <w:sz w:val="24"/>
        </w:rPr>
        <w:t>的区域，处于塌陷程度较集中的塌陷盆地边缘地带，倾斜程度大，影响向较大。</w:t>
      </w:r>
    </w:p>
    <w:p>
      <w:pPr>
        <w:spacing w:line="360" w:lineRule="auto"/>
        <w:ind w:firstLine="480" w:firstLineChars="200"/>
        <w:rPr>
          <w:rFonts w:eastAsiaTheme="minorEastAsia"/>
          <w:sz w:val="24"/>
        </w:rPr>
      </w:pPr>
      <w:r>
        <w:rPr>
          <w:rFonts w:eastAsiaTheme="minorEastAsia"/>
          <w:sz w:val="24"/>
        </w:rPr>
        <w:t>2</w:t>
      </w:r>
      <w:r>
        <w:rPr>
          <w:rFonts w:hAnsiTheme="minorEastAsia" w:eastAsiaTheme="minorEastAsia"/>
          <w:sz w:val="24"/>
        </w:rPr>
        <w:t>、土地复垦</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）耕地的复垦</w:t>
      </w:r>
    </w:p>
    <w:p>
      <w:pPr>
        <w:spacing w:line="360" w:lineRule="auto"/>
        <w:ind w:firstLine="480" w:firstLineChars="200"/>
        <w:rPr>
          <w:rFonts w:eastAsiaTheme="minorEastAsia"/>
          <w:sz w:val="24"/>
        </w:rPr>
      </w:pPr>
      <w:r>
        <w:rPr>
          <w:rFonts w:hAnsiTheme="minorEastAsia" w:eastAsiaTheme="minorEastAsia"/>
          <w:sz w:val="24"/>
        </w:rPr>
        <w:t>本矿对基本农田的影响主要是开采过程中可能产生地表沉陷，矿方应加强对基本农田地表沉陷情况的监测，发现裂缝、沉陷及时进行处理，治理方法如下：</w:t>
      </w:r>
    </w:p>
    <w:p>
      <w:pPr>
        <w:spacing w:line="360" w:lineRule="auto"/>
        <w:ind w:firstLine="480" w:firstLineChars="200"/>
        <w:rPr>
          <w:rFonts w:eastAsiaTheme="minorEastAsia"/>
          <w:sz w:val="24"/>
        </w:rPr>
      </w:pPr>
      <w:r>
        <w:rPr>
          <w:rFonts w:hAnsiTheme="minorEastAsia" w:eastAsiaTheme="minorEastAsia"/>
          <w:sz w:val="24"/>
        </w:rPr>
        <w:t>一、裂缝充填工程设计</w:t>
      </w:r>
    </w:p>
    <w:p>
      <w:pPr>
        <w:spacing w:line="360" w:lineRule="auto"/>
        <w:ind w:firstLine="480" w:firstLineChars="200"/>
        <w:rPr>
          <w:rFonts w:eastAsiaTheme="minorEastAsia"/>
          <w:sz w:val="24"/>
        </w:rPr>
      </w:pPr>
      <w:r>
        <w:rPr>
          <w:rFonts w:hAnsiTheme="minorEastAsia" w:eastAsiaTheme="minorEastAsia"/>
          <w:sz w:val="24"/>
        </w:rPr>
        <w:t>①对轻度、中度破坏：土层较厚、裂缝未贯穿土层的土地，采用黄土填堵法。将裂缝挖开，填土夯实。地表裂缝＜</w:t>
      </w:r>
      <w:r>
        <w:rPr>
          <w:rFonts w:eastAsiaTheme="minorEastAsia"/>
          <w:sz w:val="24"/>
        </w:rPr>
        <w:t>100mm</w:t>
      </w:r>
      <w:r>
        <w:rPr>
          <w:rFonts w:hAnsiTheme="minorEastAsia" w:eastAsiaTheme="minorEastAsia"/>
          <w:sz w:val="24"/>
        </w:rPr>
        <w:t>，对耕地及生态植被基本无影响的，只进行简单的修复，就地取土填封裂缝；地表裂缝＜</w:t>
      </w:r>
      <w:r>
        <w:rPr>
          <w:rFonts w:eastAsiaTheme="minorEastAsia"/>
          <w:sz w:val="24"/>
        </w:rPr>
        <w:t>120mm</w:t>
      </w:r>
      <w:r>
        <w:rPr>
          <w:rFonts w:hAnsiTheme="minorEastAsia" w:eastAsiaTheme="minorEastAsia"/>
          <w:sz w:val="24"/>
        </w:rPr>
        <w:t>及沉陷高差</w:t>
      </w:r>
      <w:r>
        <w:rPr>
          <w:rFonts w:eastAsiaTheme="minorEastAsia"/>
          <w:sz w:val="24"/>
        </w:rPr>
        <w:t>≤0.25m</w:t>
      </w:r>
      <w:r>
        <w:rPr>
          <w:rFonts w:hAnsiTheme="minorEastAsia" w:eastAsiaTheme="minorEastAsia"/>
          <w:sz w:val="24"/>
        </w:rPr>
        <w:t>，造成耕地出现轻度破坏的，就地取土，人工填堵裂缝、平整修复土地，恢复耕地功能；</w:t>
      </w:r>
    </w:p>
    <w:p>
      <w:pPr>
        <w:spacing w:line="360" w:lineRule="auto"/>
        <w:ind w:firstLine="480" w:firstLineChars="200"/>
        <w:rPr>
          <w:rFonts w:eastAsiaTheme="minorEastAsia"/>
          <w:sz w:val="24"/>
        </w:rPr>
      </w:pPr>
      <w:r>
        <w:rPr>
          <w:rFonts w:hAnsiTheme="minorEastAsia" w:eastAsiaTheme="minorEastAsia"/>
          <w:sz w:val="24"/>
        </w:rPr>
        <w:t>②重度影响：地表裂缝＞</w:t>
      </w:r>
      <w:r>
        <w:rPr>
          <w:rFonts w:eastAsiaTheme="minorEastAsia"/>
          <w:sz w:val="24"/>
        </w:rPr>
        <w:t>240mm</w:t>
      </w:r>
      <w:r>
        <w:rPr>
          <w:rFonts w:hAnsiTheme="minorEastAsia" w:eastAsiaTheme="minorEastAsia"/>
          <w:sz w:val="24"/>
        </w:rPr>
        <w:t>及沉陷高差在</w:t>
      </w:r>
      <w:r>
        <w:rPr>
          <w:rFonts w:eastAsiaTheme="minorEastAsia"/>
          <w:sz w:val="24"/>
        </w:rPr>
        <w:t>0.4m</w:t>
      </w:r>
      <w:r>
        <w:rPr>
          <w:rFonts w:hAnsiTheme="minorEastAsia" w:eastAsiaTheme="minorEastAsia"/>
          <w:sz w:val="24"/>
        </w:rPr>
        <w:t>时，造成耕地破坏的，结合水土保持要求，采取综合治理措施。当沉陷面积小于</w:t>
      </w:r>
      <w:r>
        <w:rPr>
          <w:rFonts w:eastAsiaTheme="minorEastAsia"/>
          <w:sz w:val="24"/>
        </w:rPr>
        <w:t>20m</w:t>
      </w:r>
      <w:r>
        <w:rPr>
          <w:rFonts w:eastAsiaTheme="minorEastAsia"/>
          <w:sz w:val="24"/>
          <w:vertAlign w:val="superscript"/>
        </w:rPr>
        <w:t>2</w:t>
      </w:r>
      <w:r>
        <w:rPr>
          <w:rFonts w:hAnsiTheme="minorEastAsia" w:eastAsiaTheme="minorEastAsia"/>
          <w:sz w:val="24"/>
        </w:rPr>
        <w:t>时，就近取土，人工进行恢复；当沉陷面积大于</w:t>
      </w:r>
      <w:r>
        <w:rPr>
          <w:rFonts w:eastAsiaTheme="minorEastAsia"/>
          <w:sz w:val="24"/>
        </w:rPr>
        <w:t>20m</w:t>
      </w:r>
      <w:r>
        <w:rPr>
          <w:rFonts w:eastAsiaTheme="minorEastAsia"/>
          <w:sz w:val="24"/>
          <w:vertAlign w:val="superscript"/>
        </w:rPr>
        <w:t>2</w:t>
      </w:r>
      <w:r>
        <w:rPr>
          <w:rFonts w:hAnsiTheme="minorEastAsia" w:eastAsiaTheme="minorEastAsia"/>
          <w:sz w:val="24"/>
        </w:rPr>
        <w:t>时，有条件时采取机械修复。对破坏程度严重、裂缝透穿土层的土地，按反滤层的原理去填堵裂缝、孔洞。首先用矸石石填堵孔隙，其次用</w:t>
      </w:r>
      <w:r>
        <w:rPr>
          <w:rFonts w:hint="eastAsia" w:hAnsiTheme="minorEastAsia" w:eastAsiaTheme="minorEastAsia"/>
          <w:sz w:val="24"/>
        </w:rPr>
        <w:t>黄土</w:t>
      </w:r>
      <w:r>
        <w:rPr>
          <w:rFonts w:hAnsiTheme="minorEastAsia" w:eastAsiaTheme="minorEastAsia"/>
          <w:sz w:val="24"/>
        </w:rPr>
        <w:t>填堵。当塌陷稳定，用反滤层填堵后，可防止水土流失。</w:t>
      </w:r>
    </w:p>
    <w:p>
      <w:pPr>
        <w:spacing w:line="360" w:lineRule="auto"/>
        <w:ind w:firstLine="420" w:firstLineChars="200"/>
        <w:rPr>
          <w:rFonts w:eastAsiaTheme="minorEastAsia"/>
          <w:sz w:val="24"/>
        </w:rPr>
      </w:pPr>
      <w:r>
        <w:rPr>
          <w:rFonts w:eastAsiaTheme="minorEastAsia"/>
        </w:rPr>
        <w:pict>
          <v:shape id="_x0000_s55814" o:spid="_x0000_s55814" o:spt="75" type="#_x0000_t75" style="position:absolute;left:0pt;margin-left:97.95pt;margin-top:374.75pt;height:191.95pt;width:388.5pt;mso-position-horizontal-relative:page;mso-position-vertical-relative:page;z-index:251689984;mso-width-relative:page;mso-height-relative:page;" o:ole="t" filled="f" o:preferrelative="t" stroked="f" coordsize="21600,21600">
            <v:path/>
            <v:fill on="f" focussize="0,0"/>
            <v:stroke on="f" joinstyle="miter"/>
            <v:imagedata r:id="rId99" o:title=""/>
            <o:lock v:ext="edit" aspectratio="t"/>
          </v:shape>
          <o:OLEObject Type="Embed" ProgID="AutoCAD.Drawing.16" ShapeID="_x0000_s55814" DrawAspect="Content" ObjectID="_1468075748" r:id="rId98">
            <o:LockedField>false</o:LockedField>
          </o:OLEObject>
        </w:pict>
      </w: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hAnsiTheme="minorEastAsia" w:eastAsiaTheme="minorEastAsia"/>
          <w:sz w:val="24"/>
        </w:rPr>
      </w:pPr>
    </w:p>
    <w:p>
      <w:pPr>
        <w:spacing w:line="360" w:lineRule="auto"/>
        <w:ind w:firstLine="480" w:firstLineChars="200"/>
        <w:rPr>
          <w:rFonts w:hAnsiTheme="minorEastAsia" w:eastAsiaTheme="minorEastAsia"/>
          <w:sz w:val="24"/>
        </w:rPr>
      </w:pPr>
    </w:p>
    <w:p>
      <w:pPr>
        <w:spacing w:line="360" w:lineRule="auto"/>
        <w:ind w:firstLine="480" w:firstLineChars="200"/>
        <w:rPr>
          <w:rFonts w:hAnsiTheme="minorEastAsia" w:eastAsiaTheme="minorEastAsia"/>
          <w:sz w:val="24"/>
        </w:rPr>
      </w:pPr>
    </w:p>
    <w:p>
      <w:pPr>
        <w:spacing w:line="360" w:lineRule="auto"/>
        <w:ind w:firstLine="480" w:firstLineChars="200"/>
        <w:rPr>
          <w:rFonts w:hAnsiTheme="minorEastAsia" w:eastAsiaTheme="minorEastAsia"/>
          <w:sz w:val="24"/>
        </w:rPr>
      </w:pPr>
    </w:p>
    <w:p>
      <w:pPr>
        <w:spacing w:line="360" w:lineRule="auto"/>
        <w:ind w:firstLine="480" w:firstLineChars="200"/>
        <w:rPr>
          <w:rFonts w:hAnsiTheme="minorEastAsia" w:eastAsiaTheme="minorEastAsia"/>
          <w:sz w:val="24"/>
        </w:rPr>
      </w:pPr>
    </w:p>
    <w:p>
      <w:pPr>
        <w:spacing w:line="360" w:lineRule="auto"/>
        <w:ind w:firstLine="480" w:firstLineChars="200"/>
        <w:rPr>
          <w:rFonts w:hAnsiTheme="minorEastAsia" w:eastAsiaTheme="minorEastAsia"/>
          <w:sz w:val="24"/>
        </w:rPr>
      </w:pPr>
      <w:r>
        <w:rPr>
          <w:rFonts w:eastAsiaTheme="minorEastAsia"/>
          <w:sz w:val="24"/>
        </w:rPr>
        <w:pict>
          <v:rect id="_x0000_s55875" o:spid="_x0000_s55875" o:spt="1" style="position:absolute;left:0pt;margin-left:145.3pt;margin-top:2.05pt;height:23.15pt;width:164.6pt;z-index:251693056;mso-width-relative:page;mso-height-relative:page;" filled="f" stroked="f" coordsize="21600,21600">
            <v:path/>
            <v:fill on="f" focussize="0,0"/>
            <v:stroke on="f"/>
            <v:imagedata o:title=""/>
            <o:lock v:ext="edit"/>
            <v:textbox>
              <w:txbxContent>
                <w:p>
                  <w:pPr>
                    <w:spacing w:line="360" w:lineRule="auto"/>
                    <w:rPr>
                      <w:rFonts w:eastAsiaTheme="minorEastAsia"/>
                      <w:b/>
                      <w:szCs w:val="21"/>
                    </w:rPr>
                  </w:pPr>
                  <w:r>
                    <w:rPr>
                      <w:rFonts w:hAnsiTheme="minorEastAsia" w:eastAsiaTheme="minorEastAsia"/>
                      <w:b/>
                      <w:szCs w:val="21"/>
                    </w:rPr>
                    <w:t>图</w:t>
                  </w:r>
                  <w:r>
                    <w:rPr>
                      <w:rFonts w:eastAsiaTheme="minorEastAsia"/>
                      <w:b/>
                      <w:szCs w:val="21"/>
                    </w:rPr>
                    <w:t>5.1-</w:t>
                  </w:r>
                  <w:r>
                    <w:rPr>
                      <w:rFonts w:hint="eastAsia" w:eastAsiaTheme="minorEastAsia"/>
                      <w:b/>
                      <w:szCs w:val="21"/>
                    </w:rPr>
                    <w:t>3</w:t>
                  </w:r>
                  <w:r>
                    <w:rPr>
                      <w:rFonts w:eastAsiaTheme="minorEastAsia"/>
                      <w:b/>
                      <w:szCs w:val="21"/>
                    </w:rPr>
                    <w:t xml:space="preserve"> </w:t>
                  </w:r>
                  <w:r>
                    <w:rPr>
                      <w:rFonts w:hAnsiTheme="minorEastAsia" w:eastAsiaTheme="minorEastAsia"/>
                      <w:b/>
                      <w:szCs w:val="21"/>
                    </w:rPr>
                    <w:t>充填地表裂缝示意图</w:t>
                  </w:r>
                </w:p>
                <w:p/>
              </w:txbxContent>
            </v:textbox>
          </v:rect>
        </w:pict>
      </w:r>
    </w:p>
    <w:p>
      <w:pPr>
        <w:spacing w:line="360" w:lineRule="auto"/>
        <w:ind w:firstLine="480" w:firstLineChars="200"/>
        <w:rPr>
          <w:rFonts w:eastAsiaTheme="minorEastAsia"/>
          <w:sz w:val="24"/>
        </w:rPr>
      </w:pPr>
      <w:r>
        <w:rPr>
          <w:rFonts w:hAnsiTheme="minorEastAsia" w:eastAsiaTheme="minorEastAsia"/>
          <w:sz w:val="24"/>
        </w:rPr>
        <w:t>二、耕地治理工程设计</w:t>
      </w:r>
    </w:p>
    <w:p>
      <w:pPr>
        <w:spacing w:line="360" w:lineRule="auto"/>
        <w:ind w:firstLine="480" w:firstLineChars="200"/>
        <w:rPr>
          <w:rFonts w:eastAsiaTheme="minorEastAsia"/>
          <w:sz w:val="24"/>
        </w:rPr>
      </w:pPr>
      <w:r>
        <w:rPr>
          <w:rFonts w:hAnsiTheme="minorEastAsia" w:eastAsiaTheme="minorEastAsia"/>
          <w:sz w:val="24"/>
        </w:rPr>
        <w:t>①轻度破坏土地：主要为轻微裂缝区，对于该区域的复垦，以裂缝充填为主。</w:t>
      </w:r>
      <w:bookmarkStart w:id="242" w:name="_Toc326743219"/>
      <w:bookmarkStart w:id="243" w:name="_Toc325956940"/>
    </w:p>
    <w:bookmarkEnd w:id="242"/>
    <w:bookmarkEnd w:id="243"/>
    <w:p>
      <w:pPr>
        <w:spacing w:line="360" w:lineRule="auto"/>
        <w:ind w:firstLine="480" w:firstLineChars="200"/>
        <w:rPr>
          <w:rFonts w:eastAsiaTheme="minorEastAsia"/>
          <w:sz w:val="24"/>
        </w:rPr>
      </w:pPr>
      <w:r>
        <w:rPr>
          <w:rFonts w:hAnsiTheme="minorEastAsia" w:eastAsiaTheme="minorEastAsia"/>
          <w:sz w:val="24"/>
        </w:rPr>
        <w:t>②中度、重度破坏耕地：平整工程主要针对同一地块内由于非均匀塌陷而出现较多裂缝、塌陷等，或小面积的较大塌陷程度，从而导致地面起伏，不易耕种。土地平整的对象为裂缝分布较密地区（水平变形拉伸值为</w:t>
      </w:r>
      <w:r>
        <w:rPr>
          <w:rFonts w:eastAsiaTheme="minorEastAsia"/>
          <w:sz w:val="24"/>
        </w:rPr>
        <w:t>10</w:t>
      </w:r>
      <w:r>
        <w:rPr>
          <w:rFonts w:hAnsiTheme="minorEastAsia" w:eastAsiaTheme="minorEastAsia"/>
          <w:sz w:val="24"/>
        </w:rPr>
        <w:t>～</w:t>
      </w:r>
      <w:r>
        <w:rPr>
          <w:rFonts w:eastAsiaTheme="minorEastAsia"/>
          <w:sz w:val="24"/>
        </w:rPr>
        <w:t>20</w:t>
      </w:r>
      <w:r>
        <w:rPr>
          <w:rFonts w:hAnsiTheme="minorEastAsia" w:eastAsiaTheme="minorEastAsia"/>
          <w:sz w:val="24"/>
        </w:rPr>
        <w:t>区）以及虽然没有裂缝，但存在小面积较大塌陷深度的耕地。在裂缝充填的同时，配合土地平整工程。</w:t>
      </w:r>
    </w:p>
    <w:p>
      <w:pPr>
        <w:spacing w:line="360" w:lineRule="auto"/>
        <w:ind w:firstLine="480" w:firstLineChars="200"/>
        <w:rPr>
          <w:rFonts w:eastAsiaTheme="minorEastAsia"/>
          <w:sz w:val="24"/>
        </w:rPr>
      </w:pPr>
      <w:r>
        <w:rPr>
          <w:rFonts w:hAnsiTheme="minorEastAsia" w:eastAsiaTheme="minorEastAsia"/>
          <w:sz w:val="24"/>
        </w:rPr>
        <w:t>土地平整工程在施工过程中，可采用抽槽法：是一种机械与人工结合的平整土地的方法。具体操作为：以开挖线为分界线，把待平整的地面线分成若干带</w:t>
      </w:r>
      <w:r>
        <w:rPr>
          <w:rFonts w:eastAsiaTheme="minorEastAsia"/>
          <w:sz w:val="24"/>
        </w:rPr>
        <w:t>(</w:t>
      </w:r>
      <w:r>
        <w:rPr>
          <w:rFonts w:hAnsiTheme="minorEastAsia" w:eastAsiaTheme="minorEastAsia"/>
          <w:sz w:val="24"/>
        </w:rPr>
        <w:t>宽度一般</w:t>
      </w:r>
      <w:r>
        <w:rPr>
          <w:rFonts w:eastAsiaTheme="minorEastAsia"/>
          <w:sz w:val="24"/>
        </w:rPr>
        <w:t>2</w:t>
      </w:r>
      <w:r>
        <w:rPr>
          <w:rFonts w:hAnsiTheme="minorEastAsia" w:eastAsiaTheme="minorEastAsia"/>
          <w:sz w:val="24"/>
        </w:rPr>
        <w:t>～</w:t>
      </w:r>
      <w:r>
        <w:rPr>
          <w:rFonts w:eastAsiaTheme="minorEastAsia"/>
          <w:sz w:val="24"/>
        </w:rPr>
        <w:t>5m)</w:t>
      </w:r>
      <w:r>
        <w:rPr>
          <w:rFonts w:hAnsiTheme="minorEastAsia" w:eastAsiaTheme="minorEastAsia"/>
          <w:sz w:val="24"/>
        </w:rPr>
        <w:t>，平整时依次逐带地先将熟土（</w:t>
      </w:r>
      <w:r>
        <w:rPr>
          <w:rFonts w:eastAsiaTheme="minorEastAsia"/>
          <w:sz w:val="24"/>
        </w:rPr>
        <w:t>40cm</w:t>
      </w:r>
      <w:r>
        <w:rPr>
          <w:rFonts w:hAnsiTheme="minorEastAsia" w:eastAsiaTheme="minorEastAsia"/>
          <w:sz w:val="24"/>
        </w:rPr>
        <w:t>）翻在一侧，然后挖去沟内多余的生土，按施工图运至填方部位。填方部位也要先把熟土（</w:t>
      </w:r>
      <w:r>
        <w:rPr>
          <w:rFonts w:eastAsiaTheme="minorEastAsia"/>
          <w:sz w:val="24"/>
        </w:rPr>
        <w:t>40cm</w:t>
      </w:r>
      <w:r>
        <w:rPr>
          <w:rFonts w:hAnsiTheme="minorEastAsia" w:eastAsiaTheme="minorEastAsia"/>
          <w:sz w:val="24"/>
        </w:rPr>
        <w:t>）翻到一侧，填土达到一定高度后，再把熟土平铺在生土上。该方法的最大好处是可同时开多槽，进度快，工效高。</w:t>
      </w:r>
    </w:p>
    <w:p>
      <w:pPr>
        <w:spacing w:line="360" w:lineRule="auto"/>
        <w:ind w:firstLine="480" w:firstLineChars="200"/>
        <w:rPr>
          <w:rFonts w:eastAsiaTheme="minorEastAsia"/>
          <w:sz w:val="24"/>
        </w:rPr>
      </w:pPr>
      <w:r>
        <w:rPr>
          <w:rFonts w:hAnsiTheme="minorEastAsia" w:eastAsiaTheme="minorEastAsia"/>
          <w:sz w:val="24"/>
        </w:rPr>
        <w:t>③塌陷旱</w:t>
      </w:r>
      <w:r>
        <w:rPr>
          <w:rFonts w:eastAsiaTheme="minorEastAsia"/>
          <w:sz w:val="24"/>
        </w:rPr>
        <w:t>(</w:t>
      </w:r>
      <w:r>
        <w:rPr>
          <w:rFonts w:hAnsiTheme="minorEastAsia" w:eastAsiaTheme="minorEastAsia"/>
          <w:sz w:val="24"/>
        </w:rPr>
        <w:t>坡</w:t>
      </w:r>
      <w:r>
        <w:rPr>
          <w:rFonts w:eastAsiaTheme="minorEastAsia"/>
          <w:sz w:val="24"/>
        </w:rPr>
        <w:t>)</w:t>
      </w:r>
      <w:r>
        <w:rPr>
          <w:rFonts w:hAnsiTheme="minorEastAsia" w:eastAsiaTheme="minorEastAsia"/>
          <w:sz w:val="24"/>
        </w:rPr>
        <w:t>地的复垦步骤</w:t>
      </w:r>
    </w:p>
    <w:p>
      <w:pPr>
        <w:spacing w:line="360" w:lineRule="auto"/>
        <w:ind w:firstLine="480" w:firstLineChars="200"/>
        <w:rPr>
          <w:rFonts w:eastAsiaTheme="minorEastAsia"/>
          <w:sz w:val="24"/>
        </w:rPr>
      </w:pPr>
      <w:r>
        <w:rPr>
          <w:rFonts w:hAnsiTheme="minorEastAsia" w:eastAsiaTheme="minorEastAsia"/>
          <w:sz w:val="24"/>
        </w:rPr>
        <w:t>复垦时要严格控制施工区域，规范操作，减小水土流失现象发生。对破坏较严重的局部地区，可按照当地的林业政策进行退耕还林措施，具体步骤如下：</w:t>
      </w:r>
    </w:p>
    <w:p>
      <w:pPr>
        <w:spacing w:line="360" w:lineRule="auto"/>
        <w:ind w:firstLine="480" w:firstLineChars="200"/>
        <w:rPr>
          <w:rFonts w:eastAsiaTheme="minorEastAsia"/>
          <w:sz w:val="24"/>
        </w:rPr>
      </w:pPr>
      <w:r>
        <w:rPr>
          <w:rFonts w:hAnsiTheme="minorEastAsia" w:eastAsiaTheme="minorEastAsia"/>
          <w:sz w:val="24"/>
        </w:rPr>
        <w:t>Ⅰ</w:t>
      </w:r>
      <w:r>
        <w:rPr>
          <w:rFonts w:eastAsiaTheme="minorEastAsia"/>
          <w:sz w:val="24"/>
        </w:rPr>
        <w:t xml:space="preserve"> </w:t>
      </w:r>
      <w:r>
        <w:rPr>
          <w:rFonts w:hAnsiTheme="minorEastAsia" w:eastAsiaTheme="minorEastAsia"/>
          <w:sz w:val="24"/>
        </w:rPr>
        <w:t>平整塌陷的耕地。</w:t>
      </w:r>
    </w:p>
    <w:p>
      <w:pPr>
        <w:spacing w:line="360" w:lineRule="auto"/>
        <w:ind w:firstLine="480" w:firstLineChars="200"/>
        <w:rPr>
          <w:rFonts w:eastAsiaTheme="minorEastAsia"/>
          <w:sz w:val="24"/>
        </w:rPr>
      </w:pPr>
      <w:r>
        <w:rPr>
          <w:rFonts w:hAnsiTheme="minorEastAsia" w:eastAsiaTheme="minorEastAsia"/>
          <w:sz w:val="24"/>
        </w:rPr>
        <w:t>Ⅱ</w:t>
      </w:r>
      <w:r>
        <w:rPr>
          <w:rFonts w:eastAsiaTheme="minorEastAsia"/>
          <w:sz w:val="24"/>
        </w:rPr>
        <w:t xml:space="preserve"> </w:t>
      </w:r>
      <w:r>
        <w:rPr>
          <w:rFonts w:hAnsiTheme="minorEastAsia" w:eastAsiaTheme="minorEastAsia"/>
          <w:sz w:val="24"/>
        </w:rPr>
        <w:t>沿山系按等高线，以鱼鳞坑、水平阶整地为主，选择侧柏、油松为主栽物种，做到适地适树。</w:t>
      </w:r>
    </w:p>
    <w:p>
      <w:pPr>
        <w:spacing w:line="360" w:lineRule="auto"/>
        <w:ind w:firstLine="480" w:firstLineChars="200"/>
        <w:rPr>
          <w:rFonts w:eastAsiaTheme="minorEastAsia"/>
          <w:sz w:val="24"/>
        </w:rPr>
      </w:pPr>
      <w:r>
        <w:rPr>
          <w:rFonts w:hAnsiTheme="minorEastAsia" w:eastAsiaTheme="minorEastAsia"/>
          <w:sz w:val="24"/>
        </w:rPr>
        <w:t>Ⅲ</w:t>
      </w:r>
      <w:r>
        <w:rPr>
          <w:rFonts w:eastAsiaTheme="minorEastAsia"/>
          <w:sz w:val="24"/>
        </w:rPr>
        <w:t xml:space="preserve"> </w:t>
      </w:r>
      <w:r>
        <w:rPr>
          <w:rFonts w:hAnsiTheme="minorEastAsia" w:eastAsiaTheme="minorEastAsia"/>
          <w:sz w:val="24"/>
        </w:rPr>
        <w:t>根据治理范围的特点，修筑土谷坊，打沟土埂，建设生物埂，做到了田、林、路、沟综合治理，乔、灌、草治理模式科学规范。</w:t>
      </w:r>
    </w:p>
    <w:p>
      <w:pPr>
        <w:spacing w:line="360" w:lineRule="auto"/>
        <w:ind w:firstLine="480" w:firstLineChars="200"/>
        <w:rPr>
          <w:rFonts w:eastAsiaTheme="minorEastAsia"/>
          <w:sz w:val="24"/>
        </w:rPr>
      </w:pPr>
      <w:r>
        <w:rPr>
          <w:rFonts w:hAnsiTheme="minorEastAsia" w:eastAsiaTheme="minorEastAsia"/>
          <w:sz w:val="24"/>
        </w:rPr>
        <w:t>④培肥措施</w:t>
      </w:r>
    </w:p>
    <w:p>
      <w:pPr>
        <w:spacing w:line="360" w:lineRule="auto"/>
        <w:ind w:firstLine="480" w:firstLineChars="200"/>
        <w:rPr>
          <w:rFonts w:eastAsiaTheme="minorEastAsia"/>
          <w:sz w:val="24"/>
        </w:rPr>
      </w:pPr>
      <w:r>
        <w:rPr>
          <w:rFonts w:hAnsiTheme="minorEastAsia" w:eastAsiaTheme="minorEastAsia"/>
          <w:sz w:val="24"/>
        </w:rPr>
        <w:t>增肥改土主要指增加有机肥料如沤肥、土杂肥、人畜粪尿等。矿区土壤有机质含量较低，增施有机肥有助于改良土壤结构及其理化性质，提高土壤保肥保水能力。在施肥时，可把有机肥与化学改良剂、化肥等结合起来，注意肥料的交叉作用，避免混施时造成肥效降低或失效。本方案设计每亩地施硫酸亚铁</w:t>
      </w:r>
      <w:r>
        <w:rPr>
          <w:rFonts w:eastAsiaTheme="minorEastAsia"/>
          <w:sz w:val="24"/>
        </w:rPr>
        <w:t>40kg</w:t>
      </w:r>
      <w:r>
        <w:rPr>
          <w:rFonts w:hAnsiTheme="minorEastAsia" w:eastAsiaTheme="minorEastAsia"/>
          <w:sz w:val="24"/>
        </w:rPr>
        <w:t>和精制有机肥</w:t>
      </w:r>
      <w:r>
        <w:rPr>
          <w:rFonts w:eastAsiaTheme="minorEastAsia"/>
          <w:sz w:val="24"/>
        </w:rPr>
        <w:t>300kg</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对于采煤过程中造成的耕地损失应采取措施进行复垦，破坏严重无法复垦的耕地应进行必要补偿，根据耕地破坏的程度不同对受损农民进行经济补偿，补偿金额按照</w:t>
      </w:r>
      <w:r>
        <w:rPr>
          <w:rFonts w:hint="eastAsia" w:hAnsiTheme="minorEastAsia" w:eastAsiaTheme="minorEastAsia"/>
          <w:sz w:val="24"/>
        </w:rPr>
        <w:t>吕梁市自然</w:t>
      </w:r>
      <w:r>
        <w:rPr>
          <w:rFonts w:hAnsiTheme="minorEastAsia" w:eastAsiaTheme="minorEastAsia"/>
          <w:sz w:val="24"/>
        </w:rPr>
        <w:t>资源局制定的补偿标准进行，保证受损农民的生活质量不会降低。经济补偿的时间从受到破坏的当年起到土地复垦后恢复有生产能力为止。</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）林地生态恢复</w:t>
      </w:r>
    </w:p>
    <w:p>
      <w:pPr>
        <w:spacing w:line="360" w:lineRule="auto"/>
        <w:ind w:firstLine="480" w:firstLineChars="200"/>
        <w:rPr>
          <w:rFonts w:eastAsiaTheme="minorEastAsia"/>
          <w:sz w:val="24"/>
        </w:rPr>
      </w:pPr>
      <w:r>
        <w:rPr>
          <w:rFonts w:hAnsiTheme="minorEastAsia" w:eastAsiaTheme="minorEastAsia"/>
          <w:sz w:val="24"/>
        </w:rPr>
        <w:t>沉陷区林地的复垦采取三种方案：一是对受损的树木，及时扶正树体，填补裂缝，保证正常生长。二是对沉陷坡度变化较大区，根据坡向、坡度、土壤质地、土层厚度等，采取适宜的整地措施；三是对于严重受损无法正常生长植株进行及时补植。</w:t>
      </w:r>
    </w:p>
    <w:p>
      <w:pPr>
        <w:spacing w:line="360" w:lineRule="auto"/>
        <w:ind w:firstLine="480" w:firstLineChars="200"/>
        <w:rPr>
          <w:rFonts w:eastAsiaTheme="minorEastAsia"/>
          <w:sz w:val="24"/>
        </w:rPr>
      </w:pPr>
      <w:r>
        <w:rPr>
          <w:rFonts w:hAnsiTheme="minorEastAsia" w:eastAsiaTheme="minorEastAsia"/>
          <w:sz w:val="24"/>
        </w:rPr>
        <w:t>对于重度破坏区按种植密度的</w:t>
      </w:r>
      <w:r>
        <w:rPr>
          <w:rFonts w:eastAsiaTheme="minorEastAsia"/>
          <w:sz w:val="24"/>
        </w:rPr>
        <w:t>40%</w:t>
      </w:r>
      <w:r>
        <w:rPr>
          <w:rFonts w:hAnsiTheme="minorEastAsia" w:eastAsiaTheme="minorEastAsia"/>
          <w:sz w:val="24"/>
        </w:rPr>
        <w:t>、中度级破坏区按</w:t>
      </w:r>
      <w:r>
        <w:rPr>
          <w:rFonts w:eastAsiaTheme="minorEastAsia"/>
          <w:sz w:val="24"/>
        </w:rPr>
        <w:t>20%</w:t>
      </w:r>
      <w:r>
        <w:rPr>
          <w:rFonts w:hAnsiTheme="minorEastAsia" w:eastAsiaTheme="minorEastAsia"/>
          <w:sz w:val="24"/>
        </w:rPr>
        <w:t>、轻度破坏区按</w:t>
      </w:r>
      <w:r>
        <w:rPr>
          <w:rFonts w:eastAsiaTheme="minorEastAsia"/>
          <w:sz w:val="24"/>
        </w:rPr>
        <w:t>10%</w:t>
      </w:r>
      <w:r>
        <w:rPr>
          <w:rFonts w:hAnsiTheme="minorEastAsia" w:eastAsiaTheme="minorEastAsia"/>
          <w:sz w:val="24"/>
        </w:rPr>
        <w:t>补种。</w:t>
      </w:r>
    </w:p>
    <w:p>
      <w:pPr>
        <w:spacing w:line="360" w:lineRule="auto"/>
        <w:ind w:firstLine="480" w:firstLineChars="200"/>
        <w:rPr>
          <w:rFonts w:hAnsiTheme="minorEastAsia" w:eastAsiaTheme="minorEastAsia"/>
          <w:sz w:val="24"/>
        </w:rPr>
      </w:pPr>
      <w:r>
        <w:rPr>
          <w:rFonts w:hAnsiTheme="minorEastAsia" w:eastAsiaTheme="minorEastAsia"/>
          <w:sz w:val="24"/>
        </w:rPr>
        <w:t>由于受开采影响，沉陷区的树木必然有不同程度的部分歪斜或损坏，设计对受损的林地进行补种，以保证复垦后的林地质量不低于破坏前。原利用类型为其他林地的复垦为乔草结合的有林地，原利用类型为灌木林地的复垦为</w:t>
      </w:r>
      <w:r>
        <w:rPr>
          <w:rFonts w:hint="eastAsia" w:hAnsiTheme="minorEastAsia" w:eastAsiaTheme="minorEastAsia"/>
          <w:sz w:val="24"/>
        </w:rPr>
        <w:t>灌草结合的灌木林地，</w:t>
      </w:r>
      <w:r>
        <w:rPr>
          <w:rFonts w:hAnsiTheme="minorEastAsia" w:eastAsiaTheme="minorEastAsia"/>
          <w:sz w:val="24"/>
        </w:rPr>
        <w:t>和对因塌陷裂缝等造成的缺苗和死苗的地方进行补植</w:t>
      </w:r>
      <w:r>
        <w:rPr>
          <w:rFonts w:hint="eastAsia" w:hAnsiTheme="minorEastAsia" w:eastAsiaTheme="minorEastAsia"/>
          <w:sz w:val="24"/>
        </w:rPr>
        <w:t>。</w:t>
      </w:r>
    </w:p>
    <w:p>
      <w:pPr>
        <w:spacing w:line="360" w:lineRule="auto"/>
        <w:ind w:firstLine="480" w:firstLineChars="200"/>
        <w:rPr>
          <w:rFonts w:eastAsiaTheme="minorEastAsia"/>
          <w:sz w:val="24"/>
        </w:rPr>
      </w:pPr>
      <w:r>
        <w:rPr>
          <w:rFonts w:hint="eastAsia" w:hAnsiTheme="minorEastAsia" w:eastAsiaTheme="minorEastAsia"/>
          <w:sz w:val="24"/>
        </w:rPr>
        <w:t>有林地</w:t>
      </w:r>
      <w:r>
        <w:rPr>
          <w:rFonts w:hAnsiTheme="minorEastAsia" w:eastAsiaTheme="minorEastAsia"/>
          <w:sz w:val="24"/>
        </w:rPr>
        <w:t>实行乔草混播，乔木采用油松</w:t>
      </w:r>
      <w:r>
        <w:rPr>
          <w:rFonts w:hint="eastAsia" w:hAnsiTheme="minorEastAsia" w:eastAsiaTheme="minorEastAsia"/>
          <w:sz w:val="24"/>
        </w:rPr>
        <w:t>和刺槐</w:t>
      </w:r>
      <w:r>
        <w:rPr>
          <w:rFonts w:hAnsiTheme="minorEastAsia" w:eastAsiaTheme="minorEastAsia"/>
          <w:sz w:val="24"/>
        </w:rPr>
        <w:t>，苗木规格为</w:t>
      </w:r>
      <w:r>
        <w:rPr>
          <w:rFonts w:eastAsiaTheme="minorEastAsia"/>
          <w:sz w:val="24"/>
        </w:rPr>
        <w:t>3</w:t>
      </w:r>
      <w:r>
        <w:rPr>
          <w:rFonts w:hAnsiTheme="minorEastAsia" w:eastAsiaTheme="minorEastAsia"/>
          <w:sz w:val="24"/>
        </w:rPr>
        <w:t>年生，胸径</w:t>
      </w:r>
      <w:r>
        <w:rPr>
          <w:rFonts w:eastAsiaTheme="minorEastAsia"/>
          <w:sz w:val="24"/>
        </w:rPr>
        <w:t>3cm</w:t>
      </w:r>
      <w:r>
        <w:rPr>
          <w:rFonts w:hAnsiTheme="minorEastAsia" w:eastAsiaTheme="minorEastAsia"/>
          <w:sz w:val="24"/>
        </w:rPr>
        <w:t>，设计密度为</w:t>
      </w:r>
      <w:r>
        <w:rPr>
          <w:rFonts w:eastAsiaTheme="minorEastAsia"/>
          <w:sz w:val="24"/>
        </w:rPr>
        <w:t>2500</w:t>
      </w:r>
      <w:r>
        <w:rPr>
          <w:rFonts w:hAnsiTheme="minorEastAsia" w:eastAsiaTheme="minorEastAsia"/>
          <w:sz w:val="24"/>
        </w:rPr>
        <w:t>株</w:t>
      </w:r>
      <w:r>
        <w:rPr>
          <w:rFonts w:eastAsiaTheme="minorEastAsia"/>
          <w:sz w:val="24"/>
        </w:rPr>
        <w:t>/hm</w:t>
      </w:r>
      <w:r>
        <w:rPr>
          <w:rFonts w:eastAsiaTheme="minorEastAsia"/>
          <w:sz w:val="24"/>
          <w:vertAlign w:val="superscript"/>
        </w:rPr>
        <w:t>2</w:t>
      </w:r>
      <w:r>
        <w:rPr>
          <w:rFonts w:hAnsiTheme="minorEastAsia" w:eastAsiaTheme="minorEastAsia"/>
          <w:sz w:val="24"/>
        </w:rPr>
        <w:t>，株行距为</w:t>
      </w:r>
      <w:r>
        <w:rPr>
          <w:rFonts w:eastAsiaTheme="minorEastAsia"/>
          <w:sz w:val="24"/>
        </w:rPr>
        <w:t>2m×2m</w:t>
      </w:r>
      <w:r>
        <w:rPr>
          <w:rFonts w:hAnsiTheme="minorEastAsia" w:eastAsiaTheme="minorEastAsia"/>
          <w:sz w:val="24"/>
        </w:rPr>
        <w:t>，整地方式采用穴状整地，在经过松土后的黄土层上开挖树坑，树坑大小根据所选树种的立地要求一般为</w:t>
      </w:r>
      <w:r>
        <w:rPr>
          <w:rFonts w:eastAsiaTheme="minorEastAsia"/>
          <w:sz w:val="24"/>
        </w:rPr>
        <w:t>0.6m×0.6m</w:t>
      </w:r>
      <w:r>
        <w:rPr>
          <w:rFonts w:hAnsiTheme="minorEastAsia" w:eastAsiaTheme="minorEastAsia"/>
          <w:sz w:val="24"/>
        </w:rPr>
        <w:t>，坑深不小于</w:t>
      </w:r>
      <w:r>
        <w:rPr>
          <w:rFonts w:eastAsiaTheme="minorEastAsia"/>
          <w:sz w:val="24"/>
        </w:rPr>
        <w:t>0.6m</w:t>
      </w:r>
      <w:r>
        <w:rPr>
          <w:rFonts w:hAnsiTheme="minorEastAsia" w:eastAsiaTheme="minorEastAsia"/>
          <w:sz w:val="24"/>
        </w:rPr>
        <w:t>，坑口反向倾斜，以便蓄水保土。草籽选用紫花苜蓿，一级种，采用撒播的方式，种植密度</w:t>
      </w:r>
      <w:r>
        <w:rPr>
          <w:rFonts w:eastAsiaTheme="minorEastAsia"/>
          <w:sz w:val="24"/>
        </w:rPr>
        <w:t>15kg/</w:t>
      </w:r>
      <w:r>
        <w:rPr>
          <w:rFonts w:hAnsiTheme="minorEastAsia" w:eastAsiaTheme="minorEastAsia"/>
          <w:sz w:val="24"/>
        </w:rPr>
        <w:t>公顷。</w:t>
      </w:r>
    </w:p>
    <w:p>
      <w:pPr>
        <w:spacing w:line="360" w:lineRule="auto"/>
        <w:ind w:firstLine="480" w:firstLineChars="200"/>
        <w:rPr>
          <w:rFonts w:eastAsiaTheme="minorEastAsia"/>
          <w:sz w:val="24"/>
        </w:rPr>
      </w:pPr>
      <w:r>
        <w:rPr>
          <w:rFonts w:hint="eastAsia" w:hAnsiTheme="minorEastAsia" w:eastAsiaTheme="minorEastAsia"/>
          <w:sz w:val="24"/>
        </w:rPr>
        <w:t>灌木林地</w:t>
      </w:r>
      <w:r>
        <w:rPr>
          <w:rFonts w:hAnsiTheme="minorEastAsia" w:eastAsiaTheme="minorEastAsia"/>
          <w:sz w:val="24"/>
        </w:rPr>
        <w:t>实行灌草混播，灌木采用荆条和沙棘两种苗木</w:t>
      </w:r>
      <w:r>
        <w:rPr>
          <w:rFonts w:eastAsiaTheme="minorEastAsia"/>
          <w:sz w:val="24"/>
        </w:rPr>
        <w:t>1:1</w:t>
      </w:r>
      <w:r>
        <w:rPr>
          <w:rFonts w:hAnsiTheme="minorEastAsia" w:eastAsiaTheme="minorEastAsia"/>
          <w:sz w:val="24"/>
        </w:rPr>
        <w:t>混栽，苗木规格为</w:t>
      </w:r>
      <w:r>
        <w:rPr>
          <w:rFonts w:eastAsiaTheme="minorEastAsia"/>
          <w:sz w:val="24"/>
        </w:rPr>
        <w:t>2</w:t>
      </w:r>
      <w:r>
        <w:rPr>
          <w:rFonts w:hAnsiTheme="minorEastAsia" w:eastAsiaTheme="minorEastAsia"/>
          <w:sz w:val="24"/>
        </w:rPr>
        <w:t>年生，设计密度为</w:t>
      </w:r>
      <w:r>
        <w:rPr>
          <w:rFonts w:eastAsiaTheme="minorEastAsia"/>
          <w:sz w:val="24"/>
        </w:rPr>
        <w:t>4444</w:t>
      </w:r>
      <w:r>
        <w:rPr>
          <w:rFonts w:hAnsiTheme="minorEastAsia" w:eastAsiaTheme="minorEastAsia"/>
          <w:sz w:val="24"/>
        </w:rPr>
        <w:t>株</w:t>
      </w:r>
      <w:r>
        <w:rPr>
          <w:rFonts w:eastAsiaTheme="minorEastAsia"/>
          <w:sz w:val="24"/>
        </w:rPr>
        <w:t>/hm</w:t>
      </w:r>
      <w:r>
        <w:rPr>
          <w:rFonts w:eastAsiaTheme="minorEastAsia"/>
          <w:sz w:val="24"/>
          <w:vertAlign w:val="superscript"/>
        </w:rPr>
        <w:t>2</w:t>
      </w:r>
      <w:r>
        <w:rPr>
          <w:rFonts w:hAnsiTheme="minorEastAsia" w:eastAsiaTheme="minorEastAsia"/>
          <w:sz w:val="24"/>
        </w:rPr>
        <w:t>，株行距为</w:t>
      </w:r>
      <w:r>
        <w:rPr>
          <w:rFonts w:eastAsiaTheme="minorEastAsia"/>
          <w:sz w:val="24"/>
        </w:rPr>
        <w:t>1.5m×1.5m</w:t>
      </w:r>
      <w:r>
        <w:rPr>
          <w:rFonts w:hAnsiTheme="minorEastAsia" w:eastAsiaTheme="minorEastAsia"/>
          <w:sz w:val="24"/>
        </w:rPr>
        <w:t>，整地方式采用穴状整地，在经过松土后的黄土层上开挖树坑，树坑大小根据所选树种的立地要求一般为</w:t>
      </w:r>
      <w:r>
        <w:rPr>
          <w:rFonts w:eastAsiaTheme="minorEastAsia"/>
          <w:sz w:val="24"/>
        </w:rPr>
        <w:t>0.3m×0.3m</w:t>
      </w:r>
      <w:r>
        <w:rPr>
          <w:rFonts w:hAnsiTheme="minorEastAsia" w:eastAsiaTheme="minorEastAsia"/>
          <w:sz w:val="24"/>
        </w:rPr>
        <w:t>，坑深不小于</w:t>
      </w:r>
      <w:r>
        <w:rPr>
          <w:rFonts w:eastAsiaTheme="minorEastAsia"/>
          <w:sz w:val="24"/>
        </w:rPr>
        <w:t>0.3m</w:t>
      </w:r>
      <w:r>
        <w:rPr>
          <w:rFonts w:hAnsiTheme="minorEastAsia" w:eastAsiaTheme="minorEastAsia"/>
          <w:sz w:val="24"/>
        </w:rPr>
        <w:t>，坑口反向倾斜，以便蓄水保土。草籽选用紫花苜蓿，一级种，采用撒播的方式，种植密度</w:t>
      </w:r>
      <w:r>
        <w:rPr>
          <w:rFonts w:eastAsiaTheme="minorEastAsia"/>
          <w:sz w:val="24"/>
        </w:rPr>
        <w:t>15kg/</w:t>
      </w:r>
      <w:r>
        <w:rPr>
          <w:rFonts w:hAnsiTheme="minorEastAsia" w:eastAsiaTheme="minorEastAsia"/>
          <w:sz w:val="24"/>
        </w:rPr>
        <w:t>公顷</w:t>
      </w:r>
      <w:r>
        <w:rPr>
          <w:rStyle w:val="65"/>
          <w:rFonts w:hAnsiTheme="minorEastAsia" w:eastAsiaTheme="minorEastAsia"/>
          <w:sz w:val="24"/>
        </w:rPr>
        <w:t>。根据当地农林业专家的意见，从当地干旱的气候条件出发，应该适当增加重复播种次数，以保证其成活率和覆盖度，本次计划复播次数为</w:t>
      </w:r>
      <w:r>
        <w:rPr>
          <w:rStyle w:val="65"/>
          <w:rFonts w:eastAsiaTheme="minorEastAsia"/>
          <w:sz w:val="24"/>
        </w:rPr>
        <w:t>2</w:t>
      </w:r>
      <w:r>
        <w:rPr>
          <w:rStyle w:val="65"/>
          <w:rFonts w:hAnsiTheme="minorEastAsia" w:eastAsiaTheme="minorEastAsia"/>
          <w:sz w:val="24"/>
        </w:rPr>
        <w:t>次。</w:t>
      </w:r>
    </w:p>
    <w:p>
      <w:pPr>
        <w:spacing w:line="360" w:lineRule="auto"/>
        <w:ind w:firstLine="480" w:firstLineChars="200"/>
        <w:rPr>
          <w:rStyle w:val="65"/>
          <w:rFonts w:eastAsiaTheme="minorEastAsia"/>
          <w:sz w:val="24"/>
        </w:rPr>
      </w:pPr>
      <w:r>
        <w:rPr>
          <w:rFonts w:hint="eastAsia" w:hAnsiTheme="minorEastAsia" w:eastAsiaTheme="minorEastAsia"/>
          <w:sz w:val="24"/>
        </w:rPr>
        <w:t>有林地生态灰度</w:t>
      </w:r>
      <w:r>
        <w:rPr>
          <w:rFonts w:hAnsiTheme="minorEastAsia" w:eastAsiaTheme="minorEastAsia"/>
          <w:sz w:val="24"/>
        </w:rPr>
        <w:t>具体的树种见表</w:t>
      </w:r>
      <w:r>
        <w:rPr>
          <w:rFonts w:eastAsiaTheme="minorEastAsia"/>
          <w:sz w:val="24"/>
        </w:rPr>
        <w:t>5.1-1</w:t>
      </w:r>
      <w:r>
        <w:rPr>
          <w:rFonts w:hint="eastAsia" w:eastAsiaTheme="minorEastAsia"/>
          <w:sz w:val="24"/>
        </w:rPr>
        <w:t>1</w:t>
      </w:r>
      <w:r>
        <w:rPr>
          <w:rFonts w:hAnsiTheme="minorEastAsia" w:eastAsiaTheme="minorEastAsia"/>
          <w:sz w:val="24"/>
        </w:rPr>
        <w:t>。</w:t>
      </w:r>
      <w:r>
        <w:rPr>
          <w:rFonts w:hint="eastAsia" w:hAnsiTheme="minorEastAsia" w:eastAsiaTheme="minorEastAsia"/>
          <w:sz w:val="24"/>
        </w:rPr>
        <w:t>灌木林地生态灰度</w:t>
      </w:r>
      <w:r>
        <w:rPr>
          <w:rFonts w:hAnsiTheme="minorEastAsia" w:eastAsiaTheme="minorEastAsia"/>
          <w:sz w:val="24"/>
        </w:rPr>
        <w:t>具体的树种见表</w:t>
      </w:r>
      <w:r>
        <w:rPr>
          <w:rFonts w:eastAsiaTheme="minorEastAsia"/>
          <w:sz w:val="24"/>
        </w:rPr>
        <w:t>5.1-</w:t>
      </w:r>
      <w:r>
        <w:rPr>
          <w:rFonts w:hint="eastAsia" w:eastAsiaTheme="minorEastAsia"/>
          <w:sz w:val="24"/>
        </w:rPr>
        <w:t>12</w:t>
      </w:r>
      <w:r>
        <w:rPr>
          <w:rFonts w:hAnsiTheme="minorEastAsia" w:eastAsiaTheme="minorEastAsia"/>
          <w:sz w:val="24"/>
        </w:rPr>
        <w:t>。</w:t>
      </w:r>
    </w:p>
    <w:p>
      <w:pPr>
        <w:spacing w:line="360" w:lineRule="auto"/>
        <w:ind w:firstLine="422" w:firstLineChars="200"/>
        <w:jc w:val="center"/>
        <w:rPr>
          <w:rFonts w:eastAsiaTheme="minorEastAsia"/>
          <w:b/>
          <w:szCs w:val="21"/>
        </w:rPr>
      </w:pPr>
      <w:r>
        <w:rPr>
          <w:rFonts w:hAnsiTheme="minorEastAsia" w:eastAsiaTheme="minorEastAsia"/>
          <w:b/>
          <w:szCs w:val="21"/>
        </w:rPr>
        <w:t>表</w:t>
      </w:r>
      <w:r>
        <w:rPr>
          <w:rFonts w:eastAsiaTheme="minorEastAsia"/>
          <w:b/>
          <w:szCs w:val="21"/>
        </w:rPr>
        <w:t>5.1-1</w:t>
      </w:r>
      <w:r>
        <w:rPr>
          <w:rFonts w:hint="eastAsia" w:eastAsiaTheme="minorEastAsia"/>
          <w:b/>
          <w:szCs w:val="21"/>
        </w:rPr>
        <w:t>1有</w:t>
      </w:r>
      <w:r>
        <w:rPr>
          <w:rFonts w:hAnsiTheme="minorEastAsia" w:eastAsiaTheme="minorEastAsia"/>
          <w:b/>
          <w:szCs w:val="21"/>
        </w:rPr>
        <w:t>林地</w:t>
      </w:r>
      <w:r>
        <w:rPr>
          <w:rFonts w:hint="eastAsia" w:hAnsiTheme="minorEastAsia" w:eastAsiaTheme="minorEastAsia"/>
          <w:b/>
          <w:szCs w:val="21"/>
        </w:rPr>
        <w:t>生态恢复</w:t>
      </w:r>
      <w:r>
        <w:rPr>
          <w:rFonts w:hAnsiTheme="minorEastAsia" w:eastAsiaTheme="minorEastAsia"/>
          <w:b/>
          <w:szCs w:val="21"/>
        </w:rPr>
        <w:t>树种一览表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49"/>
        <w:gridCol w:w="1528"/>
        <w:gridCol w:w="1649"/>
        <w:gridCol w:w="2429"/>
        <w:gridCol w:w="20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888" w:type="pct"/>
            <w:vAlign w:val="center"/>
          </w:tcPr>
          <w:p>
            <w:pPr>
              <w:spacing w:line="240" w:lineRule="exact"/>
              <w:jc w:val="center"/>
              <w:rPr>
                <w:rFonts w:eastAsiaTheme="minorEastAsia"/>
                <w:szCs w:val="21"/>
              </w:rPr>
            </w:pPr>
            <w:r>
              <w:rPr>
                <w:rFonts w:hAnsiTheme="minorEastAsia" w:eastAsiaTheme="minorEastAsia"/>
                <w:szCs w:val="21"/>
              </w:rPr>
              <w:t>植被配置</w:t>
            </w:r>
          </w:p>
        </w:tc>
        <w:tc>
          <w:tcPr>
            <w:tcW w:w="823" w:type="pct"/>
            <w:vAlign w:val="center"/>
          </w:tcPr>
          <w:p>
            <w:pPr>
              <w:spacing w:line="240" w:lineRule="exact"/>
              <w:jc w:val="center"/>
              <w:rPr>
                <w:rFonts w:eastAsiaTheme="minorEastAsia"/>
                <w:szCs w:val="21"/>
              </w:rPr>
            </w:pPr>
            <w:r>
              <w:rPr>
                <w:rFonts w:hAnsiTheme="minorEastAsia" w:eastAsiaTheme="minorEastAsia"/>
                <w:szCs w:val="21"/>
              </w:rPr>
              <w:t>种植方式</w:t>
            </w:r>
          </w:p>
        </w:tc>
        <w:tc>
          <w:tcPr>
            <w:tcW w:w="888" w:type="pct"/>
            <w:vAlign w:val="center"/>
          </w:tcPr>
          <w:p>
            <w:pPr>
              <w:spacing w:line="240" w:lineRule="exact"/>
              <w:jc w:val="center"/>
              <w:rPr>
                <w:rFonts w:eastAsiaTheme="minorEastAsia"/>
                <w:szCs w:val="21"/>
              </w:rPr>
            </w:pPr>
            <w:r>
              <w:rPr>
                <w:rFonts w:hAnsiTheme="minorEastAsia" w:eastAsiaTheme="minorEastAsia"/>
                <w:szCs w:val="21"/>
              </w:rPr>
              <w:t>种植密度</w:t>
            </w:r>
          </w:p>
        </w:tc>
        <w:tc>
          <w:tcPr>
            <w:tcW w:w="1308" w:type="pct"/>
            <w:vAlign w:val="center"/>
          </w:tcPr>
          <w:p>
            <w:pPr>
              <w:spacing w:line="240" w:lineRule="exact"/>
              <w:jc w:val="center"/>
              <w:rPr>
                <w:rFonts w:eastAsiaTheme="minorEastAsia"/>
                <w:szCs w:val="21"/>
              </w:rPr>
            </w:pPr>
            <w:r>
              <w:rPr>
                <w:rFonts w:hAnsiTheme="minorEastAsia" w:eastAsiaTheme="minorEastAsia"/>
                <w:szCs w:val="21"/>
              </w:rPr>
              <w:t>苗木规格</w:t>
            </w:r>
          </w:p>
        </w:tc>
        <w:tc>
          <w:tcPr>
            <w:tcW w:w="1093" w:type="pct"/>
            <w:vAlign w:val="center"/>
          </w:tcPr>
          <w:p>
            <w:pPr>
              <w:spacing w:line="240" w:lineRule="exact"/>
              <w:jc w:val="center"/>
              <w:rPr>
                <w:rFonts w:eastAsiaTheme="minorEastAsia"/>
                <w:szCs w:val="21"/>
              </w:rPr>
            </w:pPr>
            <w:r>
              <w:rPr>
                <w:rFonts w:hAnsiTheme="minorEastAsia" w:eastAsiaTheme="minorEastAsia"/>
                <w:kern w:val="0"/>
                <w:szCs w:val="21"/>
              </w:rPr>
              <w:t>需苗量（</w:t>
            </w:r>
            <w:r>
              <w:rPr>
                <w:rFonts w:eastAsiaTheme="minorEastAsia"/>
                <w:kern w:val="0"/>
                <w:szCs w:val="21"/>
              </w:rPr>
              <w:t>/hm</w:t>
            </w:r>
            <w:r>
              <w:rPr>
                <w:rFonts w:eastAsiaTheme="minorEastAsia"/>
                <w:kern w:val="0"/>
                <w:szCs w:val="21"/>
                <w:vertAlign w:val="superscript"/>
              </w:rPr>
              <w:t>2</w:t>
            </w:r>
            <w:r>
              <w:rPr>
                <w:rFonts w:hAnsiTheme="minorEastAsia"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88" w:type="pct"/>
            <w:vAlign w:val="center"/>
          </w:tcPr>
          <w:p>
            <w:pPr>
              <w:spacing w:line="240" w:lineRule="exact"/>
              <w:jc w:val="center"/>
              <w:rPr>
                <w:rFonts w:eastAsiaTheme="minorEastAsia"/>
                <w:kern w:val="0"/>
                <w:szCs w:val="21"/>
              </w:rPr>
            </w:pPr>
            <w:r>
              <w:rPr>
                <w:rFonts w:hAnsiTheme="minorEastAsia" w:eastAsiaTheme="minorEastAsia"/>
                <w:kern w:val="0"/>
                <w:szCs w:val="21"/>
              </w:rPr>
              <w:t>油松</w:t>
            </w:r>
          </w:p>
        </w:tc>
        <w:tc>
          <w:tcPr>
            <w:tcW w:w="823" w:type="pct"/>
            <w:vAlign w:val="center"/>
          </w:tcPr>
          <w:p>
            <w:pPr>
              <w:spacing w:line="240" w:lineRule="exact"/>
              <w:jc w:val="center"/>
              <w:rPr>
                <w:rFonts w:eastAsiaTheme="minorEastAsia"/>
                <w:kern w:val="0"/>
                <w:szCs w:val="21"/>
              </w:rPr>
            </w:pPr>
            <w:r>
              <w:rPr>
                <w:rFonts w:hAnsiTheme="minorEastAsia" w:eastAsiaTheme="minorEastAsia"/>
                <w:kern w:val="0"/>
                <w:szCs w:val="21"/>
              </w:rPr>
              <w:t>植苗</w:t>
            </w:r>
          </w:p>
        </w:tc>
        <w:tc>
          <w:tcPr>
            <w:tcW w:w="888" w:type="pct"/>
            <w:vAlign w:val="center"/>
          </w:tcPr>
          <w:p>
            <w:pPr>
              <w:spacing w:line="240" w:lineRule="exact"/>
              <w:jc w:val="center"/>
              <w:rPr>
                <w:rFonts w:eastAsiaTheme="minorEastAsia"/>
                <w:kern w:val="0"/>
                <w:szCs w:val="21"/>
              </w:rPr>
            </w:pPr>
            <w:r>
              <w:rPr>
                <w:rFonts w:eastAsiaTheme="minorEastAsia"/>
                <w:kern w:val="0"/>
                <w:szCs w:val="21"/>
              </w:rPr>
              <w:t>2m×4m</w:t>
            </w:r>
          </w:p>
        </w:tc>
        <w:tc>
          <w:tcPr>
            <w:tcW w:w="1308" w:type="pct"/>
            <w:vAlign w:val="center"/>
          </w:tcPr>
          <w:p>
            <w:pPr>
              <w:spacing w:line="240" w:lineRule="exact"/>
              <w:jc w:val="center"/>
              <w:rPr>
                <w:rFonts w:eastAsiaTheme="minorEastAsia"/>
                <w:kern w:val="0"/>
                <w:szCs w:val="21"/>
              </w:rPr>
            </w:pPr>
            <w:r>
              <w:rPr>
                <w:rFonts w:eastAsiaTheme="minorEastAsia"/>
                <w:kern w:val="0"/>
                <w:szCs w:val="21"/>
              </w:rPr>
              <w:t>3</w:t>
            </w:r>
            <w:r>
              <w:rPr>
                <w:rFonts w:hAnsiTheme="minorEastAsia" w:eastAsiaTheme="minorEastAsia"/>
                <w:kern w:val="0"/>
                <w:szCs w:val="21"/>
              </w:rPr>
              <w:t>年生，胸径</w:t>
            </w:r>
            <w:r>
              <w:rPr>
                <w:rFonts w:eastAsiaTheme="minorEastAsia"/>
                <w:kern w:val="0"/>
                <w:szCs w:val="21"/>
              </w:rPr>
              <w:t>3cm</w:t>
            </w:r>
          </w:p>
        </w:tc>
        <w:tc>
          <w:tcPr>
            <w:tcW w:w="1093" w:type="pct"/>
            <w:vAlign w:val="center"/>
          </w:tcPr>
          <w:p>
            <w:pPr>
              <w:spacing w:line="240" w:lineRule="exact"/>
              <w:jc w:val="center"/>
              <w:rPr>
                <w:rFonts w:eastAsiaTheme="minorEastAsia"/>
                <w:kern w:val="0"/>
                <w:szCs w:val="21"/>
              </w:rPr>
            </w:pPr>
            <w:r>
              <w:rPr>
                <w:rFonts w:eastAsiaTheme="minorEastAsia"/>
                <w:kern w:val="0"/>
                <w:szCs w:val="21"/>
              </w:rPr>
              <w:t>1250</w:t>
            </w:r>
            <w:r>
              <w:rPr>
                <w:rFonts w:hAnsiTheme="minorEastAsia" w:eastAsiaTheme="minorEastAsia"/>
                <w:kern w:val="0"/>
                <w:szCs w:val="21"/>
              </w:rPr>
              <w:t>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888" w:type="pct"/>
            <w:vAlign w:val="center"/>
          </w:tcPr>
          <w:p>
            <w:pPr>
              <w:spacing w:line="240" w:lineRule="exact"/>
              <w:jc w:val="center"/>
              <w:rPr>
                <w:rFonts w:eastAsiaTheme="minorEastAsia"/>
                <w:kern w:val="0"/>
                <w:szCs w:val="21"/>
              </w:rPr>
            </w:pPr>
            <w:r>
              <w:rPr>
                <w:rFonts w:hAnsiTheme="minorEastAsia" w:eastAsiaTheme="minorEastAsia"/>
                <w:kern w:val="0"/>
                <w:szCs w:val="21"/>
              </w:rPr>
              <w:t>刺槐</w:t>
            </w:r>
          </w:p>
        </w:tc>
        <w:tc>
          <w:tcPr>
            <w:tcW w:w="823" w:type="pct"/>
            <w:vAlign w:val="center"/>
          </w:tcPr>
          <w:p>
            <w:pPr>
              <w:spacing w:line="240" w:lineRule="exact"/>
              <w:jc w:val="center"/>
              <w:rPr>
                <w:rFonts w:eastAsiaTheme="minorEastAsia"/>
                <w:kern w:val="0"/>
                <w:szCs w:val="21"/>
              </w:rPr>
            </w:pPr>
            <w:r>
              <w:rPr>
                <w:rFonts w:hAnsiTheme="minorEastAsia" w:eastAsiaTheme="minorEastAsia"/>
                <w:kern w:val="0"/>
                <w:szCs w:val="21"/>
              </w:rPr>
              <w:t>植苗</w:t>
            </w:r>
          </w:p>
        </w:tc>
        <w:tc>
          <w:tcPr>
            <w:tcW w:w="888" w:type="pct"/>
            <w:vAlign w:val="center"/>
          </w:tcPr>
          <w:p>
            <w:pPr>
              <w:spacing w:line="240" w:lineRule="exact"/>
              <w:jc w:val="center"/>
              <w:rPr>
                <w:rFonts w:eastAsiaTheme="minorEastAsia"/>
                <w:kern w:val="0"/>
                <w:szCs w:val="21"/>
              </w:rPr>
            </w:pPr>
            <w:r>
              <w:rPr>
                <w:rFonts w:eastAsiaTheme="minorEastAsia"/>
                <w:kern w:val="0"/>
                <w:szCs w:val="21"/>
              </w:rPr>
              <w:t>2m×4m</w:t>
            </w:r>
          </w:p>
        </w:tc>
        <w:tc>
          <w:tcPr>
            <w:tcW w:w="1308" w:type="pct"/>
            <w:vAlign w:val="center"/>
          </w:tcPr>
          <w:p>
            <w:pPr>
              <w:spacing w:line="240" w:lineRule="exact"/>
              <w:jc w:val="center"/>
              <w:rPr>
                <w:rFonts w:eastAsiaTheme="minorEastAsia"/>
                <w:kern w:val="0"/>
                <w:szCs w:val="21"/>
              </w:rPr>
            </w:pPr>
            <w:r>
              <w:rPr>
                <w:rFonts w:eastAsiaTheme="minorEastAsia"/>
                <w:kern w:val="0"/>
                <w:szCs w:val="21"/>
              </w:rPr>
              <w:t>3</w:t>
            </w:r>
            <w:r>
              <w:rPr>
                <w:rFonts w:hAnsiTheme="minorEastAsia" w:eastAsiaTheme="minorEastAsia"/>
                <w:kern w:val="0"/>
                <w:szCs w:val="21"/>
              </w:rPr>
              <w:t>年生，胸径</w:t>
            </w:r>
            <w:r>
              <w:rPr>
                <w:rFonts w:eastAsiaTheme="minorEastAsia"/>
                <w:kern w:val="0"/>
                <w:szCs w:val="21"/>
              </w:rPr>
              <w:t>3cm</w:t>
            </w:r>
          </w:p>
        </w:tc>
        <w:tc>
          <w:tcPr>
            <w:tcW w:w="1093" w:type="pct"/>
            <w:vAlign w:val="center"/>
          </w:tcPr>
          <w:p>
            <w:pPr>
              <w:spacing w:line="240" w:lineRule="exact"/>
              <w:jc w:val="center"/>
              <w:rPr>
                <w:rFonts w:eastAsiaTheme="minorEastAsia"/>
                <w:kern w:val="0"/>
                <w:szCs w:val="21"/>
              </w:rPr>
            </w:pPr>
            <w:r>
              <w:rPr>
                <w:rFonts w:eastAsiaTheme="minorEastAsia"/>
                <w:kern w:val="0"/>
                <w:szCs w:val="21"/>
              </w:rPr>
              <w:t>1250</w:t>
            </w:r>
            <w:r>
              <w:rPr>
                <w:rFonts w:hAnsiTheme="minorEastAsia" w:eastAsiaTheme="minorEastAsia"/>
                <w:kern w:val="0"/>
                <w:szCs w:val="21"/>
              </w:rPr>
              <w:t>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888" w:type="pct"/>
            <w:vAlign w:val="center"/>
          </w:tcPr>
          <w:p>
            <w:pPr>
              <w:spacing w:line="240" w:lineRule="exact"/>
              <w:jc w:val="center"/>
              <w:rPr>
                <w:rFonts w:eastAsiaTheme="minorEastAsia"/>
                <w:kern w:val="0"/>
                <w:szCs w:val="21"/>
              </w:rPr>
            </w:pPr>
            <w:r>
              <w:rPr>
                <w:rFonts w:hAnsiTheme="minorEastAsia" w:eastAsiaTheme="minorEastAsia"/>
                <w:kern w:val="0"/>
                <w:szCs w:val="21"/>
              </w:rPr>
              <w:t>紫花苜蓿</w:t>
            </w:r>
          </w:p>
        </w:tc>
        <w:tc>
          <w:tcPr>
            <w:tcW w:w="823" w:type="pct"/>
            <w:vAlign w:val="center"/>
          </w:tcPr>
          <w:p>
            <w:pPr>
              <w:spacing w:line="240" w:lineRule="exact"/>
              <w:jc w:val="center"/>
              <w:rPr>
                <w:rFonts w:eastAsiaTheme="minorEastAsia"/>
                <w:kern w:val="0"/>
                <w:szCs w:val="21"/>
              </w:rPr>
            </w:pPr>
            <w:r>
              <w:rPr>
                <w:rFonts w:hAnsiTheme="minorEastAsia" w:eastAsiaTheme="minorEastAsia"/>
                <w:kern w:val="0"/>
                <w:szCs w:val="21"/>
              </w:rPr>
              <w:t>撒播</w:t>
            </w:r>
          </w:p>
        </w:tc>
        <w:tc>
          <w:tcPr>
            <w:tcW w:w="888" w:type="pct"/>
            <w:vAlign w:val="center"/>
          </w:tcPr>
          <w:p>
            <w:pPr>
              <w:spacing w:line="240" w:lineRule="exact"/>
              <w:jc w:val="center"/>
              <w:rPr>
                <w:rFonts w:eastAsiaTheme="minorEastAsia"/>
                <w:kern w:val="0"/>
                <w:szCs w:val="21"/>
              </w:rPr>
            </w:pPr>
            <w:r>
              <w:rPr>
                <w:rFonts w:eastAsiaTheme="minorEastAsia"/>
                <w:kern w:val="0"/>
                <w:szCs w:val="21"/>
              </w:rPr>
              <w:t>15kg/hm</w:t>
            </w:r>
            <w:r>
              <w:rPr>
                <w:rFonts w:eastAsiaTheme="minorEastAsia"/>
                <w:kern w:val="0"/>
                <w:szCs w:val="21"/>
                <w:vertAlign w:val="superscript"/>
              </w:rPr>
              <w:t>2</w:t>
            </w:r>
          </w:p>
        </w:tc>
        <w:tc>
          <w:tcPr>
            <w:tcW w:w="1308" w:type="pct"/>
            <w:vAlign w:val="center"/>
          </w:tcPr>
          <w:p>
            <w:pPr>
              <w:spacing w:line="240" w:lineRule="exact"/>
              <w:ind w:firstLine="480"/>
              <w:jc w:val="center"/>
              <w:rPr>
                <w:rFonts w:eastAsiaTheme="minorEastAsia"/>
                <w:kern w:val="0"/>
                <w:szCs w:val="21"/>
              </w:rPr>
            </w:pPr>
          </w:p>
        </w:tc>
        <w:tc>
          <w:tcPr>
            <w:tcW w:w="1093" w:type="pct"/>
            <w:vAlign w:val="center"/>
          </w:tcPr>
          <w:p>
            <w:pPr>
              <w:spacing w:line="240" w:lineRule="exact"/>
              <w:jc w:val="center"/>
              <w:rPr>
                <w:rFonts w:eastAsiaTheme="minorEastAsia"/>
                <w:kern w:val="0"/>
                <w:szCs w:val="21"/>
              </w:rPr>
            </w:pPr>
            <w:r>
              <w:rPr>
                <w:rFonts w:eastAsiaTheme="minorEastAsia"/>
                <w:kern w:val="0"/>
                <w:szCs w:val="21"/>
              </w:rPr>
              <w:t>15kg</w:t>
            </w:r>
          </w:p>
        </w:tc>
      </w:tr>
    </w:tbl>
    <w:p>
      <w:pPr>
        <w:spacing w:line="360" w:lineRule="auto"/>
        <w:ind w:firstLine="480" w:firstLineChars="200"/>
        <w:rPr>
          <w:rFonts w:eastAsiaTheme="minorEastAsia"/>
          <w:sz w:val="24"/>
        </w:rPr>
      </w:pPr>
      <w:r>
        <w:rPr>
          <w:rFonts w:eastAsiaTheme="minorEastAsia"/>
          <w:sz w:val="24"/>
        </w:rPr>
        <w:drawing>
          <wp:anchor distT="0" distB="0" distL="114300" distR="114300" simplePos="0" relativeHeight="251691008" behindDoc="0" locked="0" layoutInCell="1" allowOverlap="1">
            <wp:simplePos x="0" y="0"/>
            <wp:positionH relativeFrom="column">
              <wp:posOffset>204470</wp:posOffset>
            </wp:positionH>
            <wp:positionV relativeFrom="paragraph">
              <wp:posOffset>78740</wp:posOffset>
            </wp:positionV>
            <wp:extent cx="5467350" cy="2752725"/>
            <wp:effectExtent l="19050" t="0" r="0" b="0"/>
            <wp:wrapNone/>
            <wp:docPr id="114" name="图片 114" descr="C:\Users\Administrator\AppData\Roaming\feiq\RichOle\26282061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Administrator\AppData\Roaming\feiq\RichOle\2628206103.bmp"/>
                    <pic:cNvPicPr>
                      <a:picLocks noChangeAspect="1" noChangeArrowheads="1"/>
                    </pic:cNvPicPr>
                  </pic:nvPicPr>
                  <pic:blipFill>
                    <a:blip r:embed="rId100"/>
                    <a:srcRect/>
                    <a:stretch>
                      <a:fillRect/>
                    </a:stretch>
                  </pic:blipFill>
                  <pic:spPr>
                    <a:xfrm>
                      <a:off x="0" y="0"/>
                      <a:ext cx="5467350" cy="2752725"/>
                    </a:xfrm>
                    <a:prstGeom prst="rect">
                      <a:avLst/>
                    </a:prstGeom>
                    <a:noFill/>
                    <a:ln w="9525">
                      <a:noFill/>
                      <a:miter lim="800000"/>
                      <a:headEnd/>
                      <a:tailEnd/>
                    </a:ln>
                  </pic:spPr>
                </pic:pic>
              </a:graphicData>
            </a:graphic>
          </wp:anchor>
        </w:drawing>
      </w: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20"/>
        <w:jc w:val="center"/>
        <w:rPr>
          <w:rFonts w:eastAsiaTheme="minorEastAsia"/>
          <w:b/>
          <w:szCs w:val="21"/>
        </w:rPr>
      </w:pPr>
      <w:r>
        <w:rPr>
          <w:rFonts w:hAnsiTheme="minorEastAsia" w:eastAsiaTheme="minorEastAsia"/>
          <w:b/>
          <w:szCs w:val="21"/>
          <w:lang w:val="en-IE"/>
        </w:rPr>
        <w:t>图</w:t>
      </w:r>
      <w:r>
        <w:rPr>
          <w:rFonts w:eastAsiaTheme="minorEastAsia"/>
          <w:b/>
          <w:szCs w:val="21"/>
          <w:lang w:val="en-IE"/>
        </w:rPr>
        <w:t>5.1-</w:t>
      </w:r>
      <w:r>
        <w:rPr>
          <w:rFonts w:hint="eastAsia" w:eastAsiaTheme="minorEastAsia"/>
          <w:b/>
          <w:szCs w:val="21"/>
          <w:lang w:val="en-IE"/>
        </w:rPr>
        <w:t>3</w:t>
      </w:r>
      <w:r>
        <w:rPr>
          <w:rFonts w:eastAsiaTheme="minorEastAsia"/>
          <w:b/>
          <w:szCs w:val="21"/>
        </w:rPr>
        <w:t xml:space="preserve"> </w:t>
      </w:r>
      <w:r>
        <w:rPr>
          <w:rFonts w:hint="eastAsia" w:hAnsiTheme="minorEastAsia" w:eastAsiaTheme="minorEastAsia"/>
          <w:b/>
          <w:szCs w:val="21"/>
          <w:lang w:val="en-IE"/>
        </w:rPr>
        <w:t>有林地</w:t>
      </w:r>
      <w:r>
        <w:rPr>
          <w:rFonts w:hAnsiTheme="minorEastAsia" w:eastAsiaTheme="minorEastAsia"/>
          <w:b/>
          <w:szCs w:val="21"/>
          <w:lang w:val="en-IE"/>
        </w:rPr>
        <w:t>典型示意图</w:t>
      </w:r>
    </w:p>
    <w:p>
      <w:pPr>
        <w:spacing w:line="360" w:lineRule="auto"/>
        <w:ind w:firstLine="422" w:firstLineChars="200"/>
        <w:jc w:val="center"/>
        <w:rPr>
          <w:rFonts w:eastAsiaTheme="minorEastAsia"/>
          <w:b/>
          <w:szCs w:val="21"/>
        </w:rPr>
      </w:pPr>
      <w:r>
        <w:rPr>
          <w:rStyle w:val="65"/>
          <w:rFonts w:eastAsiaTheme="minorEastAsia"/>
          <w:b/>
          <w:szCs w:val="21"/>
        </w:rPr>
        <w:t>5.1-1</w:t>
      </w:r>
      <w:r>
        <w:rPr>
          <w:rStyle w:val="65"/>
          <w:rFonts w:hint="eastAsia" w:eastAsiaTheme="minorEastAsia"/>
          <w:b/>
          <w:szCs w:val="21"/>
        </w:rPr>
        <w:t>2</w:t>
      </w:r>
      <w:r>
        <w:rPr>
          <w:rStyle w:val="65"/>
          <w:rFonts w:eastAsiaTheme="minorEastAsia"/>
          <w:b/>
          <w:szCs w:val="21"/>
        </w:rPr>
        <w:t xml:space="preserve">  </w:t>
      </w:r>
      <w:r>
        <w:rPr>
          <w:rStyle w:val="65"/>
          <w:rFonts w:hAnsiTheme="minorEastAsia" w:eastAsiaTheme="minorEastAsia"/>
          <w:b/>
          <w:szCs w:val="21"/>
        </w:rPr>
        <w:t>预测沉陷区草地</w:t>
      </w:r>
      <w:r>
        <w:rPr>
          <w:rFonts w:hAnsiTheme="minorEastAsia" w:eastAsiaTheme="minorEastAsia"/>
          <w:b/>
          <w:szCs w:val="21"/>
        </w:rPr>
        <w:t>复垦为灌木林地种植密度及需苗量设计表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49"/>
        <w:gridCol w:w="1528"/>
        <w:gridCol w:w="1649"/>
        <w:gridCol w:w="2429"/>
        <w:gridCol w:w="20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888" w:type="pct"/>
            <w:tcBorders>
              <w:top w:val="single" w:color="auto" w:sz="12" w:space="0"/>
              <w:left w:val="single" w:color="auto" w:sz="12" w:space="0"/>
              <w:bottom w:val="single" w:color="auto" w:sz="6" w:space="0"/>
              <w:right w:val="single" w:color="auto" w:sz="6" w:space="0"/>
            </w:tcBorders>
            <w:vAlign w:val="center"/>
          </w:tcPr>
          <w:p>
            <w:pPr>
              <w:spacing w:line="240" w:lineRule="exact"/>
              <w:jc w:val="center"/>
              <w:rPr>
                <w:rFonts w:eastAsiaTheme="minorEastAsia"/>
                <w:szCs w:val="21"/>
              </w:rPr>
            </w:pPr>
            <w:r>
              <w:rPr>
                <w:rFonts w:hAnsiTheme="minorEastAsia" w:eastAsiaTheme="minorEastAsia"/>
                <w:szCs w:val="21"/>
              </w:rPr>
              <w:t>植被配置</w:t>
            </w:r>
          </w:p>
        </w:tc>
        <w:tc>
          <w:tcPr>
            <w:tcW w:w="823" w:type="pct"/>
            <w:tcBorders>
              <w:top w:val="single" w:color="auto" w:sz="12" w:space="0"/>
              <w:left w:val="single" w:color="auto" w:sz="6" w:space="0"/>
              <w:bottom w:val="single" w:color="auto" w:sz="6" w:space="0"/>
              <w:right w:val="single" w:color="auto" w:sz="6" w:space="0"/>
            </w:tcBorders>
            <w:vAlign w:val="center"/>
          </w:tcPr>
          <w:p>
            <w:pPr>
              <w:spacing w:line="240" w:lineRule="exact"/>
              <w:jc w:val="center"/>
              <w:rPr>
                <w:rFonts w:eastAsiaTheme="minorEastAsia"/>
                <w:szCs w:val="21"/>
              </w:rPr>
            </w:pPr>
            <w:r>
              <w:rPr>
                <w:rFonts w:hAnsiTheme="minorEastAsia" w:eastAsiaTheme="minorEastAsia"/>
                <w:szCs w:val="21"/>
              </w:rPr>
              <w:t>种植方式</w:t>
            </w:r>
          </w:p>
        </w:tc>
        <w:tc>
          <w:tcPr>
            <w:tcW w:w="888" w:type="pct"/>
            <w:tcBorders>
              <w:top w:val="single" w:color="auto" w:sz="12" w:space="0"/>
              <w:left w:val="single" w:color="auto" w:sz="6" w:space="0"/>
              <w:bottom w:val="single" w:color="auto" w:sz="6" w:space="0"/>
              <w:right w:val="single" w:color="auto" w:sz="6" w:space="0"/>
            </w:tcBorders>
            <w:vAlign w:val="center"/>
          </w:tcPr>
          <w:p>
            <w:pPr>
              <w:spacing w:line="240" w:lineRule="exact"/>
              <w:jc w:val="center"/>
              <w:rPr>
                <w:rFonts w:eastAsiaTheme="minorEastAsia"/>
                <w:szCs w:val="21"/>
              </w:rPr>
            </w:pPr>
            <w:r>
              <w:rPr>
                <w:rFonts w:hAnsiTheme="minorEastAsia" w:eastAsiaTheme="minorEastAsia"/>
                <w:szCs w:val="21"/>
              </w:rPr>
              <w:t>种植密度</w:t>
            </w:r>
          </w:p>
        </w:tc>
        <w:tc>
          <w:tcPr>
            <w:tcW w:w="1308" w:type="pct"/>
            <w:tcBorders>
              <w:top w:val="single" w:color="auto" w:sz="12" w:space="0"/>
              <w:left w:val="single" w:color="auto" w:sz="6" w:space="0"/>
              <w:bottom w:val="single" w:color="auto" w:sz="6" w:space="0"/>
              <w:right w:val="single" w:color="auto" w:sz="6" w:space="0"/>
            </w:tcBorders>
            <w:vAlign w:val="center"/>
          </w:tcPr>
          <w:p>
            <w:pPr>
              <w:spacing w:line="240" w:lineRule="exact"/>
              <w:jc w:val="center"/>
              <w:rPr>
                <w:rFonts w:eastAsiaTheme="minorEastAsia"/>
                <w:szCs w:val="21"/>
              </w:rPr>
            </w:pPr>
            <w:r>
              <w:rPr>
                <w:rFonts w:hAnsiTheme="minorEastAsia" w:eastAsiaTheme="minorEastAsia"/>
                <w:szCs w:val="21"/>
              </w:rPr>
              <w:t>苗木规格</w:t>
            </w:r>
          </w:p>
        </w:tc>
        <w:tc>
          <w:tcPr>
            <w:tcW w:w="1093" w:type="pct"/>
            <w:tcBorders>
              <w:top w:val="single" w:color="auto" w:sz="12" w:space="0"/>
              <w:left w:val="single" w:color="auto" w:sz="6" w:space="0"/>
              <w:bottom w:val="single" w:color="auto" w:sz="6" w:space="0"/>
              <w:right w:val="single" w:color="auto" w:sz="12" w:space="0"/>
            </w:tcBorders>
            <w:vAlign w:val="center"/>
          </w:tcPr>
          <w:p>
            <w:pPr>
              <w:spacing w:line="240" w:lineRule="exact"/>
              <w:rPr>
                <w:rFonts w:eastAsiaTheme="minorEastAsia"/>
                <w:szCs w:val="21"/>
              </w:rPr>
            </w:pPr>
            <w:r>
              <w:rPr>
                <w:rFonts w:hAnsiTheme="minorEastAsia" w:eastAsiaTheme="minorEastAsia"/>
                <w:kern w:val="0"/>
                <w:szCs w:val="21"/>
              </w:rPr>
              <w:t>需苗量（</w:t>
            </w:r>
            <w:r>
              <w:rPr>
                <w:rFonts w:eastAsiaTheme="minorEastAsia"/>
                <w:kern w:val="0"/>
                <w:szCs w:val="21"/>
              </w:rPr>
              <w:t>/hm</w:t>
            </w:r>
            <w:r>
              <w:rPr>
                <w:rFonts w:eastAsiaTheme="minorEastAsia"/>
                <w:kern w:val="0"/>
                <w:szCs w:val="21"/>
                <w:vertAlign w:val="superscript"/>
              </w:rPr>
              <w:t>2</w:t>
            </w:r>
            <w:r>
              <w:rPr>
                <w:rFonts w:hAnsiTheme="minorEastAsia"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888" w:type="pct"/>
            <w:tcBorders>
              <w:top w:val="single" w:color="auto" w:sz="6" w:space="0"/>
              <w:left w:val="single" w:color="auto" w:sz="12" w:space="0"/>
              <w:bottom w:val="single" w:color="auto" w:sz="6" w:space="0"/>
              <w:right w:val="single" w:color="auto" w:sz="6" w:space="0"/>
            </w:tcBorders>
            <w:vAlign w:val="center"/>
          </w:tcPr>
          <w:p>
            <w:pPr>
              <w:spacing w:line="240" w:lineRule="exact"/>
              <w:jc w:val="center"/>
              <w:rPr>
                <w:rFonts w:eastAsiaTheme="minorEastAsia"/>
                <w:kern w:val="0"/>
                <w:szCs w:val="21"/>
              </w:rPr>
            </w:pPr>
            <w:r>
              <w:rPr>
                <w:rFonts w:hAnsiTheme="minorEastAsia" w:eastAsiaTheme="minorEastAsia"/>
                <w:kern w:val="0"/>
                <w:szCs w:val="21"/>
              </w:rPr>
              <w:t>荆条</w:t>
            </w:r>
          </w:p>
        </w:tc>
        <w:tc>
          <w:tcPr>
            <w:tcW w:w="823" w:type="pct"/>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eastAsiaTheme="minorEastAsia"/>
              </w:rPr>
            </w:pPr>
            <w:r>
              <w:rPr>
                <w:rFonts w:hAnsiTheme="minorEastAsia" w:eastAsiaTheme="minorEastAsia"/>
                <w:kern w:val="0"/>
                <w:szCs w:val="21"/>
              </w:rPr>
              <w:t>植苗</w:t>
            </w:r>
          </w:p>
        </w:tc>
        <w:tc>
          <w:tcPr>
            <w:tcW w:w="888" w:type="pct"/>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eastAsiaTheme="minorEastAsia"/>
              </w:rPr>
            </w:pPr>
            <w:r>
              <w:rPr>
                <w:rFonts w:eastAsiaTheme="minorEastAsia"/>
                <w:kern w:val="0"/>
                <w:szCs w:val="21"/>
              </w:rPr>
              <w:t>1.5m×3m</w:t>
            </w:r>
          </w:p>
        </w:tc>
        <w:tc>
          <w:tcPr>
            <w:tcW w:w="1308" w:type="pct"/>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eastAsiaTheme="minorEastAsia"/>
                <w:kern w:val="0"/>
                <w:szCs w:val="21"/>
              </w:rPr>
            </w:pPr>
            <w:r>
              <w:rPr>
                <w:rFonts w:eastAsiaTheme="minorEastAsia"/>
                <w:kern w:val="0"/>
                <w:szCs w:val="21"/>
              </w:rPr>
              <w:t>2</w:t>
            </w:r>
            <w:r>
              <w:rPr>
                <w:rFonts w:hAnsiTheme="minorEastAsia" w:eastAsiaTheme="minorEastAsia"/>
                <w:kern w:val="0"/>
                <w:szCs w:val="21"/>
              </w:rPr>
              <w:t>年生</w:t>
            </w:r>
          </w:p>
        </w:tc>
        <w:tc>
          <w:tcPr>
            <w:tcW w:w="1093" w:type="pct"/>
            <w:tcBorders>
              <w:top w:val="single" w:color="auto" w:sz="6" w:space="0"/>
              <w:left w:val="single" w:color="auto" w:sz="6" w:space="0"/>
              <w:bottom w:val="single" w:color="auto" w:sz="6" w:space="0"/>
              <w:right w:val="single" w:color="auto" w:sz="12" w:space="0"/>
            </w:tcBorders>
            <w:vAlign w:val="center"/>
          </w:tcPr>
          <w:p>
            <w:pPr>
              <w:spacing w:line="240" w:lineRule="exact"/>
              <w:jc w:val="center"/>
              <w:rPr>
                <w:rFonts w:eastAsiaTheme="minorEastAsia"/>
              </w:rPr>
            </w:pPr>
            <w:r>
              <w:rPr>
                <w:rFonts w:eastAsiaTheme="minorEastAsia"/>
                <w:kern w:val="0"/>
                <w:szCs w:val="21"/>
              </w:rPr>
              <w:t>2222</w:t>
            </w:r>
            <w:r>
              <w:rPr>
                <w:rFonts w:hAnsiTheme="minorEastAsia" w:eastAsiaTheme="minorEastAsia"/>
                <w:kern w:val="0"/>
                <w:szCs w:val="21"/>
              </w:rPr>
              <w:t>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888" w:type="pct"/>
            <w:tcBorders>
              <w:top w:val="single" w:color="auto" w:sz="6" w:space="0"/>
              <w:left w:val="single" w:color="auto" w:sz="12" w:space="0"/>
              <w:bottom w:val="single" w:color="auto" w:sz="6" w:space="0"/>
              <w:right w:val="single" w:color="auto" w:sz="6" w:space="0"/>
            </w:tcBorders>
            <w:vAlign w:val="center"/>
          </w:tcPr>
          <w:p>
            <w:pPr>
              <w:spacing w:line="240" w:lineRule="exact"/>
              <w:jc w:val="center"/>
              <w:rPr>
                <w:rFonts w:eastAsiaTheme="minorEastAsia"/>
                <w:kern w:val="0"/>
                <w:szCs w:val="21"/>
              </w:rPr>
            </w:pPr>
            <w:r>
              <w:rPr>
                <w:rFonts w:hAnsiTheme="minorEastAsia" w:eastAsiaTheme="minorEastAsia"/>
                <w:kern w:val="0"/>
                <w:szCs w:val="21"/>
              </w:rPr>
              <w:t>沙棘</w:t>
            </w:r>
          </w:p>
        </w:tc>
        <w:tc>
          <w:tcPr>
            <w:tcW w:w="823" w:type="pct"/>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eastAsiaTheme="minorEastAsia"/>
              </w:rPr>
            </w:pPr>
            <w:r>
              <w:rPr>
                <w:rFonts w:hAnsiTheme="minorEastAsia" w:eastAsiaTheme="minorEastAsia"/>
                <w:kern w:val="0"/>
                <w:szCs w:val="21"/>
              </w:rPr>
              <w:t>植苗</w:t>
            </w:r>
          </w:p>
        </w:tc>
        <w:tc>
          <w:tcPr>
            <w:tcW w:w="888" w:type="pct"/>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eastAsiaTheme="minorEastAsia"/>
              </w:rPr>
            </w:pPr>
            <w:r>
              <w:rPr>
                <w:rFonts w:eastAsiaTheme="minorEastAsia"/>
                <w:kern w:val="0"/>
                <w:szCs w:val="21"/>
              </w:rPr>
              <w:t>1.5m×3m</w:t>
            </w:r>
          </w:p>
        </w:tc>
        <w:tc>
          <w:tcPr>
            <w:tcW w:w="1308" w:type="pct"/>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eastAsiaTheme="minorEastAsia"/>
                <w:kern w:val="0"/>
                <w:szCs w:val="21"/>
              </w:rPr>
            </w:pPr>
            <w:r>
              <w:rPr>
                <w:rFonts w:eastAsiaTheme="minorEastAsia"/>
                <w:kern w:val="0"/>
                <w:szCs w:val="21"/>
              </w:rPr>
              <w:t>2</w:t>
            </w:r>
            <w:r>
              <w:rPr>
                <w:rFonts w:hAnsiTheme="minorEastAsia" w:eastAsiaTheme="minorEastAsia"/>
                <w:kern w:val="0"/>
                <w:szCs w:val="21"/>
              </w:rPr>
              <w:t>年生</w:t>
            </w:r>
          </w:p>
        </w:tc>
        <w:tc>
          <w:tcPr>
            <w:tcW w:w="1093" w:type="pct"/>
            <w:tcBorders>
              <w:top w:val="single" w:color="auto" w:sz="6" w:space="0"/>
              <w:left w:val="single" w:color="auto" w:sz="6" w:space="0"/>
              <w:bottom w:val="single" w:color="auto" w:sz="6" w:space="0"/>
              <w:right w:val="single" w:color="auto" w:sz="12" w:space="0"/>
            </w:tcBorders>
            <w:vAlign w:val="center"/>
          </w:tcPr>
          <w:p>
            <w:pPr>
              <w:spacing w:line="240" w:lineRule="exact"/>
              <w:jc w:val="center"/>
              <w:rPr>
                <w:rFonts w:eastAsiaTheme="minorEastAsia"/>
              </w:rPr>
            </w:pPr>
            <w:r>
              <w:rPr>
                <w:rFonts w:eastAsiaTheme="minorEastAsia"/>
                <w:kern w:val="0"/>
                <w:szCs w:val="21"/>
              </w:rPr>
              <w:t>2222</w:t>
            </w:r>
            <w:r>
              <w:rPr>
                <w:rFonts w:hAnsiTheme="minorEastAsia" w:eastAsiaTheme="minorEastAsia"/>
                <w:kern w:val="0"/>
                <w:szCs w:val="21"/>
              </w:rPr>
              <w:t>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88" w:type="pct"/>
            <w:tcBorders>
              <w:top w:val="single" w:color="auto" w:sz="6" w:space="0"/>
              <w:left w:val="single" w:color="auto" w:sz="12" w:space="0"/>
              <w:bottom w:val="single" w:color="auto" w:sz="12" w:space="0"/>
              <w:right w:val="single" w:color="auto" w:sz="6" w:space="0"/>
            </w:tcBorders>
            <w:vAlign w:val="center"/>
          </w:tcPr>
          <w:p>
            <w:pPr>
              <w:spacing w:line="240" w:lineRule="exact"/>
              <w:jc w:val="center"/>
              <w:rPr>
                <w:rFonts w:eastAsiaTheme="minorEastAsia"/>
                <w:kern w:val="0"/>
                <w:szCs w:val="21"/>
              </w:rPr>
            </w:pPr>
            <w:r>
              <w:rPr>
                <w:rFonts w:hAnsiTheme="minorEastAsia" w:eastAsiaTheme="minorEastAsia"/>
                <w:kern w:val="0"/>
                <w:szCs w:val="21"/>
              </w:rPr>
              <w:t>紫花苜蓿</w:t>
            </w:r>
          </w:p>
        </w:tc>
        <w:tc>
          <w:tcPr>
            <w:tcW w:w="823" w:type="pct"/>
            <w:tcBorders>
              <w:top w:val="single" w:color="auto" w:sz="6" w:space="0"/>
              <w:left w:val="single" w:color="auto" w:sz="6" w:space="0"/>
              <w:bottom w:val="single" w:color="auto" w:sz="12" w:space="0"/>
              <w:right w:val="single" w:color="auto" w:sz="6" w:space="0"/>
            </w:tcBorders>
            <w:vAlign w:val="center"/>
          </w:tcPr>
          <w:p>
            <w:pPr>
              <w:spacing w:line="240" w:lineRule="exact"/>
              <w:jc w:val="center"/>
              <w:rPr>
                <w:rFonts w:eastAsiaTheme="minorEastAsia"/>
                <w:kern w:val="0"/>
                <w:szCs w:val="21"/>
              </w:rPr>
            </w:pPr>
            <w:r>
              <w:rPr>
                <w:rFonts w:hAnsiTheme="minorEastAsia" w:eastAsiaTheme="minorEastAsia"/>
                <w:kern w:val="0"/>
                <w:szCs w:val="21"/>
              </w:rPr>
              <w:t>撒播</w:t>
            </w:r>
          </w:p>
        </w:tc>
        <w:tc>
          <w:tcPr>
            <w:tcW w:w="888" w:type="pct"/>
            <w:tcBorders>
              <w:top w:val="single" w:color="auto" w:sz="6" w:space="0"/>
              <w:left w:val="single" w:color="auto" w:sz="6" w:space="0"/>
              <w:bottom w:val="single" w:color="auto" w:sz="12" w:space="0"/>
              <w:right w:val="single" w:color="auto" w:sz="6" w:space="0"/>
            </w:tcBorders>
            <w:vAlign w:val="center"/>
          </w:tcPr>
          <w:p>
            <w:pPr>
              <w:spacing w:line="240" w:lineRule="exact"/>
              <w:jc w:val="center"/>
              <w:rPr>
                <w:rFonts w:eastAsiaTheme="minorEastAsia"/>
                <w:kern w:val="0"/>
                <w:szCs w:val="21"/>
              </w:rPr>
            </w:pPr>
            <w:r>
              <w:rPr>
                <w:rFonts w:eastAsiaTheme="minorEastAsia"/>
                <w:kern w:val="0"/>
                <w:szCs w:val="21"/>
              </w:rPr>
              <w:t>15kg/hm</w:t>
            </w:r>
            <w:r>
              <w:rPr>
                <w:rFonts w:eastAsiaTheme="minorEastAsia"/>
                <w:kern w:val="0"/>
                <w:szCs w:val="21"/>
                <w:vertAlign w:val="superscript"/>
              </w:rPr>
              <w:t>2</w:t>
            </w:r>
          </w:p>
        </w:tc>
        <w:tc>
          <w:tcPr>
            <w:tcW w:w="1308" w:type="pct"/>
            <w:tcBorders>
              <w:top w:val="single" w:color="auto" w:sz="6" w:space="0"/>
              <w:left w:val="single" w:color="auto" w:sz="6" w:space="0"/>
              <w:bottom w:val="single" w:color="auto" w:sz="12" w:space="0"/>
              <w:right w:val="single" w:color="auto" w:sz="6" w:space="0"/>
            </w:tcBorders>
            <w:vAlign w:val="center"/>
          </w:tcPr>
          <w:p>
            <w:pPr>
              <w:spacing w:line="240" w:lineRule="exact"/>
              <w:ind w:firstLine="480"/>
              <w:jc w:val="center"/>
              <w:rPr>
                <w:rFonts w:eastAsiaTheme="minorEastAsia"/>
                <w:kern w:val="0"/>
                <w:szCs w:val="21"/>
              </w:rPr>
            </w:pPr>
          </w:p>
        </w:tc>
        <w:tc>
          <w:tcPr>
            <w:tcW w:w="1093" w:type="pct"/>
            <w:tcBorders>
              <w:top w:val="single" w:color="auto" w:sz="6" w:space="0"/>
              <w:left w:val="single" w:color="auto" w:sz="6" w:space="0"/>
              <w:bottom w:val="single" w:color="auto" w:sz="12" w:space="0"/>
              <w:right w:val="single" w:color="auto" w:sz="12" w:space="0"/>
            </w:tcBorders>
            <w:vAlign w:val="center"/>
          </w:tcPr>
          <w:p>
            <w:pPr>
              <w:spacing w:line="240" w:lineRule="exact"/>
              <w:jc w:val="center"/>
              <w:rPr>
                <w:rFonts w:eastAsiaTheme="minorEastAsia"/>
                <w:kern w:val="0"/>
                <w:szCs w:val="21"/>
              </w:rPr>
            </w:pPr>
            <w:r>
              <w:rPr>
                <w:rFonts w:eastAsiaTheme="minorEastAsia"/>
                <w:kern w:val="0"/>
                <w:szCs w:val="21"/>
              </w:rPr>
              <w:t>15kg</w:t>
            </w:r>
          </w:p>
        </w:tc>
      </w:tr>
    </w:tbl>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r>
        <w:rPr>
          <w:rFonts w:eastAsiaTheme="minorEastAsia"/>
          <w:sz w:val="24"/>
        </w:rPr>
        <w:drawing>
          <wp:anchor distT="0" distB="0" distL="114300" distR="114300" simplePos="0" relativeHeight="251692032" behindDoc="0" locked="0" layoutInCell="1" allowOverlap="1">
            <wp:simplePos x="0" y="0"/>
            <wp:positionH relativeFrom="column">
              <wp:posOffset>394970</wp:posOffset>
            </wp:positionH>
            <wp:positionV relativeFrom="paragraph">
              <wp:posOffset>24765</wp:posOffset>
            </wp:positionV>
            <wp:extent cx="5086350" cy="3619500"/>
            <wp:effectExtent l="19050" t="0" r="0" b="0"/>
            <wp:wrapNone/>
            <wp:docPr id="117" name="图片 117" descr="C:\Users\Administrator\AppData\Roaming\feiq\RichOle\23383607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Administrator\AppData\Roaming\feiq\RichOle\2338360712.bmp"/>
                    <pic:cNvPicPr>
                      <a:picLocks noChangeAspect="1" noChangeArrowheads="1"/>
                    </pic:cNvPicPr>
                  </pic:nvPicPr>
                  <pic:blipFill>
                    <a:blip r:embed="rId101"/>
                    <a:srcRect/>
                    <a:stretch>
                      <a:fillRect/>
                    </a:stretch>
                  </pic:blipFill>
                  <pic:spPr>
                    <a:xfrm>
                      <a:off x="0" y="0"/>
                      <a:ext cx="5086350" cy="3619500"/>
                    </a:xfrm>
                    <a:prstGeom prst="rect">
                      <a:avLst/>
                    </a:prstGeom>
                    <a:noFill/>
                    <a:ln w="9525">
                      <a:noFill/>
                      <a:miter lim="800000"/>
                      <a:headEnd/>
                      <a:tailEnd/>
                    </a:ln>
                  </pic:spPr>
                </pic:pic>
              </a:graphicData>
            </a:graphic>
          </wp:anchor>
        </w:drawing>
      </w: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ind w:firstLine="420"/>
        <w:jc w:val="center"/>
        <w:rPr>
          <w:rFonts w:eastAsiaTheme="minorEastAsia"/>
          <w:b/>
          <w:szCs w:val="21"/>
        </w:rPr>
      </w:pPr>
      <w:r>
        <w:rPr>
          <w:rFonts w:hAnsiTheme="minorEastAsia" w:eastAsiaTheme="minorEastAsia"/>
          <w:b/>
          <w:szCs w:val="21"/>
          <w:lang w:val="en-IE"/>
        </w:rPr>
        <w:t>图</w:t>
      </w:r>
      <w:r>
        <w:rPr>
          <w:rFonts w:eastAsiaTheme="minorEastAsia"/>
          <w:b/>
          <w:szCs w:val="21"/>
          <w:lang w:val="en-IE"/>
        </w:rPr>
        <w:t>5.1-</w:t>
      </w:r>
      <w:r>
        <w:rPr>
          <w:rFonts w:hint="eastAsia" w:eastAsiaTheme="minorEastAsia"/>
          <w:b/>
          <w:szCs w:val="21"/>
          <w:lang w:val="en-IE"/>
        </w:rPr>
        <w:t>4</w:t>
      </w:r>
      <w:r>
        <w:rPr>
          <w:rFonts w:eastAsiaTheme="minorEastAsia"/>
          <w:b/>
          <w:szCs w:val="21"/>
          <w:lang w:val="en-IE"/>
        </w:rPr>
        <w:t xml:space="preserve"> </w:t>
      </w:r>
      <w:r>
        <w:rPr>
          <w:rFonts w:hAnsiTheme="minorEastAsia" w:eastAsiaTheme="minorEastAsia"/>
          <w:b/>
          <w:szCs w:val="21"/>
          <w:lang w:val="en-IE"/>
        </w:rPr>
        <w:t>灌木林地的典型示意图</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）草地的复垦</w:t>
      </w:r>
    </w:p>
    <w:p>
      <w:pPr>
        <w:spacing w:line="360" w:lineRule="auto"/>
        <w:ind w:firstLine="480"/>
        <w:rPr>
          <w:rStyle w:val="65"/>
          <w:sz w:val="24"/>
        </w:rPr>
      </w:pPr>
      <w:r>
        <w:rPr>
          <w:rStyle w:val="65"/>
          <w:rFonts w:hint="eastAsia"/>
          <w:sz w:val="24"/>
        </w:rPr>
        <w:t>根据土地复垦方案，计划将草地复垦为人工牧草地。</w:t>
      </w:r>
    </w:p>
    <w:p>
      <w:pPr>
        <w:spacing w:line="360" w:lineRule="auto"/>
        <w:ind w:firstLine="480" w:firstLineChars="200"/>
        <w:rPr>
          <w:rStyle w:val="65"/>
          <w:sz w:val="24"/>
        </w:rPr>
      </w:pPr>
      <w:r>
        <w:rPr>
          <w:rStyle w:val="65"/>
          <w:rFonts w:hint="eastAsia"/>
          <w:sz w:val="24"/>
        </w:rPr>
        <w:t>复垦措施及工艺：遵循生态系统演替规律，选用适宜的先锋植物和后续植物。矿区草地覆盖率较低，复垦区土壤大部分为褐土，土质较粗，肥力低，只能选择耐旱和生长量小，但适应性强的草种。随着环境的改善，通过适当的人工干预加速正向生态演替过程。考虑本区特点，对草地采取撒播草种措施。根据矿区已损毁草地的治理经验，轻度、中度、重度影响的草地撒播草种数量按原有草地面积的</w:t>
      </w:r>
      <w:r>
        <w:rPr>
          <w:rStyle w:val="65"/>
          <w:sz w:val="24"/>
        </w:rPr>
        <w:t>60</w:t>
      </w:r>
      <w:r>
        <w:rPr>
          <w:rStyle w:val="65"/>
          <w:rFonts w:hint="eastAsia"/>
          <w:sz w:val="24"/>
        </w:rPr>
        <w:t>％、</w:t>
      </w:r>
      <w:r>
        <w:rPr>
          <w:rStyle w:val="65"/>
          <w:sz w:val="24"/>
        </w:rPr>
        <w:t>70</w:t>
      </w:r>
      <w:r>
        <w:rPr>
          <w:rStyle w:val="65"/>
          <w:rFonts w:hint="eastAsia"/>
          <w:sz w:val="24"/>
        </w:rPr>
        <w:t>％、</w:t>
      </w:r>
      <w:r>
        <w:rPr>
          <w:rStyle w:val="65"/>
          <w:sz w:val="24"/>
        </w:rPr>
        <w:t>85</w:t>
      </w:r>
      <w:r>
        <w:rPr>
          <w:rStyle w:val="65"/>
          <w:rFonts w:hint="eastAsia"/>
          <w:sz w:val="24"/>
        </w:rPr>
        <w:t>％补植，草种选用紫花苜蓿。根据当地农林业专家的意见，从当地干旱的气候条件出发，应该适当增加重复播种次数，以保证其成活率和覆盖度，本次计划复播次数为</w:t>
      </w:r>
      <w:r>
        <w:rPr>
          <w:rStyle w:val="65"/>
          <w:sz w:val="24"/>
        </w:rPr>
        <w:t>2</w:t>
      </w:r>
      <w:r>
        <w:rPr>
          <w:rStyle w:val="65"/>
          <w:rFonts w:hint="eastAsia"/>
          <w:sz w:val="24"/>
        </w:rPr>
        <w:t>次。</w:t>
      </w:r>
    </w:p>
    <w:p>
      <w:pPr>
        <w:spacing w:line="360" w:lineRule="auto"/>
        <w:ind w:firstLine="480" w:firstLineChars="200"/>
        <w:rPr>
          <w:rStyle w:val="65"/>
          <w:sz w:val="24"/>
        </w:rPr>
      </w:pPr>
      <w:r>
        <w:rPr>
          <w:rStyle w:val="65"/>
          <w:rFonts w:hint="eastAsia"/>
          <w:sz w:val="24"/>
        </w:rPr>
        <w:t>草地复垦撒播草种工程量见表</w:t>
      </w:r>
      <w:r>
        <w:rPr>
          <w:rStyle w:val="65"/>
          <w:sz w:val="24"/>
        </w:rPr>
        <w:t>5.1-1</w:t>
      </w:r>
      <w:r>
        <w:rPr>
          <w:rStyle w:val="65"/>
          <w:rFonts w:hint="eastAsia"/>
          <w:sz w:val="24"/>
        </w:rPr>
        <w:t>3。</w:t>
      </w:r>
    </w:p>
    <w:p>
      <w:pPr>
        <w:spacing w:line="360" w:lineRule="auto"/>
        <w:jc w:val="center"/>
        <w:rPr>
          <w:rStyle w:val="65"/>
          <w:b/>
          <w:szCs w:val="21"/>
        </w:rPr>
      </w:pPr>
    </w:p>
    <w:p>
      <w:pPr>
        <w:spacing w:line="360" w:lineRule="auto"/>
        <w:jc w:val="center"/>
        <w:rPr>
          <w:rStyle w:val="65"/>
          <w:b/>
          <w:szCs w:val="21"/>
        </w:rPr>
      </w:pPr>
      <w:r>
        <w:rPr>
          <w:rStyle w:val="65"/>
          <w:b/>
          <w:szCs w:val="21"/>
        </w:rPr>
        <w:t>5.1-1</w:t>
      </w:r>
      <w:r>
        <w:rPr>
          <w:rStyle w:val="65"/>
          <w:rFonts w:hint="eastAsia"/>
          <w:b/>
          <w:szCs w:val="21"/>
        </w:rPr>
        <w:t>3</w:t>
      </w:r>
      <w:r>
        <w:rPr>
          <w:rStyle w:val="65"/>
          <w:b/>
          <w:szCs w:val="21"/>
        </w:rPr>
        <w:t xml:space="preserve">   </w:t>
      </w:r>
      <w:r>
        <w:rPr>
          <w:rStyle w:val="65"/>
          <w:rFonts w:hint="eastAsia" w:hAnsi="宋体"/>
          <w:b/>
          <w:szCs w:val="21"/>
        </w:rPr>
        <w:t>预测沉陷区草地复垦工程量表</w:t>
      </w:r>
    </w:p>
    <w:tbl>
      <w:tblPr>
        <w:tblStyle w:val="24"/>
        <w:tblW w:w="502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885"/>
        <w:gridCol w:w="2484"/>
        <w:gridCol w:w="2011"/>
        <w:gridCol w:w="27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73" w:hRule="atLeast"/>
        </w:trPr>
        <w:tc>
          <w:tcPr>
            <w:tcW w:w="1031" w:type="pct"/>
            <w:tcBorders>
              <w:top w:val="single" w:color="auto" w:sz="12" w:space="0"/>
              <w:left w:val="single" w:color="auto" w:sz="12" w:space="0"/>
              <w:bottom w:val="single" w:color="auto" w:sz="6" w:space="0"/>
              <w:right w:val="single" w:color="auto" w:sz="6" w:space="0"/>
            </w:tcBorders>
            <w:noWrap/>
            <w:vAlign w:val="center"/>
          </w:tcPr>
          <w:p>
            <w:pPr>
              <w:widowControl/>
              <w:jc w:val="center"/>
              <w:rPr>
                <w:kern w:val="0"/>
                <w:szCs w:val="21"/>
              </w:rPr>
            </w:pPr>
            <w:r>
              <w:rPr>
                <w:rFonts w:hint="eastAsia"/>
                <w:kern w:val="0"/>
                <w:szCs w:val="21"/>
              </w:rPr>
              <w:t>破坏程度</w:t>
            </w:r>
          </w:p>
        </w:tc>
        <w:tc>
          <w:tcPr>
            <w:tcW w:w="1359" w:type="pct"/>
            <w:tcBorders>
              <w:top w:val="single" w:color="auto" w:sz="12"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kern w:val="0"/>
                <w:szCs w:val="21"/>
              </w:rPr>
              <w:t>草种种（补）植比例</w:t>
            </w:r>
          </w:p>
        </w:tc>
        <w:tc>
          <w:tcPr>
            <w:tcW w:w="1100" w:type="pct"/>
            <w:tcBorders>
              <w:top w:val="single" w:color="auto" w:sz="12"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kern w:val="0"/>
                <w:szCs w:val="21"/>
              </w:rPr>
              <w:t>复播次数</w:t>
            </w:r>
          </w:p>
        </w:tc>
        <w:tc>
          <w:tcPr>
            <w:tcW w:w="1510" w:type="pct"/>
            <w:tcBorders>
              <w:top w:val="single" w:color="auto" w:sz="12" w:space="0"/>
              <w:left w:val="single" w:color="auto" w:sz="6" w:space="0"/>
              <w:bottom w:val="single" w:color="auto" w:sz="6" w:space="0"/>
              <w:right w:val="single" w:color="auto" w:sz="12" w:space="0"/>
            </w:tcBorders>
            <w:noWrap/>
            <w:vAlign w:val="center"/>
          </w:tcPr>
          <w:p>
            <w:pPr>
              <w:widowControl/>
              <w:jc w:val="center"/>
              <w:rPr>
                <w:kern w:val="0"/>
                <w:szCs w:val="21"/>
              </w:rPr>
            </w:pPr>
            <w:r>
              <w:rPr>
                <w:rFonts w:hint="eastAsia"/>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5" w:hRule="atLeast"/>
        </w:trPr>
        <w:tc>
          <w:tcPr>
            <w:tcW w:w="1031" w:type="pct"/>
            <w:tcBorders>
              <w:top w:val="single" w:color="auto" w:sz="6" w:space="0"/>
              <w:left w:val="single" w:color="auto" w:sz="12" w:space="0"/>
              <w:bottom w:val="single" w:color="auto" w:sz="6" w:space="0"/>
              <w:right w:val="single" w:color="auto" w:sz="6" w:space="0"/>
            </w:tcBorders>
            <w:noWrap/>
            <w:vAlign w:val="center"/>
          </w:tcPr>
          <w:p>
            <w:pPr>
              <w:widowControl/>
              <w:jc w:val="center"/>
              <w:rPr>
                <w:kern w:val="0"/>
                <w:szCs w:val="21"/>
              </w:rPr>
            </w:pPr>
            <w:r>
              <w:rPr>
                <w:rFonts w:hint="eastAsia"/>
                <w:kern w:val="0"/>
                <w:szCs w:val="21"/>
              </w:rPr>
              <w:t>轻度</w:t>
            </w:r>
          </w:p>
        </w:tc>
        <w:tc>
          <w:tcPr>
            <w:tcW w:w="1359"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kern w:val="0"/>
                <w:szCs w:val="21"/>
              </w:rPr>
              <w:t>60%</w:t>
            </w:r>
          </w:p>
        </w:tc>
        <w:tc>
          <w:tcPr>
            <w:tcW w:w="1100"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kern w:val="0"/>
                <w:szCs w:val="21"/>
              </w:rPr>
              <w:t>2</w:t>
            </w:r>
          </w:p>
        </w:tc>
        <w:tc>
          <w:tcPr>
            <w:tcW w:w="1510" w:type="pct"/>
            <w:tcBorders>
              <w:top w:val="single" w:color="auto" w:sz="6" w:space="0"/>
              <w:left w:val="single" w:color="auto" w:sz="6" w:space="0"/>
              <w:bottom w:val="single" w:color="auto" w:sz="6" w:space="0"/>
              <w:right w:val="single" w:color="auto" w:sz="12" w:space="0"/>
            </w:tcBorders>
            <w:noWrap/>
            <w:vAlign w:val="center"/>
          </w:tcPr>
          <w:p>
            <w:pPr>
              <w:widowControl/>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73" w:hRule="atLeast"/>
        </w:trPr>
        <w:tc>
          <w:tcPr>
            <w:tcW w:w="1031" w:type="pct"/>
            <w:tcBorders>
              <w:top w:val="single" w:color="auto" w:sz="6" w:space="0"/>
              <w:left w:val="single" w:color="auto" w:sz="12" w:space="0"/>
              <w:bottom w:val="single" w:color="auto" w:sz="6" w:space="0"/>
              <w:right w:val="single" w:color="auto" w:sz="6" w:space="0"/>
            </w:tcBorders>
            <w:noWrap/>
            <w:vAlign w:val="center"/>
          </w:tcPr>
          <w:p>
            <w:pPr>
              <w:widowControl/>
              <w:jc w:val="center"/>
              <w:rPr>
                <w:kern w:val="0"/>
                <w:szCs w:val="21"/>
              </w:rPr>
            </w:pPr>
            <w:r>
              <w:rPr>
                <w:rFonts w:hint="eastAsia"/>
                <w:kern w:val="0"/>
                <w:szCs w:val="21"/>
              </w:rPr>
              <w:t>中度</w:t>
            </w:r>
          </w:p>
        </w:tc>
        <w:tc>
          <w:tcPr>
            <w:tcW w:w="1359"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kern w:val="0"/>
                <w:szCs w:val="21"/>
              </w:rPr>
              <w:t>70%</w:t>
            </w:r>
          </w:p>
        </w:tc>
        <w:tc>
          <w:tcPr>
            <w:tcW w:w="1100"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kern w:val="0"/>
                <w:szCs w:val="21"/>
              </w:rPr>
              <w:t>2</w:t>
            </w:r>
          </w:p>
        </w:tc>
        <w:tc>
          <w:tcPr>
            <w:tcW w:w="1510" w:type="pct"/>
            <w:tcBorders>
              <w:top w:val="single" w:color="auto" w:sz="6" w:space="0"/>
              <w:left w:val="single" w:color="auto" w:sz="6" w:space="0"/>
              <w:bottom w:val="single" w:color="auto" w:sz="6" w:space="0"/>
              <w:right w:val="single" w:color="auto" w:sz="12" w:space="0"/>
            </w:tcBorders>
            <w:noWrap/>
            <w:vAlign w:val="center"/>
          </w:tcPr>
          <w:p>
            <w:pPr>
              <w:widowControl/>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73" w:hRule="atLeast"/>
        </w:trPr>
        <w:tc>
          <w:tcPr>
            <w:tcW w:w="1031" w:type="pct"/>
            <w:tcBorders>
              <w:top w:val="single" w:color="auto" w:sz="6" w:space="0"/>
              <w:left w:val="single" w:color="auto" w:sz="12" w:space="0"/>
              <w:bottom w:val="single" w:color="auto" w:sz="12" w:space="0"/>
              <w:right w:val="single" w:color="auto" w:sz="6" w:space="0"/>
            </w:tcBorders>
            <w:noWrap/>
            <w:vAlign w:val="center"/>
          </w:tcPr>
          <w:p>
            <w:pPr>
              <w:widowControl/>
              <w:jc w:val="center"/>
              <w:rPr>
                <w:kern w:val="0"/>
                <w:szCs w:val="21"/>
              </w:rPr>
            </w:pPr>
            <w:r>
              <w:rPr>
                <w:rFonts w:hint="eastAsia"/>
                <w:kern w:val="0"/>
                <w:szCs w:val="21"/>
              </w:rPr>
              <w:t>重度</w:t>
            </w:r>
          </w:p>
        </w:tc>
        <w:tc>
          <w:tcPr>
            <w:tcW w:w="1359" w:type="pct"/>
            <w:tcBorders>
              <w:top w:val="single" w:color="auto" w:sz="6" w:space="0"/>
              <w:left w:val="single" w:color="auto" w:sz="6" w:space="0"/>
              <w:bottom w:val="single" w:color="auto" w:sz="12" w:space="0"/>
              <w:right w:val="single" w:color="auto" w:sz="6" w:space="0"/>
            </w:tcBorders>
            <w:noWrap/>
            <w:vAlign w:val="center"/>
          </w:tcPr>
          <w:p>
            <w:pPr>
              <w:widowControl/>
              <w:jc w:val="center"/>
              <w:rPr>
                <w:kern w:val="0"/>
                <w:szCs w:val="21"/>
              </w:rPr>
            </w:pPr>
            <w:r>
              <w:rPr>
                <w:kern w:val="0"/>
                <w:szCs w:val="21"/>
              </w:rPr>
              <w:t>85%</w:t>
            </w:r>
          </w:p>
        </w:tc>
        <w:tc>
          <w:tcPr>
            <w:tcW w:w="1100" w:type="pct"/>
            <w:tcBorders>
              <w:top w:val="single" w:color="auto" w:sz="6" w:space="0"/>
              <w:left w:val="single" w:color="auto" w:sz="6" w:space="0"/>
              <w:bottom w:val="single" w:color="auto" w:sz="12" w:space="0"/>
              <w:right w:val="single" w:color="auto" w:sz="6" w:space="0"/>
            </w:tcBorders>
            <w:noWrap/>
            <w:vAlign w:val="center"/>
          </w:tcPr>
          <w:p>
            <w:pPr>
              <w:widowControl/>
              <w:jc w:val="center"/>
              <w:rPr>
                <w:kern w:val="0"/>
                <w:szCs w:val="21"/>
              </w:rPr>
            </w:pPr>
            <w:r>
              <w:rPr>
                <w:kern w:val="0"/>
                <w:szCs w:val="21"/>
              </w:rPr>
              <w:t>2</w:t>
            </w:r>
          </w:p>
        </w:tc>
        <w:tc>
          <w:tcPr>
            <w:tcW w:w="1510" w:type="pct"/>
            <w:tcBorders>
              <w:top w:val="single" w:color="auto" w:sz="6" w:space="0"/>
              <w:left w:val="single" w:color="auto" w:sz="6" w:space="0"/>
              <w:bottom w:val="single" w:color="auto" w:sz="12" w:space="0"/>
              <w:right w:val="single" w:color="auto" w:sz="12" w:space="0"/>
            </w:tcBorders>
            <w:noWrap/>
            <w:vAlign w:val="center"/>
          </w:tcPr>
          <w:p>
            <w:pPr>
              <w:widowControl/>
              <w:jc w:val="center"/>
              <w:rPr>
                <w:kern w:val="0"/>
                <w:szCs w:val="21"/>
              </w:rPr>
            </w:pPr>
          </w:p>
        </w:tc>
      </w:tr>
    </w:tbl>
    <w:p>
      <w:pPr>
        <w:spacing w:line="360" w:lineRule="auto"/>
        <w:ind w:firstLine="480" w:firstLineChars="200"/>
        <w:rPr>
          <w:sz w:val="24"/>
        </w:rPr>
      </w:pPr>
      <w:r>
        <w:rPr>
          <w:rFonts w:hint="eastAsia"/>
          <w:sz w:val="24"/>
        </w:rPr>
        <w:t>为了避免对土壤有较大的扰动，对井田内受影响的草地进行自然恢复为主，人工恢复为辅的措施。严重地段封山育草，以减少水土流失。恢复步骤如下：</w:t>
      </w:r>
    </w:p>
    <w:p>
      <w:pPr>
        <w:spacing w:line="360" w:lineRule="auto"/>
        <w:ind w:firstLine="480" w:firstLineChars="200"/>
        <w:rPr>
          <w:sz w:val="24"/>
        </w:rPr>
      </w:pPr>
      <w:r>
        <w:rPr>
          <w:rFonts w:hint="eastAsia" w:ascii="宋体" w:hAnsi="宋体" w:cs="宋体"/>
          <w:sz w:val="24"/>
        </w:rPr>
        <w:t>①</w:t>
      </w:r>
      <w:r>
        <w:rPr>
          <w:rFonts w:hint="eastAsia"/>
          <w:sz w:val="24"/>
        </w:rPr>
        <w:t>裂缝处理是塌陷草地整理最主要的方式。裂缝处理措施如前所述；</w:t>
      </w:r>
    </w:p>
    <w:p>
      <w:pPr>
        <w:spacing w:line="360" w:lineRule="auto"/>
        <w:ind w:firstLine="480" w:firstLineChars="200"/>
        <w:rPr>
          <w:sz w:val="24"/>
        </w:rPr>
      </w:pPr>
      <w:r>
        <w:rPr>
          <w:rFonts w:hint="eastAsia" w:ascii="宋体" w:hAnsi="宋体" w:cs="宋体"/>
          <w:sz w:val="24"/>
        </w:rPr>
        <w:t>②</w:t>
      </w:r>
      <w:r>
        <w:rPr>
          <w:rFonts w:hint="eastAsia"/>
          <w:sz w:val="24"/>
        </w:rPr>
        <w:t>塌陷严重的草地，根据黄土层的厚度，选择不同的整地方式。黄土层较厚的缓坡地段，人工栽植侧柏、油松、苜蓿等植被；黄土层较薄的陡坡地段，可多修水平阶等。具体平整规格类同塌陷林地整理；</w:t>
      </w:r>
    </w:p>
    <w:p>
      <w:pPr>
        <w:spacing w:line="360" w:lineRule="auto"/>
        <w:ind w:firstLine="480" w:firstLineChars="200"/>
        <w:rPr>
          <w:sz w:val="24"/>
        </w:rPr>
      </w:pPr>
      <w:r>
        <w:rPr>
          <w:rFonts w:hint="eastAsia" w:ascii="宋体" w:hAnsi="宋体" w:cs="宋体"/>
          <w:sz w:val="24"/>
        </w:rPr>
        <w:t>③</w:t>
      </w:r>
      <w:r>
        <w:rPr>
          <w:rFonts w:hint="eastAsia"/>
          <w:sz w:val="24"/>
        </w:rPr>
        <w:t>土地整理后，选择优良草种，进行草地改良，发展畜牧业：</w:t>
      </w:r>
    </w:p>
    <w:p>
      <w:pPr>
        <w:spacing w:line="360" w:lineRule="auto"/>
        <w:ind w:firstLine="480" w:firstLineChars="200"/>
        <w:rPr>
          <w:sz w:val="24"/>
        </w:rPr>
      </w:pPr>
      <w:r>
        <w:rPr>
          <w:rFonts w:hint="eastAsia" w:ascii="宋体" w:hAnsi="宋体" w:cs="宋体"/>
          <w:sz w:val="24"/>
        </w:rPr>
        <w:t>④</w:t>
      </w:r>
      <w:r>
        <w:rPr>
          <w:rFonts w:hint="eastAsia"/>
          <w:sz w:val="24"/>
        </w:rPr>
        <w:t>严禁过度放牧，尤其在复垦恢复阶段；</w:t>
      </w:r>
    </w:p>
    <w:p>
      <w:pPr>
        <w:spacing w:line="360" w:lineRule="auto"/>
        <w:ind w:firstLine="480" w:firstLineChars="200"/>
        <w:rPr>
          <w:sz w:val="24"/>
        </w:rPr>
      </w:pPr>
      <w:r>
        <w:rPr>
          <w:rFonts w:hint="eastAsia" w:ascii="宋体" w:hAnsi="宋体" w:cs="宋体"/>
          <w:sz w:val="24"/>
        </w:rPr>
        <w:t>⑤</w:t>
      </w:r>
      <w:r>
        <w:rPr>
          <w:rFonts w:hint="eastAsia"/>
          <w:sz w:val="24"/>
        </w:rPr>
        <w:t>有条件的地块，可根据市场需求改变土地用途，或用作耕地；或用作经济林地；或用作退耕还林、还草之地。</w:t>
      </w:r>
    </w:p>
    <w:p>
      <w:pPr>
        <w:spacing w:line="360" w:lineRule="auto"/>
        <w:ind w:firstLine="480" w:firstLineChars="200"/>
        <w:rPr>
          <w:rFonts w:eastAsiaTheme="minorEastAsia"/>
          <w:sz w:val="24"/>
        </w:rPr>
      </w:pPr>
      <w:r>
        <w:rPr>
          <w:rFonts w:hAnsiTheme="minorEastAsia" w:eastAsiaTheme="minorEastAsia"/>
          <w:sz w:val="24"/>
        </w:rPr>
        <w:t>主要生态措施布局图见图</w:t>
      </w:r>
      <w:r>
        <w:rPr>
          <w:rFonts w:eastAsiaTheme="minorEastAsia"/>
          <w:sz w:val="24"/>
        </w:rPr>
        <w:t>5.1-</w:t>
      </w:r>
      <w:r>
        <w:rPr>
          <w:rFonts w:hint="eastAsia" w:eastAsiaTheme="minorEastAsia"/>
          <w:sz w:val="24"/>
        </w:rPr>
        <w:t>5</w:t>
      </w:r>
      <w:r>
        <w:rPr>
          <w:rFonts w:hAnsiTheme="minorEastAsia" w:eastAsiaTheme="minorEastAsia"/>
          <w:sz w:val="24"/>
        </w:rPr>
        <w:t>。</w:t>
      </w:r>
    </w:p>
    <w:p>
      <w:pPr>
        <w:spacing w:line="360" w:lineRule="auto"/>
        <w:outlineLvl w:val="2"/>
        <w:rPr>
          <w:rFonts w:eastAsiaTheme="minorEastAsia"/>
          <w:b/>
          <w:sz w:val="24"/>
        </w:rPr>
      </w:pPr>
      <w:r>
        <w:rPr>
          <w:rFonts w:eastAsiaTheme="minorEastAsia"/>
          <w:b/>
          <w:sz w:val="24"/>
        </w:rPr>
        <w:t>5.1.</w:t>
      </w:r>
      <w:r>
        <w:rPr>
          <w:rFonts w:hint="eastAsia" w:eastAsiaTheme="minorEastAsia"/>
          <w:b/>
          <w:sz w:val="24"/>
        </w:rPr>
        <w:t>6</w:t>
      </w:r>
      <w:r>
        <w:rPr>
          <w:rFonts w:hAnsiTheme="minorEastAsia" w:eastAsiaTheme="minorEastAsia"/>
          <w:b/>
          <w:sz w:val="24"/>
        </w:rPr>
        <w:t>生态管理与监控</w:t>
      </w:r>
    </w:p>
    <w:p>
      <w:pPr>
        <w:spacing w:line="360" w:lineRule="auto"/>
        <w:ind w:firstLine="480" w:firstLineChars="200"/>
        <w:rPr>
          <w:rFonts w:eastAsiaTheme="minorEastAsia"/>
          <w:sz w:val="24"/>
        </w:rPr>
      </w:pPr>
      <w:r>
        <w:rPr>
          <w:rFonts w:hAnsiTheme="minorEastAsia" w:eastAsiaTheme="minorEastAsia"/>
          <w:sz w:val="24"/>
        </w:rPr>
        <w:t>生态环境监管是政府环境保护机构依据国家和地方制订的有关自然资源和生态保护的法律、法规、条例、技术规范、标准等所进行的行政工作，应成为本项目日常工作的一个重要组成部分。</w:t>
      </w:r>
    </w:p>
    <w:p>
      <w:pPr>
        <w:spacing w:line="360" w:lineRule="auto"/>
        <w:ind w:firstLine="480" w:firstLineChars="200"/>
        <w:rPr>
          <w:rFonts w:eastAsiaTheme="minorEastAsia"/>
          <w:sz w:val="24"/>
        </w:rPr>
      </w:pPr>
      <w:r>
        <w:rPr>
          <w:rFonts w:hAnsiTheme="minorEastAsia" w:eastAsiaTheme="minorEastAsia"/>
          <w:sz w:val="24"/>
        </w:rPr>
        <w:t>在施工期和运行期要积极开展生态环境、生物多样性、以及重点保护对象全方位监测，要派专人实施，对自然水体要定期取样化验；对野生动植物要设计样线、样方，定期进行调查。实地考察调查要做到不缺失、不遗漏；在调查数据和观察结果的基础上，要定期进行分析对比，密切监测可能的生态系统变动情况，做出走势发展预测。对重点保护对象，要定点、定人全面控制，发出预报。有特殊情况时要及时上报。</w:t>
      </w:r>
    </w:p>
    <w:p>
      <w:pPr>
        <w:spacing w:line="360" w:lineRule="auto"/>
        <w:rPr>
          <w:rFonts w:eastAsiaTheme="minorEastAsia"/>
        </w:rPr>
      </w:pPr>
      <w:r>
        <w:rPr>
          <w:rFonts w:hAnsiTheme="minorEastAsia" w:eastAsiaTheme="minorEastAsia"/>
          <w:sz w:val="24"/>
        </w:rPr>
        <w:t>各监测项目的内容、监测频率等生态环境监测计划见表</w:t>
      </w:r>
      <w:r>
        <w:rPr>
          <w:rFonts w:eastAsiaTheme="minorEastAsia"/>
          <w:sz w:val="24"/>
        </w:rPr>
        <w:t>5.1-14</w:t>
      </w:r>
      <w:r>
        <w:rPr>
          <w:rFonts w:hAnsiTheme="minorEastAsia" w:eastAsiaTheme="minorEastAsia"/>
          <w:sz w:val="24"/>
        </w:rPr>
        <w:t>。</w:t>
      </w:r>
    </w:p>
    <w:p>
      <w:pPr>
        <w:spacing w:line="360" w:lineRule="auto"/>
        <w:jc w:val="center"/>
        <w:rPr>
          <w:rFonts w:hAnsiTheme="minorEastAsia" w:eastAsiaTheme="minorEastAsia"/>
          <w:b/>
          <w:szCs w:val="21"/>
        </w:rPr>
      </w:pPr>
    </w:p>
    <w:p>
      <w:pPr>
        <w:spacing w:line="360" w:lineRule="auto"/>
        <w:jc w:val="center"/>
        <w:rPr>
          <w:rFonts w:hAnsiTheme="minorEastAsia" w:eastAsiaTheme="minorEastAsia"/>
          <w:b/>
          <w:szCs w:val="21"/>
        </w:rPr>
      </w:pPr>
    </w:p>
    <w:p>
      <w:pPr>
        <w:spacing w:line="360" w:lineRule="auto"/>
        <w:jc w:val="center"/>
        <w:rPr>
          <w:rFonts w:hAnsiTheme="minorEastAsia" w:eastAsiaTheme="minorEastAsia"/>
          <w:b/>
          <w:szCs w:val="21"/>
        </w:rPr>
      </w:pPr>
    </w:p>
    <w:p>
      <w:pPr>
        <w:spacing w:line="360" w:lineRule="auto"/>
        <w:jc w:val="center"/>
        <w:rPr>
          <w:rFonts w:hAnsiTheme="minorEastAsia" w:eastAsiaTheme="minorEastAsia"/>
          <w:b/>
          <w:szCs w:val="21"/>
        </w:rPr>
      </w:pP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 xml:space="preserve">5.1-14    </w:t>
      </w:r>
      <w:r>
        <w:rPr>
          <w:rFonts w:hAnsiTheme="minorEastAsia" w:eastAsiaTheme="minorEastAsia"/>
          <w:b/>
          <w:szCs w:val="21"/>
        </w:rPr>
        <w:t>生态环境监控计划</w:t>
      </w:r>
    </w:p>
    <w:tbl>
      <w:tblPr>
        <w:tblStyle w:val="24"/>
        <w:tblW w:w="50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20"/>
        <w:gridCol w:w="1667"/>
        <w:gridCol w:w="70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8" w:hRule="atLeast"/>
          <w:tblHeader/>
          <w:jc w:val="center"/>
        </w:trPr>
        <w:tc>
          <w:tcPr>
            <w:tcW w:w="283" w:type="pct"/>
            <w:vAlign w:val="center"/>
          </w:tcPr>
          <w:p>
            <w:pPr>
              <w:spacing w:line="280" w:lineRule="exact"/>
              <w:jc w:val="center"/>
              <w:rPr>
                <w:rFonts w:eastAsiaTheme="minorEastAsia"/>
                <w:szCs w:val="21"/>
              </w:rPr>
            </w:pPr>
            <w:r>
              <w:rPr>
                <w:rFonts w:hAnsiTheme="minorEastAsia" w:eastAsiaTheme="minorEastAsia"/>
                <w:szCs w:val="21"/>
              </w:rPr>
              <w:t>序号</w:t>
            </w:r>
          </w:p>
        </w:tc>
        <w:tc>
          <w:tcPr>
            <w:tcW w:w="907" w:type="pct"/>
            <w:vAlign w:val="center"/>
          </w:tcPr>
          <w:p>
            <w:pPr>
              <w:spacing w:line="280" w:lineRule="exact"/>
              <w:jc w:val="center"/>
              <w:rPr>
                <w:rFonts w:eastAsiaTheme="minorEastAsia"/>
                <w:szCs w:val="21"/>
              </w:rPr>
            </w:pPr>
            <w:r>
              <w:rPr>
                <w:rFonts w:hAnsiTheme="minorEastAsia" w:eastAsiaTheme="minorEastAsia"/>
                <w:szCs w:val="21"/>
              </w:rPr>
              <w:t>监测项目</w:t>
            </w:r>
          </w:p>
        </w:tc>
        <w:tc>
          <w:tcPr>
            <w:tcW w:w="3810" w:type="pct"/>
            <w:vAlign w:val="center"/>
          </w:tcPr>
          <w:p>
            <w:pPr>
              <w:spacing w:line="280" w:lineRule="exact"/>
              <w:jc w:val="center"/>
              <w:rPr>
                <w:rFonts w:eastAsiaTheme="minorEastAsia"/>
                <w:szCs w:val="21"/>
              </w:rPr>
            </w:pPr>
            <w:r>
              <w:rPr>
                <w:rFonts w:hAnsiTheme="minorEastAsia" w:eastAsiaTheme="minorEastAsia"/>
                <w:szCs w:val="21"/>
              </w:rPr>
              <w:t>主要技术要求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39" w:hRule="atLeast"/>
          <w:tblHeader/>
          <w:jc w:val="center"/>
        </w:trPr>
        <w:tc>
          <w:tcPr>
            <w:tcW w:w="283" w:type="pct"/>
            <w:vAlign w:val="center"/>
          </w:tcPr>
          <w:p>
            <w:pPr>
              <w:spacing w:line="280" w:lineRule="exact"/>
              <w:jc w:val="center"/>
              <w:rPr>
                <w:rFonts w:eastAsiaTheme="minorEastAsia"/>
                <w:szCs w:val="21"/>
              </w:rPr>
            </w:pPr>
            <w:r>
              <w:rPr>
                <w:rFonts w:eastAsiaTheme="minorEastAsia"/>
                <w:szCs w:val="21"/>
              </w:rPr>
              <w:t>1</w:t>
            </w:r>
          </w:p>
        </w:tc>
        <w:tc>
          <w:tcPr>
            <w:tcW w:w="907" w:type="pct"/>
            <w:vAlign w:val="center"/>
          </w:tcPr>
          <w:p>
            <w:pPr>
              <w:spacing w:line="280" w:lineRule="exact"/>
              <w:jc w:val="center"/>
              <w:rPr>
                <w:rFonts w:eastAsiaTheme="minorEastAsia"/>
                <w:szCs w:val="21"/>
              </w:rPr>
            </w:pPr>
            <w:r>
              <w:rPr>
                <w:rFonts w:hAnsiTheme="minorEastAsia" w:eastAsiaTheme="minorEastAsia"/>
                <w:szCs w:val="21"/>
              </w:rPr>
              <w:t>土壤侵蚀</w:t>
            </w:r>
          </w:p>
        </w:tc>
        <w:tc>
          <w:tcPr>
            <w:tcW w:w="3810" w:type="pct"/>
            <w:vAlign w:val="center"/>
          </w:tcPr>
          <w:p>
            <w:pPr>
              <w:spacing w:line="280" w:lineRule="exact"/>
              <w:rPr>
                <w:rFonts w:eastAsiaTheme="minorEastAsia"/>
                <w:szCs w:val="21"/>
              </w:rPr>
            </w:pPr>
            <w:r>
              <w:rPr>
                <w:rFonts w:hAnsiTheme="minorEastAsia" w:eastAsiaTheme="minorEastAsia"/>
                <w:szCs w:val="21"/>
              </w:rPr>
              <w:t>监测项目：土壤侵蚀类型、侵蚀量。</w:t>
            </w:r>
          </w:p>
          <w:p>
            <w:pPr>
              <w:spacing w:line="280" w:lineRule="exact"/>
              <w:rPr>
                <w:rFonts w:eastAsiaTheme="minorEastAsia"/>
                <w:szCs w:val="21"/>
              </w:rPr>
            </w:pPr>
            <w:r>
              <w:rPr>
                <w:rFonts w:hAnsiTheme="minorEastAsia" w:eastAsiaTheme="minorEastAsia"/>
                <w:szCs w:val="21"/>
              </w:rPr>
              <w:t>监测频率：每年雨季</w:t>
            </w:r>
            <w:r>
              <w:rPr>
                <w:rFonts w:eastAsiaTheme="minorEastAsia"/>
                <w:szCs w:val="21"/>
              </w:rPr>
              <w:t>2</w:t>
            </w:r>
            <w:r>
              <w:rPr>
                <w:rFonts w:hAnsiTheme="minorEastAsia" w:eastAsiaTheme="minorEastAsia"/>
                <w:szCs w:val="21"/>
              </w:rPr>
              <w:t>次。</w:t>
            </w:r>
          </w:p>
          <w:p>
            <w:pPr>
              <w:spacing w:line="280" w:lineRule="exact"/>
              <w:rPr>
                <w:rFonts w:eastAsiaTheme="minorEastAsia"/>
                <w:szCs w:val="21"/>
              </w:rPr>
            </w:pPr>
            <w:r>
              <w:rPr>
                <w:rFonts w:hAnsiTheme="minorEastAsia" w:eastAsiaTheme="minorEastAsia"/>
                <w:szCs w:val="21"/>
              </w:rPr>
              <w:t>监测点：施工区域</w:t>
            </w:r>
            <w:r>
              <w:rPr>
                <w:rFonts w:eastAsiaTheme="minorEastAsia"/>
                <w:szCs w:val="21"/>
              </w:rPr>
              <w:t>3</w:t>
            </w:r>
            <w:r>
              <w:rPr>
                <w:rFonts w:hAnsiTheme="minorEastAsia" w:eastAsiaTheme="minorEastAsia"/>
                <w:szCs w:val="21"/>
              </w:rPr>
              <w:t>～</w:t>
            </w:r>
            <w:r>
              <w:rPr>
                <w:rFonts w:eastAsiaTheme="minorEastAsia"/>
                <w:szCs w:val="21"/>
              </w:rPr>
              <w:t>5</w:t>
            </w:r>
            <w:r>
              <w:rPr>
                <w:rFonts w:hAnsiTheme="minorEastAsia" w:eastAsiaTheme="minorEastAsia"/>
                <w:szCs w:val="21"/>
              </w:rPr>
              <w:t>个代表点。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6" w:hRule="atLeast"/>
          <w:tblHeader/>
          <w:jc w:val="center"/>
        </w:trPr>
        <w:tc>
          <w:tcPr>
            <w:tcW w:w="283" w:type="pct"/>
            <w:vAlign w:val="center"/>
          </w:tcPr>
          <w:p>
            <w:pPr>
              <w:spacing w:line="280" w:lineRule="exact"/>
              <w:jc w:val="center"/>
              <w:rPr>
                <w:rFonts w:eastAsiaTheme="minorEastAsia"/>
                <w:szCs w:val="21"/>
              </w:rPr>
            </w:pPr>
            <w:r>
              <w:rPr>
                <w:rFonts w:eastAsiaTheme="minorEastAsia"/>
                <w:szCs w:val="21"/>
              </w:rPr>
              <w:t>2</w:t>
            </w:r>
          </w:p>
        </w:tc>
        <w:tc>
          <w:tcPr>
            <w:tcW w:w="907" w:type="pct"/>
            <w:vAlign w:val="center"/>
          </w:tcPr>
          <w:p>
            <w:pPr>
              <w:spacing w:line="280" w:lineRule="exact"/>
              <w:jc w:val="center"/>
              <w:rPr>
                <w:rFonts w:eastAsiaTheme="minorEastAsia"/>
                <w:szCs w:val="21"/>
              </w:rPr>
            </w:pPr>
            <w:r>
              <w:rPr>
                <w:rFonts w:hAnsiTheme="minorEastAsia" w:eastAsiaTheme="minorEastAsia"/>
                <w:szCs w:val="21"/>
              </w:rPr>
              <w:t>植</w:t>
            </w:r>
            <w:r>
              <w:rPr>
                <w:rFonts w:eastAsiaTheme="minorEastAsia"/>
                <w:szCs w:val="21"/>
              </w:rPr>
              <w:t xml:space="preserve">  </w:t>
            </w:r>
            <w:r>
              <w:rPr>
                <w:rFonts w:hAnsiTheme="minorEastAsia" w:eastAsiaTheme="minorEastAsia"/>
                <w:szCs w:val="21"/>
              </w:rPr>
              <w:t>被</w:t>
            </w:r>
          </w:p>
        </w:tc>
        <w:tc>
          <w:tcPr>
            <w:tcW w:w="3810" w:type="pct"/>
            <w:vAlign w:val="center"/>
          </w:tcPr>
          <w:p>
            <w:pPr>
              <w:spacing w:line="280" w:lineRule="exact"/>
              <w:rPr>
                <w:rFonts w:eastAsiaTheme="minorEastAsia"/>
                <w:szCs w:val="21"/>
              </w:rPr>
            </w:pPr>
            <w:r>
              <w:rPr>
                <w:rFonts w:hAnsiTheme="minorEastAsia" w:eastAsiaTheme="minorEastAsia"/>
                <w:szCs w:val="21"/>
              </w:rPr>
              <w:t>监测项目：植被类型，草群高度、盖度、生物量。</w:t>
            </w:r>
          </w:p>
          <w:p>
            <w:pPr>
              <w:spacing w:line="280" w:lineRule="exact"/>
              <w:rPr>
                <w:rFonts w:eastAsiaTheme="minorEastAsia"/>
                <w:szCs w:val="21"/>
              </w:rPr>
            </w:pPr>
            <w:r>
              <w:rPr>
                <w:rFonts w:hAnsiTheme="minorEastAsia" w:eastAsiaTheme="minorEastAsia"/>
                <w:szCs w:val="21"/>
              </w:rPr>
              <w:t>监测频率：每年成长期</w:t>
            </w:r>
            <w:r>
              <w:rPr>
                <w:rFonts w:eastAsiaTheme="minorEastAsia"/>
                <w:szCs w:val="21"/>
              </w:rPr>
              <w:t>2</w:t>
            </w:r>
            <w:r>
              <w:rPr>
                <w:rFonts w:hAnsiTheme="minorEastAsia" w:eastAsiaTheme="minorEastAsia"/>
                <w:szCs w:val="21"/>
              </w:rPr>
              <w:t>次。</w:t>
            </w:r>
          </w:p>
          <w:p>
            <w:pPr>
              <w:spacing w:line="280" w:lineRule="exact"/>
              <w:rPr>
                <w:rFonts w:eastAsiaTheme="minorEastAsia"/>
                <w:szCs w:val="21"/>
              </w:rPr>
            </w:pPr>
            <w:r>
              <w:rPr>
                <w:rFonts w:hAnsiTheme="minorEastAsia" w:eastAsiaTheme="minorEastAsia"/>
                <w:szCs w:val="21"/>
              </w:rPr>
              <w:t>监测点：项目实施区</w:t>
            </w:r>
            <w:r>
              <w:rPr>
                <w:rFonts w:eastAsiaTheme="minorEastAsia"/>
                <w:szCs w:val="21"/>
              </w:rPr>
              <w:t>3</w:t>
            </w:r>
            <w:r>
              <w:rPr>
                <w:rFonts w:hAnsiTheme="minorEastAsia" w:eastAsiaTheme="minorEastAsia"/>
                <w:szCs w:val="21"/>
              </w:rPr>
              <w:t>～</w:t>
            </w:r>
            <w:r>
              <w:rPr>
                <w:rFonts w:eastAsiaTheme="minorEastAsia"/>
                <w:szCs w:val="21"/>
              </w:rPr>
              <w:t>5</w:t>
            </w:r>
            <w:r>
              <w:rPr>
                <w:rFonts w:hAnsiTheme="minorEastAsia" w:eastAsiaTheme="minorEastAsia"/>
                <w:szCs w:val="21"/>
              </w:rPr>
              <w:t>个点。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97" w:hRule="atLeast"/>
          <w:tblHeader/>
          <w:jc w:val="center"/>
        </w:trPr>
        <w:tc>
          <w:tcPr>
            <w:tcW w:w="283" w:type="pct"/>
            <w:vAlign w:val="center"/>
          </w:tcPr>
          <w:p>
            <w:pPr>
              <w:spacing w:line="280" w:lineRule="exact"/>
              <w:jc w:val="center"/>
              <w:rPr>
                <w:rFonts w:eastAsiaTheme="minorEastAsia"/>
                <w:szCs w:val="21"/>
              </w:rPr>
            </w:pPr>
            <w:r>
              <w:rPr>
                <w:rFonts w:eastAsiaTheme="minorEastAsia"/>
                <w:szCs w:val="21"/>
              </w:rPr>
              <w:t>3</w:t>
            </w:r>
          </w:p>
        </w:tc>
        <w:tc>
          <w:tcPr>
            <w:tcW w:w="907" w:type="pct"/>
            <w:vAlign w:val="center"/>
          </w:tcPr>
          <w:p>
            <w:pPr>
              <w:spacing w:line="280" w:lineRule="exact"/>
              <w:jc w:val="center"/>
              <w:rPr>
                <w:rFonts w:eastAsiaTheme="minorEastAsia"/>
                <w:szCs w:val="21"/>
              </w:rPr>
            </w:pPr>
            <w:r>
              <w:rPr>
                <w:rFonts w:hAnsiTheme="minorEastAsia" w:eastAsiaTheme="minorEastAsia"/>
                <w:szCs w:val="21"/>
              </w:rPr>
              <w:t>土壤环境</w:t>
            </w:r>
          </w:p>
        </w:tc>
        <w:tc>
          <w:tcPr>
            <w:tcW w:w="3810" w:type="pct"/>
            <w:vAlign w:val="center"/>
          </w:tcPr>
          <w:p>
            <w:pPr>
              <w:spacing w:line="280" w:lineRule="exact"/>
              <w:rPr>
                <w:rFonts w:eastAsiaTheme="minorEastAsia"/>
                <w:szCs w:val="21"/>
              </w:rPr>
            </w:pPr>
            <w:r>
              <w:rPr>
                <w:rFonts w:hAnsiTheme="minorEastAsia" w:eastAsiaTheme="minorEastAsia"/>
                <w:szCs w:val="21"/>
              </w:rPr>
              <w:t>监测项目：</w:t>
            </w:r>
            <w:r>
              <w:rPr>
                <w:rFonts w:eastAsiaTheme="minorEastAsia"/>
                <w:szCs w:val="21"/>
              </w:rPr>
              <w:t>pH</w:t>
            </w:r>
            <w:r>
              <w:rPr>
                <w:rFonts w:hAnsiTheme="minorEastAsia" w:eastAsiaTheme="minorEastAsia"/>
                <w:szCs w:val="21"/>
              </w:rPr>
              <w:t>、有机质、全</w:t>
            </w:r>
            <w:r>
              <w:rPr>
                <w:rFonts w:eastAsiaTheme="minorEastAsia"/>
                <w:szCs w:val="21"/>
              </w:rPr>
              <w:t>N</w:t>
            </w:r>
            <w:r>
              <w:rPr>
                <w:rFonts w:hAnsiTheme="minorEastAsia" w:eastAsiaTheme="minorEastAsia"/>
                <w:szCs w:val="21"/>
              </w:rPr>
              <w:t>、有效</w:t>
            </w:r>
            <w:r>
              <w:rPr>
                <w:rFonts w:eastAsiaTheme="minorEastAsia"/>
                <w:szCs w:val="21"/>
              </w:rPr>
              <w:t>P</w:t>
            </w:r>
            <w:r>
              <w:rPr>
                <w:rFonts w:hAnsiTheme="minorEastAsia" w:eastAsiaTheme="minorEastAsia"/>
                <w:szCs w:val="21"/>
              </w:rPr>
              <w:t>、</w:t>
            </w:r>
            <w:r>
              <w:rPr>
                <w:rFonts w:eastAsiaTheme="minorEastAsia"/>
                <w:szCs w:val="21"/>
              </w:rPr>
              <w:t>K</w:t>
            </w:r>
            <w:r>
              <w:rPr>
                <w:rFonts w:hAnsiTheme="minorEastAsia" w:eastAsiaTheme="minorEastAsia"/>
                <w:szCs w:val="21"/>
              </w:rPr>
              <w:t>。</w:t>
            </w:r>
          </w:p>
          <w:p>
            <w:pPr>
              <w:spacing w:line="280" w:lineRule="exact"/>
              <w:rPr>
                <w:rFonts w:eastAsiaTheme="minorEastAsia"/>
                <w:szCs w:val="21"/>
              </w:rPr>
            </w:pPr>
            <w:r>
              <w:rPr>
                <w:rFonts w:hAnsiTheme="minorEastAsia" w:eastAsiaTheme="minorEastAsia"/>
                <w:szCs w:val="21"/>
              </w:rPr>
              <w:t>监测频率：每年</w:t>
            </w:r>
            <w:r>
              <w:rPr>
                <w:rFonts w:eastAsiaTheme="minorEastAsia"/>
                <w:szCs w:val="21"/>
              </w:rPr>
              <w:t>2</w:t>
            </w:r>
            <w:r>
              <w:rPr>
                <w:rFonts w:hAnsiTheme="minorEastAsia" w:eastAsiaTheme="minorEastAsia"/>
                <w:szCs w:val="21"/>
              </w:rPr>
              <w:t>次。</w:t>
            </w:r>
          </w:p>
          <w:p>
            <w:pPr>
              <w:spacing w:line="280" w:lineRule="exact"/>
              <w:rPr>
                <w:rFonts w:eastAsiaTheme="minorEastAsia"/>
                <w:szCs w:val="21"/>
              </w:rPr>
            </w:pPr>
            <w:r>
              <w:rPr>
                <w:rFonts w:hAnsiTheme="minorEastAsia" w:eastAsiaTheme="minorEastAsia"/>
                <w:szCs w:val="21"/>
              </w:rPr>
              <w:t>监测点：项目实施区</w:t>
            </w:r>
            <w:r>
              <w:rPr>
                <w:rFonts w:eastAsiaTheme="minorEastAsia"/>
                <w:szCs w:val="21"/>
              </w:rPr>
              <w:t>3</w:t>
            </w:r>
            <w:r>
              <w:rPr>
                <w:rFonts w:hAnsiTheme="minorEastAsia" w:eastAsiaTheme="minorEastAsia"/>
                <w:szCs w:val="21"/>
              </w:rPr>
              <w:t>～</w:t>
            </w:r>
            <w:r>
              <w:rPr>
                <w:rFonts w:eastAsiaTheme="minorEastAsia"/>
                <w:szCs w:val="21"/>
              </w:rPr>
              <w:t>5</w:t>
            </w:r>
            <w:r>
              <w:rPr>
                <w:rFonts w:hAnsiTheme="minorEastAsia" w:eastAsiaTheme="minorEastAsia"/>
                <w:szCs w:val="21"/>
              </w:rPr>
              <w:t>个点。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14" w:hRule="atLeast"/>
          <w:tblHeader/>
          <w:jc w:val="center"/>
        </w:trPr>
        <w:tc>
          <w:tcPr>
            <w:tcW w:w="283" w:type="pct"/>
            <w:vAlign w:val="center"/>
          </w:tcPr>
          <w:p>
            <w:pPr>
              <w:spacing w:line="280" w:lineRule="exact"/>
              <w:jc w:val="center"/>
              <w:rPr>
                <w:rFonts w:eastAsiaTheme="minorEastAsia"/>
                <w:szCs w:val="21"/>
              </w:rPr>
            </w:pPr>
            <w:r>
              <w:rPr>
                <w:rFonts w:eastAsiaTheme="minorEastAsia"/>
                <w:szCs w:val="21"/>
              </w:rPr>
              <w:t>4</w:t>
            </w:r>
          </w:p>
        </w:tc>
        <w:tc>
          <w:tcPr>
            <w:tcW w:w="907" w:type="pct"/>
            <w:vAlign w:val="center"/>
          </w:tcPr>
          <w:p>
            <w:pPr>
              <w:spacing w:line="280" w:lineRule="exact"/>
              <w:jc w:val="center"/>
              <w:rPr>
                <w:rFonts w:eastAsiaTheme="minorEastAsia"/>
                <w:szCs w:val="21"/>
              </w:rPr>
            </w:pPr>
            <w:r>
              <w:rPr>
                <w:rFonts w:hAnsiTheme="minorEastAsia" w:eastAsiaTheme="minorEastAsia"/>
                <w:szCs w:val="21"/>
              </w:rPr>
              <w:t>地表沉陷</w:t>
            </w:r>
          </w:p>
        </w:tc>
        <w:tc>
          <w:tcPr>
            <w:tcW w:w="3810" w:type="pct"/>
            <w:vAlign w:val="center"/>
          </w:tcPr>
          <w:p>
            <w:pPr>
              <w:spacing w:line="280" w:lineRule="exact"/>
              <w:rPr>
                <w:rFonts w:eastAsiaTheme="minorEastAsia"/>
                <w:szCs w:val="21"/>
              </w:rPr>
            </w:pPr>
            <w:r>
              <w:rPr>
                <w:rFonts w:hAnsiTheme="minorEastAsia" w:eastAsiaTheme="minorEastAsia"/>
                <w:szCs w:val="21"/>
              </w:rPr>
              <w:t>监测点位：采空区</w:t>
            </w:r>
          </w:p>
          <w:p>
            <w:pPr>
              <w:spacing w:line="280" w:lineRule="exact"/>
              <w:rPr>
                <w:rFonts w:eastAsiaTheme="minorEastAsia"/>
                <w:szCs w:val="21"/>
              </w:rPr>
            </w:pPr>
            <w:r>
              <w:rPr>
                <w:rFonts w:hAnsiTheme="minorEastAsia" w:eastAsiaTheme="minorEastAsia"/>
                <w:szCs w:val="21"/>
              </w:rPr>
              <w:t>监测项目：降雨量、径流量、输沙量、植物生长情况、防治措施实施效果、地表沉陷观测。</w:t>
            </w:r>
          </w:p>
          <w:p>
            <w:pPr>
              <w:spacing w:line="280" w:lineRule="exact"/>
              <w:rPr>
                <w:rFonts w:eastAsiaTheme="minorEastAsia"/>
                <w:szCs w:val="21"/>
              </w:rPr>
            </w:pPr>
            <w:r>
              <w:rPr>
                <w:rFonts w:hAnsiTheme="minorEastAsia" w:eastAsiaTheme="minorEastAsia"/>
                <w:szCs w:val="21"/>
              </w:rPr>
              <w:t>监测频率：建设期：定期监测，每三个月监测一次，雨季</w:t>
            </w:r>
            <w:r>
              <w:rPr>
                <w:rFonts w:eastAsiaTheme="minorEastAsia"/>
                <w:szCs w:val="21"/>
              </w:rPr>
              <w:t>7</w:t>
            </w:r>
            <w:r>
              <w:rPr>
                <w:rFonts w:hAnsiTheme="minorEastAsia" w:eastAsiaTheme="minorEastAsia"/>
                <w:szCs w:val="21"/>
              </w:rPr>
              <w:t>、</w:t>
            </w:r>
            <w:r>
              <w:rPr>
                <w:rFonts w:eastAsiaTheme="minorEastAsia"/>
                <w:szCs w:val="21"/>
              </w:rPr>
              <w:t>8</w:t>
            </w:r>
            <w:r>
              <w:rPr>
                <w:rFonts w:hAnsiTheme="minorEastAsia" w:eastAsiaTheme="minorEastAsia"/>
                <w:szCs w:val="21"/>
              </w:rPr>
              <w:t>、</w:t>
            </w:r>
            <w:r>
              <w:rPr>
                <w:rFonts w:eastAsiaTheme="minorEastAsia"/>
                <w:szCs w:val="21"/>
              </w:rPr>
              <w:t>9</w:t>
            </w:r>
            <w:r>
              <w:rPr>
                <w:rFonts w:hAnsiTheme="minorEastAsia" w:eastAsiaTheme="minorEastAsia"/>
                <w:szCs w:val="21"/>
              </w:rPr>
              <w:t>三个月中，每次降雨过程加测一次。</w:t>
            </w:r>
          </w:p>
        </w:tc>
      </w:tr>
      <w:bookmarkEnd w:id="239"/>
      <w:bookmarkEnd w:id="240"/>
      <w:bookmarkEnd w:id="241"/>
    </w:tbl>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44" w:name="_Toc71551941"/>
      <w:r>
        <w:rPr>
          <w:rFonts w:ascii="Times New Roman" w:hAnsi="Times New Roman" w:eastAsiaTheme="minorEastAsia"/>
          <w:kern w:val="44"/>
          <w:sz w:val="30"/>
          <w:szCs w:val="30"/>
        </w:rPr>
        <w:t>5.2</w:t>
      </w:r>
      <w:r>
        <w:rPr>
          <w:rFonts w:ascii="Times New Roman" w:hAnsiTheme="minorEastAsia" w:eastAsiaTheme="minorEastAsia"/>
          <w:kern w:val="44"/>
          <w:sz w:val="30"/>
          <w:szCs w:val="30"/>
        </w:rPr>
        <w:t>大气环境影响评价</w:t>
      </w:r>
      <w:bookmarkEnd w:id="244"/>
    </w:p>
    <w:p>
      <w:pPr>
        <w:spacing w:line="360" w:lineRule="auto"/>
        <w:outlineLvl w:val="2"/>
        <w:rPr>
          <w:rFonts w:eastAsiaTheme="minorEastAsia"/>
          <w:b/>
          <w:sz w:val="24"/>
        </w:rPr>
      </w:pPr>
      <w:r>
        <w:rPr>
          <w:rFonts w:eastAsiaTheme="minorEastAsia"/>
          <w:b/>
          <w:sz w:val="24"/>
        </w:rPr>
        <w:t>5.2.1</w:t>
      </w:r>
      <w:r>
        <w:rPr>
          <w:rFonts w:hAnsiTheme="minorEastAsia" w:eastAsiaTheme="minorEastAsia"/>
          <w:b/>
          <w:sz w:val="24"/>
        </w:rPr>
        <w:t>建设期大气环境影响及防治措施</w:t>
      </w:r>
    </w:p>
    <w:p>
      <w:pPr>
        <w:spacing w:line="360" w:lineRule="auto"/>
        <w:rPr>
          <w:rFonts w:eastAsiaTheme="minorEastAsia"/>
          <w:b/>
          <w:sz w:val="24"/>
        </w:rPr>
      </w:pPr>
      <w:r>
        <w:rPr>
          <w:rFonts w:eastAsiaTheme="minorEastAsia"/>
          <w:b/>
          <w:sz w:val="24"/>
        </w:rPr>
        <w:t>5.2.1.1</w:t>
      </w:r>
      <w:r>
        <w:rPr>
          <w:rFonts w:hAnsiTheme="minorEastAsia" w:eastAsiaTheme="minorEastAsia"/>
          <w:b/>
          <w:sz w:val="24"/>
        </w:rPr>
        <w:t>项目建设施工期大气污染影响分析</w:t>
      </w:r>
    </w:p>
    <w:p>
      <w:pPr>
        <w:spacing w:line="360" w:lineRule="auto"/>
        <w:ind w:firstLine="480" w:firstLineChars="200"/>
        <w:rPr>
          <w:rFonts w:eastAsiaTheme="minorEastAsia"/>
          <w:sz w:val="24"/>
        </w:rPr>
      </w:pPr>
      <w:r>
        <w:rPr>
          <w:rFonts w:hint="eastAsia" w:eastAsiaTheme="minorEastAsia"/>
          <w:sz w:val="24"/>
        </w:rPr>
        <w:t>施工期主要大气环境影响为扬尘对周围大气环境的影响，扬尘主要为施工扬尘和道路运输扬尘。施工扬尘主要来自于施工现场物料装卸、堆放等过程；道路运输扬尘来自于施工机械和车辆的往来过程。扬尘排放方式为间歇不定量排放，其影响范围为施工现场附近和运输道路沿途。其次还有施工机械所产生的废气和运输车辆所产生的废气。</w:t>
      </w:r>
    </w:p>
    <w:p>
      <w:pPr>
        <w:spacing w:line="360" w:lineRule="auto"/>
        <w:ind w:firstLine="480" w:firstLineChars="200"/>
        <w:rPr>
          <w:rFonts w:eastAsiaTheme="minorEastAsia"/>
          <w:sz w:val="24"/>
        </w:rPr>
      </w:pPr>
      <w:r>
        <w:rPr>
          <w:rFonts w:hint="eastAsia" w:eastAsiaTheme="minorEastAsia"/>
          <w:sz w:val="24"/>
        </w:rPr>
        <w:t>（</w:t>
      </w:r>
      <w:r>
        <w:rPr>
          <w:rFonts w:eastAsiaTheme="minorEastAsia"/>
          <w:sz w:val="24"/>
        </w:rPr>
        <w:t>1</w:t>
      </w:r>
      <w:r>
        <w:rPr>
          <w:rFonts w:hint="eastAsia" w:eastAsiaTheme="minorEastAsia"/>
          <w:sz w:val="24"/>
        </w:rPr>
        <w:t>）施工期扬尘污染源</w:t>
      </w:r>
    </w:p>
    <w:p>
      <w:pPr>
        <w:spacing w:line="360" w:lineRule="auto"/>
        <w:ind w:firstLine="480" w:firstLineChars="200"/>
        <w:rPr>
          <w:rFonts w:eastAsiaTheme="minorEastAsia"/>
          <w:sz w:val="24"/>
        </w:rPr>
      </w:pPr>
      <w:r>
        <w:rPr>
          <w:rFonts w:eastAsiaTheme="minorEastAsia"/>
          <w:sz w:val="24"/>
        </w:rPr>
        <w:t>a.</w:t>
      </w:r>
      <w:r>
        <w:rPr>
          <w:rFonts w:hint="eastAsia" w:eastAsiaTheme="minorEastAsia"/>
          <w:sz w:val="24"/>
        </w:rPr>
        <w:t>施工场地的地表和植被遭到破坏，遇风可产生扬尘；</w:t>
      </w:r>
    </w:p>
    <w:p>
      <w:pPr>
        <w:spacing w:line="360" w:lineRule="auto"/>
        <w:ind w:firstLine="480" w:firstLineChars="200"/>
        <w:rPr>
          <w:rFonts w:eastAsiaTheme="minorEastAsia"/>
          <w:sz w:val="24"/>
        </w:rPr>
      </w:pPr>
      <w:r>
        <w:rPr>
          <w:rFonts w:eastAsiaTheme="minorEastAsia"/>
          <w:sz w:val="24"/>
        </w:rPr>
        <w:t>b.</w:t>
      </w:r>
      <w:r>
        <w:rPr>
          <w:rFonts w:hint="eastAsia" w:eastAsiaTheme="minorEastAsia"/>
          <w:sz w:val="24"/>
        </w:rPr>
        <w:t>堆放易产尘的建筑材料，如无围挡，随意堆放，会产生二次扬尘；</w:t>
      </w:r>
    </w:p>
    <w:p>
      <w:pPr>
        <w:spacing w:line="360" w:lineRule="auto"/>
        <w:ind w:firstLine="480" w:firstLineChars="200"/>
        <w:rPr>
          <w:rFonts w:eastAsiaTheme="minorEastAsia"/>
          <w:sz w:val="24"/>
        </w:rPr>
      </w:pPr>
      <w:r>
        <w:rPr>
          <w:rFonts w:eastAsiaTheme="minorEastAsia"/>
          <w:sz w:val="24"/>
        </w:rPr>
        <w:t>c.</w:t>
      </w:r>
      <w:r>
        <w:rPr>
          <w:rFonts w:hint="eastAsia" w:eastAsiaTheme="minorEastAsia"/>
          <w:sz w:val="24"/>
        </w:rPr>
        <w:t>建筑材料的运输，如不采取有效的遮盖措施，会产生扬尘；</w:t>
      </w:r>
    </w:p>
    <w:p>
      <w:pPr>
        <w:spacing w:line="360" w:lineRule="auto"/>
        <w:ind w:firstLine="480" w:firstLineChars="200"/>
        <w:rPr>
          <w:rFonts w:eastAsiaTheme="minorEastAsia"/>
          <w:sz w:val="24"/>
        </w:rPr>
      </w:pPr>
      <w:r>
        <w:rPr>
          <w:rFonts w:eastAsiaTheme="minorEastAsia"/>
          <w:sz w:val="24"/>
        </w:rPr>
        <w:t>d.</w:t>
      </w:r>
      <w:r>
        <w:rPr>
          <w:rFonts w:hint="eastAsia" w:eastAsiaTheme="minorEastAsia"/>
          <w:sz w:val="24"/>
        </w:rPr>
        <w:t>施工垃圾的清理会产生扬尘；</w:t>
      </w:r>
    </w:p>
    <w:p>
      <w:pPr>
        <w:spacing w:line="360" w:lineRule="auto"/>
        <w:ind w:firstLine="480" w:firstLineChars="200"/>
        <w:rPr>
          <w:rFonts w:eastAsiaTheme="minorEastAsia"/>
          <w:sz w:val="24"/>
        </w:rPr>
      </w:pPr>
      <w:r>
        <w:rPr>
          <w:rFonts w:eastAsiaTheme="minorEastAsia"/>
          <w:sz w:val="24"/>
        </w:rPr>
        <w:t>e.</w:t>
      </w:r>
      <w:r>
        <w:rPr>
          <w:rFonts w:hint="eastAsia" w:eastAsiaTheme="minorEastAsia"/>
          <w:sz w:val="24"/>
        </w:rPr>
        <w:t>施工及装卸车辆造成的扬尘。</w:t>
      </w:r>
    </w:p>
    <w:p>
      <w:pPr>
        <w:spacing w:line="360" w:lineRule="auto"/>
        <w:ind w:firstLine="480" w:firstLineChars="200"/>
        <w:rPr>
          <w:rFonts w:eastAsiaTheme="minorEastAsia"/>
          <w:sz w:val="24"/>
        </w:rPr>
      </w:pPr>
      <w:r>
        <w:rPr>
          <w:rFonts w:hint="eastAsia" w:eastAsiaTheme="minorEastAsia"/>
          <w:sz w:val="24"/>
        </w:rPr>
        <w:t>（</w:t>
      </w:r>
      <w:r>
        <w:rPr>
          <w:rFonts w:eastAsiaTheme="minorEastAsia"/>
          <w:sz w:val="24"/>
        </w:rPr>
        <w:t>2</w:t>
      </w:r>
      <w:r>
        <w:rPr>
          <w:rFonts w:hint="eastAsia" w:eastAsiaTheme="minorEastAsia"/>
          <w:sz w:val="24"/>
        </w:rPr>
        <w:t>）汽车运输扬尘环境影响分析</w:t>
      </w:r>
    </w:p>
    <w:p>
      <w:pPr>
        <w:spacing w:line="360" w:lineRule="auto"/>
        <w:ind w:firstLine="480" w:firstLineChars="200"/>
        <w:rPr>
          <w:rFonts w:eastAsiaTheme="minorEastAsia"/>
          <w:sz w:val="24"/>
        </w:rPr>
      </w:pPr>
      <w:r>
        <w:rPr>
          <w:rFonts w:hint="eastAsia" w:eastAsiaTheme="minorEastAsia"/>
          <w:sz w:val="24"/>
        </w:rPr>
        <w:t>据有关文献资料介绍，车辆行驶产生的扬尘占总扬尘的</w:t>
      </w:r>
      <w:r>
        <w:rPr>
          <w:rFonts w:eastAsiaTheme="minorEastAsia"/>
          <w:sz w:val="24"/>
        </w:rPr>
        <w:t>60%</w:t>
      </w:r>
      <w:r>
        <w:rPr>
          <w:rFonts w:hint="eastAsia" w:eastAsiaTheme="minorEastAsia"/>
          <w:sz w:val="24"/>
        </w:rPr>
        <w:t>以上。在同样路面清洁程度条件下，车速越快，扬尘量越大；而在同样车速情况下，路面越脏，则扬尘量越大。</w:t>
      </w:r>
    </w:p>
    <w:p>
      <w:pPr>
        <w:spacing w:line="360" w:lineRule="auto"/>
        <w:ind w:firstLine="480" w:firstLineChars="200"/>
        <w:rPr>
          <w:rFonts w:eastAsiaTheme="minorEastAsia"/>
          <w:sz w:val="24"/>
        </w:rPr>
      </w:pPr>
      <w:r>
        <w:rPr>
          <w:rFonts w:hint="eastAsia" w:eastAsiaTheme="minorEastAsia"/>
          <w:sz w:val="24"/>
        </w:rPr>
        <w:t>施工期大气污染物排放量较小，这些大气污染源会随着施工期的结束而消失。</w:t>
      </w:r>
    </w:p>
    <w:p>
      <w:pPr>
        <w:spacing w:line="360" w:lineRule="auto"/>
        <w:ind w:firstLine="480" w:firstLineChars="200"/>
        <w:rPr>
          <w:rFonts w:eastAsiaTheme="minorEastAsia"/>
          <w:sz w:val="24"/>
        </w:rPr>
      </w:pPr>
      <w:r>
        <w:rPr>
          <w:rFonts w:hint="eastAsia" w:eastAsiaTheme="minorEastAsia"/>
          <w:sz w:val="24"/>
        </w:rPr>
        <w:t>（</w:t>
      </w:r>
      <w:r>
        <w:rPr>
          <w:rFonts w:eastAsiaTheme="minorEastAsia"/>
          <w:sz w:val="24"/>
        </w:rPr>
        <w:t>3</w:t>
      </w:r>
      <w:r>
        <w:rPr>
          <w:rFonts w:hint="eastAsia" w:eastAsiaTheme="minorEastAsia"/>
          <w:sz w:val="24"/>
        </w:rPr>
        <w:t>）废气</w:t>
      </w:r>
    </w:p>
    <w:p>
      <w:pPr>
        <w:spacing w:line="360" w:lineRule="auto"/>
        <w:ind w:firstLine="480" w:firstLineChars="200"/>
        <w:rPr>
          <w:rFonts w:eastAsiaTheme="minorEastAsia"/>
          <w:sz w:val="24"/>
        </w:rPr>
      </w:pPr>
      <w:r>
        <w:rPr>
          <w:rFonts w:hint="eastAsia" w:eastAsiaTheme="minorEastAsia"/>
          <w:sz w:val="24"/>
        </w:rPr>
        <w:t>运输车辆和施工机械施工时产生废气，包括</w:t>
      </w:r>
      <w:r>
        <w:rPr>
          <w:rFonts w:eastAsiaTheme="minorEastAsia"/>
          <w:sz w:val="24"/>
        </w:rPr>
        <w:t>CO</w:t>
      </w:r>
      <w:r>
        <w:rPr>
          <w:rFonts w:hint="eastAsia" w:eastAsiaTheme="minorEastAsia"/>
          <w:sz w:val="24"/>
        </w:rPr>
        <w:t>、</w:t>
      </w:r>
      <w:r>
        <w:rPr>
          <w:rFonts w:eastAsiaTheme="minorEastAsia"/>
          <w:sz w:val="24"/>
        </w:rPr>
        <w:t>NOx</w:t>
      </w:r>
      <w:r>
        <w:rPr>
          <w:rFonts w:hint="eastAsia" w:eastAsiaTheme="minorEastAsia"/>
          <w:sz w:val="24"/>
        </w:rPr>
        <w:t>、</w:t>
      </w:r>
      <w:r>
        <w:rPr>
          <w:rFonts w:eastAsiaTheme="minorEastAsia"/>
          <w:sz w:val="24"/>
        </w:rPr>
        <w:t>HC</w:t>
      </w:r>
      <w:r>
        <w:rPr>
          <w:rFonts w:hint="eastAsia" w:eastAsiaTheme="minorEastAsia"/>
          <w:sz w:val="24"/>
        </w:rPr>
        <w:t>等，但废气产生量不大，属无组织排放。</w:t>
      </w:r>
    </w:p>
    <w:p>
      <w:pPr>
        <w:spacing w:line="360" w:lineRule="auto"/>
        <w:ind w:firstLine="480" w:firstLineChars="200"/>
        <w:rPr>
          <w:rFonts w:eastAsiaTheme="minorEastAsia"/>
          <w:sz w:val="24"/>
        </w:rPr>
      </w:pPr>
      <w:r>
        <w:rPr>
          <w:rFonts w:hint="eastAsia" w:eastAsiaTheme="minorEastAsia"/>
          <w:sz w:val="24"/>
        </w:rPr>
        <w:t>上述施工过程中产生的废气、粉尘（扬尘）如不加强管理，则可能对周围大气环境造成污染，其中以粉尘的危害较为严重。</w:t>
      </w:r>
    </w:p>
    <w:p>
      <w:pPr>
        <w:spacing w:line="360" w:lineRule="auto"/>
        <w:rPr>
          <w:rFonts w:eastAsiaTheme="minorEastAsia"/>
          <w:b/>
          <w:sz w:val="24"/>
        </w:rPr>
      </w:pPr>
      <w:r>
        <w:rPr>
          <w:rFonts w:eastAsiaTheme="minorEastAsia"/>
          <w:b/>
          <w:sz w:val="24"/>
        </w:rPr>
        <w:t>5.2.1.2</w:t>
      </w:r>
      <w:r>
        <w:rPr>
          <w:rFonts w:hAnsiTheme="minorEastAsia" w:eastAsiaTheme="minorEastAsia"/>
          <w:b/>
          <w:sz w:val="24"/>
        </w:rPr>
        <w:t>项目建设施工期大气污染防治措施</w:t>
      </w:r>
    </w:p>
    <w:p>
      <w:pPr>
        <w:pStyle w:val="148"/>
        <w:adjustRightInd/>
        <w:snapToGrid/>
        <w:spacing w:line="360" w:lineRule="auto"/>
        <w:ind w:firstLine="496" w:firstLineChars="200"/>
        <w:rPr>
          <w:rFonts w:eastAsia="宋体"/>
          <w:b w:val="0"/>
          <w:bCs/>
        </w:rPr>
      </w:pPr>
      <w:r>
        <w:rPr>
          <w:rFonts w:hint="eastAsia" w:eastAsia="宋体"/>
          <w:b w:val="0"/>
          <w:bCs/>
        </w:rPr>
        <w:t>根据《山西省人民政府关于印发山西省打赢蓝天保卫战三年行动计划的通知》晋政发【</w:t>
      </w:r>
      <w:r>
        <w:rPr>
          <w:rFonts w:eastAsia="宋体"/>
          <w:b w:val="0"/>
          <w:bCs/>
        </w:rPr>
        <w:t>2018</w:t>
      </w:r>
      <w:r>
        <w:rPr>
          <w:rFonts w:hint="eastAsia" w:eastAsia="宋体"/>
          <w:b w:val="0"/>
          <w:bCs/>
        </w:rPr>
        <w:t>】</w:t>
      </w:r>
      <w:r>
        <w:rPr>
          <w:rFonts w:eastAsia="宋体"/>
          <w:b w:val="0"/>
          <w:bCs/>
        </w:rPr>
        <w:t>30</w:t>
      </w:r>
      <w:r>
        <w:rPr>
          <w:rFonts w:hint="eastAsia" w:eastAsia="宋体"/>
          <w:b w:val="0"/>
          <w:bCs/>
        </w:rPr>
        <w:t>号、《防治城市扬尘污染技术规范》（</w:t>
      </w:r>
      <w:r>
        <w:rPr>
          <w:rFonts w:eastAsia="宋体"/>
          <w:b w:val="0"/>
          <w:bCs/>
        </w:rPr>
        <w:t>HJ/T393-2007</w:t>
      </w:r>
      <w:r>
        <w:rPr>
          <w:rFonts w:hint="eastAsia" w:eastAsia="宋体"/>
          <w:b w:val="0"/>
          <w:bCs/>
        </w:rPr>
        <w:t>）、晋环发【</w:t>
      </w:r>
      <w:r>
        <w:rPr>
          <w:rFonts w:eastAsia="宋体"/>
          <w:b w:val="0"/>
          <w:bCs/>
        </w:rPr>
        <w:t>2010</w:t>
      </w:r>
      <w:r>
        <w:rPr>
          <w:rFonts w:hint="eastAsia" w:eastAsia="宋体"/>
          <w:b w:val="0"/>
          <w:bCs/>
        </w:rPr>
        <w:t>】</w:t>
      </w:r>
      <w:r>
        <w:rPr>
          <w:rFonts w:eastAsia="宋体"/>
          <w:b w:val="0"/>
          <w:bCs/>
        </w:rPr>
        <w:t>136</w:t>
      </w:r>
      <w:r>
        <w:rPr>
          <w:rFonts w:hint="eastAsia" w:eastAsia="宋体"/>
          <w:b w:val="0"/>
          <w:bCs/>
        </w:rPr>
        <w:t>号《关于加强建筑施工扬尘排污费核定征收工作的通知》及山西省关于施工场所扬尘防治的有关要求，本报告要求建设单位采取以下防治措施：</w:t>
      </w:r>
    </w:p>
    <w:p>
      <w:pPr>
        <w:pStyle w:val="148"/>
        <w:adjustRightInd/>
        <w:snapToGrid/>
        <w:spacing w:line="360" w:lineRule="auto"/>
        <w:ind w:firstLine="496" w:firstLineChars="200"/>
        <w:rPr>
          <w:rFonts w:eastAsia="宋体"/>
          <w:b w:val="0"/>
          <w:bCs/>
        </w:rPr>
      </w:pPr>
      <w:r>
        <w:rPr>
          <w:rFonts w:hint="eastAsia" w:eastAsia="宋体"/>
          <w:b w:val="0"/>
          <w:bCs/>
        </w:rPr>
        <w:t>遇到干燥易起尘的土方工程作业时，应辅以洒水抑尘，尽量缩短起尘操作时间。遇到四级及四级以上大风天气，应停止土方作业，同时作业处覆以防尘网；</w:t>
      </w:r>
    </w:p>
    <w:p>
      <w:pPr>
        <w:pStyle w:val="148"/>
        <w:adjustRightInd/>
        <w:snapToGrid/>
        <w:spacing w:line="360" w:lineRule="auto"/>
        <w:ind w:firstLine="496" w:firstLineChars="200"/>
        <w:rPr>
          <w:rFonts w:eastAsia="宋体"/>
          <w:b w:val="0"/>
          <w:bCs/>
        </w:rPr>
      </w:pPr>
      <w:r>
        <w:rPr>
          <w:rFonts w:hint="eastAsia" w:eastAsia="宋体"/>
          <w:b w:val="0"/>
          <w:bCs/>
        </w:rPr>
        <w:t>施工过程中易产生扬尘的建筑材料，应采取设置专门的堆蓬，并使用防尘布对原料进行苫盖；</w:t>
      </w:r>
    </w:p>
    <w:p>
      <w:pPr>
        <w:pStyle w:val="148"/>
        <w:adjustRightInd/>
        <w:snapToGrid/>
        <w:spacing w:line="360" w:lineRule="auto"/>
        <w:ind w:firstLine="496" w:firstLineChars="200"/>
        <w:rPr>
          <w:rFonts w:eastAsia="宋体"/>
          <w:b w:val="0"/>
          <w:bCs/>
        </w:rPr>
      </w:pPr>
      <w:r>
        <w:rPr>
          <w:rFonts w:hint="eastAsia" w:eastAsia="宋体"/>
          <w:b w:val="0"/>
          <w:bCs/>
        </w:rPr>
        <w:t>运输车辆应尽可能采用密闭车斗，并保证物料不遗撒外漏，以减少沿路抛洒和减少运输的二次扬尘产生，并且运输车辆进入厂区应低速行驶，减轻对周围环境的影响；</w:t>
      </w:r>
    </w:p>
    <w:p>
      <w:pPr>
        <w:pStyle w:val="148"/>
        <w:adjustRightInd/>
        <w:snapToGrid/>
        <w:spacing w:line="360" w:lineRule="auto"/>
        <w:ind w:firstLine="496" w:firstLineChars="200"/>
        <w:rPr>
          <w:rFonts w:eastAsia="宋体"/>
          <w:b w:val="0"/>
          <w:bCs/>
        </w:rPr>
      </w:pPr>
      <w:r>
        <w:rPr>
          <w:rFonts w:hint="eastAsia" w:eastAsia="宋体"/>
          <w:b w:val="0"/>
          <w:bCs/>
        </w:rPr>
        <w:t>施工期间应在物料、渣土、垃圾运输车辆的出口内侧设置洗车平台，洗车平台四周应设置防溢座、沉砂池及其它防治设施，收集洗车、施工以及降水过程中产生的废水和泥浆，工地出口处铺装道路上可见粘带泥土不得超过</w:t>
      </w:r>
      <w:r>
        <w:rPr>
          <w:rFonts w:eastAsia="宋体"/>
          <w:b w:val="0"/>
          <w:bCs/>
        </w:rPr>
        <w:t>10</w:t>
      </w:r>
      <w:r>
        <w:rPr>
          <w:rFonts w:hint="eastAsia" w:eastAsia="宋体"/>
          <w:b w:val="0"/>
          <w:bCs/>
        </w:rPr>
        <w:t>米，并应及时清扫冲洗；</w:t>
      </w:r>
    </w:p>
    <w:p>
      <w:pPr>
        <w:pStyle w:val="148"/>
        <w:adjustRightInd/>
        <w:snapToGrid/>
        <w:spacing w:line="360" w:lineRule="auto"/>
        <w:ind w:firstLine="496" w:firstLineChars="200"/>
        <w:rPr>
          <w:rFonts w:eastAsia="宋体"/>
          <w:b w:val="0"/>
          <w:bCs/>
        </w:rPr>
      </w:pPr>
      <w:r>
        <w:rPr>
          <w:rFonts w:hint="eastAsia" w:eastAsia="宋体"/>
          <w:b w:val="0"/>
          <w:bCs/>
        </w:rPr>
        <w:t>施工期间，施工工地内及工地出口至铺装道路间的车行道路，应采取铺设钢板或水泥混凝土，并保持路面清洁，防止机动车扬尘。</w:t>
      </w:r>
    </w:p>
    <w:p>
      <w:pPr>
        <w:pStyle w:val="148"/>
        <w:adjustRightInd/>
        <w:snapToGrid/>
        <w:spacing w:line="360" w:lineRule="auto"/>
        <w:ind w:firstLine="496" w:firstLineChars="200"/>
        <w:rPr>
          <w:rFonts w:eastAsia="宋体"/>
          <w:b w:val="0"/>
          <w:bCs/>
        </w:rPr>
      </w:pPr>
      <w:r>
        <w:rPr>
          <w:rFonts w:hint="eastAsia" w:eastAsia="宋体"/>
          <w:b w:val="0"/>
          <w:bCs/>
        </w:rPr>
        <w:t>同时做到工地周边围挡</w:t>
      </w:r>
      <w:r>
        <w:rPr>
          <w:rFonts w:eastAsia="宋体"/>
          <w:b w:val="0"/>
          <w:bCs/>
        </w:rPr>
        <w:t>100%</w:t>
      </w:r>
      <w:r>
        <w:rPr>
          <w:rFonts w:hint="eastAsia" w:eastAsia="宋体"/>
          <w:b w:val="0"/>
          <w:bCs/>
        </w:rPr>
        <w:t>、施工便道硬化</w:t>
      </w:r>
      <w:r>
        <w:rPr>
          <w:rFonts w:eastAsia="宋体"/>
          <w:b w:val="0"/>
          <w:bCs/>
        </w:rPr>
        <w:t>100%</w:t>
      </w:r>
      <w:r>
        <w:rPr>
          <w:rFonts w:hint="eastAsia" w:eastAsia="宋体"/>
          <w:b w:val="0"/>
          <w:bCs/>
        </w:rPr>
        <w:t>、裸土及物料堆放覆盖</w:t>
      </w:r>
      <w:r>
        <w:rPr>
          <w:rFonts w:eastAsia="宋体"/>
          <w:b w:val="0"/>
          <w:bCs/>
        </w:rPr>
        <w:t>100%</w:t>
      </w:r>
      <w:r>
        <w:rPr>
          <w:rFonts w:hint="eastAsia" w:eastAsia="宋体"/>
          <w:b w:val="0"/>
          <w:bCs/>
        </w:rPr>
        <w:t>、土石方开挖和拆除工程湿法作业</w:t>
      </w:r>
      <w:r>
        <w:rPr>
          <w:rFonts w:eastAsia="宋体"/>
          <w:b w:val="0"/>
          <w:bCs/>
        </w:rPr>
        <w:t>100%</w:t>
      </w:r>
      <w:r>
        <w:rPr>
          <w:rFonts w:hint="eastAsia" w:eastAsia="宋体"/>
          <w:b w:val="0"/>
          <w:bCs/>
        </w:rPr>
        <w:t>、出入车辆清洗</w:t>
      </w:r>
      <w:r>
        <w:rPr>
          <w:rFonts w:eastAsia="宋体"/>
          <w:b w:val="0"/>
          <w:bCs/>
        </w:rPr>
        <w:t>100%</w:t>
      </w:r>
      <w:r>
        <w:rPr>
          <w:rFonts w:hint="eastAsia" w:eastAsia="宋体"/>
          <w:b w:val="0"/>
          <w:bCs/>
        </w:rPr>
        <w:t>、渣土车辆密闭运输</w:t>
      </w:r>
      <w:r>
        <w:rPr>
          <w:rFonts w:eastAsia="宋体"/>
          <w:b w:val="0"/>
          <w:bCs/>
        </w:rPr>
        <w:t>100%</w:t>
      </w:r>
      <w:r>
        <w:rPr>
          <w:rFonts w:hint="eastAsia" w:eastAsia="宋体"/>
          <w:b w:val="0"/>
          <w:bCs/>
        </w:rPr>
        <w:t>等</w:t>
      </w:r>
      <w:r>
        <w:rPr>
          <w:rFonts w:eastAsia="宋体"/>
          <w:b w:val="0"/>
          <w:bCs/>
        </w:rPr>
        <w:t>“</w:t>
      </w:r>
      <w:r>
        <w:rPr>
          <w:rFonts w:hint="eastAsia" w:eastAsia="宋体"/>
          <w:b w:val="0"/>
          <w:bCs/>
        </w:rPr>
        <w:t>六个</w:t>
      </w:r>
      <w:r>
        <w:rPr>
          <w:rFonts w:eastAsia="宋体"/>
          <w:b w:val="0"/>
          <w:bCs/>
        </w:rPr>
        <w:t>100%”</w:t>
      </w:r>
      <w:r>
        <w:rPr>
          <w:rFonts w:hint="eastAsia" w:eastAsia="宋体"/>
          <w:b w:val="0"/>
          <w:bCs/>
        </w:rPr>
        <w:t>的防治措施。</w:t>
      </w:r>
    </w:p>
    <w:p>
      <w:pPr>
        <w:pStyle w:val="148"/>
        <w:adjustRightInd/>
        <w:snapToGrid/>
        <w:spacing w:line="360" w:lineRule="auto"/>
        <w:ind w:firstLine="496" w:firstLineChars="200"/>
        <w:rPr>
          <w:rFonts w:eastAsia="宋体"/>
          <w:b w:val="0"/>
          <w:bCs/>
        </w:rPr>
      </w:pPr>
      <w:r>
        <w:rPr>
          <w:rFonts w:hint="eastAsia" w:eastAsia="宋体"/>
          <w:b w:val="0"/>
          <w:bCs/>
        </w:rPr>
        <w:t>在采取以上防治措施以后，施工期产生的大气污染物对敏感目标产生的影响会降至最小。</w:t>
      </w:r>
    </w:p>
    <w:p>
      <w:pPr>
        <w:spacing w:line="360" w:lineRule="auto"/>
        <w:outlineLvl w:val="2"/>
        <w:rPr>
          <w:rFonts w:eastAsiaTheme="minorEastAsia"/>
          <w:b/>
          <w:sz w:val="24"/>
        </w:rPr>
      </w:pPr>
      <w:r>
        <w:rPr>
          <w:rFonts w:eastAsiaTheme="minorEastAsia"/>
          <w:b/>
          <w:sz w:val="24"/>
        </w:rPr>
        <w:t>5.2.2</w:t>
      </w:r>
      <w:r>
        <w:rPr>
          <w:rFonts w:hAnsiTheme="minorEastAsia" w:eastAsiaTheme="minorEastAsia"/>
          <w:b/>
          <w:sz w:val="24"/>
        </w:rPr>
        <w:t>运营期大气环境影响分析</w:t>
      </w:r>
    </w:p>
    <w:p>
      <w:pPr>
        <w:spacing w:line="360" w:lineRule="auto"/>
        <w:outlineLvl w:val="3"/>
        <w:rPr>
          <w:rFonts w:eastAsiaTheme="minorEastAsia"/>
          <w:b/>
          <w:sz w:val="24"/>
        </w:rPr>
      </w:pPr>
      <w:r>
        <w:rPr>
          <w:rFonts w:eastAsiaTheme="minorEastAsia"/>
          <w:b/>
          <w:sz w:val="24"/>
        </w:rPr>
        <w:t>5.2.2.1</w:t>
      </w:r>
      <w:r>
        <w:rPr>
          <w:rFonts w:hAnsiTheme="minorEastAsia" w:eastAsiaTheme="minorEastAsia"/>
          <w:b/>
          <w:sz w:val="24"/>
        </w:rPr>
        <w:t>环境空气影响预测</w:t>
      </w:r>
    </w:p>
    <w:p>
      <w:pPr>
        <w:autoSpaceDE w:val="0"/>
        <w:autoSpaceDN w:val="0"/>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、评价因子</w:t>
      </w:r>
    </w:p>
    <w:p>
      <w:pPr>
        <w:autoSpaceDE w:val="0"/>
        <w:autoSpaceDN w:val="0"/>
        <w:spacing w:line="360" w:lineRule="auto"/>
        <w:ind w:firstLine="480" w:firstLineChars="200"/>
        <w:rPr>
          <w:rFonts w:eastAsiaTheme="minorEastAsia"/>
          <w:sz w:val="24"/>
        </w:rPr>
      </w:pPr>
      <w:r>
        <w:rPr>
          <w:rFonts w:hAnsiTheme="minorEastAsia" w:eastAsiaTheme="minorEastAsia"/>
          <w:sz w:val="24"/>
        </w:rPr>
        <w:t>根据工程分析和环境影响识别结果，以《环境影响评价技术导则</w:t>
      </w:r>
      <w:r>
        <w:rPr>
          <w:rFonts w:eastAsiaTheme="minorEastAsia"/>
          <w:sz w:val="24"/>
        </w:rPr>
        <w:t xml:space="preserve"> </w:t>
      </w:r>
      <w:r>
        <w:rPr>
          <w:rFonts w:hAnsiTheme="minorEastAsia" w:eastAsiaTheme="minorEastAsia"/>
          <w:sz w:val="24"/>
        </w:rPr>
        <w:t>大气环境》（</w:t>
      </w:r>
      <w:r>
        <w:rPr>
          <w:rFonts w:eastAsiaTheme="minorEastAsia"/>
          <w:sz w:val="24"/>
        </w:rPr>
        <w:t>HJ2.2-2018</w:t>
      </w:r>
      <w:r>
        <w:rPr>
          <w:rFonts w:hAnsiTheme="minorEastAsia" w:eastAsiaTheme="minorEastAsia"/>
          <w:sz w:val="24"/>
        </w:rPr>
        <w:t>）为依据，选取</w:t>
      </w:r>
      <w:r>
        <w:rPr>
          <w:rFonts w:hint="eastAsia" w:eastAsiaTheme="minorEastAsia"/>
          <w:sz w:val="24"/>
        </w:rPr>
        <w:t>PM</w:t>
      </w:r>
      <w:r>
        <w:rPr>
          <w:rFonts w:hint="eastAsia" w:eastAsiaTheme="minorEastAsia"/>
          <w:sz w:val="24"/>
          <w:vertAlign w:val="subscript"/>
        </w:rPr>
        <w:t>10</w:t>
      </w:r>
      <w:r>
        <w:rPr>
          <w:rFonts w:hint="eastAsia" w:eastAsiaTheme="minorEastAsia"/>
          <w:sz w:val="24"/>
        </w:rPr>
        <w:t>、SO</w:t>
      </w:r>
      <w:r>
        <w:rPr>
          <w:rFonts w:hint="eastAsia" w:eastAsiaTheme="minorEastAsia"/>
          <w:sz w:val="24"/>
          <w:vertAlign w:val="subscript"/>
        </w:rPr>
        <w:t>2</w:t>
      </w:r>
      <w:r>
        <w:rPr>
          <w:rFonts w:hint="eastAsia" w:eastAsiaTheme="minorEastAsia"/>
          <w:sz w:val="24"/>
        </w:rPr>
        <w:t>、NO</w:t>
      </w:r>
      <w:r>
        <w:rPr>
          <w:rFonts w:hint="eastAsia" w:eastAsiaTheme="minorEastAsia"/>
          <w:sz w:val="24"/>
          <w:vertAlign w:val="subscript"/>
        </w:rPr>
        <w:t>X</w:t>
      </w:r>
      <w:r>
        <w:rPr>
          <w:rFonts w:hAnsiTheme="minorEastAsia" w:eastAsiaTheme="minorEastAsia"/>
          <w:sz w:val="24"/>
        </w:rPr>
        <w:t>作为大气评价因子</w:t>
      </w:r>
      <w:r>
        <w:rPr>
          <w:rFonts w:hint="eastAsia" w:hAnsiTheme="minorEastAsia" w:eastAsiaTheme="minorEastAsia"/>
          <w:sz w:val="24"/>
        </w:rPr>
        <w:t>和</w:t>
      </w:r>
      <w:r>
        <w:rPr>
          <w:rFonts w:hAnsiTheme="minorEastAsia" w:eastAsiaTheme="minorEastAsia"/>
          <w:sz w:val="24"/>
        </w:rPr>
        <w:t>预测因子，用于确定评价工作等级。</w:t>
      </w:r>
    </w:p>
    <w:p>
      <w:pPr>
        <w:spacing w:line="360" w:lineRule="auto"/>
        <w:ind w:firstLine="480" w:firstLineChars="200"/>
        <w:rPr>
          <w:rFonts w:eastAsiaTheme="minorEastAsia"/>
          <w:bCs/>
          <w:sz w:val="24"/>
        </w:rPr>
      </w:pPr>
      <w:r>
        <w:rPr>
          <w:rFonts w:eastAsiaTheme="minorEastAsia"/>
          <w:bCs/>
          <w:sz w:val="24"/>
        </w:rPr>
        <w:t>2</w:t>
      </w:r>
      <w:r>
        <w:rPr>
          <w:rFonts w:hAnsiTheme="minorEastAsia" w:eastAsiaTheme="minorEastAsia"/>
          <w:bCs/>
          <w:sz w:val="24"/>
        </w:rPr>
        <w:t>、评价标准</w:t>
      </w:r>
    </w:p>
    <w:p>
      <w:pPr>
        <w:spacing w:line="360" w:lineRule="auto"/>
        <w:ind w:firstLine="480" w:firstLineChars="200"/>
        <w:rPr>
          <w:rFonts w:eastAsiaTheme="minorEastAsia"/>
          <w:bCs/>
          <w:sz w:val="24"/>
        </w:rPr>
      </w:pPr>
      <w:r>
        <w:rPr>
          <w:rFonts w:hAnsiTheme="minorEastAsia" w:eastAsiaTheme="minorEastAsia"/>
          <w:bCs/>
          <w:sz w:val="24"/>
        </w:rPr>
        <w:t>评价区域环境空气质量执行《环境空气质量标准》（</w:t>
      </w:r>
      <w:r>
        <w:rPr>
          <w:rFonts w:eastAsiaTheme="minorEastAsia"/>
          <w:bCs/>
          <w:sz w:val="24"/>
        </w:rPr>
        <w:t>GB3095-2012</w:t>
      </w:r>
      <w:r>
        <w:rPr>
          <w:rFonts w:hAnsiTheme="minorEastAsia" w:eastAsiaTheme="minorEastAsia"/>
          <w:bCs/>
          <w:sz w:val="24"/>
        </w:rPr>
        <w:t>）二级标准。具体标准值见表</w:t>
      </w:r>
      <w:r>
        <w:rPr>
          <w:rFonts w:eastAsiaTheme="minorEastAsia"/>
          <w:bCs/>
          <w:sz w:val="24"/>
        </w:rPr>
        <w:t>5.2-1</w:t>
      </w:r>
      <w:r>
        <w:rPr>
          <w:rFonts w:hAnsiTheme="minorEastAsia" w:eastAsiaTheme="minorEastAsia"/>
          <w:bCs/>
          <w:sz w:val="24"/>
        </w:rPr>
        <w:t>。</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 xml:space="preserve">5.2-1  </w:t>
      </w:r>
      <w:r>
        <w:rPr>
          <w:rFonts w:hAnsiTheme="minorEastAsia" w:eastAsiaTheme="minorEastAsia"/>
          <w:b/>
          <w:szCs w:val="21"/>
        </w:rPr>
        <w:t>环境空气质量标准</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727"/>
        <w:gridCol w:w="1929"/>
        <w:gridCol w:w="1556"/>
        <w:gridCol w:w="1243"/>
        <w:gridCol w:w="26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66" w:hRule="atLeast"/>
          <w:jc w:val="center"/>
        </w:trPr>
        <w:tc>
          <w:tcPr>
            <w:tcW w:w="949" w:type="pct"/>
            <w:vAlign w:val="center"/>
          </w:tcPr>
          <w:p>
            <w:pPr>
              <w:spacing w:line="360" w:lineRule="exact"/>
              <w:jc w:val="center"/>
              <w:rPr>
                <w:rFonts w:eastAsiaTheme="minorEastAsia"/>
                <w:bCs/>
                <w:kern w:val="0"/>
                <w:szCs w:val="21"/>
              </w:rPr>
            </w:pPr>
            <w:r>
              <w:rPr>
                <w:rFonts w:hAnsiTheme="minorEastAsia" w:eastAsiaTheme="minorEastAsia"/>
                <w:bCs/>
                <w:kern w:val="0"/>
                <w:szCs w:val="21"/>
              </w:rPr>
              <w:t>污染物名称</w:t>
            </w:r>
          </w:p>
        </w:tc>
        <w:tc>
          <w:tcPr>
            <w:tcW w:w="1060" w:type="pct"/>
            <w:vAlign w:val="center"/>
          </w:tcPr>
          <w:p>
            <w:pPr>
              <w:spacing w:line="360" w:lineRule="exact"/>
              <w:jc w:val="center"/>
              <w:rPr>
                <w:rFonts w:eastAsiaTheme="minorEastAsia"/>
                <w:bCs/>
                <w:kern w:val="0"/>
                <w:szCs w:val="21"/>
              </w:rPr>
            </w:pPr>
            <w:r>
              <w:rPr>
                <w:rFonts w:hAnsiTheme="minorEastAsia" w:eastAsiaTheme="minorEastAsia"/>
                <w:bCs/>
                <w:kern w:val="0"/>
                <w:szCs w:val="21"/>
              </w:rPr>
              <w:t>取值时间</w:t>
            </w:r>
          </w:p>
        </w:tc>
        <w:tc>
          <w:tcPr>
            <w:tcW w:w="855" w:type="pct"/>
            <w:vAlign w:val="center"/>
          </w:tcPr>
          <w:p>
            <w:pPr>
              <w:spacing w:line="360" w:lineRule="exact"/>
              <w:jc w:val="center"/>
              <w:rPr>
                <w:rFonts w:eastAsiaTheme="minorEastAsia"/>
                <w:bCs/>
                <w:kern w:val="0"/>
                <w:szCs w:val="21"/>
              </w:rPr>
            </w:pPr>
            <w:r>
              <w:rPr>
                <w:rFonts w:hAnsiTheme="minorEastAsia" w:eastAsiaTheme="minorEastAsia"/>
                <w:bCs/>
                <w:kern w:val="0"/>
                <w:szCs w:val="21"/>
              </w:rPr>
              <w:t>准浓度限值</w:t>
            </w:r>
          </w:p>
        </w:tc>
        <w:tc>
          <w:tcPr>
            <w:tcW w:w="683" w:type="pct"/>
            <w:vAlign w:val="center"/>
          </w:tcPr>
          <w:p>
            <w:pPr>
              <w:spacing w:line="360" w:lineRule="exact"/>
              <w:jc w:val="center"/>
              <w:rPr>
                <w:rFonts w:eastAsiaTheme="minorEastAsia"/>
                <w:bCs/>
                <w:kern w:val="0"/>
                <w:szCs w:val="21"/>
              </w:rPr>
            </w:pPr>
            <w:r>
              <w:rPr>
                <w:rFonts w:hAnsiTheme="minorEastAsia" w:eastAsiaTheme="minorEastAsia"/>
                <w:bCs/>
                <w:kern w:val="0"/>
                <w:szCs w:val="21"/>
              </w:rPr>
              <w:t>浓度单位</w:t>
            </w:r>
          </w:p>
        </w:tc>
        <w:tc>
          <w:tcPr>
            <w:tcW w:w="1453" w:type="pct"/>
            <w:vAlign w:val="center"/>
          </w:tcPr>
          <w:p>
            <w:pPr>
              <w:spacing w:line="360" w:lineRule="exact"/>
              <w:jc w:val="center"/>
              <w:rPr>
                <w:rFonts w:eastAsiaTheme="minorEastAsia"/>
                <w:bCs/>
                <w:kern w:val="0"/>
                <w:szCs w:val="21"/>
              </w:rPr>
            </w:pPr>
            <w:r>
              <w:rPr>
                <w:rFonts w:hAnsiTheme="minorEastAsia" w:eastAsiaTheme="minorEastAsia"/>
                <w:bCs/>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4" w:hRule="atLeast"/>
          <w:jc w:val="center"/>
        </w:trPr>
        <w:tc>
          <w:tcPr>
            <w:tcW w:w="949" w:type="pct"/>
            <w:vAlign w:val="center"/>
          </w:tcPr>
          <w:p>
            <w:pPr>
              <w:spacing w:line="360" w:lineRule="exact"/>
              <w:jc w:val="center"/>
              <w:rPr>
                <w:rFonts w:eastAsiaTheme="minorEastAsia"/>
                <w:bCs/>
                <w:kern w:val="0"/>
                <w:szCs w:val="21"/>
                <w:vertAlign w:val="subscript"/>
              </w:rPr>
            </w:pPr>
            <w:r>
              <w:rPr>
                <w:rFonts w:hint="eastAsia" w:eastAsiaTheme="minorEastAsia"/>
                <w:bCs/>
                <w:kern w:val="0"/>
                <w:szCs w:val="21"/>
              </w:rPr>
              <w:t>SO</w:t>
            </w:r>
            <w:r>
              <w:rPr>
                <w:rFonts w:hint="eastAsia" w:eastAsiaTheme="minorEastAsia"/>
                <w:bCs/>
                <w:kern w:val="0"/>
                <w:szCs w:val="21"/>
                <w:vertAlign w:val="subscript"/>
              </w:rPr>
              <w:t>2</w:t>
            </w:r>
          </w:p>
        </w:tc>
        <w:tc>
          <w:tcPr>
            <w:tcW w:w="1060" w:type="pct"/>
            <w:vAlign w:val="center"/>
          </w:tcPr>
          <w:p>
            <w:pPr>
              <w:spacing w:line="288" w:lineRule="auto"/>
              <w:jc w:val="center"/>
              <w:rPr>
                <w:rFonts w:eastAsiaTheme="minorEastAsia"/>
                <w:bCs/>
                <w:kern w:val="0"/>
                <w:szCs w:val="21"/>
              </w:rPr>
            </w:pPr>
            <w:r>
              <w:rPr>
                <w:rFonts w:hint="eastAsia" w:hAnsiTheme="minorEastAsia" w:eastAsiaTheme="minorEastAsia"/>
                <w:bCs/>
                <w:kern w:val="0"/>
                <w:szCs w:val="21"/>
              </w:rPr>
              <w:t>1小时</w:t>
            </w:r>
            <w:r>
              <w:rPr>
                <w:rFonts w:hAnsiTheme="minorEastAsia" w:eastAsiaTheme="minorEastAsia"/>
                <w:bCs/>
                <w:kern w:val="0"/>
                <w:szCs w:val="21"/>
              </w:rPr>
              <w:t>平均</w:t>
            </w:r>
          </w:p>
        </w:tc>
        <w:tc>
          <w:tcPr>
            <w:tcW w:w="855" w:type="pct"/>
            <w:vAlign w:val="center"/>
          </w:tcPr>
          <w:p>
            <w:pPr>
              <w:spacing w:line="288" w:lineRule="auto"/>
              <w:jc w:val="center"/>
              <w:rPr>
                <w:rFonts w:eastAsiaTheme="minorEastAsia"/>
                <w:bCs/>
                <w:kern w:val="0"/>
                <w:szCs w:val="21"/>
              </w:rPr>
            </w:pPr>
            <w:r>
              <w:rPr>
                <w:rFonts w:hint="eastAsia" w:eastAsiaTheme="minorEastAsia"/>
                <w:bCs/>
                <w:kern w:val="0"/>
                <w:szCs w:val="21"/>
              </w:rPr>
              <w:t>500</w:t>
            </w:r>
          </w:p>
        </w:tc>
        <w:tc>
          <w:tcPr>
            <w:tcW w:w="683" w:type="pct"/>
            <w:vMerge w:val="restart"/>
            <w:vAlign w:val="center"/>
          </w:tcPr>
          <w:p>
            <w:pPr>
              <w:spacing w:line="288" w:lineRule="auto"/>
              <w:jc w:val="center"/>
              <w:rPr>
                <w:rFonts w:eastAsiaTheme="minorEastAsia"/>
                <w:bCs/>
                <w:kern w:val="0"/>
                <w:szCs w:val="21"/>
                <w:vertAlign w:val="superscript"/>
              </w:rPr>
            </w:pPr>
            <w:r>
              <w:rPr>
                <w:rFonts w:eastAsiaTheme="minorEastAsia"/>
                <w:bCs/>
                <w:kern w:val="0"/>
                <w:szCs w:val="21"/>
              </w:rPr>
              <w:t>μg/m</w:t>
            </w:r>
            <w:r>
              <w:rPr>
                <w:rFonts w:eastAsiaTheme="minorEastAsia"/>
                <w:bCs/>
                <w:kern w:val="0"/>
                <w:szCs w:val="21"/>
                <w:vertAlign w:val="superscript"/>
              </w:rPr>
              <w:t>3</w:t>
            </w:r>
          </w:p>
        </w:tc>
        <w:tc>
          <w:tcPr>
            <w:tcW w:w="1453" w:type="pct"/>
            <w:vMerge w:val="restart"/>
            <w:vAlign w:val="center"/>
          </w:tcPr>
          <w:p>
            <w:pPr>
              <w:spacing w:line="288" w:lineRule="auto"/>
              <w:jc w:val="center"/>
              <w:rPr>
                <w:rFonts w:eastAsiaTheme="minorEastAsia"/>
                <w:bCs/>
                <w:kern w:val="0"/>
                <w:szCs w:val="21"/>
              </w:rPr>
            </w:pPr>
            <w:r>
              <w:rPr>
                <w:rFonts w:hAnsiTheme="minorEastAsia" w:eastAsiaTheme="minorEastAsia"/>
                <w:szCs w:val="21"/>
              </w:rPr>
              <w:t>《环境空气质量标准》（</w:t>
            </w:r>
            <w:r>
              <w:rPr>
                <w:rFonts w:eastAsiaTheme="minorEastAsia"/>
                <w:szCs w:val="21"/>
              </w:rPr>
              <w:t>GB3095-2012</w:t>
            </w:r>
            <w:r>
              <w:rPr>
                <w:rFonts w:hAnsiTheme="minorEastAsia" w:eastAsiaTheme="minorEastAsia"/>
                <w:szCs w:val="21"/>
              </w:rPr>
              <w:t>）</w:t>
            </w:r>
          </w:p>
          <w:p>
            <w:pPr>
              <w:spacing w:line="288" w:lineRule="auto"/>
              <w:jc w:val="center"/>
              <w:rPr>
                <w:rFonts w:eastAsiaTheme="minorEastAsia"/>
                <w:szCs w:val="21"/>
              </w:rPr>
            </w:pPr>
            <w:r>
              <w:rPr>
                <w:rFonts w:hAnsiTheme="minorEastAsia" w:eastAsiaTheme="minorEastAsia"/>
                <w:szCs w:val="21"/>
              </w:rPr>
              <w:t>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4" w:hRule="atLeast"/>
          <w:jc w:val="center"/>
        </w:trPr>
        <w:tc>
          <w:tcPr>
            <w:tcW w:w="949" w:type="pct"/>
            <w:vAlign w:val="center"/>
          </w:tcPr>
          <w:p>
            <w:pPr>
              <w:spacing w:line="360" w:lineRule="exact"/>
              <w:jc w:val="center"/>
              <w:rPr>
                <w:rFonts w:eastAsiaTheme="minorEastAsia"/>
                <w:bCs/>
                <w:kern w:val="0"/>
                <w:szCs w:val="21"/>
                <w:vertAlign w:val="subscript"/>
              </w:rPr>
            </w:pPr>
            <w:r>
              <w:rPr>
                <w:rFonts w:hint="eastAsia" w:eastAsiaTheme="minorEastAsia"/>
                <w:bCs/>
                <w:kern w:val="0"/>
                <w:szCs w:val="21"/>
              </w:rPr>
              <w:t>NO</w:t>
            </w:r>
            <w:r>
              <w:rPr>
                <w:rFonts w:hint="eastAsia" w:eastAsiaTheme="minorEastAsia"/>
                <w:bCs/>
                <w:kern w:val="0"/>
                <w:szCs w:val="21"/>
                <w:vertAlign w:val="subscript"/>
              </w:rPr>
              <w:t>X</w:t>
            </w:r>
          </w:p>
        </w:tc>
        <w:tc>
          <w:tcPr>
            <w:tcW w:w="1060" w:type="pct"/>
            <w:vAlign w:val="center"/>
          </w:tcPr>
          <w:p>
            <w:pPr>
              <w:spacing w:line="288" w:lineRule="auto"/>
              <w:jc w:val="center"/>
              <w:rPr>
                <w:rFonts w:eastAsiaTheme="minorEastAsia"/>
                <w:bCs/>
                <w:kern w:val="0"/>
                <w:szCs w:val="21"/>
              </w:rPr>
            </w:pPr>
            <w:r>
              <w:rPr>
                <w:rFonts w:hint="eastAsia" w:eastAsiaTheme="minorEastAsia"/>
                <w:bCs/>
                <w:kern w:val="0"/>
                <w:szCs w:val="21"/>
              </w:rPr>
              <w:t>1</w:t>
            </w:r>
            <w:r>
              <w:rPr>
                <w:rFonts w:hAnsiTheme="minorEastAsia" w:eastAsiaTheme="minorEastAsia"/>
                <w:bCs/>
                <w:kern w:val="0"/>
                <w:szCs w:val="21"/>
              </w:rPr>
              <w:t>小时平均</w:t>
            </w:r>
          </w:p>
        </w:tc>
        <w:tc>
          <w:tcPr>
            <w:tcW w:w="855" w:type="pct"/>
            <w:vAlign w:val="center"/>
          </w:tcPr>
          <w:p>
            <w:pPr>
              <w:spacing w:line="288" w:lineRule="auto"/>
              <w:jc w:val="center"/>
              <w:rPr>
                <w:rFonts w:eastAsiaTheme="minorEastAsia"/>
                <w:bCs/>
                <w:kern w:val="0"/>
                <w:szCs w:val="21"/>
              </w:rPr>
            </w:pPr>
            <w:r>
              <w:rPr>
                <w:rFonts w:hint="eastAsia" w:eastAsiaTheme="minorEastAsia"/>
                <w:bCs/>
                <w:kern w:val="0"/>
                <w:szCs w:val="21"/>
              </w:rPr>
              <w:t>200</w:t>
            </w:r>
          </w:p>
        </w:tc>
        <w:tc>
          <w:tcPr>
            <w:tcW w:w="683" w:type="pct"/>
            <w:vMerge w:val="continue"/>
            <w:vAlign w:val="center"/>
          </w:tcPr>
          <w:p>
            <w:pPr>
              <w:spacing w:line="288" w:lineRule="auto"/>
              <w:jc w:val="center"/>
              <w:rPr>
                <w:rFonts w:eastAsiaTheme="minorEastAsia"/>
                <w:bCs/>
                <w:kern w:val="0"/>
                <w:szCs w:val="21"/>
                <w:highlight w:val="yellow"/>
              </w:rPr>
            </w:pPr>
          </w:p>
        </w:tc>
        <w:tc>
          <w:tcPr>
            <w:tcW w:w="1453" w:type="pct"/>
            <w:vMerge w:val="continue"/>
            <w:vAlign w:val="center"/>
          </w:tcPr>
          <w:p>
            <w:pPr>
              <w:spacing w:line="288" w:lineRule="auto"/>
              <w:jc w:val="center"/>
              <w:rPr>
                <w:rFonts w:hAnsiTheme="minorEastAsia" w:eastAsiaTheme="minorEastAsia"/>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4" w:hRule="atLeast"/>
          <w:jc w:val="center"/>
        </w:trPr>
        <w:tc>
          <w:tcPr>
            <w:tcW w:w="949" w:type="pct"/>
            <w:vAlign w:val="center"/>
          </w:tcPr>
          <w:p>
            <w:pPr>
              <w:spacing w:line="360" w:lineRule="exact"/>
              <w:jc w:val="center"/>
              <w:rPr>
                <w:rFonts w:eastAsiaTheme="minorEastAsia"/>
                <w:bCs/>
                <w:kern w:val="0"/>
                <w:szCs w:val="21"/>
                <w:vertAlign w:val="subscript"/>
              </w:rPr>
            </w:pPr>
            <w:r>
              <w:rPr>
                <w:rFonts w:hint="eastAsia" w:eastAsiaTheme="minorEastAsia"/>
                <w:bCs/>
                <w:kern w:val="0"/>
                <w:szCs w:val="21"/>
              </w:rPr>
              <w:t>PM</w:t>
            </w:r>
            <w:r>
              <w:rPr>
                <w:rFonts w:hint="eastAsia" w:eastAsiaTheme="minorEastAsia"/>
                <w:bCs/>
                <w:kern w:val="0"/>
                <w:szCs w:val="21"/>
                <w:vertAlign w:val="subscript"/>
              </w:rPr>
              <w:t>10</w:t>
            </w:r>
          </w:p>
        </w:tc>
        <w:tc>
          <w:tcPr>
            <w:tcW w:w="1060" w:type="pct"/>
            <w:vAlign w:val="center"/>
          </w:tcPr>
          <w:p>
            <w:pPr>
              <w:spacing w:line="288" w:lineRule="auto"/>
              <w:jc w:val="center"/>
              <w:rPr>
                <w:rFonts w:eastAsiaTheme="minorEastAsia"/>
                <w:bCs/>
                <w:kern w:val="0"/>
                <w:szCs w:val="21"/>
              </w:rPr>
            </w:pPr>
            <w:r>
              <w:rPr>
                <w:rFonts w:hint="eastAsia" w:eastAsiaTheme="minorEastAsia"/>
                <w:bCs/>
                <w:kern w:val="0"/>
                <w:szCs w:val="21"/>
              </w:rPr>
              <w:t>24小时平均</w:t>
            </w:r>
          </w:p>
        </w:tc>
        <w:tc>
          <w:tcPr>
            <w:tcW w:w="855" w:type="pct"/>
            <w:vAlign w:val="center"/>
          </w:tcPr>
          <w:p>
            <w:pPr>
              <w:spacing w:line="288" w:lineRule="auto"/>
              <w:jc w:val="center"/>
              <w:rPr>
                <w:rFonts w:eastAsiaTheme="minorEastAsia"/>
                <w:bCs/>
                <w:kern w:val="0"/>
                <w:szCs w:val="21"/>
              </w:rPr>
            </w:pPr>
            <w:r>
              <w:rPr>
                <w:rFonts w:hint="eastAsia" w:eastAsiaTheme="minorEastAsia"/>
                <w:bCs/>
                <w:kern w:val="0"/>
                <w:szCs w:val="21"/>
              </w:rPr>
              <w:t>150</w:t>
            </w:r>
          </w:p>
        </w:tc>
        <w:tc>
          <w:tcPr>
            <w:tcW w:w="683" w:type="pct"/>
            <w:vMerge w:val="continue"/>
            <w:vAlign w:val="center"/>
          </w:tcPr>
          <w:p>
            <w:pPr>
              <w:spacing w:line="288" w:lineRule="auto"/>
              <w:jc w:val="center"/>
              <w:rPr>
                <w:rFonts w:eastAsiaTheme="minorEastAsia"/>
                <w:bCs/>
                <w:kern w:val="0"/>
                <w:szCs w:val="21"/>
                <w:highlight w:val="yellow"/>
              </w:rPr>
            </w:pPr>
          </w:p>
        </w:tc>
        <w:tc>
          <w:tcPr>
            <w:tcW w:w="1453" w:type="pct"/>
            <w:vMerge w:val="continue"/>
            <w:vAlign w:val="center"/>
          </w:tcPr>
          <w:p>
            <w:pPr>
              <w:spacing w:line="288" w:lineRule="auto"/>
              <w:jc w:val="center"/>
              <w:rPr>
                <w:rFonts w:hAnsiTheme="minorEastAsia" w:eastAsiaTheme="minorEastAsia"/>
                <w:szCs w:val="21"/>
                <w:highlight w:val="yellow"/>
              </w:rPr>
            </w:pPr>
          </w:p>
        </w:tc>
      </w:tr>
    </w:tbl>
    <w:p>
      <w:pPr>
        <w:spacing w:line="360" w:lineRule="auto"/>
        <w:ind w:firstLine="480" w:firstLineChars="200"/>
        <w:rPr>
          <w:rFonts w:eastAsiaTheme="minorEastAsia"/>
          <w:bCs/>
          <w:sz w:val="24"/>
        </w:rPr>
      </w:pPr>
      <w:r>
        <w:rPr>
          <w:rFonts w:eastAsiaTheme="minorEastAsia"/>
          <w:bCs/>
          <w:sz w:val="24"/>
        </w:rPr>
        <w:t>3</w:t>
      </w:r>
      <w:r>
        <w:rPr>
          <w:rFonts w:hAnsiTheme="minorEastAsia" w:eastAsiaTheme="minorEastAsia"/>
          <w:bCs/>
          <w:sz w:val="24"/>
        </w:rPr>
        <w:t>、污染源调查表</w:t>
      </w:r>
    </w:p>
    <w:p>
      <w:pPr>
        <w:autoSpaceDE w:val="0"/>
        <w:autoSpaceDN w:val="0"/>
        <w:spacing w:line="360" w:lineRule="auto"/>
        <w:ind w:firstLine="480" w:firstLineChars="200"/>
        <w:rPr>
          <w:rFonts w:eastAsiaTheme="minorEastAsia"/>
          <w:b/>
          <w:sz w:val="24"/>
        </w:rPr>
      </w:pPr>
      <w:r>
        <w:rPr>
          <w:rFonts w:hAnsiTheme="minorEastAsia" w:eastAsiaTheme="minorEastAsia"/>
          <w:sz w:val="24"/>
        </w:rPr>
        <w:t>本工程污染源的排放参数见表</w:t>
      </w:r>
      <w:r>
        <w:rPr>
          <w:rFonts w:eastAsiaTheme="minorEastAsia"/>
          <w:sz w:val="24"/>
        </w:rPr>
        <w:t>5.2-2</w:t>
      </w:r>
      <w:r>
        <w:rPr>
          <w:rFonts w:hAnsiTheme="minorEastAsia" w:eastAsiaTheme="minorEastAsia"/>
          <w:b/>
          <w:sz w:val="24"/>
        </w:rPr>
        <w:t>。</w:t>
      </w:r>
    </w:p>
    <w:p>
      <w:pPr>
        <w:autoSpaceDE w:val="0"/>
        <w:autoSpaceDN w:val="0"/>
        <w:spacing w:line="360" w:lineRule="auto"/>
        <w:jc w:val="center"/>
        <w:rPr>
          <w:rFonts w:hAnsiTheme="minorEastAsia" w:eastAsiaTheme="minorEastAsia"/>
          <w:b/>
          <w:szCs w:val="21"/>
        </w:rPr>
      </w:pPr>
      <w:r>
        <w:rPr>
          <w:rFonts w:hAnsiTheme="minorEastAsia" w:eastAsiaTheme="minorEastAsia"/>
          <w:b/>
          <w:szCs w:val="21"/>
        </w:rPr>
        <w:t>表</w:t>
      </w:r>
      <w:r>
        <w:rPr>
          <w:rFonts w:eastAsiaTheme="minorEastAsia"/>
          <w:b/>
          <w:szCs w:val="21"/>
        </w:rPr>
        <w:t xml:space="preserve">5.2-2  </w:t>
      </w:r>
      <w:r>
        <w:rPr>
          <w:rFonts w:hAnsiTheme="minorEastAsia" w:eastAsiaTheme="minorEastAsia"/>
          <w:b/>
          <w:szCs w:val="21"/>
        </w:rPr>
        <w:t>本</w:t>
      </w:r>
      <w:r>
        <w:rPr>
          <w:rFonts w:hint="eastAsia" w:hAnsiTheme="minorEastAsia" w:eastAsiaTheme="minorEastAsia"/>
          <w:b/>
          <w:szCs w:val="21"/>
        </w:rPr>
        <w:t>变更</w:t>
      </w:r>
      <w:r>
        <w:rPr>
          <w:rFonts w:hAnsiTheme="minorEastAsia" w:eastAsiaTheme="minorEastAsia"/>
          <w:b/>
          <w:szCs w:val="21"/>
        </w:rPr>
        <w:t>工程</w:t>
      </w:r>
      <w:r>
        <w:rPr>
          <w:rFonts w:hint="eastAsia" w:hAnsiTheme="minorEastAsia" w:eastAsiaTheme="minorEastAsia"/>
          <w:b/>
          <w:szCs w:val="21"/>
        </w:rPr>
        <w:t>锅炉排气筒点源</w:t>
      </w:r>
      <w:r>
        <w:rPr>
          <w:rFonts w:hAnsiTheme="minorEastAsia" w:eastAsiaTheme="minorEastAsia"/>
          <w:b/>
          <w:szCs w:val="21"/>
        </w:rPr>
        <w:t>计算源强</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65"/>
        <w:gridCol w:w="706"/>
        <w:gridCol w:w="992"/>
        <w:gridCol w:w="1134"/>
        <w:gridCol w:w="992"/>
        <w:gridCol w:w="854"/>
        <w:gridCol w:w="852"/>
        <w:gridCol w:w="704"/>
        <w:gridCol w:w="710"/>
        <w:gridCol w:w="710"/>
        <w:gridCol w:w="5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76" w:type="pct"/>
            <w:vMerge w:val="restar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名称</w:t>
            </w:r>
          </w:p>
        </w:tc>
        <w:tc>
          <w:tcPr>
            <w:tcW w:w="388" w:type="pct"/>
            <w:vMerge w:val="restart"/>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运行时段</w:t>
            </w:r>
          </w:p>
        </w:tc>
        <w:tc>
          <w:tcPr>
            <w:tcW w:w="545" w:type="pct"/>
            <w:vMerge w:val="restar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排气筒高度（m）</w:t>
            </w:r>
          </w:p>
        </w:tc>
        <w:tc>
          <w:tcPr>
            <w:tcW w:w="623" w:type="pct"/>
            <w:vMerge w:val="restart"/>
            <w:noWrap/>
            <w:vAlign w:val="center"/>
          </w:tcPr>
          <w:p>
            <w:pPr>
              <w:autoSpaceDE w:val="0"/>
              <w:autoSpaceDN w:val="0"/>
              <w:spacing w:line="360" w:lineRule="auto"/>
              <w:jc w:val="center"/>
              <w:rPr>
                <w:rFonts w:hAnsiTheme="minorEastAsia" w:eastAsiaTheme="minorEastAsia"/>
                <w:szCs w:val="21"/>
              </w:rPr>
            </w:pPr>
            <w:r>
              <w:rPr>
                <w:rFonts w:ascii="宋体" w:hAnsi="宋体" w:cs="宋体"/>
                <w:szCs w:val="21"/>
              </w:rPr>
              <w:t>排气筒</w:t>
            </w:r>
            <w:r>
              <w:rPr>
                <w:rFonts w:hAnsiTheme="minorEastAsia" w:eastAsiaTheme="minorEastAsia"/>
                <w:szCs w:val="21"/>
              </w:rPr>
              <w:t>出口内径（m）</w:t>
            </w:r>
          </w:p>
        </w:tc>
        <w:tc>
          <w:tcPr>
            <w:tcW w:w="545" w:type="pct"/>
            <w:vMerge w:val="restar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烟气</w:t>
            </w:r>
            <w:r>
              <w:rPr>
                <w:rFonts w:hint="eastAsia" w:hAnsiTheme="minorEastAsia" w:eastAsiaTheme="minorEastAsia"/>
                <w:szCs w:val="21"/>
              </w:rPr>
              <w:t>流速</w:t>
            </w:r>
            <w:r>
              <w:rPr>
                <w:rFonts w:hAnsiTheme="minorEastAsia" w:eastAsiaTheme="minorEastAsia"/>
                <w:szCs w:val="21"/>
              </w:rPr>
              <w:t>（m/s）</w:t>
            </w:r>
          </w:p>
        </w:tc>
        <w:tc>
          <w:tcPr>
            <w:tcW w:w="469" w:type="pct"/>
            <w:vMerge w:val="restar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烟气温度（</w:t>
            </w:r>
            <w:r>
              <w:rPr>
                <w:rFonts w:hint="eastAsia" w:hAnsiTheme="minorEastAsia" w:eastAsiaTheme="minorEastAsia"/>
                <w:szCs w:val="21"/>
              </w:rPr>
              <w:t>℃</w:t>
            </w:r>
            <w:r>
              <w:rPr>
                <w:rFonts w:hAnsiTheme="minorEastAsia" w:eastAsiaTheme="minorEastAsia"/>
                <w:szCs w:val="21"/>
              </w:rPr>
              <w:t>）</w:t>
            </w:r>
          </w:p>
        </w:tc>
        <w:tc>
          <w:tcPr>
            <w:tcW w:w="468" w:type="pct"/>
            <w:vMerge w:val="restar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年排放小时数（h）</w:t>
            </w:r>
          </w:p>
        </w:tc>
        <w:tc>
          <w:tcPr>
            <w:tcW w:w="387" w:type="pct"/>
            <w:vMerge w:val="restart"/>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排放工况</w:t>
            </w:r>
          </w:p>
        </w:tc>
        <w:tc>
          <w:tcPr>
            <w:tcW w:w="1099" w:type="pct"/>
            <w:gridSpan w:val="3"/>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rPr>
              <w:t>污染物排放速率</w:t>
            </w:r>
            <w:r>
              <w:rPr>
                <w:rFonts w:hAnsiTheme="minorEastAsia" w:eastAsiaTheme="minorEastAsia"/>
                <w:szCs w:val="21"/>
              </w:rPr>
              <w:t>（kg/h）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76" w:type="pct"/>
            <w:vMerge w:val="continue"/>
            <w:noWrap/>
            <w:vAlign w:val="center"/>
          </w:tcPr>
          <w:p>
            <w:pPr>
              <w:autoSpaceDE w:val="0"/>
              <w:autoSpaceDN w:val="0"/>
              <w:spacing w:line="360" w:lineRule="auto"/>
              <w:jc w:val="center"/>
              <w:rPr>
                <w:rFonts w:hAnsiTheme="minorEastAsia" w:eastAsiaTheme="minorEastAsia"/>
                <w:szCs w:val="21"/>
              </w:rPr>
            </w:pPr>
          </w:p>
        </w:tc>
        <w:tc>
          <w:tcPr>
            <w:tcW w:w="388" w:type="pct"/>
            <w:vMerge w:val="continue"/>
            <w:vAlign w:val="center"/>
          </w:tcPr>
          <w:p>
            <w:pPr>
              <w:autoSpaceDE w:val="0"/>
              <w:autoSpaceDN w:val="0"/>
              <w:spacing w:line="360" w:lineRule="auto"/>
              <w:jc w:val="center"/>
              <w:rPr>
                <w:rFonts w:hAnsiTheme="minorEastAsia" w:eastAsiaTheme="minorEastAsia"/>
                <w:szCs w:val="21"/>
              </w:rPr>
            </w:pPr>
          </w:p>
        </w:tc>
        <w:tc>
          <w:tcPr>
            <w:tcW w:w="545" w:type="pct"/>
            <w:vMerge w:val="continue"/>
            <w:noWrap/>
            <w:vAlign w:val="center"/>
          </w:tcPr>
          <w:p>
            <w:pPr>
              <w:autoSpaceDE w:val="0"/>
              <w:autoSpaceDN w:val="0"/>
              <w:spacing w:line="360" w:lineRule="auto"/>
              <w:jc w:val="center"/>
              <w:rPr>
                <w:rFonts w:hAnsiTheme="minorEastAsia" w:eastAsiaTheme="minorEastAsia"/>
                <w:szCs w:val="21"/>
              </w:rPr>
            </w:pPr>
          </w:p>
        </w:tc>
        <w:tc>
          <w:tcPr>
            <w:tcW w:w="623" w:type="pct"/>
            <w:vMerge w:val="continue"/>
            <w:noWrap/>
            <w:vAlign w:val="center"/>
          </w:tcPr>
          <w:p>
            <w:pPr>
              <w:autoSpaceDE w:val="0"/>
              <w:autoSpaceDN w:val="0"/>
              <w:spacing w:line="360" w:lineRule="auto"/>
              <w:jc w:val="center"/>
              <w:rPr>
                <w:rFonts w:hAnsiTheme="minorEastAsia" w:eastAsiaTheme="minorEastAsia"/>
                <w:szCs w:val="21"/>
              </w:rPr>
            </w:pPr>
          </w:p>
        </w:tc>
        <w:tc>
          <w:tcPr>
            <w:tcW w:w="545" w:type="pct"/>
            <w:vMerge w:val="continue"/>
            <w:noWrap/>
            <w:vAlign w:val="center"/>
          </w:tcPr>
          <w:p>
            <w:pPr>
              <w:autoSpaceDE w:val="0"/>
              <w:autoSpaceDN w:val="0"/>
              <w:spacing w:line="360" w:lineRule="auto"/>
              <w:jc w:val="center"/>
              <w:rPr>
                <w:rFonts w:hAnsiTheme="minorEastAsia" w:eastAsiaTheme="minorEastAsia"/>
                <w:szCs w:val="21"/>
              </w:rPr>
            </w:pPr>
          </w:p>
        </w:tc>
        <w:tc>
          <w:tcPr>
            <w:tcW w:w="469" w:type="pct"/>
            <w:vMerge w:val="continue"/>
            <w:noWrap/>
            <w:vAlign w:val="center"/>
          </w:tcPr>
          <w:p>
            <w:pPr>
              <w:autoSpaceDE w:val="0"/>
              <w:autoSpaceDN w:val="0"/>
              <w:spacing w:line="360" w:lineRule="auto"/>
              <w:jc w:val="center"/>
              <w:rPr>
                <w:rFonts w:hAnsiTheme="minorEastAsia" w:eastAsiaTheme="minorEastAsia"/>
                <w:szCs w:val="21"/>
              </w:rPr>
            </w:pPr>
          </w:p>
        </w:tc>
        <w:tc>
          <w:tcPr>
            <w:tcW w:w="468" w:type="pct"/>
            <w:vMerge w:val="continue"/>
            <w:noWrap/>
            <w:vAlign w:val="center"/>
          </w:tcPr>
          <w:p>
            <w:pPr>
              <w:autoSpaceDE w:val="0"/>
              <w:autoSpaceDN w:val="0"/>
              <w:spacing w:line="360" w:lineRule="auto"/>
              <w:jc w:val="center"/>
              <w:rPr>
                <w:rFonts w:hAnsiTheme="minorEastAsia" w:eastAsiaTheme="minorEastAsia"/>
                <w:szCs w:val="21"/>
              </w:rPr>
            </w:pPr>
          </w:p>
        </w:tc>
        <w:tc>
          <w:tcPr>
            <w:tcW w:w="387" w:type="pct"/>
            <w:vMerge w:val="continue"/>
            <w:vAlign w:val="center"/>
          </w:tcPr>
          <w:p>
            <w:pPr>
              <w:autoSpaceDE w:val="0"/>
              <w:autoSpaceDN w:val="0"/>
              <w:spacing w:line="360" w:lineRule="auto"/>
              <w:jc w:val="center"/>
              <w:rPr>
                <w:rFonts w:hAnsiTheme="minorEastAsia" w:eastAsiaTheme="minorEastAsia"/>
                <w:szCs w:val="21"/>
              </w:rPr>
            </w:pPr>
          </w:p>
        </w:tc>
        <w:tc>
          <w:tcPr>
            <w:tcW w:w="390" w:type="pct"/>
            <w:noWrap/>
            <w:vAlign w:val="center"/>
          </w:tcPr>
          <w:p>
            <w:pPr>
              <w:autoSpaceDE w:val="0"/>
              <w:autoSpaceDN w:val="0"/>
              <w:spacing w:line="360" w:lineRule="auto"/>
              <w:jc w:val="center"/>
              <w:rPr>
                <w:rFonts w:hAnsiTheme="minorEastAsia" w:eastAsiaTheme="minorEastAsia"/>
                <w:szCs w:val="21"/>
                <w:vertAlign w:val="subscript"/>
              </w:rPr>
            </w:pPr>
            <w:r>
              <w:rPr>
                <w:rFonts w:hAnsiTheme="minorEastAsia" w:eastAsiaTheme="minorEastAsia"/>
                <w:szCs w:val="21"/>
              </w:rPr>
              <w:t>烟尘</w:t>
            </w:r>
          </w:p>
        </w:tc>
        <w:tc>
          <w:tcPr>
            <w:tcW w:w="390" w:type="pc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SO</w:t>
            </w:r>
            <w:r>
              <w:rPr>
                <w:rFonts w:hAnsiTheme="minorEastAsia" w:eastAsiaTheme="minorEastAsia"/>
                <w:szCs w:val="21"/>
                <w:vertAlign w:val="subscript"/>
              </w:rPr>
              <w:t>2</w:t>
            </w:r>
          </w:p>
        </w:tc>
        <w:tc>
          <w:tcPr>
            <w:tcW w:w="319" w:type="pc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NOx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76" w:type="pct"/>
            <w:vMerge w:val="restar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1#</w:t>
            </w:r>
            <w:r>
              <w:rPr>
                <w:rFonts w:hAnsiTheme="minorEastAsia" w:eastAsiaTheme="minorEastAsia"/>
                <w:szCs w:val="21"/>
              </w:rPr>
              <w:t>锅炉排气筒DA001</w:t>
            </w:r>
          </w:p>
        </w:tc>
        <w:tc>
          <w:tcPr>
            <w:tcW w:w="388" w:type="pct"/>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采暖期</w:t>
            </w:r>
          </w:p>
        </w:tc>
        <w:tc>
          <w:tcPr>
            <w:tcW w:w="545"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15</w:t>
            </w:r>
          </w:p>
        </w:tc>
        <w:tc>
          <w:tcPr>
            <w:tcW w:w="623" w:type="pc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0.</w:t>
            </w:r>
            <w:r>
              <w:rPr>
                <w:rFonts w:hint="eastAsia" w:hAnsiTheme="minorEastAsia" w:eastAsiaTheme="minorEastAsia"/>
                <w:szCs w:val="21"/>
              </w:rPr>
              <w:t>2</w:t>
            </w:r>
          </w:p>
        </w:tc>
        <w:tc>
          <w:tcPr>
            <w:tcW w:w="545" w:type="pc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1</w:t>
            </w:r>
            <w:r>
              <w:rPr>
                <w:rFonts w:hint="eastAsia" w:hAnsiTheme="minorEastAsia" w:eastAsiaTheme="minorEastAsia"/>
                <w:szCs w:val="21"/>
              </w:rPr>
              <w:t>5.86</w:t>
            </w:r>
          </w:p>
        </w:tc>
        <w:tc>
          <w:tcPr>
            <w:tcW w:w="469" w:type="pct"/>
            <w:noWrap/>
            <w:vAlign w:val="center"/>
          </w:tcPr>
          <w:p>
            <w:pPr>
              <w:autoSpaceDE w:val="0"/>
              <w:autoSpaceDN w:val="0"/>
              <w:spacing w:line="360" w:lineRule="auto"/>
              <w:jc w:val="center"/>
              <w:rPr>
                <w:rFonts w:hAnsiTheme="minorEastAsia" w:eastAsiaTheme="minorEastAsia"/>
                <w:szCs w:val="21"/>
                <w:highlight w:val="yellow"/>
              </w:rPr>
            </w:pPr>
            <w:r>
              <w:rPr>
                <w:rFonts w:hint="eastAsia" w:hAnsiTheme="minorEastAsia" w:eastAsiaTheme="minorEastAsia"/>
                <w:szCs w:val="21"/>
              </w:rPr>
              <w:t>120</w:t>
            </w:r>
          </w:p>
        </w:tc>
        <w:tc>
          <w:tcPr>
            <w:tcW w:w="468" w:type="pc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2400</w:t>
            </w:r>
          </w:p>
        </w:tc>
        <w:tc>
          <w:tcPr>
            <w:tcW w:w="387" w:type="pct"/>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正常</w:t>
            </w:r>
          </w:p>
        </w:tc>
        <w:tc>
          <w:tcPr>
            <w:tcW w:w="390"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0.033</w:t>
            </w:r>
          </w:p>
        </w:tc>
        <w:tc>
          <w:tcPr>
            <w:tcW w:w="390"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0.229</w:t>
            </w:r>
          </w:p>
        </w:tc>
        <w:tc>
          <w:tcPr>
            <w:tcW w:w="319" w:type="pc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0.</w:t>
            </w:r>
            <w:r>
              <w:rPr>
                <w:rFonts w:hint="eastAsia" w:hAnsiTheme="minorEastAsia" w:eastAsiaTheme="minorEastAsia"/>
                <w:szCs w:val="21"/>
              </w:rPr>
              <w:t>32</w:t>
            </w:r>
            <w:r>
              <w:rPr>
                <w:rFonts w:hAnsiTheme="minorEastAsia" w:eastAsiaTheme="minorEastAsia"/>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76" w:type="pct"/>
            <w:vMerge w:val="continue"/>
            <w:noWrap/>
            <w:vAlign w:val="center"/>
          </w:tcPr>
          <w:p>
            <w:pPr>
              <w:autoSpaceDE w:val="0"/>
              <w:autoSpaceDN w:val="0"/>
              <w:spacing w:line="360" w:lineRule="auto"/>
              <w:jc w:val="center"/>
              <w:rPr>
                <w:rFonts w:hAnsiTheme="minorEastAsia" w:eastAsiaTheme="minorEastAsia"/>
                <w:szCs w:val="21"/>
              </w:rPr>
            </w:pPr>
          </w:p>
        </w:tc>
        <w:tc>
          <w:tcPr>
            <w:tcW w:w="388" w:type="pct"/>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非采暖期</w:t>
            </w:r>
          </w:p>
        </w:tc>
        <w:tc>
          <w:tcPr>
            <w:tcW w:w="545"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15</w:t>
            </w:r>
          </w:p>
        </w:tc>
        <w:tc>
          <w:tcPr>
            <w:tcW w:w="623"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0.2</w:t>
            </w:r>
          </w:p>
        </w:tc>
        <w:tc>
          <w:tcPr>
            <w:tcW w:w="545"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9.52</w:t>
            </w:r>
          </w:p>
        </w:tc>
        <w:tc>
          <w:tcPr>
            <w:tcW w:w="469" w:type="pct"/>
            <w:noWrap/>
            <w:vAlign w:val="center"/>
          </w:tcPr>
          <w:p>
            <w:pPr>
              <w:autoSpaceDE w:val="0"/>
              <w:autoSpaceDN w:val="0"/>
              <w:spacing w:line="360" w:lineRule="auto"/>
              <w:jc w:val="center"/>
              <w:rPr>
                <w:rFonts w:hAnsiTheme="minorEastAsia" w:eastAsiaTheme="minorEastAsia"/>
                <w:szCs w:val="21"/>
                <w:highlight w:val="yellow"/>
              </w:rPr>
            </w:pPr>
            <w:r>
              <w:rPr>
                <w:rFonts w:hint="eastAsia" w:hAnsiTheme="minorEastAsia" w:eastAsiaTheme="minorEastAsia"/>
                <w:szCs w:val="21"/>
              </w:rPr>
              <w:t>120</w:t>
            </w:r>
          </w:p>
        </w:tc>
        <w:tc>
          <w:tcPr>
            <w:tcW w:w="468"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1440</w:t>
            </w:r>
          </w:p>
        </w:tc>
        <w:tc>
          <w:tcPr>
            <w:tcW w:w="387" w:type="pct"/>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正常</w:t>
            </w:r>
          </w:p>
        </w:tc>
        <w:tc>
          <w:tcPr>
            <w:tcW w:w="390"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0.047</w:t>
            </w:r>
          </w:p>
        </w:tc>
        <w:tc>
          <w:tcPr>
            <w:tcW w:w="390"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0.33</w:t>
            </w:r>
          </w:p>
        </w:tc>
        <w:tc>
          <w:tcPr>
            <w:tcW w:w="319"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0.47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76"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2#</w:t>
            </w:r>
            <w:r>
              <w:rPr>
                <w:rFonts w:hAnsiTheme="minorEastAsia" w:eastAsiaTheme="minorEastAsia"/>
                <w:szCs w:val="21"/>
              </w:rPr>
              <w:t>锅炉排气筒DA001</w:t>
            </w:r>
          </w:p>
        </w:tc>
        <w:tc>
          <w:tcPr>
            <w:tcW w:w="388" w:type="pct"/>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采暖期</w:t>
            </w:r>
          </w:p>
        </w:tc>
        <w:tc>
          <w:tcPr>
            <w:tcW w:w="545"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15</w:t>
            </w:r>
          </w:p>
        </w:tc>
        <w:tc>
          <w:tcPr>
            <w:tcW w:w="623"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0.2</w:t>
            </w:r>
          </w:p>
        </w:tc>
        <w:tc>
          <w:tcPr>
            <w:tcW w:w="545"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15.86</w:t>
            </w:r>
          </w:p>
        </w:tc>
        <w:tc>
          <w:tcPr>
            <w:tcW w:w="469" w:type="pct"/>
            <w:noWrap/>
            <w:vAlign w:val="center"/>
          </w:tcPr>
          <w:p>
            <w:pPr>
              <w:autoSpaceDE w:val="0"/>
              <w:autoSpaceDN w:val="0"/>
              <w:spacing w:line="360" w:lineRule="auto"/>
              <w:jc w:val="center"/>
              <w:rPr>
                <w:rFonts w:hAnsiTheme="minorEastAsia" w:eastAsiaTheme="minorEastAsia"/>
                <w:szCs w:val="21"/>
                <w:highlight w:val="yellow"/>
              </w:rPr>
            </w:pPr>
            <w:r>
              <w:rPr>
                <w:rFonts w:hint="eastAsia" w:hAnsiTheme="minorEastAsia" w:eastAsiaTheme="minorEastAsia"/>
                <w:szCs w:val="21"/>
              </w:rPr>
              <w:t>120</w:t>
            </w:r>
          </w:p>
        </w:tc>
        <w:tc>
          <w:tcPr>
            <w:tcW w:w="468"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2400</w:t>
            </w:r>
          </w:p>
        </w:tc>
        <w:tc>
          <w:tcPr>
            <w:tcW w:w="387" w:type="pct"/>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正常</w:t>
            </w:r>
          </w:p>
        </w:tc>
        <w:tc>
          <w:tcPr>
            <w:tcW w:w="390"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0.033</w:t>
            </w:r>
          </w:p>
        </w:tc>
        <w:tc>
          <w:tcPr>
            <w:tcW w:w="390" w:type="pct"/>
            <w:noWrap/>
            <w:vAlign w:val="center"/>
          </w:tcPr>
          <w:p>
            <w:pPr>
              <w:autoSpaceDE w:val="0"/>
              <w:autoSpaceDN w:val="0"/>
              <w:spacing w:line="360" w:lineRule="auto"/>
              <w:jc w:val="center"/>
              <w:rPr>
                <w:rFonts w:hAnsiTheme="minorEastAsia" w:eastAsiaTheme="minorEastAsia"/>
                <w:szCs w:val="21"/>
              </w:rPr>
            </w:pPr>
            <w:r>
              <w:rPr>
                <w:rFonts w:hint="eastAsia" w:hAnsiTheme="minorEastAsia" w:eastAsiaTheme="minorEastAsia"/>
                <w:szCs w:val="21"/>
              </w:rPr>
              <w:t>0.229</w:t>
            </w:r>
          </w:p>
        </w:tc>
        <w:tc>
          <w:tcPr>
            <w:tcW w:w="319" w:type="pct"/>
            <w:noWrap/>
            <w:vAlign w:val="center"/>
          </w:tcPr>
          <w:p>
            <w:pPr>
              <w:autoSpaceDE w:val="0"/>
              <w:autoSpaceDN w:val="0"/>
              <w:spacing w:line="360" w:lineRule="auto"/>
              <w:jc w:val="center"/>
              <w:rPr>
                <w:rFonts w:hAnsiTheme="minorEastAsia" w:eastAsiaTheme="minorEastAsia"/>
                <w:szCs w:val="21"/>
              </w:rPr>
            </w:pPr>
            <w:r>
              <w:rPr>
                <w:rFonts w:hAnsiTheme="minorEastAsia" w:eastAsiaTheme="minorEastAsia"/>
                <w:szCs w:val="21"/>
              </w:rPr>
              <w:t>0.</w:t>
            </w:r>
            <w:r>
              <w:rPr>
                <w:rFonts w:hint="eastAsia" w:hAnsiTheme="minorEastAsia" w:eastAsiaTheme="minorEastAsia"/>
                <w:szCs w:val="21"/>
              </w:rPr>
              <w:t>32</w:t>
            </w:r>
            <w:r>
              <w:rPr>
                <w:rFonts w:hAnsiTheme="minorEastAsia" w:eastAsiaTheme="minorEastAsia"/>
                <w:szCs w:val="21"/>
              </w:rPr>
              <w:t>6</w:t>
            </w:r>
          </w:p>
        </w:tc>
      </w:tr>
    </w:tbl>
    <w:p>
      <w:pPr>
        <w:spacing w:line="360" w:lineRule="auto"/>
        <w:ind w:firstLine="480" w:firstLineChars="200"/>
        <w:rPr>
          <w:rFonts w:eastAsiaTheme="minorEastAsia"/>
          <w:bCs/>
          <w:sz w:val="24"/>
        </w:rPr>
      </w:pPr>
      <w:r>
        <w:rPr>
          <w:rFonts w:eastAsiaTheme="minorEastAsia"/>
          <w:bCs/>
          <w:sz w:val="24"/>
        </w:rPr>
        <w:t>4、评价等级的确定</w:t>
      </w:r>
    </w:p>
    <w:p>
      <w:pPr>
        <w:pStyle w:val="124"/>
        <w:rPr>
          <w:rFonts w:ascii="Times New Roman" w:hAnsi="Times New Roman" w:cs="Times New Roman" w:eastAsiaTheme="minorEastAsia"/>
          <w:szCs w:val="24"/>
        </w:rPr>
      </w:pPr>
      <w:r>
        <w:rPr>
          <w:rFonts w:ascii="Times New Roman" w:hAnsi="Times New Roman" w:cs="Times New Roman" w:eastAsiaTheme="minorEastAsia"/>
          <w:szCs w:val="24"/>
        </w:rPr>
        <w:t>HJ2.2-2018</w:t>
      </w:r>
      <w:r>
        <w:rPr>
          <w:rFonts w:ascii="Times New Roman" w:cs="Times New Roman" w:hAnsiTheme="minorEastAsia" w:eastAsiaTheme="minorEastAsia"/>
          <w:szCs w:val="24"/>
        </w:rPr>
        <w:t>大气环境影响评价技术导则中大气环境影响评价等级的确定依据见表</w:t>
      </w:r>
      <w:r>
        <w:rPr>
          <w:rFonts w:ascii="Times New Roman" w:hAnsi="Times New Roman" w:cs="Times New Roman" w:eastAsiaTheme="minorEastAsia"/>
          <w:szCs w:val="24"/>
        </w:rPr>
        <w:t>5.2-</w:t>
      </w:r>
      <w:r>
        <w:rPr>
          <w:rFonts w:hint="eastAsia" w:ascii="Times New Roman" w:hAnsi="Times New Roman" w:cs="Times New Roman" w:eastAsiaTheme="minorEastAsia"/>
          <w:szCs w:val="24"/>
        </w:rPr>
        <w:t>3</w:t>
      </w:r>
      <w:r>
        <w:rPr>
          <w:rFonts w:ascii="Times New Roman" w:cs="Times New Roman" w:hAnsiTheme="minorEastAsia" w:eastAsiaTheme="minorEastAsia"/>
          <w:szCs w:val="24"/>
        </w:rPr>
        <w:t>所示。</w:t>
      </w:r>
    </w:p>
    <w:p>
      <w:pPr>
        <w:autoSpaceDE w:val="0"/>
        <w:autoSpaceDN w:val="0"/>
        <w:adjustRightInd w:val="0"/>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5.2-</w:t>
      </w:r>
      <w:r>
        <w:rPr>
          <w:rFonts w:hint="eastAsia" w:eastAsiaTheme="minorEastAsia"/>
          <w:b/>
          <w:szCs w:val="21"/>
        </w:rPr>
        <w:t>3</w:t>
      </w:r>
      <w:r>
        <w:rPr>
          <w:rFonts w:eastAsiaTheme="minorEastAsia"/>
          <w:b/>
          <w:szCs w:val="21"/>
        </w:rPr>
        <w:t xml:space="preserve"> </w:t>
      </w:r>
      <w:r>
        <w:rPr>
          <w:rFonts w:hAnsiTheme="minorEastAsia" w:eastAsiaTheme="minorEastAsia"/>
          <w:b/>
          <w:szCs w:val="21"/>
        </w:rPr>
        <w:t>环境空气评价等级划分原则</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56"/>
        <w:gridCol w:w="67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1376" w:type="pct"/>
            <w:tcBorders>
              <w:top w:val="single" w:color="auto" w:sz="12" w:space="0"/>
              <w:left w:val="single" w:color="auto" w:sz="12" w:space="0"/>
              <w:bottom w:val="single" w:color="auto" w:sz="6" w:space="0"/>
              <w:right w:val="single" w:color="auto" w:sz="6" w:space="0"/>
            </w:tcBorders>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评价工作等级</w:t>
            </w:r>
          </w:p>
        </w:tc>
        <w:tc>
          <w:tcPr>
            <w:tcW w:w="3624" w:type="pct"/>
            <w:tcBorders>
              <w:top w:val="single" w:color="auto" w:sz="12" w:space="0"/>
              <w:left w:val="single" w:color="auto" w:sz="6" w:space="0"/>
              <w:bottom w:val="single" w:color="auto" w:sz="6" w:space="0"/>
              <w:right w:val="single" w:color="auto" w:sz="12" w:space="0"/>
            </w:tcBorders>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分级依据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1376" w:type="pct"/>
            <w:tcBorders>
              <w:top w:val="single" w:color="auto" w:sz="6" w:space="0"/>
              <w:left w:val="single" w:color="auto" w:sz="12" w:space="0"/>
              <w:bottom w:val="single" w:color="auto" w:sz="6" w:space="0"/>
              <w:right w:val="single" w:color="auto" w:sz="6" w:space="0"/>
            </w:tcBorders>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一级</w:t>
            </w:r>
          </w:p>
        </w:tc>
        <w:tc>
          <w:tcPr>
            <w:tcW w:w="3624" w:type="pct"/>
            <w:tcBorders>
              <w:top w:val="single" w:color="auto" w:sz="6" w:space="0"/>
              <w:left w:val="single" w:color="auto" w:sz="6" w:space="0"/>
              <w:bottom w:val="single" w:color="auto" w:sz="6" w:space="0"/>
              <w:right w:val="single" w:color="auto" w:sz="12" w:space="0"/>
            </w:tcBorders>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P</w:t>
            </w:r>
            <w:r>
              <w:rPr>
                <w:rFonts w:ascii="Times New Roman" w:hAnsi="Times New Roman" w:cs="Times New Roman"/>
                <w:sz w:val="21"/>
                <w:szCs w:val="21"/>
                <w:vertAlign w:val="subscript"/>
              </w:rPr>
              <w:t>max</w:t>
            </w:r>
            <w:r>
              <w:rPr>
                <w:rFonts w:ascii="Times New Roman" w:hAnsi="Times New Roman" w:cs="Times New Roman"/>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1376" w:type="pct"/>
            <w:tcBorders>
              <w:top w:val="single" w:color="auto" w:sz="6" w:space="0"/>
              <w:left w:val="single" w:color="auto" w:sz="12" w:space="0"/>
              <w:bottom w:val="single" w:color="auto" w:sz="6" w:space="0"/>
              <w:right w:val="single" w:color="auto" w:sz="6" w:space="0"/>
            </w:tcBorders>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二级</w:t>
            </w:r>
          </w:p>
        </w:tc>
        <w:tc>
          <w:tcPr>
            <w:tcW w:w="3624" w:type="pct"/>
            <w:tcBorders>
              <w:top w:val="single" w:color="auto" w:sz="6" w:space="0"/>
              <w:left w:val="single" w:color="auto" w:sz="6" w:space="0"/>
              <w:bottom w:val="single" w:color="auto" w:sz="6" w:space="0"/>
              <w:right w:val="single" w:color="auto" w:sz="12" w:space="0"/>
            </w:tcBorders>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1%≤P</w:t>
            </w:r>
            <w:r>
              <w:rPr>
                <w:rFonts w:ascii="Times New Roman" w:hAnsi="Times New Roman" w:cs="Times New Roman"/>
                <w:sz w:val="21"/>
                <w:szCs w:val="21"/>
                <w:vertAlign w:val="subscript"/>
              </w:rPr>
              <w:t>max</w:t>
            </w:r>
            <w:r>
              <w:rPr>
                <w:rFonts w:ascii="Times New Roman" w:hAnsi="Times New Roman" w:cs="Times New Roman"/>
                <w:sz w:val="21"/>
                <w:szCs w:val="21"/>
              </w:rPr>
              <w:t>&lt;10%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1376" w:type="pct"/>
            <w:tcBorders>
              <w:top w:val="single" w:color="auto" w:sz="6" w:space="0"/>
              <w:left w:val="single" w:color="auto" w:sz="12" w:space="0"/>
              <w:bottom w:val="single" w:color="auto" w:sz="12" w:space="0"/>
              <w:right w:val="single" w:color="auto" w:sz="6" w:space="0"/>
            </w:tcBorders>
            <w:vAlign w:val="center"/>
          </w:tcPr>
          <w:p>
            <w:pPr>
              <w:pStyle w:val="122"/>
              <w:spacing w:line="240" w:lineRule="auto"/>
              <w:rPr>
                <w:rFonts w:ascii="Times New Roman" w:hAnsi="Times New Roman" w:cs="Times New Roman"/>
                <w:sz w:val="21"/>
                <w:szCs w:val="21"/>
              </w:rPr>
            </w:pPr>
            <w:r>
              <w:rPr>
                <w:rFonts w:ascii="Times New Roman" w:cs="Times New Roman" w:hAnsiTheme="minorEastAsia"/>
                <w:sz w:val="21"/>
                <w:szCs w:val="21"/>
              </w:rPr>
              <w:t>三级</w:t>
            </w:r>
          </w:p>
        </w:tc>
        <w:tc>
          <w:tcPr>
            <w:tcW w:w="3624" w:type="pct"/>
            <w:tcBorders>
              <w:top w:val="single" w:color="auto" w:sz="6" w:space="0"/>
              <w:left w:val="single" w:color="auto" w:sz="6" w:space="0"/>
              <w:bottom w:val="single" w:color="auto" w:sz="12" w:space="0"/>
              <w:right w:val="single" w:color="auto" w:sz="12" w:space="0"/>
            </w:tcBorders>
            <w:vAlign w:val="center"/>
          </w:tcPr>
          <w:p>
            <w:pPr>
              <w:pStyle w:val="122"/>
              <w:spacing w:line="240" w:lineRule="auto"/>
              <w:rPr>
                <w:rFonts w:ascii="Times New Roman" w:hAnsi="Times New Roman" w:cs="Times New Roman"/>
                <w:sz w:val="21"/>
                <w:szCs w:val="21"/>
              </w:rPr>
            </w:pPr>
            <w:r>
              <w:rPr>
                <w:rFonts w:ascii="Times New Roman" w:hAnsi="Times New Roman" w:cs="Times New Roman"/>
                <w:sz w:val="21"/>
                <w:szCs w:val="21"/>
              </w:rPr>
              <w:t>P</w:t>
            </w:r>
            <w:r>
              <w:rPr>
                <w:rFonts w:ascii="Times New Roman" w:hAnsi="Times New Roman" w:cs="Times New Roman"/>
                <w:sz w:val="21"/>
                <w:szCs w:val="21"/>
                <w:vertAlign w:val="subscript"/>
              </w:rPr>
              <w:t>max</w:t>
            </w:r>
            <w:r>
              <w:rPr>
                <w:rFonts w:ascii="Times New Roman" w:hAnsi="Times New Roman" w:cs="Times New Roman"/>
                <w:sz w:val="21"/>
                <w:szCs w:val="21"/>
              </w:rPr>
              <w:t>&lt;1%</w:t>
            </w:r>
          </w:p>
        </w:tc>
      </w:tr>
    </w:tbl>
    <w:p>
      <w:pPr>
        <w:pStyle w:val="124"/>
        <w:rPr>
          <w:rFonts w:ascii="Times New Roman" w:hAnsi="Times New Roman" w:cs="Times New Roman" w:eastAsiaTheme="minorEastAsia"/>
          <w:szCs w:val="24"/>
        </w:rPr>
      </w:pPr>
      <w:r>
        <w:rPr>
          <w:rFonts w:ascii="Times New Roman" w:hAnsi="Times New Roman" w:cs="Times New Roman" w:eastAsiaTheme="minorEastAsia"/>
          <w:szCs w:val="24"/>
        </w:rPr>
        <w:t>采用HJ2.2-2018推荐模式清单中的AERSCREEN估算模式，并导入地形参数，分别计算本项目各污染源排放的各污染物的下风向轴线浓度，并根据下风向最大浓度计算相应的浓度占标率Pmax，以此确定评价等级，估算模式参数表见表5.2-</w:t>
      </w:r>
      <w:r>
        <w:rPr>
          <w:rFonts w:hint="eastAsia" w:ascii="Times New Roman" w:hAnsi="Times New Roman" w:cs="Times New Roman" w:eastAsiaTheme="minorEastAsia"/>
          <w:szCs w:val="24"/>
        </w:rPr>
        <w:t>4</w:t>
      </w:r>
      <w:r>
        <w:rPr>
          <w:rFonts w:ascii="Times New Roman" w:hAnsi="Times New Roman" w:cs="Times New Roman" w:eastAsiaTheme="minorEastAsia"/>
          <w:szCs w:val="24"/>
        </w:rPr>
        <w:t>。</w:t>
      </w:r>
    </w:p>
    <w:p>
      <w:pPr>
        <w:autoSpaceDE w:val="0"/>
        <w:autoSpaceDN w:val="0"/>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5.2-</w:t>
      </w:r>
      <w:r>
        <w:rPr>
          <w:rFonts w:hint="eastAsia" w:eastAsiaTheme="minorEastAsia"/>
          <w:b/>
          <w:szCs w:val="21"/>
        </w:rPr>
        <w:t>4</w:t>
      </w:r>
      <w:r>
        <w:rPr>
          <w:rFonts w:eastAsiaTheme="minorEastAsia"/>
          <w:b/>
          <w:szCs w:val="21"/>
        </w:rPr>
        <w:t xml:space="preserve"> </w:t>
      </w:r>
      <w:r>
        <w:rPr>
          <w:rFonts w:hAnsiTheme="minorEastAsia" w:eastAsiaTheme="minorEastAsia"/>
          <w:b/>
          <w:szCs w:val="21"/>
        </w:rPr>
        <w:t>估算模型参数表</w:t>
      </w:r>
    </w:p>
    <w:tbl>
      <w:tblPr>
        <w:tblStyle w:val="24"/>
        <w:tblW w:w="501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34"/>
        <w:gridCol w:w="1548"/>
        <w:gridCol w:w="2862"/>
        <w:gridCol w:w="20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60" w:type="pct"/>
            <w:gridSpan w:val="3"/>
            <w:tcBorders>
              <w:top w:val="single" w:color="000000" w:sz="12" w:space="0"/>
              <w:left w:val="single" w:color="000000" w:sz="12" w:space="0"/>
              <w:bottom w:val="single" w:color="000000" w:sz="4" w:space="0"/>
              <w:right w:val="single" w:color="auto" w:sz="4" w:space="0"/>
            </w:tcBorders>
            <w:vAlign w:val="center"/>
          </w:tcPr>
          <w:p>
            <w:pPr>
              <w:jc w:val="center"/>
              <w:textAlignment w:val="baseline"/>
              <w:rPr>
                <w:rFonts w:eastAsiaTheme="minorEastAsia"/>
                <w:szCs w:val="21"/>
              </w:rPr>
            </w:pPr>
            <w:r>
              <w:rPr>
                <w:rFonts w:hAnsiTheme="minorEastAsia" w:eastAsiaTheme="minorEastAsia"/>
                <w:szCs w:val="21"/>
              </w:rPr>
              <w:t>参数</w:t>
            </w:r>
          </w:p>
        </w:tc>
        <w:tc>
          <w:tcPr>
            <w:tcW w:w="1140" w:type="pct"/>
            <w:tcBorders>
              <w:top w:val="single" w:color="000000" w:sz="12" w:space="0"/>
              <w:left w:val="single" w:color="auto" w:sz="4" w:space="0"/>
              <w:bottom w:val="single" w:color="000000" w:sz="4" w:space="0"/>
              <w:right w:val="single" w:color="000000" w:sz="12" w:space="0"/>
            </w:tcBorders>
            <w:vAlign w:val="center"/>
          </w:tcPr>
          <w:p>
            <w:pPr>
              <w:jc w:val="center"/>
              <w:textAlignment w:val="baseline"/>
              <w:rPr>
                <w:rFonts w:eastAsiaTheme="minorEastAsia"/>
                <w:szCs w:val="21"/>
              </w:rPr>
            </w:pPr>
            <w:r>
              <w:rPr>
                <w:rFonts w:hAnsiTheme="minorEastAsia" w:eastAsiaTheme="minorEastAsia"/>
                <w:szCs w:val="21"/>
              </w:rPr>
              <w:t>取值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444" w:type="pct"/>
            <w:vMerge w:val="restart"/>
            <w:tcBorders>
              <w:top w:val="single" w:color="000000" w:sz="4" w:space="0"/>
              <w:left w:val="single" w:color="000000" w:sz="12" w:space="0"/>
              <w:bottom w:val="single" w:color="000000" w:sz="4" w:space="0"/>
              <w:right w:val="single" w:color="auto" w:sz="4" w:space="0"/>
            </w:tcBorders>
            <w:vAlign w:val="center"/>
          </w:tcPr>
          <w:p>
            <w:pPr>
              <w:jc w:val="center"/>
              <w:rPr>
                <w:rFonts w:eastAsiaTheme="minorEastAsia"/>
                <w:szCs w:val="21"/>
              </w:rPr>
            </w:pPr>
            <w:r>
              <w:rPr>
                <w:rFonts w:hAnsiTheme="minorEastAsia" w:eastAsiaTheme="minorEastAsia"/>
                <w:szCs w:val="21"/>
              </w:rPr>
              <w:t>城市</w:t>
            </w:r>
            <w:r>
              <w:rPr>
                <w:rFonts w:eastAsiaTheme="minorEastAsia"/>
                <w:szCs w:val="21"/>
              </w:rPr>
              <w:t>/</w:t>
            </w:r>
            <w:r>
              <w:rPr>
                <w:rFonts w:hAnsiTheme="minorEastAsia" w:eastAsiaTheme="minorEastAsia"/>
                <w:szCs w:val="21"/>
              </w:rPr>
              <w:t>农村选项</w:t>
            </w:r>
          </w:p>
        </w:tc>
        <w:tc>
          <w:tcPr>
            <w:tcW w:w="2416" w:type="pct"/>
            <w:gridSpan w:val="2"/>
            <w:tcBorders>
              <w:top w:val="single" w:color="000000" w:sz="4" w:space="0"/>
              <w:left w:val="single" w:color="auto" w:sz="4"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城市</w:t>
            </w:r>
            <w:r>
              <w:rPr>
                <w:rFonts w:eastAsiaTheme="minorEastAsia"/>
                <w:szCs w:val="21"/>
              </w:rPr>
              <w:t>/</w:t>
            </w:r>
            <w:r>
              <w:rPr>
                <w:rFonts w:hAnsiTheme="minorEastAsia" w:eastAsiaTheme="minorEastAsia"/>
                <w:szCs w:val="21"/>
              </w:rPr>
              <w:t>农村</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hAnsiTheme="minorEastAsia" w:eastAsiaTheme="minorEastAsia"/>
                <w:szCs w:val="21"/>
              </w:rPr>
              <w:t>农村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444" w:type="pct"/>
            <w:vMerge w:val="continue"/>
            <w:tcBorders>
              <w:top w:val="single" w:color="000000" w:sz="4" w:space="0"/>
              <w:left w:val="single" w:color="000000" w:sz="12" w:space="0"/>
              <w:bottom w:val="single" w:color="000000" w:sz="4" w:space="0"/>
              <w:right w:val="single" w:color="auto" w:sz="4" w:space="0"/>
            </w:tcBorders>
            <w:vAlign w:val="center"/>
          </w:tcPr>
          <w:p>
            <w:pPr>
              <w:widowControl/>
              <w:jc w:val="left"/>
              <w:rPr>
                <w:rFonts w:eastAsiaTheme="minorEastAsia"/>
                <w:szCs w:val="21"/>
              </w:rPr>
            </w:pPr>
          </w:p>
        </w:tc>
        <w:tc>
          <w:tcPr>
            <w:tcW w:w="2416" w:type="pct"/>
            <w:gridSpan w:val="2"/>
            <w:tcBorders>
              <w:top w:val="single" w:color="000000" w:sz="4" w:space="0"/>
              <w:left w:val="single" w:color="auto" w:sz="4"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人口数（城市选项时）</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eastAsiaTheme="minorEastAsia"/>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860" w:type="pct"/>
            <w:gridSpan w:val="3"/>
            <w:tcBorders>
              <w:top w:val="single" w:color="000000" w:sz="4" w:space="0"/>
              <w:left w:val="single" w:color="000000" w:sz="12"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最高环境温度</w:t>
            </w:r>
            <w:r>
              <w:rPr>
                <w:rFonts w:eastAsiaTheme="minorEastAsia"/>
                <w:szCs w:val="21"/>
              </w:rPr>
              <w:t>/</w:t>
            </w:r>
            <w:r>
              <w:rPr>
                <w:rFonts w:asciiTheme="minorEastAsia" w:hAnsiTheme="minorEastAsia" w:eastAsiaTheme="minorEastAsia"/>
                <w:szCs w:val="21"/>
              </w:rPr>
              <w:t>℃</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hint="eastAsia" w:eastAsiaTheme="minorEastAsia"/>
                <w:szCs w:val="21"/>
              </w:rPr>
              <w:t>23.4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860" w:type="pct"/>
            <w:gridSpan w:val="3"/>
            <w:tcBorders>
              <w:top w:val="single" w:color="000000" w:sz="4" w:space="0"/>
              <w:left w:val="single" w:color="000000" w:sz="12"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最低环境温度</w:t>
            </w:r>
            <w:r>
              <w:rPr>
                <w:rFonts w:eastAsiaTheme="minorEastAsia"/>
                <w:szCs w:val="21"/>
              </w:rPr>
              <w:t>/</w:t>
            </w:r>
            <w:r>
              <w:rPr>
                <w:rFonts w:asciiTheme="minorEastAsia" w:hAnsiTheme="minorEastAsia" w:eastAsiaTheme="minorEastAsia"/>
                <w:szCs w:val="21"/>
              </w:rPr>
              <w:t>℃</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eastAsiaTheme="minorEastAsia"/>
                <w:szCs w:val="21"/>
              </w:rPr>
              <w:t>-</w:t>
            </w:r>
            <w:r>
              <w:rPr>
                <w:rFonts w:hint="eastAsia" w:eastAsiaTheme="minorEastAsia"/>
                <w:szCs w:val="21"/>
              </w:rPr>
              <w:t>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3860" w:type="pct"/>
            <w:gridSpan w:val="3"/>
            <w:tcBorders>
              <w:top w:val="single" w:color="000000" w:sz="4" w:space="0"/>
              <w:left w:val="single" w:color="000000" w:sz="12"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土地利用类型</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hint="eastAsia" w:hAnsiTheme="minorEastAsia" w:eastAsiaTheme="minorEastAsia"/>
                <w:szCs w:val="21"/>
              </w:rPr>
              <w:t>草地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860" w:type="pct"/>
            <w:gridSpan w:val="3"/>
            <w:tcBorders>
              <w:top w:val="single" w:color="000000" w:sz="4" w:space="0"/>
              <w:left w:val="single" w:color="000000" w:sz="12"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区域湿度条件</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hAnsiTheme="minorEastAsia" w:eastAsiaTheme="minorEastAsia"/>
                <w:szCs w:val="21"/>
              </w:rPr>
              <w:t>半湿润地区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2292" w:type="pct"/>
            <w:gridSpan w:val="2"/>
            <w:vMerge w:val="restart"/>
            <w:tcBorders>
              <w:top w:val="single" w:color="000000" w:sz="4" w:space="0"/>
              <w:left w:val="single" w:color="000000" w:sz="12"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是否考虑地形</w:t>
            </w:r>
          </w:p>
        </w:tc>
        <w:tc>
          <w:tcPr>
            <w:tcW w:w="1568" w:type="pct"/>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考虑地形</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hAnsiTheme="minorEastAsia" w:eastAsiaTheme="minorEastAsia"/>
                <w:szCs w:val="21"/>
              </w:rPr>
              <w:t>是</w:t>
            </w:r>
            <w:r>
              <w:rPr>
                <w:rFonts w:eastAsiaTheme="minorEastAsia"/>
                <w:szCs w:val="21"/>
              </w:rPr>
              <w:sym w:font="Wingdings 2" w:char="0052"/>
            </w:r>
            <w:r>
              <w:rPr>
                <w:rFonts w:eastAsiaTheme="minorEastAsia"/>
                <w:szCs w:val="21"/>
              </w:rPr>
              <w:t xml:space="preserve">  </w:t>
            </w:r>
            <w:r>
              <w:rPr>
                <w:rFonts w:hAnsiTheme="minorEastAsia" w:eastAsiaTheme="minorEastAsia"/>
                <w:szCs w:val="21"/>
              </w:rPr>
              <w:t>否</w:t>
            </w:r>
            <w:r>
              <w:rPr>
                <w:rFonts w:eastAsiaTheme="minorEastAsia"/>
                <w:szCs w:val="21"/>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292" w:type="pct"/>
            <w:gridSpan w:val="2"/>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rFonts w:eastAsiaTheme="minorEastAsia"/>
                <w:szCs w:val="21"/>
              </w:rPr>
            </w:pPr>
          </w:p>
        </w:tc>
        <w:tc>
          <w:tcPr>
            <w:tcW w:w="1568" w:type="pct"/>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地形数据分辨率</w:t>
            </w:r>
            <w:r>
              <w:rPr>
                <w:rFonts w:eastAsiaTheme="minorEastAsia"/>
                <w:szCs w:val="21"/>
              </w:rPr>
              <w:t>/m</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eastAsiaTheme="minorEastAsia"/>
                <w:szCs w:val="21"/>
              </w:rPr>
              <w:t>90m×90m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2292" w:type="pct"/>
            <w:gridSpan w:val="2"/>
            <w:vMerge w:val="restart"/>
            <w:tcBorders>
              <w:top w:val="single" w:color="000000" w:sz="4" w:space="0"/>
              <w:left w:val="single" w:color="000000" w:sz="12" w:space="0"/>
              <w:bottom w:val="single" w:color="000000" w:sz="12"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是否考虑岸线熏烟</w:t>
            </w:r>
          </w:p>
        </w:tc>
        <w:tc>
          <w:tcPr>
            <w:tcW w:w="1568" w:type="pct"/>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考虑岸线熏烟</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hAnsiTheme="minorEastAsia" w:eastAsiaTheme="minorEastAsia"/>
                <w:szCs w:val="21"/>
              </w:rPr>
              <w:t>是</w:t>
            </w:r>
            <w:r>
              <w:rPr>
                <w:rFonts w:eastAsiaTheme="minorEastAsia"/>
                <w:szCs w:val="21"/>
              </w:rPr>
              <w:sym w:font="Wingdings 2" w:char="00A3"/>
            </w:r>
            <w:r>
              <w:rPr>
                <w:rFonts w:eastAsiaTheme="minorEastAsia"/>
                <w:szCs w:val="21"/>
              </w:rPr>
              <w:t xml:space="preserve">  </w:t>
            </w:r>
            <w:r>
              <w:rPr>
                <w:rFonts w:hAnsiTheme="minorEastAsia" w:eastAsiaTheme="minorEastAsia"/>
                <w:szCs w:val="21"/>
              </w:rPr>
              <w:t>否</w:t>
            </w:r>
            <w:r>
              <w:rPr>
                <w:rFonts w:eastAsiaTheme="minorEastAsia"/>
                <w:szCs w:val="21"/>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2292" w:type="pct"/>
            <w:gridSpan w:val="2"/>
            <w:vMerge w:val="continue"/>
            <w:tcBorders>
              <w:top w:val="single" w:color="000000" w:sz="4" w:space="0"/>
              <w:left w:val="single" w:color="000000" w:sz="12" w:space="0"/>
              <w:bottom w:val="single" w:color="000000" w:sz="12" w:space="0"/>
              <w:right w:val="single" w:color="000000" w:sz="4" w:space="0"/>
            </w:tcBorders>
            <w:vAlign w:val="center"/>
          </w:tcPr>
          <w:p>
            <w:pPr>
              <w:widowControl/>
              <w:jc w:val="left"/>
              <w:rPr>
                <w:rFonts w:eastAsiaTheme="minorEastAsia"/>
                <w:szCs w:val="21"/>
              </w:rPr>
            </w:pPr>
          </w:p>
        </w:tc>
        <w:tc>
          <w:tcPr>
            <w:tcW w:w="1568" w:type="pct"/>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岸线距离</w:t>
            </w:r>
            <w:r>
              <w:rPr>
                <w:rFonts w:eastAsiaTheme="minorEastAsia"/>
                <w:szCs w:val="21"/>
              </w:rPr>
              <w:t>/km</w:t>
            </w:r>
          </w:p>
        </w:tc>
        <w:tc>
          <w:tcPr>
            <w:tcW w:w="1140" w:type="pct"/>
            <w:tcBorders>
              <w:top w:val="single" w:color="000000" w:sz="4" w:space="0"/>
              <w:left w:val="single" w:color="000000" w:sz="4" w:space="0"/>
              <w:bottom w:val="single" w:color="000000" w:sz="4" w:space="0"/>
              <w:right w:val="single" w:color="000000" w:sz="12" w:space="0"/>
            </w:tcBorders>
            <w:vAlign w:val="center"/>
          </w:tcPr>
          <w:p>
            <w:pPr>
              <w:jc w:val="center"/>
              <w:textAlignment w:val="baseline"/>
              <w:rPr>
                <w:rFonts w:eastAsiaTheme="minorEastAsia"/>
                <w:szCs w:val="21"/>
              </w:rPr>
            </w:pPr>
            <w:r>
              <w:rPr>
                <w:rFonts w:eastAsiaTheme="minorEastAsia"/>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292" w:type="pct"/>
            <w:gridSpan w:val="2"/>
            <w:vMerge w:val="continue"/>
            <w:tcBorders>
              <w:top w:val="single" w:color="000000" w:sz="4" w:space="0"/>
              <w:left w:val="single" w:color="000000" w:sz="12" w:space="0"/>
              <w:bottom w:val="single" w:color="000000" w:sz="12" w:space="0"/>
              <w:right w:val="single" w:color="000000" w:sz="4" w:space="0"/>
            </w:tcBorders>
            <w:vAlign w:val="center"/>
          </w:tcPr>
          <w:p>
            <w:pPr>
              <w:widowControl/>
              <w:jc w:val="left"/>
              <w:rPr>
                <w:rFonts w:eastAsiaTheme="minorEastAsia"/>
                <w:szCs w:val="21"/>
              </w:rPr>
            </w:pPr>
          </w:p>
        </w:tc>
        <w:tc>
          <w:tcPr>
            <w:tcW w:w="1568" w:type="pct"/>
            <w:tcBorders>
              <w:top w:val="single" w:color="000000" w:sz="4" w:space="0"/>
              <w:left w:val="single" w:color="000000" w:sz="4" w:space="0"/>
              <w:bottom w:val="single" w:color="000000" w:sz="12" w:space="0"/>
              <w:right w:val="single" w:color="000000" w:sz="4" w:space="0"/>
            </w:tcBorders>
            <w:vAlign w:val="center"/>
          </w:tcPr>
          <w:p>
            <w:pPr>
              <w:jc w:val="center"/>
              <w:textAlignment w:val="baseline"/>
              <w:rPr>
                <w:rFonts w:eastAsiaTheme="minorEastAsia"/>
                <w:szCs w:val="21"/>
              </w:rPr>
            </w:pPr>
            <w:r>
              <w:rPr>
                <w:rFonts w:hAnsiTheme="minorEastAsia" w:eastAsiaTheme="minorEastAsia"/>
                <w:szCs w:val="21"/>
              </w:rPr>
              <w:t>岸线方向</w:t>
            </w:r>
            <w:r>
              <w:rPr>
                <w:rFonts w:eastAsiaTheme="minorEastAsia"/>
                <w:szCs w:val="21"/>
              </w:rPr>
              <w:t>/°</w:t>
            </w:r>
          </w:p>
        </w:tc>
        <w:tc>
          <w:tcPr>
            <w:tcW w:w="1140" w:type="pct"/>
            <w:tcBorders>
              <w:top w:val="single" w:color="000000" w:sz="4" w:space="0"/>
              <w:left w:val="single" w:color="000000" w:sz="4" w:space="0"/>
              <w:bottom w:val="single" w:color="000000" w:sz="12" w:space="0"/>
              <w:right w:val="single" w:color="000000" w:sz="12" w:space="0"/>
            </w:tcBorders>
            <w:vAlign w:val="center"/>
          </w:tcPr>
          <w:p>
            <w:pPr>
              <w:jc w:val="center"/>
              <w:textAlignment w:val="baseline"/>
              <w:rPr>
                <w:rFonts w:eastAsiaTheme="minorEastAsia"/>
                <w:szCs w:val="21"/>
              </w:rPr>
            </w:pPr>
            <w:r>
              <w:rPr>
                <w:rFonts w:eastAsiaTheme="minorEastAsia"/>
                <w:szCs w:val="21"/>
              </w:rPr>
              <w:t>-</w:t>
            </w:r>
          </w:p>
        </w:tc>
      </w:tr>
    </w:tbl>
    <w:p>
      <w:pPr>
        <w:spacing w:line="360" w:lineRule="auto"/>
        <w:ind w:firstLine="480" w:firstLineChars="200"/>
        <w:rPr>
          <w:rFonts w:eastAsiaTheme="minorEastAsia"/>
          <w:sz w:val="24"/>
        </w:rPr>
      </w:pPr>
      <w:r>
        <w:rPr>
          <w:rFonts w:hAnsiTheme="minorEastAsia" w:eastAsiaTheme="minorEastAsia"/>
          <w:sz w:val="24"/>
        </w:rPr>
        <w:t>本项目采用估算模式计算的评价等级表见表</w:t>
      </w:r>
      <w:r>
        <w:rPr>
          <w:rFonts w:eastAsiaTheme="minorEastAsia"/>
          <w:sz w:val="24"/>
        </w:rPr>
        <w:t>5.2-</w:t>
      </w:r>
      <w:r>
        <w:rPr>
          <w:rFonts w:hint="eastAsia" w:eastAsiaTheme="minorEastAsia"/>
          <w:sz w:val="24"/>
        </w:rPr>
        <w:t>5</w:t>
      </w:r>
      <w:r>
        <w:rPr>
          <w:rFonts w:hAnsiTheme="minorEastAsia" w:eastAsiaTheme="minorEastAsia"/>
          <w:sz w:val="24"/>
        </w:rPr>
        <w:t>，估算模式下污染物预测结果表见表</w:t>
      </w:r>
      <w:r>
        <w:rPr>
          <w:rFonts w:eastAsiaTheme="minorEastAsia"/>
          <w:sz w:val="24"/>
        </w:rPr>
        <w:t>5.2-</w:t>
      </w:r>
      <w:r>
        <w:rPr>
          <w:rFonts w:hint="eastAsia" w:eastAsiaTheme="minorEastAsia"/>
          <w:sz w:val="24"/>
        </w:rPr>
        <w:t>6~表5.2-8</w:t>
      </w:r>
      <w:r>
        <w:rPr>
          <w:rFonts w:hAnsiTheme="minorEastAsia" w:eastAsiaTheme="minorEastAsia"/>
          <w:sz w:val="24"/>
        </w:rPr>
        <w:t>。</w:t>
      </w:r>
    </w:p>
    <w:p>
      <w:pPr>
        <w:autoSpaceDE w:val="0"/>
        <w:autoSpaceDN w:val="0"/>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5.2-</w:t>
      </w:r>
      <w:r>
        <w:rPr>
          <w:rFonts w:hint="eastAsia" w:eastAsiaTheme="minorEastAsia"/>
          <w:b/>
          <w:szCs w:val="21"/>
        </w:rPr>
        <w:t>5</w:t>
      </w:r>
      <w:r>
        <w:rPr>
          <w:rFonts w:eastAsiaTheme="minorEastAsia"/>
          <w:b/>
          <w:szCs w:val="21"/>
        </w:rPr>
        <w:t xml:space="preserve"> </w:t>
      </w:r>
      <w:r>
        <w:rPr>
          <w:rFonts w:hAnsiTheme="minorEastAsia" w:eastAsiaTheme="minorEastAsia"/>
          <w:b/>
          <w:szCs w:val="21"/>
        </w:rPr>
        <w:t>本项目采用估算模式计算的评价等级表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0"/>
        <w:gridCol w:w="1428"/>
        <w:gridCol w:w="852"/>
        <w:gridCol w:w="1185"/>
        <w:gridCol w:w="1070"/>
        <w:gridCol w:w="1181"/>
        <w:gridCol w:w="1135"/>
        <w:gridCol w:w="9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tcBorders>
              <w:right w:val="single" w:color="auto" w:sz="12" w:space="0"/>
            </w:tcBorders>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污染源</w:t>
            </w:r>
          </w:p>
        </w:tc>
        <w:tc>
          <w:tcPr>
            <w:tcW w:w="769" w:type="pct"/>
            <w:tcBorders>
              <w:left w:val="single" w:color="auto" w:sz="12" w:space="0"/>
            </w:tcBorders>
            <w:vAlign w:val="center"/>
          </w:tcPr>
          <w:p>
            <w:pPr>
              <w:spacing w:line="288" w:lineRule="auto"/>
              <w:jc w:val="center"/>
              <w:rPr>
                <w:rFonts w:eastAsiaTheme="minorEastAsia"/>
                <w:kern w:val="0"/>
                <w:sz w:val="18"/>
                <w:szCs w:val="18"/>
              </w:rPr>
            </w:pPr>
            <w:r>
              <w:rPr>
                <w:rFonts w:hint="eastAsia" w:eastAsiaTheme="minorEastAsia"/>
                <w:kern w:val="0"/>
                <w:sz w:val="18"/>
                <w:szCs w:val="18"/>
              </w:rPr>
              <w:t>运行时段</w:t>
            </w:r>
          </w:p>
        </w:tc>
        <w:tc>
          <w:tcPr>
            <w:tcW w:w="459"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污染物名称</w:t>
            </w:r>
          </w:p>
        </w:tc>
        <w:tc>
          <w:tcPr>
            <w:tcW w:w="638"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最大落地浓度（</w:t>
            </w:r>
            <w:r>
              <w:rPr>
                <w:rFonts w:eastAsiaTheme="minorEastAsia"/>
                <w:kern w:val="0"/>
                <w:sz w:val="18"/>
                <w:szCs w:val="18"/>
              </w:rPr>
              <w:t>u</w:t>
            </w:r>
            <w:r>
              <w:rPr>
                <w:rFonts w:eastAsiaTheme="minorEastAsia"/>
                <w:bCs/>
                <w:kern w:val="0"/>
                <w:sz w:val="18"/>
                <w:szCs w:val="18"/>
              </w:rPr>
              <w:t>g/m</w:t>
            </w:r>
            <w:r>
              <w:rPr>
                <w:rFonts w:eastAsiaTheme="minorEastAsia"/>
                <w:bCs/>
                <w:kern w:val="0"/>
                <w:sz w:val="18"/>
                <w:szCs w:val="18"/>
                <w:vertAlign w:val="superscript"/>
              </w:rPr>
              <w:t>3</w:t>
            </w:r>
            <w:r>
              <w:rPr>
                <w:rFonts w:hAnsiTheme="minorEastAsia" w:eastAsiaTheme="minorEastAsia"/>
                <w:kern w:val="0"/>
                <w:sz w:val="18"/>
                <w:szCs w:val="18"/>
              </w:rPr>
              <w:t>）</w:t>
            </w:r>
          </w:p>
        </w:tc>
        <w:tc>
          <w:tcPr>
            <w:tcW w:w="576"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最大浓度落地点（</w:t>
            </w:r>
            <w:r>
              <w:rPr>
                <w:rFonts w:eastAsiaTheme="minorEastAsia"/>
                <w:kern w:val="0"/>
                <w:sz w:val="18"/>
                <w:szCs w:val="18"/>
              </w:rPr>
              <w:t>m</w:t>
            </w:r>
            <w:r>
              <w:rPr>
                <w:rFonts w:hAnsiTheme="minorEastAsia" w:eastAsiaTheme="minorEastAsia"/>
                <w:kern w:val="0"/>
                <w:sz w:val="18"/>
                <w:szCs w:val="18"/>
              </w:rPr>
              <w:t>）</w:t>
            </w:r>
          </w:p>
        </w:tc>
        <w:tc>
          <w:tcPr>
            <w:tcW w:w="636"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最大地面浓度占标率（</w:t>
            </w:r>
            <w:r>
              <w:rPr>
                <w:rFonts w:eastAsiaTheme="minorEastAsia"/>
                <w:kern w:val="0"/>
                <w:sz w:val="18"/>
                <w:szCs w:val="18"/>
              </w:rPr>
              <w:t>%</w:t>
            </w:r>
            <w:r>
              <w:rPr>
                <w:rFonts w:hAnsiTheme="minorEastAsia" w:eastAsiaTheme="minorEastAsia"/>
                <w:kern w:val="0"/>
                <w:sz w:val="18"/>
                <w:szCs w:val="18"/>
              </w:rPr>
              <w:t>）</w:t>
            </w:r>
          </w:p>
        </w:tc>
        <w:tc>
          <w:tcPr>
            <w:tcW w:w="611"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评价标准（</w:t>
            </w:r>
            <w:r>
              <w:rPr>
                <w:rFonts w:eastAsiaTheme="minorEastAsia"/>
                <w:kern w:val="0"/>
                <w:sz w:val="18"/>
                <w:szCs w:val="18"/>
              </w:rPr>
              <w:t>u</w:t>
            </w:r>
            <w:r>
              <w:rPr>
                <w:rFonts w:eastAsiaTheme="minorEastAsia"/>
                <w:bCs/>
                <w:kern w:val="0"/>
                <w:sz w:val="18"/>
                <w:szCs w:val="18"/>
              </w:rPr>
              <w:t>g/m</w:t>
            </w:r>
            <w:r>
              <w:rPr>
                <w:rFonts w:eastAsiaTheme="minorEastAsia"/>
                <w:bCs/>
                <w:kern w:val="0"/>
                <w:sz w:val="18"/>
                <w:szCs w:val="18"/>
                <w:vertAlign w:val="superscript"/>
              </w:rPr>
              <w:t>3</w:t>
            </w:r>
            <w:r>
              <w:rPr>
                <w:rFonts w:hAnsiTheme="minorEastAsia" w:eastAsiaTheme="minorEastAsia"/>
                <w:kern w:val="0"/>
                <w:sz w:val="18"/>
                <w:szCs w:val="18"/>
              </w:rPr>
              <w:t>）</w:t>
            </w:r>
          </w:p>
        </w:tc>
        <w:tc>
          <w:tcPr>
            <w:tcW w:w="525" w:type="pct"/>
            <w:vAlign w:val="center"/>
          </w:tcPr>
          <w:p>
            <w:pPr>
              <w:spacing w:line="288" w:lineRule="auto"/>
              <w:jc w:val="center"/>
              <w:rPr>
                <w:rFonts w:eastAsiaTheme="minorEastAsia"/>
                <w:kern w:val="2"/>
                <w:sz w:val="18"/>
                <w:szCs w:val="18"/>
              </w:rPr>
            </w:pPr>
            <w:r>
              <w:rPr>
                <w:rFonts w:hAnsiTheme="minorEastAsia" w:eastAsiaTheme="minorEastAsia"/>
                <w:kern w:val="0"/>
                <w:sz w:val="18"/>
                <w:szCs w:val="18"/>
              </w:rPr>
              <w:t>推荐评价等级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restart"/>
            <w:tcBorders>
              <w:righ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1#锅炉</w:t>
            </w:r>
          </w:p>
        </w:tc>
        <w:tc>
          <w:tcPr>
            <w:tcW w:w="769" w:type="pct"/>
            <w:vMerge w:val="restart"/>
            <w:tcBorders>
              <w:lef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采暖期</w:t>
            </w:r>
          </w:p>
        </w:tc>
        <w:tc>
          <w:tcPr>
            <w:tcW w:w="459" w:type="pct"/>
            <w:vAlign w:val="center"/>
          </w:tcPr>
          <w:p>
            <w:pPr>
              <w:spacing w:line="288" w:lineRule="auto"/>
              <w:jc w:val="center"/>
              <w:rPr>
                <w:rFonts w:eastAsiaTheme="minorEastAsia"/>
                <w:kern w:val="0"/>
                <w:sz w:val="18"/>
                <w:szCs w:val="18"/>
              </w:rPr>
            </w:pPr>
            <w:r>
              <w:rPr>
                <w:rFonts w:hint="eastAsia" w:eastAsiaTheme="minorEastAsia"/>
                <w:kern w:val="0"/>
                <w:sz w:val="18"/>
                <w:szCs w:val="18"/>
              </w:rPr>
              <w:t>颗粒物</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0.68</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0.15</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0.45</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SO</w:t>
            </w:r>
            <w:r>
              <w:rPr>
                <w:rFonts w:hint="eastAsia" w:eastAsiaTheme="minorEastAsia"/>
                <w:kern w:val="0"/>
                <w:sz w:val="18"/>
                <w:szCs w:val="18"/>
                <w:vertAlign w:val="subscript"/>
              </w:rPr>
              <w:t>2</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4.72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0.94</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0.50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NO</w:t>
            </w:r>
            <w:r>
              <w:rPr>
                <w:rFonts w:hint="eastAsia" w:eastAsiaTheme="minorEastAsia"/>
                <w:kern w:val="0"/>
                <w:sz w:val="18"/>
                <w:szCs w:val="18"/>
                <w:vertAlign w:val="subscript"/>
              </w:rPr>
              <w:t>x</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6.72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3.36</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0.20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restart"/>
            <w:tcBorders>
              <w:lef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非采暖期</w:t>
            </w:r>
          </w:p>
        </w:tc>
        <w:tc>
          <w:tcPr>
            <w:tcW w:w="459" w:type="pct"/>
            <w:vAlign w:val="center"/>
          </w:tcPr>
          <w:p>
            <w:pPr>
              <w:spacing w:line="288" w:lineRule="auto"/>
              <w:jc w:val="center"/>
              <w:rPr>
                <w:rFonts w:eastAsiaTheme="minorEastAsia"/>
                <w:kern w:val="0"/>
                <w:sz w:val="18"/>
                <w:szCs w:val="18"/>
              </w:rPr>
            </w:pPr>
            <w:r>
              <w:rPr>
                <w:rFonts w:hint="eastAsia" w:eastAsiaTheme="minorEastAsia"/>
                <w:kern w:val="0"/>
                <w:sz w:val="18"/>
                <w:szCs w:val="18"/>
              </w:rPr>
              <w:t>颗粒物</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1.20</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59</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0.27</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0.45</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SO</w:t>
            </w:r>
            <w:r>
              <w:rPr>
                <w:rFonts w:hint="eastAsia" w:eastAsiaTheme="minorEastAsia"/>
                <w:kern w:val="0"/>
                <w:sz w:val="18"/>
                <w:szCs w:val="18"/>
                <w:vertAlign w:val="subscript"/>
              </w:rPr>
              <w:t>2</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8.42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59</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1.68</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0.50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NO</w:t>
            </w:r>
            <w:r>
              <w:rPr>
                <w:rFonts w:hint="eastAsia" w:eastAsiaTheme="minorEastAsia"/>
                <w:kern w:val="0"/>
                <w:sz w:val="18"/>
                <w:szCs w:val="18"/>
                <w:vertAlign w:val="subscript"/>
              </w:rPr>
              <w:t>x</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12.0</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59</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5.99</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0.20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restart"/>
            <w:tcBorders>
              <w:righ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2#锅炉</w:t>
            </w:r>
          </w:p>
        </w:tc>
        <w:tc>
          <w:tcPr>
            <w:tcW w:w="769" w:type="pct"/>
            <w:vMerge w:val="restart"/>
            <w:tcBorders>
              <w:left w:val="single" w:color="auto" w:sz="12" w:space="0"/>
            </w:tcBorders>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采暖期</w:t>
            </w:r>
          </w:p>
        </w:tc>
        <w:tc>
          <w:tcPr>
            <w:tcW w:w="459" w:type="pct"/>
            <w:vAlign w:val="center"/>
          </w:tcPr>
          <w:p>
            <w:pPr>
              <w:spacing w:line="288" w:lineRule="auto"/>
              <w:jc w:val="center"/>
              <w:rPr>
                <w:rFonts w:eastAsiaTheme="minorEastAsia"/>
                <w:kern w:val="0"/>
                <w:sz w:val="18"/>
                <w:szCs w:val="18"/>
              </w:rPr>
            </w:pPr>
            <w:r>
              <w:rPr>
                <w:rFonts w:hint="eastAsia" w:eastAsiaTheme="minorEastAsia"/>
                <w:kern w:val="0"/>
                <w:sz w:val="18"/>
                <w:szCs w:val="18"/>
              </w:rPr>
              <w:t>颗粒物</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0.68</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0.15</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0.45</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SO</w:t>
            </w:r>
            <w:r>
              <w:rPr>
                <w:rFonts w:hint="eastAsia" w:eastAsiaTheme="minorEastAsia"/>
                <w:kern w:val="0"/>
                <w:sz w:val="18"/>
                <w:szCs w:val="18"/>
                <w:vertAlign w:val="subscript"/>
              </w:rPr>
              <w:t>2</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4.72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0.94</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0.50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6" w:type="pct"/>
            <w:vMerge w:val="continue"/>
            <w:tcBorders>
              <w:right w:val="single" w:color="auto" w:sz="12" w:space="0"/>
            </w:tcBorders>
            <w:vAlign w:val="center"/>
          </w:tcPr>
          <w:p>
            <w:pPr>
              <w:spacing w:line="288" w:lineRule="auto"/>
              <w:jc w:val="center"/>
              <w:rPr>
                <w:rFonts w:hAnsiTheme="minorEastAsia" w:eastAsiaTheme="minorEastAsia"/>
                <w:kern w:val="0"/>
                <w:sz w:val="18"/>
                <w:szCs w:val="18"/>
              </w:rPr>
            </w:pPr>
          </w:p>
        </w:tc>
        <w:tc>
          <w:tcPr>
            <w:tcW w:w="769" w:type="pct"/>
            <w:vMerge w:val="continue"/>
            <w:tcBorders>
              <w:left w:val="single" w:color="auto" w:sz="12" w:space="0"/>
            </w:tcBorders>
            <w:vAlign w:val="center"/>
          </w:tcPr>
          <w:p>
            <w:pPr>
              <w:spacing w:line="288" w:lineRule="auto"/>
              <w:jc w:val="center"/>
              <w:rPr>
                <w:rFonts w:hAnsiTheme="minorEastAsia" w:eastAsiaTheme="minorEastAsia"/>
                <w:kern w:val="0"/>
                <w:sz w:val="18"/>
                <w:szCs w:val="18"/>
              </w:rPr>
            </w:pPr>
          </w:p>
        </w:tc>
        <w:tc>
          <w:tcPr>
            <w:tcW w:w="459" w:type="pct"/>
            <w:vAlign w:val="center"/>
          </w:tcPr>
          <w:p>
            <w:pPr>
              <w:spacing w:line="288" w:lineRule="auto"/>
              <w:jc w:val="center"/>
              <w:rPr>
                <w:rFonts w:eastAsiaTheme="minorEastAsia"/>
                <w:kern w:val="0"/>
                <w:sz w:val="18"/>
                <w:szCs w:val="18"/>
                <w:vertAlign w:val="subscript"/>
              </w:rPr>
            </w:pPr>
            <w:r>
              <w:rPr>
                <w:rFonts w:hint="eastAsia" w:eastAsiaTheme="minorEastAsia"/>
                <w:kern w:val="0"/>
                <w:sz w:val="18"/>
                <w:szCs w:val="18"/>
              </w:rPr>
              <w:t>NO</w:t>
            </w:r>
            <w:r>
              <w:rPr>
                <w:rFonts w:hint="eastAsia" w:eastAsiaTheme="minorEastAsia"/>
                <w:kern w:val="0"/>
                <w:sz w:val="18"/>
                <w:szCs w:val="18"/>
                <w:vertAlign w:val="subscript"/>
              </w:rPr>
              <w:t>x</w:t>
            </w:r>
          </w:p>
        </w:tc>
        <w:tc>
          <w:tcPr>
            <w:tcW w:w="638" w:type="pct"/>
            <w:vAlign w:val="center"/>
          </w:tcPr>
          <w:p>
            <w:pPr>
              <w:spacing w:line="288" w:lineRule="auto"/>
              <w:jc w:val="center"/>
              <w:rPr>
                <w:rFonts w:eastAsiaTheme="minorEastAsia"/>
                <w:kern w:val="0"/>
                <w:sz w:val="18"/>
                <w:szCs w:val="18"/>
              </w:rPr>
            </w:pPr>
            <w:r>
              <w:rPr>
                <w:rFonts w:hint="eastAsia" w:eastAsiaTheme="minorEastAsia"/>
                <w:kern w:val="0"/>
                <w:sz w:val="18"/>
                <w:szCs w:val="18"/>
              </w:rPr>
              <w:t>6.72</w:t>
            </w:r>
          </w:p>
        </w:tc>
        <w:tc>
          <w:tcPr>
            <w:tcW w:w="576" w:type="pct"/>
            <w:vAlign w:val="center"/>
          </w:tcPr>
          <w:p>
            <w:pPr>
              <w:spacing w:line="288" w:lineRule="auto"/>
              <w:jc w:val="center"/>
              <w:rPr>
                <w:rFonts w:eastAsiaTheme="minorEastAsia"/>
                <w:kern w:val="0"/>
                <w:sz w:val="18"/>
                <w:szCs w:val="18"/>
              </w:rPr>
            </w:pPr>
            <w:r>
              <w:rPr>
                <w:rFonts w:hint="eastAsia" w:eastAsiaTheme="minorEastAsia"/>
                <w:kern w:val="0"/>
                <w:sz w:val="18"/>
                <w:szCs w:val="18"/>
              </w:rPr>
              <w:t>22</w:t>
            </w:r>
          </w:p>
        </w:tc>
        <w:tc>
          <w:tcPr>
            <w:tcW w:w="636" w:type="pct"/>
            <w:vAlign w:val="center"/>
          </w:tcPr>
          <w:p>
            <w:pPr>
              <w:spacing w:line="288" w:lineRule="auto"/>
              <w:jc w:val="center"/>
              <w:rPr>
                <w:rFonts w:eastAsiaTheme="minorEastAsia"/>
                <w:kern w:val="0"/>
                <w:sz w:val="18"/>
                <w:szCs w:val="18"/>
              </w:rPr>
            </w:pPr>
            <w:r>
              <w:rPr>
                <w:rFonts w:hint="eastAsia" w:eastAsiaTheme="minorEastAsia"/>
                <w:kern w:val="0"/>
                <w:sz w:val="18"/>
                <w:szCs w:val="18"/>
              </w:rPr>
              <w:t>3.36</w:t>
            </w:r>
          </w:p>
        </w:tc>
        <w:tc>
          <w:tcPr>
            <w:tcW w:w="611" w:type="pct"/>
            <w:vAlign w:val="center"/>
          </w:tcPr>
          <w:p>
            <w:pPr>
              <w:spacing w:line="288" w:lineRule="auto"/>
              <w:jc w:val="center"/>
              <w:rPr>
                <w:rFonts w:eastAsiaTheme="minorEastAsia"/>
                <w:kern w:val="0"/>
                <w:sz w:val="18"/>
                <w:szCs w:val="18"/>
              </w:rPr>
            </w:pPr>
            <w:r>
              <w:rPr>
                <w:rFonts w:hint="eastAsia" w:eastAsiaTheme="minorEastAsia"/>
                <w:kern w:val="0"/>
                <w:sz w:val="18"/>
                <w:szCs w:val="18"/>
              </w:rPr>
              <w:t>0.20</w:t>
            </w:r>
          </w:p>
        </w:tc>
        <w:tc>
          <w:tcPr>
            <w:tcW w:w="525" w:type="pct"/>
            <w:vAlign w:val="center"/>
          </w:tcPr>
          <w:p>
            <w:pPr>
              <w:spacing w:line="288" w:lineRule="auto"/>
              <w:jc w:val="center"/>
              <w:rPr>
                <w:rFonts w:hAnsiTheme="minorEastAsia" w:eastAsiaTheme="minorEastAsia"/>
                <w:kern w:val="0"/>
                <w:sz w:val="18"/>
                <w:szCs w:val="18"/>
              </w:rPr>
            </w:pPr>
            <w:r>
              <w:rPr>
                <w:rFonts w:hint="eastAsia" w:hAnsiTheme="minorEastAsia" w:eastAsiaTheme="minorEastAsia"/>
                <w:kern w:val="0"/>
                <w:sz w:val="18"/>
                <w:szCs w:val="18"/>
              </w:rPr>
              <w:t>二</w:t>
            </w:r>
          </w:p>
        </w:tc>
      </w:tr>
    </w:tbl>
    <w:p>
      <w:pPr>
        <w:spacing w:line="360" w:lineRule="auto"/>
        <w:ind w:firstLine="480" w:firstLineChars="200"/>
        <w:rPr>
          <w:rFonts w:eastAsiaTheme="minorEastAsia"/>
          <w:sz w:val="24"/>
        </w:rPr>
      </w:pPr>
      <w:r>
        <w:rPr>
          <w:rFonts w:hAnsiTheme="minorEastAsia" w:eastAsiaTheme="minorEastAsia"/>
          <w:sz w:val="24"/>
        </w:rPr>
        <w:t>根据表</w:t>
      </w:r>
      <w:r>
        <w:rPr>
          <w:rFonts w:hint="eastAsia" w:eastAsiaTheme="minorEastAsia"/>
          <w:sz w:val="24"/>
        </w:rPr>
        <w:t>5.2-5</w:t>
      </w:r>
      <w:r>
        <w:rPr>
          <w:rFonts w:hAnsiTheme="minorEastAsia" w:eastAsiaTheme="minorEastAsia"/>
          <w:sz w:val="24"/>
        </w:rPr>
        <w:t>计算结果可知：本项目排放的各种污染物的最大点浓度占标率</w:t>
      </w:r>
      <w:r>
        <w:rPr>
          <w:rFonts w:eastAsiaTheme="minorEastAsia"/>
          <w:sz w:val="24"/>
        </w:rPr>
        <w:t>Pmax=Max</w:t>
      </w:r>
      <w:r>
        <w:rPr>
          <w:rFonts w:hAnsiTheme="minorEastAsia" w:eastAsiaTheme="minorEastAsia"/>
          <w:sz w:val="24"/>
        </w:rPr>
        <w:t>（</w:t>
      </w:r>
      <w:r>
        <w:rPr>
          <w:rFonts w:eastAsiaTheme="minorEastAsia"/>
          <w:sz w:val="24"/>
        </w:rPr>
        <w:t>P</w:t>
      </w:r>
      <w:r>
        <w:rPr>
          <w:rFonts w:hint="eastAsia" w:hAnsiTheme="minorEastAsia" w:eastAsiaTheme="minorEastAsia"/>
          <w:sz w:val="24"/>
          <w:vertAlign w:val="subscript"/>
        </w:rPr>
        <w:t>NOx非采暖期</w:t>
      </w:r>
      <w:r>
        <w:rPr>
          <w:rFonts w:hAnsiTheme="minorEastAsia" w:eastAsiaTheme="minorEastAsia"/>
          <w:sz w:val="24"/>
        </w:rPr>
        <w:t>）</w:t>
      </w:r>
      <w:r>
        <w:rPr>
          <w:rFonts w:eastAsiaTheme="minorEastAsia"/>
          <w:sz w:val="24"/>
        </w:rPr>
        <w:t>=</w:t>
      </w:r>
      <w:r>
        <w:rPr>
          <w:rFonts w:hint="eastAsia" w:eastAsiaTheme="minorEastAsia"/>
          <w:sz w:val="24"/>
        </w:rPr>
        <w:t>5.99</w:t>
      </w:r>
      <w:r>
        <w:rPr>
          <w:rFonts w:eastAsiaTheme="minorEastAsia"/>
          <w:sz w:val="24"/>
        </w:rPr>
        <w:t>%</w:t>
      </w:r>
      <w:r>
        <w:rPr>
          <w:rFonts w:hAnsiTheme="minorEastAsia" w:eastAsiaTheme="minorEastAsia"/>
          <w:sz w:val="24"/>
        </w:rPr>
        <w:t>，</w:t>
      </w:r>
      <w:r>
        <w:rPr>
          <w:rFonts w:eastAsiaTheme="minorEastAsia"/>
          <w:sz w:val="24"/>
        </w:rPr>
        <w:t>Pmax</w:t>
      </w:r>
      <w:r>
        <w:rPr>
          <w:rFonts w:hAnsiTheme="minorEastAsia" w:eastAsiaTheme="minorEastAsia"/>
          <w:sz w:val="24"/>
        </w:rPr>
        <w:t>小于</w:t>
      </w:r>
      <w:r>
        <w:rPr>
          <w:rFonts w:eastAsiaTheme="minorEastAsia"/>
          <w:sz w:val="24"/>
        </w:rPr>
        <w:t>10%</w:t>
      </w:r>
      <w:r>
        <w:rPr>
          <w:rFonts w:hAnsiTheme="minorEastAsia" w:eastAsiaTheme="minorEastAsia"/>
          <w:sz w:val="24"/>
        </w:rPr>
        <w:t>，根据评价等级判别表，本项目的评价工作等级为二级。</w:t>
      </w:r>
    </w:p>
    <w:p>
      <w:pPr>
        <w:autoSpaceDE w:val="0"/>
        <w:autoSpaceDN w:val="0"/>
        <w:spacing w:line="288" w:lineRule="auto"/>
        <w:jc w:val="center"/>
        <w:rPr>
          <w:rFonts w:hAnsiTheme="minorEastAsia" w:eastAsiaTheme="minorEastAsia"/>
          <w:b/>
          <w:szCs w:val="21"/>
          <w:highlight w:val="yellow"/>
        </w:rPr>
      </w:pPr>
    </w:p>
    <w:p>
      <w:pPr>
        <w:autoSpaceDE w:val="0"/>
        <w:autoSpaceDN w:val="0"/>
        <w:spacing w:line="288" w:lineRule="auto"/>
        <w:jc w:val="center"/>
        <w:rPr>
          <w:rFonts w:eastAsiaTheme="minorEastAsia"/>
          <w:b/>
          <w:szCs w:val="21"/>
        </w:rPr>
      </w:pPr>
      <w:r>
        <w:rPr>
          <w:rFonts w:hAnsiTheme="minorEastAsia" w:eastAsiaTheme="minorEastAsia"/>
          <w:b/>
          <w:szCs w:val="21"/>
        </w:rPr>
        <w:t>表</w:t>
      </w:r>
      <w:r>
        <w:rPr>
          <w:rFonts w:eastAsiaTheme="minorEastAsia"/>
          <w:b/>
          <w:szCs w:val="21"/>
        </w:rPr>
        <w:t>5.2-</w:t>
      </w:r>
      <w:r>
        <w:rPr>
          <w:rFonts w:hint="eastAsia" w:eastAsiaTheme="minorEastAsia"/>
          <w:b/>
          <w:szCs w:val="21"/>
        </w:rPr>
        <w:t>6</w:t>
      </w:r>
      <w:r>
        <w:rPr>
          <w:rFonts w:eastAsiaTheme="minorEastAsia"/>
          <w:b/>
          <w:szCs w:val="21"/>
        </w:rPr>
        <w:t xml:space="preserve">  </w:t>
      </w:r>
      <w:r>
        <w:rPr>
          <w:rFonts w:hint="eastAsia" w:hAnsiTheme="minorEastAsia" w:eastAsiaTheme="minorEastAsia"/>
          <w:b/>
          <w:szCs w:val="21"/>
        </w:rPr>
        <w:t>1#锅炉采暖期</w:t>
      </w:r>
      <w:r>
        <w:rPr>
          <w:rFonts w:eastAsiaTheme="minorEastAsia"/>
          <w:b/>
          <w:szCs w:val="21"/>
        </w:rPr>
        <w:t>AERSCREEN</w:t>
      </w:r>
      <w:r>
        <w:rPr>
          <w:rFonts w:hAnsiTheme="minorEastAsia" w:eastAsiaTheme="minorEastAsia"/>
          <w:b/>
          <w:szCs w:val="21"/>
        </w:rPr>
        <w:t>估算模型计算结果一览表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3"/>
        <w:gridCol w:w="1842"/>
        <w:gridCol w:w="1135"/>
        <w:gridCol w:w="1137"/>
        <w:gridCol w:w="1135"/>
        <w:gridCol w:w="992"/>
        <w:gridCol w:w="1138"/>
        <w:gridCol w:w="10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Merge w:val="restart"/>
            <w:vAlign w:val="center"/>
          </w:tcPr>
          <w:p>
            <w:pPr>
              <w:spacing w:line="288" w:lineRule="auto"/>
              <w:jc w:val="center"/>
              <w:rPr>
                <w:rFonts w:eastAsiaTheme="minorEastAsia"/>
                <w:szCs w:val="21"/>
              </w:rPr>
            </w:pPr>
            <w:r>
              <w:rPr>
                <w:rFonts w:hAnsiTheme="minorEastAsia" w:eastAsiaTheme="minorEastAsia"/>
                <w:szCs w:val="21"/>
              </w:rPr>
              <w:t>序号</w:t>
            </w:r>
          </w:p>
        </w:tc>
        <w:tc>
          <w:tcPr>
            <w:tcW w:w="992" w:type="pct"/>
            <w:vMerge w:val="restart"/>
            <w:noWrap/>
            <w:vAlign w:val="center"/>
          </w:tcPr>
          <w:p>
            <w:pPr>
              <w:spacing w:line="288" w:lineRule="auto"/>
              <w:jc w:val="center"/>
              <w:rPr>
                <w:rFonts w:eastAsiaTheme="minorEastAsia"/>
                <w:szCs w:val="21"/>
              </w:rPr>
            </w:pPr>
            <w:r>
              <w:rPr>
                <w:rFonts w:hAnsiTheme="minorEastAsia" w:eastAsiaTheme="minorEastAsia"/>
                <w:szCs w:val="21"/>
              </w:rPr>
              <w:t>下风距离（</w:t>
            </w:r>
            <w:r>
              <w:rPr>
                <w:rFonts w:eastAsiaTheme="minorEastAsia"/>
                <w:szCs w:val="21"/>
              </w:rPr>
              <w:t>m</w:t>
            </w:r>
            <w:r>
              <w:rPr>
                <w:rFonts w:hAnsiTheme="minorEastAsia" w:eastAsiaTheme="minorEastAsia"/>
                <w:szCs w:val="21"/>
              </w:rPr>
              <w:t>）</w:t>
            </w:r>
          </w:p>
        </w:tc>
        <w:tc>
          <w:tcPr>
            <w:tcW w:w="1223" w:type="pct"/>
            <w:gridSpan w:val="2"/>
            <w:noWrap/>
            <w:vAlign w:val="center"/>
          </w:tcPr>
          <w:p>
            <w:pPr>
              <w:spacing w:line="288" w:lineRule="auto"/>
              <w:jc w:val="center"/>
              <w:rPr>
                <w:rFonts w:eastAsiaTheme="minorEastAsia"/>
                <w:szCs w:val="21"/>
                <w:vertAlign w:val="subscript"/>
              </w:rPr>
            </w:pPr>
            <w:r>
              <w:rPr>
                <w:rFonts w:hint="eastAsia" w:hAnsiTheme="minorEastAsia" w:eastAsiaTheme="minorEastAsia"/>
                <w:szCs w:val="21"/>
              </w:rPr>
              <w:t>PM</w:t>
            </w:r>
            <w:r>
              <w:rPr>
                <w:rFonts w:hint="eastAsia" w:hAnsiTheme="minorEastAsia" w:eastAsiaTheme="minorEastAsia"/>
                <w:szCs w:val="21"/>
                <w:vertAlign w:val="subscript"/>
              </w:rPr>
              <w:t>10</w:t>
            </w:r>
          </w:p>
        </w:tc>
        <w:tc>
          <w:tcPr>
            <w:tcW w:w="1145" w:type="pct"/>
            <w:gridSpan w:val="2"/>
            <w:vAlign w:val="center"/>
          </w:tcPr>
          <w:p>
            <w:pPr>
              <w:spacing w:line="288" w:lineRule="auto"/>
              <w:jc w:val="center"/>
              <w:rPr>
                <w:rFonts w:eastAsiaTheme="minorEastAsia"/>
                <w:szCs w:val="21"/>
                <w:vertAlign w:val="subscript"/>
              </w:rPr>
            </w:pPr>
            <w:r>
              <w:rPr>
                <w:rFonts w:hint="eastAsia" w:eastAsiaTheme="minorEastAsia"/>
                <w:szCs w:val="21"/>
              </w:rPr>
              <w:t>SO</w:t>
            </w:r>
            <w:r>
              <w:rPr>
                <w:rFonts w:hint="eastAsia" w:eastAsiaTheme="minorEastAsia"/>
                <w:szCs w:val="21"/>
                <w:vertAlign w:val="subscript"/>
              </w:rPr>
              <w:t>2</w:t>
            </w:r>
          </w:p>
        </w:tc>
        <w:tc>
          <w:tcPr>
            <w:tcW w:w="1202" w:type="pct"/>
            <w:gridSpan w:val="2"/>
            <w:vAlign w:val="center"/>
          </w:tcPr>
          <w:p>
            <w:pPr>
              <w:spacing w:line="288" w:lineRule="auto"/>
              <w:jc w:val="center"/>
              <w:rPr>
                <w:rFonts w:eastAsiaTheme="minorEastAsia"/>
                <w:szCs w:val="21"/>
                <w:vertAlign w:val="subscript"/>
              </w:rPr>
            </w:pPr>
            <w:r>
              <w:rPr>
                <w:rFonts w:hint="eastAsia" w:eastAsiaTheme="minorEastAsia"/>
                <w:szCs w:val="21"/>
              </w:rPr>
              <w:t>NO</w:t>
            </w:r>
            <w:r>
              <w:rPr>
                <w:rFonts w:hint="eastAsia" w:eastAsiaTheme="minorEastAsia"/>
                <w:szCs w:val="21"/>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Merge w:val="continue"/>
            <w:vAlign w:val="center"/>
          </w:tcPr>
          <w:p>
            <w:pPr>
              <w:spacing w:line="288" w:lineRule="auto"/>
              <w:jc w:val="left"/>
              <w:rPr>
                <w:rFonts w:eastAsiaTheme="minorEastAsia"/>
                <w:szCs w:val="21"/>
              </w:rPr>
            </w:pPr>
          </w:p>
        </w:tc>
        <w:tc>
          <w:tcPr>
            <w:tcW w:w="992" w:type="pct"/>
            <w:vMerge w:val="continue"/>
            <w:vAlign w:val="center"/>
          </w:tcPr>
          <w:p>
            <w:pPr>
              <w:spacing w:line="288" w:lineRule="auto"/>
              <w:jc w:val="left"/>
              <w:rPr>
                <w:rFonts w:eastAsiaTheme="minorEastAsia"/>
                <w:szCs w:val="21"/>
              </w:rPr>
            </w:pPr>
          </w:p>
        </w:tc>
        <w:tc>
          <w:tcPr>
            <w:tcW w:w="611" w:type="pct"/>
            <w:noWrap/>
            <w:vAlign w:val="center"/>
          </w:tcPr>
          <w:p>
            <w:pPr>
              <w:spacing w:line="288" w:lineRule="auto"/>
              <w:jc w:val="center"/>
              <w:rPr>
                <w:rFonts w:eastAsiaTheme="minorEastAsia"/>
                <w:szCs w:val="21"/>
              </w:rPr>
            </w:pPr>
            <w:r>
              <w:rPr>
                <w:rFonts w:hAnsiTheme="minorEastAsia" w:eastAsiaTheme="minorEastAsia"/>
                <w:szCs w:val="21"/>
              </w:rPr>
              <w:t>浓度</w:t>
            </w:r>
            <w:r>
              <w:rPr>
                <w:rFonts w:eastAsiaTheme="minorEastAsia"/>
                <w:szCs w:val="21"/>
              </w:rPr>
              <w:t>(μg/m</w:t>
            </w:r>
            <w:r>
              <w:rPr>
                <w:rFonts w:eastAsiaTheme="minorEastAsia"/>
                <w:szCs w:val="21"/>
                <w:vertAlign w:val="superscript"/>
              </w:rPr>
              <w:t>3</w:t>
            </w:r>
            <w:r>
              <w:rPr>
                <w:rFonts w:eastAsiaTheme="minorEastAsia"/>
                <w:szCs w:val="21"/>
              </w:rPr>
              <w:t>)</w:t>
            </w:r>
          </w:p>
        </w:tc>
        <w:tc>
          <w:tcPr>
            <w:tcW w:w="612" w:type="pct"/>
            <w:vAlign w:val="center"/>
          </w:tcPr>
          <w:p>
            <w:pPr>
              <w:spacing w:line="288" w:lineRule="auto"/>
              <w:jc w:val="center"/>
              <w:rPr>
                <w:rFonts w:eastAsiaTheme="minorEastAsia"/>
                <w:szCs w:val="21"/>
              </w:rPr>
            </w:pPr>
            <w:r>
              <w:rPr>
                <w:rFonts w:hAnsiTheme="minorEastAsia" w:eastAsiaTheme="minorEastAsia"/>
                <w:szCs w:val="21"/>
              </w:rPr>
              <w:t>占标率</w:t>
            </w:r>
            <w:r>
              <w:rPr>
                <w:rFonts w:eastAsiaTheme="minorEastAsia"/>
                <w:szCs w:val="21"/>
              </w:rPr>
              <w:t>(%)</w:t>
            </w:r>
          </w:p>
        </w:tc>
        <w:tc>
          <w:tcPr>
            <w:tcW w:w="611" w:type="pct"/>
            <w:vAlign w:val="center"/>
          </w:tcPr>
          <w:p>
            <w:pPr>
              <w:spacing w:line="288" w:lineRule="auto"/>
              <w:jc w:val="center"/>
              <w:rPr>
                <w:rFonts w:eastAsiaTheme="minorEastAsia"/>
                <w:szCs w:val="21"/>
              </w:rPr>
            </w:pPr>
            <w:r>
              <w:rPr>
                <w:rFonts w:hAnsiTheme="minorEastAsia" w:eastAsiaTheme="minorEastAsia"/>
                <w:szCs w:val="21"/>
              </w:rPr>
              <w:t>浓度</w:t>
            </w:r>
            <w:r>
              <w:rPr>
                <w:rFonts w:eastAsiaTheme="minorEastAsia"/>
                <w:szCs w:val="21"/>
              </w:rPr>
              <w:t>(μg/m</w:t>
            </w:r>
            <w:r>
              <w:rPr>
                <w:rFonts w:eastAsiaTheme="minorEastAsia"/>
                <w:szCs w:val="21"/>
                <w:vertAlign w:val="superscript"/>
              </w:rPr>
              <w:t>3</w:t>
            </w:r>
            <w:r>
              <w:rPr>
                <w:rFonts w:eastAsiaTheme="minorEastAsia"/>
                <w:szCs w:val="21"/>
              </w:rPr>
              <w:t>)</w:t>
            </w:r>
          </w:p>
        </w:tc>
        <w:tc>
          <w:tcPr>
            <w:tcW w:w="534" w:type="pct"/>
            <w:vAlign w:val="center"/>
          </w:tcPr>
          <w:p>
            <w:pPr>
              <w:spacing w:line="288" w:lineRule="auto"/>
              <w:jc w:val="center"/>
              <w:rPr>
                <w:rFonts w:eastAsiaTheme="minorEastAsia"/>
                <w:szCs w:val="21"/>
              </w:rPr>
            </w:pPr>
            <w:r>
              <w:rPr>
                <w:rFonts w:hAnsiTheme="minorEastAsia" w:eastAsiaTheme="minorEastAsia"/>
                <w:szCs w:val="21"/>
              </w:rPr>
              <w:t>占标率</w:t>
            </w:r>
            <w:r>
              <w:rPr>
                <w:rFonts w:eastAsiaTheme="minorEastAsia"/>
                <w:szCs w:val="21"/>
              </w:rPr>
              <w:t>(%)</w:t>
            </w:r>
          </w:p>
        </w:tc>
        <w:tc>
          <w:tcPr>
            <w:tcW w:w="613" w:type="pct"/>
            <w:vAlign w:val="center"/>
          </w:tcPr>
          <w:p>
            <w:pPr>
              <w:spacing w:line="288" w:lineRule="auto"/>
              <w:jc w:val="center"/>
              <w:rPr>
                <w:rFonts w:eastAsiaTheme="minorEastAsia"/>
                <w:szCs w:val="21"/>
              </w:rPr>
            </w:pPr>
            <w:r>
              <w:rPr>
                <w:rFonts w:hAnsiTheme="minorEastAsia" w:eastAsiaTheme="minorEastAsia"/>
                <w:szCs w:val="21"/>
              </w:rPr>
              <w:t>浓度</w:t>
            </w:r>
            <w:r>
              <w:rPr>
                <w:rFonts w:eastAsiaTheme="minorEastAsia"/>
                <w:szCs w:val="21"/>
              </w:rPr>
              <w:t>(μg/m</w:t>
            </w:r>
            <w:r>
              <w:rPr>
                <w:rFonts w:eastAsiaTheme="minorEastAsia"/>
                <w:szCs w:val="21"/>
                <w:vertAlign w:val="superscript"/>
              </w:rPr>
              <w:t>3</w:t>
            </w:r>
            <w:r>
              <w:rPr>
                <w:rFonts w:eastAsiaTheme="minorEastAsia"/>
                <w:szCs w:val="21"/>
              </w:rPr>
              <w:t>)</w:t>
            </w:r>
          </w:p>
        </w:tc>
        <w:tc>
          <w:tcPr>
            <w:tcW w:w="589" w:type="pct"/>
            <w:vAlign w:val="center"/>
          </w:tcPr>
          <w:p>
            <w:pPr>
              <w:spacing w:line="288" w:lineRule="auto"/>
              <w:jc w:val="center"/>
              <w:rPr>
                <w:rFonts w:eastAsiaTheme="minorEastAsia"/>
                <w:szCs w:val="21"/>
              </w:rPr>
            </w:pPr>
            <w:r>
              <w:rPr>
                <w:rFonts w:hAnsiTheme="minorEastAsia" w:eastAsiaTheme="minorEastAsia"/>
                <w:szCs w:val="21"/>
              </w:rPr>
              <w:t>占标率</w:t>
            </w: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w:t>
            </w:r>
          </w:p>
        </w:tc>
        <w:tc>
          <w:tcPr>
            <w:tcW w:w="992" w:type="pct"/>
            <w:noWrap/>
            <w:vAlign w:val="center"/>
          </w:tcPr>
          <w:p>
            <w:pPr>
              <w:spacing w:line="288" w:lineRule="auto"/>
              <w:jc w:val="center"/>
              <w:rPr>
                <w:rFonts w:eastAsiaTheme="minorEastAsia"/>
                <w:szCs w:val="21"/>
              </w:rPr>
            </w:pPr>
            <w:r>
              <w:rPr>
                <w:rFonts w:eastAsiaTheme="minorEastAsia"/>
                <w:szCs w:val="21"/>
              </w:rPr>
              <w:t>10</w:t>
            </w:r>
          </w:p>
        </w:tc>
        <w:tc>
          <w:tcPr>
            <w:tcW w:w="611" w:type="pct"/>
            <w:noWrap/>
            <w:vAlign w:val="center"/>
          </w:tcPr>
          <w:p>
            <w:pPr>
              <w:spacing w:line="288" w:lineRule="auto"/>
              <w:jc w:val="center"/>
              <w:rPr>
                <w:rFonts w:eastAsiaTheme="minorEastAsia"/>
                <w:szCs w:val="21"/>
              </w:rPr>
            </w:pPr>
            <w:r>
              <w:rPr>
                <w:rFonts w:hint="eastAsia" w:eastAsiaTheme="minorEastAsia"/>
                <w:szCs w:val="21"/>
              </w:rPr>
              <w:t>0.0618</w:t>
            </w:r>
          </w:p>
        </w:tc>
        <w:tc>
          <w:tcPr>
            <w:tcW w:w="612" w:type="pct"/>
            <w:vAlign w:val="center"/>
          </w:tcPr>
          <w:p>
            <w:pPr>
              <w:spacing w:line="288" w:lineRule="auto"/>
              <w:jc w:val="center"/>
              <w:rPr>
                <w:rFonts w:eastAsiaTheme="minorEastAsia"/>
                <w:szCs w:val="21"/>
              </w:rPr>
            </w:pPr>
            <w:r>
              <w:rPr>
                <w:rFonts w:hint="eastAsia" w:eastAsiaTheme="minorEastAsia"/>
                <w:szCs w:val="21"/>
              </w:rPr>
              <w:t>0.01</w:t>
            </w:r>
          </w:p>
        </w:tc>
        <w:tc>
          <w:tcPr>
            <w:tcW w:w="611" w:type="pct"/>
            <w:vAlign w:val="center"/>
          </w:tcPr>
          <w:p>
            <w:pPr>
              <w:spacing w:line="288" w:lineRule="auto"/>
              <w:jc w:val="center"/>
              <w:rPr>
                <w:rFonts w:eastAsiaTheme="minorEastAsia"/>
                <w:szCs w:val="21"/>
              </w:rPr>
            </w:pPr>
            <w:r>
              <w:rPr>
                <w:rFonts w:hint="eastAsia" w:eastAsiaTheme="minorEastAsia"/>
                <w:szCs w:val="21"/>
              </w:rPr>
              <w:t>0.429</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0.09</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0.610</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2</w:t>
            </w:r>
          </w:p>
        </w:tc>
        <w:tc>
          <w:tcPr>
            <w:tcW w:w="992" w:type="pct"/>
            <w:noWrap/>
            <w:vAlign w:val="center"/>
          </w:tcPr>
          <w:p>
            <w:pPr>
              <w:spacing w:line="288" w:lineRule="auto"/>
              <w:jc w:val="center"/>
              <w:rPr>
                <w:rFonts w:eastAsiaTheme="minorEastAsia"/>
                <w:szCs w:val="21"/>
              </w:rPr>
            </w:pPr>
            <w:r>
              <w:rPr>
                <w:rFonts w:eastAsiaTheme="minorEastAsia"/>
                <w:szCs w:val="21"/>
              </w:rPr>
              <w:t>25</w:t>
            </w:r>
          </w:p>
        </w:tc>
        <w:tc>
          <w:tcPr>
            <w:tcW w:w="611" w:type="pct"/>
            <w:noWrap/>
            <w:vAlign w:val="center"/>
          </w:tcPr>
          <w:p>
            <w:pPr>
              <w:spacing w:line="288" w:lineRule="auto"/>
              <w:jc w:val="center"/>
              <w:rPr>
                <w:rFonts w:eastAsiaTheme="minorEastAsia"/>
                <w:szCs w:val="21"/>
              </w:rPr>
            </w:pPr>
            <w:r>
              <w:rPr>
                <w:rFonts w:hint="eastAsia" w:eastAsiaTheme="minorEastAsia"/>
                <w:szCs w:val="21"/>
              </w:rPr>
              <w:t>0.662</w:t>
            </w:r>
          </w:p>
        </w:tc>
        <w:tc>
          <w:tcPr>
            <w:tcW w:w="612" w:type="pct"/>
            <w:vAlign w:val="center"/>
          </w:tcPr>
          <w:p>
            <w:pPr>
              <w:spacing w:line="288" w:lineRule="auto"/>
              <w:jc w:val="center"/>
              <w:rPr>
                <w:rFonts w:eastAsiaTheme="minorEastAsia"/>
                <w:szCs w:val="21"/>
              </w:rPr>
            </w:pPr>
            <w:r>
              <w:rPr>
                <w:rFonts w:hint="eastAsia" w:eastAsiaTheme="minorEastAsia"/>
                <w:szCs w:val="21"/>
              </w:rPr>
              <w:t>0.15</w:t>
            </w:r>
          </w:p>
        </w:tc>
        <w:tc>
          <w:tcPr>
            <w:tcW w:w="611" w:type="pct"/>
            <w:vAlign w:val="center"/>
          </w:tcPr>
          <w:p>
            <w:pPr>
              <w:spacing w:line="288" w:lineRule="auto"/>
              <w:jc w:val="center"/>
              <w:rPr>
                <w:rFonts w:eastAsiaTheme="minorEastAsia"/>
                <w:szCs w:val="21"/>
              </w:rPr>
            </w:pPr>
            <w:r>
              <w:rPr>
                <w:rFonts w:hint="eastAsia" w:eastAsiaTheme="minorEastAsia"/>
                <w:szCs w:val="21"/>
              </w:rPr>
              <w:t>4.59</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0.92</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6.54</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3.27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3</w:t>
            </w:r>
          </w:p>
        </w:tc>
        <w:tc>
          <w:tcPr>
            <w:tcW w:w="992" w:type="pct"/>
            <w:noWrap/>
            <w:vAlign w:val="center"/>
          </w:tcPr>
          <w:p>
            <w:pPr>
              <w:spacing w:line="288" w:lineRule="auto"/>
              <w:jc w:val="center"/>
              <w:rPr>
                <w:rFonts w:eastAsiaTheme="minorEastAsia"/>
                <w:szCs w:val="21"/>
              </w:rPr>
            </w:pPr>
            <w:r>
              <w:rPr>
                <w:rFonts w:eastAsiaTheme="minorEastAsia"/>
                <w:szCs w:val="21"/>
              </w:rPr>
              <w:t>75</w:t>
            </w:r>
          </w:p>
        </w:tc>
        <w:tc>
          <w:tcPr>
            <w:tcW w:w="611" w:type="pct"/>
            <w:noWrap/>
            <w:vAlign w:val="center"/>
          </w:tcPr>
          <w:p>
            <w:pPr>
              <w:spacing w:line="288" w:lineRule="auto"/>
              <w:jc w:val="center"/>
              <w:rPr>
                <w:rFonts w:eastAsiaTheme="minorEastAsia"/>
                <w:szCs w:val="21"/>
              </w:rPr>
            </w:pPr>
            <w:r>
              <w:rPr>
                <w:rFonts w:hint="eastAsia" w:eastAsiaTheme="minorEastAsia"/>
                <w:szCs w:val="21"/>
              </w:rPr>
              <w:t>0.610</w:t>
            </w:r>
          </w:p>
        </w:tc>
        <w:tc>
          <w:tcPr>
            <w:tcW w:w="612" w:type="pct"/>
            <w:vAlign w:val="center"/>
          </w:tcPr>
          <w:p>
            <w:pPr>
              <w:spacing w:line="288" w:lineRule="auto"/>
              <w:jc w:val="center"/>
              <w:rPr>
                <w:rFonts w:eastAsiaTheme="minorEastAsia"/>
                <w:szCs w:val="21"/>
              </w:rPr>
            </w:pPr>
            <w:r>
              <w:rPr>
                <w:rFonts w:hint="eastAsia" w:eastAsiaTheme="minorEastAsia"/>
                <w:szCs w:val="21"/>
              </w:rPr>
              <w:t>0.14</w:t>
            </w:r>
          </w:p>
        </w:tc>
        <w:tc>
          <w:tcPr>
            <w:tcW w:w="611" w:type="pct"/>
            <w:vAlign w:val="center"/>
          </w:tcPr>
          <w:p>
            <w:pPr>
              <w:spacing w:line="288" w:lineRule="auto"/>
              <w:jc w:val="center"/>
              <w:rPr>
                <w:rFonts w:eastAsiaTheme="minorEastAsia"/>
                <w:szCs w:val="21"/>
              </w:rPr>
            </w:pPr>
            <w:r>
              <w:rPr>
                <w:rFonts w:hint="eastAsia" w:eastAsiaTheme="minorEastAsia"/>
                <w:szCs w:val="21"/>
              </w:rPr>
              <w:t>4.24</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0.85</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6.03</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3.02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4</w:t>
            </w:r>
          </w:p>
        </w:tc>
        <w:tc>
          <w:tcPr>
            <w:tcW w:w="992" w:type="pct"/>
            <w:noWrap/>
            <w:vAlign w:val="center"/>
          </w:tcPr>
          <w:p>
            <w:pPr>
              <w:spacing w:line="288" w:lineRule="auto"/>
              <w:jc w:val="center"/>
              <w:rPr>
                <w:rFonts w:eastAsiaTheme="minorEastAsia"/>
                <w:szCs w:val="21"/>
              </w:rPr>
            </w:pPr>
            <w:r>
              <w:rPr>
                <w:rFonts w:eastAsiaTheme="minorEastAsia"/>
                <w:szCs w:val="21"/>
              </w:rPr>
              <w:t>100</w:t>
            </w:r>
          </w:p>
        </w:tc>
        <w:tc>
          <w:tcPr>
            <w:tcW w:w="611" w:type="pct"/>
            <w:noWrap/>
            <w:vAlign w:val="center"/>
          </w:tcPr>
          <w:p>
            <w:pPr>
              <w:spacing w:line="288" w:lineRule="auto"/>
              <w:jc w:val="center"/>
              <w:rPr>
                <w:rFonts w:eastAsiaTheme="minorEastAsia"/>
                <w:szCs w:val="21"/>
              </w:rPr>
            </w:pPr>
            <w:r>
              <w:rPr>
                <w:rFonts w:hint="eastAsia" w:eastAsiaTheme="minorEastAsia"/>
                <w:szCs w:val="21"/>
              </w:rPr>
              <w:t>0.592</w:t>
            </w:r>
          </w:p>
        </w:tc>
        <w:tc>
          <w:tcPr>
            <w:tcW w:w="612" w:type="pct"/>
            <w:vAlign w:val="center"/>
          </w:tcPr>
          <w:p>
            <w:pPr>
              <w:spacing w:line="288" w:lineRule="auto"/>
              <w:jc w:val="center"/>
              <w:rPr>
                <w:rFonts w:eastAsiaTheme="minorEastAsia"/>
                <w:szCs w:val="21"/>
              </w:rPr>
            </w:pPr>
            <w:r>
              <w:rPr>
                <w:rFonts w:hint="eastAsia" w:eastAsiaTheme="minorEastAsia"/>
                <w:szCs w:val="21"/>
              </w:rPr>
              <w:t>0.13</w:t>
            </w:r>
          </w:p>
        </w:tc>
        <w:tc>
          <w:tcPr>
            <w:tcW w:w="611" w:type="pct"/>
            <w:vAlign w:val="center"/>
          </w:tcPr>
          <w:p>
            <w:pPr>
              <w:spacing w:line="288" w:lineRule="auto"/>
              <w:jc w:val="center"/>
              <w:rPr>
                <w:rFonts w:eastAsiaTheme="minorEastAsia"/>
                <w:szCs w:val="21"/>
              </w:rPr>
            </w:pPr>
            <w:r>
              <w:rPr>
                <w:rFonts w:hint="eastAsia" w:eastAsiaTheme="minorEastAsia"/>
                <w:szCs w:val="21"/>
              </w:rPr>
              <w:t>4.11</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0.82</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5.85</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2.92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5</w:t>
            </w:r>
          </w:p>
        </w:tc>
        <w:tc>
          <w:tcPr>
            <w:tcW w:w="992" w:type="pct"/>
            <w:noWrap/>
            <w:vAlign w:val="center"/>
          </w:tcPr>
          <w:p>
            <w:pPr>
              <w:spacing w:line="288" w:lineRule="auto"/>
              <w:jc w:val="center"/>
              <w:rPr>
                <w:rFonts w:eastAsiaTheme="minorEastAsia"/>
                <w:szCs w:val="21"/>
              </w:rPr>
            </w:pPr>
            <w:r>
              <w:rPr>
                <w:rFonts w:eastAsiaTheme="minorEastAsia"/>
                <w:szCs w:val="21"/>
              </w:rPr>
              <w:t>200</w:t>
            </w:r>
          </w:p>
        </w:tc>
        <w:tc>
          <w:tcPr>
            <w:tcW w:w="611" w:type="pct"/>
            <w:noWrap/>
            <w:vAlign w:val="center"/>
          </w:tcPr>
          <w:p>
            <w:pPr>
              <w:spacing w:line="288" w:lineRule="auto"/>
              <w:jc w:val="center"/>
              <w:rPr>
                <w:rFonts w:eastAsiaTheme="minorEastAsia"/>
                <w:szCs w:val="21"/>
              </w:rPr>
            </w:pPr>
            <w:r>
              <w:rPr>
                <w:rFonts w:hint="eastAsia" w:eastAsiaTheme="minorEastAsia"/>
                <w:szCs w:val="21"/>
              </w:rPr>
              <w:t>0.381</w:t>
            </w:r>
          </w:p>
        </w:tc>
        <w:tc>
          <w:tcPr>
            <w:tcW w:w="612" w:type="pct"/>
            <w:vAlign w:val="center"/>
          </w:tcPr>
          <w:p>
            <w:pPr>
              <w:spacing w:line="288" w:lineRule="auto"/>
              <w:jc w:val="center"/>
              <w:rPr>
                <w:rFonts w:eastAsiaTheme="minorEastAsia"/>
                <w:szCs w:val="21"/>
              </w:rPr>
            </w:pPr>
            <w:r>
              <w:rPr>
                <w:rFonts w:hint="eastAsia" w:eastAsiaTheme="minorEastAsia"/>
                <w:szCs w:val="21"/>
              </w:rPr>
              <w:t>0.08</w:t>
            </w:r>
          </w:p>
        </w:tc>
        <w:tc>
          <w:tcPr>
            <w:tcW w:w="611" w:type="pct"/>
            <w:vAlign w:val="center"/>
          </w:tcPr>
          <w:p>
            <w:pPr>
              <w:spacing w:line="288" w:lineRule="auto"/>
              <w:jc w:val="center"/>
              <w:rPr>
                <w:rFonts w:eastAsiaTheme="minorEastAsia"/>
                <w:szCs w:val="21"/>
              </w:rPr>
            </w:pPr>
            <w:r>
              <w:rPr>
                <w:rFonts w:hint="eastAsia" w:eastAsiaTheme="minorEastAsia"/>
                <w:szCs w:val="21"/>
              </w:rPr>
              <w:t>3.76</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0.53</w:t>
            </w:r>
          </w:p>
        </w:tc>
        <w:tc>
          <w:tcPr>
            <w:tcW w:w="613" w:type="pct"/>
            <w:vAlign w:val="center"/>
          </w:tcPr>
          <w:p>
            <w:pPr>
              <w:spacing w:line="288" w:lineRule="auto"/>
              <w:jc w:val="center"/>
              <w:rPr>
                <w:rFonts w:eastAsiaTheme="minorEastAsia"/>
                <w:sz w:val="22"/>
                <w:szCs w:val="22"/>
              </w:rPr>
            </w:pPr>
            <w:r>
              <w:rPr>
                <w:rFonts w:hint="eastAsia" w:eastAsiaTheme="minorEastAsia"/>
                <w:szCs w:val="21"/>
              </w:rPr>
              <w:t>3.76</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6</w:t>
            </w:r>
          </w:p>
        </w:tc>
        <w:tc>
          <w:tcPr>
            <w:tcW w:w="992" w:type="pct"/>
            <w:noWrap/>
            <w:vAlign w:val="center"/>
          </w:tcPr>
          <w:p>
            <w:pPr>
              <w:spacing w:line="288" w:lineRule="auto"/>
              <w:jc w:val="center"/>
              <w:rPr>
                <w:rFonts w:eastAsiaTheme="minorEastAsia"/>
                <w:szCs w:val="21"/>
              </w:rPr>
            </w:pPr>
            <w:r>
              <w:rPr>
                <w:rFonts w:eastAsiaTheme="minorEastAsia"/>
                <w:szCs w:val="21"/>
              </w:rPr>
              <w:t>300</w:t>
            </w:r>
          </w:p>
        </w:tc>
        <w:tc>
          <w:tcPr>
            <w:tcW w:w="611" w:type="pct"/>
            <w:noWrap/>
            <w:vAlign w:val="center"/>
          </w:tcPr>
          <w:p>
            <w:pPr>
              <w:spacing w:line="288" w:lineRule="auto"/>
              <w:jc w:val="center"/>
              <w:rPr>
                <w:rFonts w:eastAsiaTheme="minorEastAsia"/>
                <w:szCs w:val="21"/>
              </w:rPr>
            </w:pPr>
            <w:r>
              <w:rPr>
                <w:rFonts w:hint="eastAsia" w:eastAsiaTheme="minorEastAsia"/>
                <w:szCs w:val="21"/>
              </w:rPr>
              <w:t>0.266</w:t>
            </w:r>
          </w:p>
        </w:tc>
        <w:tc>
          <w:tcPr>
            <w:tcW w:w="612" w:type="pct"/>
            <w:vAlign w:val="center"/>
          </w:tcPr>
          <w:p>
            <w:pPr>
              <w:spacing w:line="288" w:lineRule="auto"/>
              <w:jc w:val="center"/>
              <w:rPr>
                <w:rFonts w:eastAsiaTheme="minorEastAsia"/>
                <w:szCs w:val="21"/>
              </w:rPr>
            </w:pPr>
            <w:r>
              <w:rPr>
                <w:rFonts w:hint="eastAsia" w:eastAsiaTheme="minorEastAsia"/>
                <w:szCs w:val="21"/>
              </w:rPr>
              <w:t>0.06</w:t>
            </w:r>
          </w:p>
        </w:tc>
        <w:tc>
          <w:tcPr>
            <w:tcW w:w="611" w:type="pct"/>
            <w:vAlign w:val="center"/>
          </w:tcPr>
          <w:p>
            <w:pPr>
              <w:spacing w:line="288" w:lineRule="auto"/>
              <w:jc w:val="center"/>
              <w:rPr>
                <w:rFonts w:eastAsiaTheme="minorEastAsia"/>
                <w:szCs w:val="21"/>
              </w:rPr>
            </w:pPr>
            <w:r>
              <w:rPr>
                <w:rFonts w:hint="eastAsia" w:eastAsiaTheme="minorEastAsia"/>
                <w:szCs w:val="21"/>
              </w:rPr>
              <w:t>1.85</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0.37</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2.63</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7</w:t>
            </w:r>
          </w:p>
        </w:tc>
        <w:tc>
          <w:tcPr>
            <w:tcW w:w="992" w:type="pct"/>
            <w:noWrap/>
            <w:vAlign w:val="center"/>
          </w:tcPr>
          <w:p>
            <w:pPr>
              <w:spacing w:line="288" w:lineRule="auto"/>
              <w:jc w:val="center"/>
              <w:rPr>
                <w:rFonts w:eastAsiaTheme="minorEastAsia"/>
                <w:szCs w:val="21"/>
              </w:rPr>
            </w:pPr>
            <w:r>
              <w:rPr>
                <w:rFonts w:eastAsiaTheme="minorEastAsia"/>
                <w:szCs w:val="21"/>
              </w:rPr>
              <w:t>400</w:t>
            </w:r>
          </w:p>
        </w:tc>
        <w:tc>
          <w:tcPr>
            <w:tcW w:w="611" w:type="pct"/>
            <w:noWrap/>
            <w:vAlign w:val="center"/>
          </w:tcPr>
          <w:p>
            <w:pPr>
              <w:spacing w:line="288" w:lineRule="auto"/>
              <w:jc w:val="center"/>
              <w:rPr>
                <w:rFonts w:eastAsiaTheme="minorEastAsia"/>
                <w:szCs w:val="21"/>
              </w:rPr>
            </w:pPr>
            <w:r>
              <w:rPr>
                <w:rFonts w:hint="eastAsia" w:eastAsiaTheme="minorEastAsia"/>
                <w:szCs w:val="21"/>
              </w:rPr>
              <w:t>0.250</w:t>
            </w:r>
          </w:p>
        </w:tc>
        <w:tc>
          <w:tcPr>
            <w:tcW w:w="612" w:type="pct"/>
            <w:vAlign w:val="center"/>
          </w:tcPr>
          <w:p>
            <w:pPr>
              <w:spacing w:line="288" w:lineRule="auto"/>
              <w:jc w:val="center"/>
              <w:rPr>
                <w:rFonts w:eastAsiaTheme="minorEastAsia"/>
                <w:szCs w:val="21"/>
              </w:rPr>
            </w:pPr>
            <w:r>
              <w:rPr>
                <w:rFonts w:hint="eastAsia" w:eastAsiaTheme="minorEastAsia"/>
                <w:szCs w:val="21"/>
              </w:rPr>
              <w:t>0.06</w:t>
            </w:r>
          </w:p>
        </w:tc>
        <w:tc>
          <w:tcPr>
            <w:tcW w:w="611" w:type="pct"/>
            <w:vAlign w:val="center"/>
          </w:tcPr>
          <w:p>
            <w:pPr>
              <w:spacing w:line="288" w:lineRule="auto"/>
              <w:jc w:val="center"/>
              <w:rPr>
                <w:rFonts w:eastAsiaTheme="minorEastAsia"/>
                <w:szCs w:val="21"/>
              </w:rPr>
            </w:pPr>
            <w:r>
              <w:rPr>
                <w:rFonts w:hint="eastAsia" w:eastAsiaTheme="minorEastAsia"/>
                <w:szCs w:val="21"/>
              </w:rPr>
              <w:t>1.74</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0.35</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2.47</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8</w:t>
            </w:r>
          </w:p>
        </w:tc>
        <w:tc>
          <w:tcPr>
            <w:tcW w:w="992" w:type="pct"/>
            <w:noWrap/>
            <w:vAlign w:val="center"/>
          </w:tcPr>
          <w:p>
            <w:pPr>
              <w:spacing w:line="288" w:lineRule="auto"/>
              <w:jc w:val="center"/>
              <w:rPr>
                <w:rFonts w:eastAsiaTheme="minorEastAsia"/>
                <w:szCs w:val="21"/>
              </w:rPr>
            </w:pPr>
            <w:r>
              <w:rPr>
                <w:rFonts w:eastAsiaTheme="minorEastAsia"/>
                <w:szCs w:val="21"/>
              </w:rPr>
              <w:t>500</w:t>
            </w:r>
          </w:p>
        </w:tc>
        <w:tc>
          <w:tcPr>
            <w:tcW w:w="611" w:type="pct"/>
            <w:noWrap/>
            <w:vAlign w:val="center"/>
          </w:tcPr>
          <w:p>
            <w:pPr>
              <w:spacing w:line="288" w:lineRule="auto"/>
              <w:jc w:val="center"/>
              <w:rPr>
                <w:rFonts w:eastAsiaTheme="minorEastAsia"/>
                <w:szCs w:val="21"/>
              </w:rPr>
            </w:pPr>
            <w:r>
              <w:rPr>
                <w:rFonts w:hint="eastAsia" w:eastAsiaTheme="minorEastAsia"/>
                <w:szCs w:val="21"/>
              </w:rPr>
              <w:t>0.239</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1.66</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0.33</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2.36</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9</w:t>
            </w:r>
          </w:p>
        </w:tc>
        <w:tc>
          <w:tcPr>
            <w:tcW w:w="992" w:type="pct"/>
            <w:noWrap/>
            <w:vAlign w:val="center"/>
          </w:tcPr>
          <w:p>
            <w:pPr>
              <w:spacing w:line="288" w:lineRule="auto"/>
              <w:jc w:val="center"/>
              <w:rPr>
                <w:rFonts w:eastAsiaTheme="minorEastAsia"/>
                <w:szCs w:val="21"/>
              </w:rPr>
            </w:pPr>
            <w:r>
              <w:rPr>
                <w:rFonts w:eastAsiaTheme="minorEastAsia"/>
                <w:szCs w:val="21"/>
              </w:rPr>
              <w:t>600</w:t>
            </w:r>
          </w:p>
        </w:tc>
        <w:tc>
          <w:tcPr>
            <w:tcW w:w="611" w:type="pct"/>
            <w:noWrap/>
            <w:vAlign w:val="center"/>
          </w:tcPr>
          <w:p>
            <w:pPr>
              <w:spacing w:line="288" w:lineRule="auto"/>
              <w:jc w:val="center"/>
              <w:rPr>
                <w:rFonts w:eastAsiaTheme="minorEastAsia"/>
                <w:szCs w:val="21"/>
              </w:rPr>
            </w:pPr>
            <w:r>
              <w:rPr>
                <w:rFonts w:hint="eastAsia" w:eastAsiaTheme="minorEastAsia"/>
                <w:szCs w:val="21"/>
              </w:rPr>
              <w:t>0.227</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1.57</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0.31</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2.24</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10</w:t>
            </w:r>
          </w:p>
        </w:tc>
        <w:tc>
          <w:tcPr>
            <w:tcW w:w="992" w:type="pct"/>
            <w:noWrap/>
            <w:vAlign w:val="center"/>
          </w:tcPr>
          <w:p>
            <w:pPr>
              <w:spacing w:line="288" w:lineRule="auto"/>
              <w:jc w:val="center"/>
              <w:rPr>
                <w:rFonts w:eastAsiaTheme="minorEastAsia"/>
                <w:szCs w:val="21"/>
              </w:rPr>
            </w:pPr>
            <w:r>
              <w:rPr>
                <w:rFonts w:eastAsiaTheme="minorEastAsia"/>
                <w:szCs w:val="21"/>
              </w:rPr>
              <w:t>700</w:t>
            </w:r>
          </w:p>
        </w:tc>
        <w:tc>
          <w:tcPr>
            <w:tcW w:w="611" w:type="pct"/>
            <w:noWrap/>
            <w:vAlign w:val="center"/>
          </w:tcPr>
          <w:p>
            <w:pPr>
              <w:spacing w:line="288" w:lineRule="auto"/>
              <w:jc w:val="center"/>
              <w:rPr>
                <w:rFonts w:eastAsiaTheme="minorEastAsia"/>
                <w:szCs w:val="21"/>
              </w:rPr>
            </w:pPr>
            <w:r>
              <w:rPr>
                <w:rFonts w:hint="eastAsia" w:eastAsiaTheme="minorEastAsia"/>
                <w:szCs w:val="21"/>
              </w:rPr>
              <w:t>0.215</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1.49</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0.30</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2.13</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11</w:t>
            </w:r>
          </w:p>
        </w:tc>
        <w:tc>
          <w:tcPr>
            <w:tcW w:w="992" w:type="pct"/>
            <w:noWrap/>
            <w:vAlign w:val="center"/>
          </w:tcPr>
          <w:p>
            <w:pPr>
              <w:spacing w:line="288" w:lineRule="auto"/>
              <w:jc w:val="center"/>
              <w:rPr>
                <w:rFonts w:eastAsiaTheme="minorEastAsia"/>
                <w:szCs w:val="21"/>
              </w:rPr>
            </w:pPr>
            <w:r>
              <w:rPr>
                <w:rFonts w:eastAsiaTheme="minorEastAsia"/>
                <w:szCs w:val="21"/>
              </w:rPr>
              <w:t>800</w:t>
            </w:r>
          </w:p>
        </w:tc>
        <w:tc>
          <w:tcPr>
            <w:tcW w:w="611" w:type="pct"/>
            <w:noWrap/>
            <w:vAlign w:val="center"/>
          </w:tcPr>
          <w:p>
            <w:pPr>
              <w:spacing w:line="288" w:lineRule="auto"/>
              <w:jc w:val="center"/>
              <w:rPr>
                <w:rFonts w:eastAsiaTheme="minorEastAsia"/>
                <w:szCs w:val="21"/>
              </w:rPr>
            </w:pPr>
            <w:r>
              <w:rPr>
                <w:rFonts w:hint="eastAsia" w:eastAsiaTheme="minorEastAsia"/>
                <w:szCs w:val="21"/>
              </w:rPr>
              <w:t>0.205</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1.42</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0.28</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2.03</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12</w:t>
            </w:r>
          </w:p>
        </w:tc>
        <w:tc>
          <w:tcPr>
            <w:tcW w:w="992" w:type="pct"/>
            <w:noWrap/>
            <w:vAlign w:val="center"/>
          </w:tcPr>
          <w:p>
            <w:pPr>
              <w:spacing w:line="288" w:lineRule="auto"/>
              <w:jc w:val="center"/>
              <w:rPr>
                <w:rFonts w:eastAsiaTheme="minorEastAsia"/>
                <w:szCs w:val="21"/>
              </w:rPr>
            </w:pPr>
            <w:r>
              <w:rPr>
                <w:rFonts w:eastAsiaTheme="minorEastAsia"/>
                <w:szCs w:val="21"/>
              </w:rPr>
              <w:t>900</w:t>
            </w:r>
          </w:p>
        </w:tc>
        <w:tc>
          <w:tcPr>
            <w:tcW w:w="611" w:type="pct"/>
            <w:noWrap/>
            <w:vAlign w:val="center"/>
          </w:tcPr>
          <w:p>
            <w:pPr>
              <w:spacing w:line="288" w:lineRule="auto"/>
              <w:jc w:val="center"/>
              <w:rPr>
                <w:rFonts w:eastAsiaTheme="minorEastAsia"/>
                <w:szCs w:val="21"/>
              </w:rPr>
            </w:pPr>
            <w:r>
              <w:rPr>
                <w:rFonts w:hint="eastAsia" w:eastAsiaTheme="minorEastAsia"/>
                <w:szCs w:val="21"/>
              </w:rPr>
              <w:t>0.196</w:t>
            </w:r>
          </w:p>
        </w:tc>
        <w:tc>
          <w:tcPr>
            <w:tcW w:w="612" w:type="pct"/>
            <w:vAlign w:val="center"/>
          </w:tcPr>
          <w:p>
            <w:pPr>
              <w:spacing w:line="288" w:lineRule="auto"/>
              <w:jc w:val="center"/>
              <w:rPr>
                <w:rFonts w:eastAsiaTheme="minorEastAsia"/>
                <w:szCs w:val="21"/>
              </w:rPr>
            </w:pPr>
            <w:r>
              <w:rPr>
                <w:rFonts w:hint="eastAsia" w:eastAsiaTheme="minorEastAsia"/>
                <w:szCs w:val="21"/>
              </w:rPr>
              <w:t>0.04</w:t>
            </w:r>
          </w:p>
        </w:tc>
        <w:tc>
          <w:tcPr>
            <w:tcW w:w="611" w:type="pct"/>
            <w:vAlign w:val="center"/>
          </w:tcPr>
          <w:p>
            <w:pPr>
              <w:spacing w:line="288" w:lineRule="auto"/>
              <w:jc w:val="center"/>
              <w:rPr>
                <w:rFonts w:eastAsiaTheme="minorEastAsia"/>
                <w:szCs w:val="21"/>
              </w:rPr>
            </w:pPr>
            <w:r>
              <w:rPr>
                <w:rFonts w:hint="eastAsia" w:eastAsiaTheme="minorEastAsia"/>
                <w:szCs w:val="21"/>
              </w:rPr>
              <w:t>1.36</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0.27</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1.94</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13</w:t>
            </w:r>
          </w:p>
        </w:tc>
        <w:tc>
          <w:tcPr>
            <w:tcW w:w="992" w:type="pct"/>
            <w:noWrap/>
            <w:vAlign w:val="center"/>
          </w:tcPr>
          <w:p>
            <w:pPr>
              <w:spacing w:line="288" w:lineRule="auto"/>
              <w:jc w:val="center"/>
              <w:rPr>
                <w:rFonts w:eastAsiaTheme="minorEastAsia"/>
                <w:szCs w:val="21"/>
              </w:rPr>
            </w:pPr>
            <w:r>
              <w:rPr>
                <w:rFonts w:eastAsiaTheme="minorEastAsia"/>
                <w:szCs w:val="21"/>
              </w:rPr>
              <w:t>1000</w:t>
            </w:r>
          </w:p>
        </w:tc>
        <w:tc>
          <w:tcPr>
            <w:tcW w:w="611" w:type="pct"/>
            <w:noWrap/>
            <w:vAlign w:val="center"/>
          </w:tcPr>
          <w:p>
            <w:pPr>
              <w:spacing w:line="288" w:lineRule="auto"/>
              <w:jc w:val="center"/>
              <w:rPr>
                <w:rFonts w:eastAsiaTheme="minorEastAsia"/>
                <w:szCs w:val="21"/>
              </w:rPr>
            </w:pPr>
            <w:r>
              <w:rPr>
                <w:rFonts w:hint="eastAsia" w:eastAsiaTheme="minorEastAsia"/>
                <w:szCs w:val="21"/>
              </w:rPr>
              <w:t>0.189</w:t>
            </w:r>
          </w:p>
        </w:tc>
        <w:tc>
          <w:tcPr>
            <w:tcW w:w="612" w:type="pct"/>
            <w:vAlign w:val="center"/>
          </w:tcPr>
          <w:p>
            <w:pPr>
              <w:spacing w:line="288" w:lineRule="auto"/>
              <w:jc w:val="center"/>
              <w:rPr>
                <w:rFonts w:eastAsiaTheme="minorEastAsia"/>
                <w:szCs w:val="21"/>
              </w:rPr>
            </w:pPr>
            <w:r>
              <w:rPr>
                <w:rFonts w:hint="eastAsia" w:eastAsiaTheme="minorEastAsia"/>
                <w:szCs w:val="21"/>
              </w:rPr>
              <w:t>0.04</w:t>
            </w:r>
          </w:p>
        </w:tc>
        <w:tc>
          <w:tcPr>
            <w:tcW w:w="611" w:type="pct"/>
            <w:vAlign w:val="center"/>
          </w:tcPr>
          <w:p>
            <w:pPr>
              <w:spacing w:line="288" w:lineRule="auto"/>
              <w:jc w:val="center"/>
              <w:rPr>
                <w:rFonts w:eastAsiaTheme="minorEastAsia"/>
                <w:szCs w:val="21"/>
              </w:rPr>
            </w:pPr>
            <w:r>
              <w:rPr>
                <w:rFonts w:hint="eastAsia" w:eastAsiaTheme="minorEastAsia"/>
                <w:szCs w:val="21"/>
              </w:rPr>
              <w:t>1.31</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0.26</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1.86</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14</w:t>
            </w:r>
          </w:p>
        </w:tc>
        <w:tc>
          <w:tcPr>
            <w:tcW w:w="992" w:type="pct"/>
            <w:noWrap/>
            <w:vAlign w:val="center"/>
          </w:tcPr>
          <w:p>
            <w:pPr>
              <w:spacing w:line="288" w:lineRule="auto"/>
              <w:jc w:val="center"/>
              <w:rPr>
                <w:rFonts w:eastAsiaTheme="minorEastAsia"/>
                <w:szCs w:val="21"/>
              </w:rPr>
            </w:pPr>
            <w:r>
              <w:rPr>
                <w:rFonts w:eastAsiaTheme="minorEastAsia"/>
                <w:szCs w:val="21"/>
              </w:rPr>
              <w:t>1500</w:t>
            </w:r>
          </w:p>
        </w:tc>
        <w:tc>
          <w:tcPr>
            <w:tcW w:w="611" w:type="pct"/>
            <w:noWrap/>
            <w:vAlign w:val="center"/>
          </w:tcPr>
          <w:p>
            <w:pPr>
              <w:spacing w:line="288" w:lineRule="auto"/>
              <w:jc w:val="center"/>
              <w:rPr>
                <w:rFonts w:eastAsiaTheme="minorEastAsia"/>
                <w:szCs w:val="21"/>
              </w:rPr>
            </w:pPr>
            <w:r>
              <w:rPr>
                <w:rFonts w:hint="eastAsia" w:eastAsiaTheme="minorEastAsia"/>
                <w:szCs w:val="21"/>
              </w:rPr>
              <w:t>0.158</w:t>
            </w:r>
          </w:p>
        </w:tc>
        <w:tc>
          <w:tcPr>
            <w:tcW w:w="612" w:type="pct"/>
            <w:vAlign w:val="center"/>
          </w:tcPr>
          <w:p>
            <w:pPr>
              <w:spacing w:line="288" w:lineRule="auto"/>
              <w:jc w:val="center"/>
              <w:rPr>
                <w:rFonts w:eastAsiaTheme="minorEastAsia"/>
                <w:szCs w:val="21"/>
              </w:rPr>
            </w:pPr>
            <w:r>
              <w:rPr>
                <w:rFonts w:hint="eastAsia" w:eastAsiaTheme="minorEastAsia"/>
                <w:szCs w:val="21"/>
              </w:rPr>
              <w:t>0.04</w:t>
            </w:r>
          </w:p>
        </w:tc>
        <w:tc>
          <w:tcPr>
            <w:tcW w:w="611" w:type="pct"/>
            <w:vAlign w:val="center"/>
          </w:tcPr>
          <w:p>
            <w:pPr>
              <w:spacing w:line="288" w:lineRule="auto"/>
              <w:jc w:val="center"/>
              <w:rPr>
                <w:rFonts w:eastAsiaTheme="minorEastAsia"/>
                <w:szCs w:val="21"/>
              </w:rPr>
            </w:pPr>
            <w:r>
              <w:rPr>
                <w:rFonts w:hint="eastAsia" w:eastAsiaTheme="minorEastAsia"/>
                <w:szCs w:val="21"/>
              </w:rPr>
              <w:t>1.10</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0.22</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1.57</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15</w:t>
            </w:r>
          </w:p>
        </w:tc>
        <w:tc>
          <w:tcPr>
            <w:tcW w:w="992" w:type="pct"/>
            <w:noWrap/>
            <w:vAlign w:val="center"/>
          </w:tcPr>
          <w:p>
            <w:pPr>
              <w:spacing w:line="288" w:lineRule="auto"/>
              <w:jc w:val="center"/>
              <w:rPr>
                <w:rFonts w:eastAsiaTheme="minorEastAsia"/>
                <w:szCs w:val="21"/>
              </w:rPr>
            </w:pPr>
            <w:r>
              <w:rPr>
                <w:rFonts w:eastAsiaTheme="minorEastAsia"/>
                <w:szCs w:val="21"/>
              </w:rPr>
              <w:t>2000</w:t>
            </w:r>
          </w:p>
        </w:tc>
        <w:tc>
          <w:tcPr>
            <w:tcW w:w="611" w:type="pct"/>
            <w:noWrap/>
            <w:vAlign w:val="center"/>
          </w:tcPr>
          <w:p>
            <w:pPr>
              <w:spacing w:line="288" w:lineRule="auto"/>
              <w:jc w:val="center"/>
              <w:rPr>
                <w:rFonts w:eastAsiaTheme="minorEastAsia"/>
                <w:szCs w:val="21"/>
              </w:rPr>
            </w:pPr>
            <w:r>
              <w:rPr>
                <w:rFonts w:hint="eastAsia" w:eastAsiaTheme="minorEastAsia"/>
                <w:szCs w:val="21"/>
              </w:rPr>
              <w:t>0.143</w:t>
            </w:r>
          </w:p>
        </w:tc>
        <w:tc>
          <w:tcPr>
            <w:tcW w:w="612" w:type="pct"/>
            <w:vAlign w:val="center"/>
          </w:tcPr>
          <w:p>
            <w:pPr>
              <w:spacing w:line="288" w:lineRule="auto"/>
              <w:jc w:val="center"/>
              <w:rPr>
                <w:rFonts w:eastAsiaTheme="minorEastAsia"/>
                <w:szCs w:val="21"/>
              </w:rPr>
            </w:pPr>
            <w:r>
              <w:rPr>
                <w:rFonts w:hint="eastAsia" w:eastAsiaTheme="minorEastAsia"/>
                <w:szCs w:val="21"/>
              </w:rPr>
              <w:t>0.03</w:t>
            </w:r>
          </w:p>
        </w:tc>
        <w:tc>
          <w:tcPr>
            <w:tcW w:w="611" w:type="pct"/>
            <w:vAlign w:val="center"/>
          </w:tcPr>
          <w:p>
            <w:pPr>
              <w:spacing w:line="288" w:lineRule="auto"/>
              <w:jc w:val="center"/>
              <w:rPr>
                <w:rFonts w:eastAsiaTheme="minorEastAsia"/>
                <w:szCs w:val="21"/>
              </w:rPr>
            </w:pPr>
            <w:r>
              <w:rPr>
                <w:rFonts w:hint="eastAsia" w:eastAsiaTheme="minorEastAsia"/>
                <w:szCs w:val="21"/>
              </w:rPr>
              <w:t>0.990</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0.20</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1.41</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16</w:t>
            </w:r>
          </w:p>
        </w:tc>
        <w:tc>
          <w:tcPr>
            <w:tcW w:w="992" w:type="pct"/>
            <w:noWrap/>
            <w:vAlign w:val="center"/>
          </w:tcPr>
          <w:p>
            <w:pPr>
              <w:spacing w:line="288" w:lineRule="auto"/>
              <w:jc w:val="center"/>
              <w:rPr>
                <w:rFonts w:eastAsiaTheme="minorEastAsia"/>
                <w:szCs w:val="21"/>
              </w:rPr>
            </w:pPr>
            <w:r>
              <w:rPr>
                <w:rFonts w:eastAsiaTheme="minorEastAsia"/>
                <w:szCs w:val="21"/>
              </w:rPr>
              <w:t>2500</w:t>
            </w:r>
          </w:p>
        </w:tc>
        <w:tc>
          <w:tcPr>
            <w:tcW w:w="611" w:type="pct"/>
            <w:noWrap/>
            <w:vAlign w:val="center"/>
          </w:tcPr>
          <w:p>
            <w:pPr>
              <w:spacing w:line="288" w:lineRule="auto"/>
              <w:jc w:val="center"/>
              <w:rPr>
                <w:rFonts w:eastAsiaTheme="minorEastAsia"/>
                <w:szCs w:val="21"/>
              </w:rPr>
            </w:pPr>
            <w:r>
              <w:rPr>
                <w:rFonts w:hint="eastAsia" w:eastAsiaTheme="minorEastAsia"/>
                <w:szCs w:val="21"/>
              </w:rPr>
              <w:t>0.128</w:t>
            </w:r>
          </w:p>
        </w:tc>
        <w:tc>
          <w:tcPr>
            <w:tcW w:w="612" w:type="pct"/>
            <w:vAlign w:val="center"/>
          </w:tcPr>
          <w:p>
            <w:pPr>
              <w:spacing w:line="288" w:lineRule="auto"/>
              <w:jc w:val="center"/>
              <w:rPr>
                <w:rFonts w:eastAsiaTheme="minorEastAsia"/>
                <w:szCs w:val="21"/>
              </w:rPr>
            </w:pPr>
            <w:r>
              <w:rPr>
                <w:rFonts w:hint="eastAsia" w:eastAsiaTheme="minorEastAsia"/>
                <w:szCs w:val="21"/>
              </w:rPr>
              <w:t>0.03</w:t>
            </w:r>
          </w:p>
        </w:tc>
        <w:tc>
          <w:tcPr>
            <w:tcW w:w="611" w:type="pct"/>
            <w:vAlign w:val="center"/>
          </w:tcPr>
          <w:p>
            <w:pPr>
              <w:spacing w:line="288" w:lineRule="auto"/>
              <w:jc w:val="center"/>
              <w:rPr>
                <w:rFonts w:eastAsiaTheme="minorEastAsia"/>
                <w:szCs w:val="21"/>
              </w:rPr>
            </w:pPr>
            <w:r>
              <w:rPr>
                <w:rFonts w:hint="eastAsia" w:eastAsiaTheme="minorEastAsia"/>
                <w:szCs w:val="21"/>
              </w:rPr>
              <w:t>0.889</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0.18</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1.27</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30" w:type="pct"/>
            <w:gridSpan w:val="2"/>
            <w:vAlign w:val="center"/>
          </w:tcPr>
          <w:p>
            <w:pPr>
              <w:spacing w:line="288" w:lineRule="auto"/>
              <w:jc w:val="center"/>
              <w:rPr>
                <w:rFonts w:eastAsiaTheme="minorEastAsia"/>
                <w:szCs w:val="21"/>
              </w:rPr>
            </w:pPr>
            <w:r>
              <w:rPr>
                <w:rFonts w:hAnsiTheme="minorEastAsia" w:eastAsiaTheme="minorEastAsia"/>
                <w:szCs w:val="21"/>
              </w:rPr>
              <w:t>下风向最大浓度及占标率</w:t>
            </w:r>
          </w:p>
        </w:tc>
        <w:tc>
          <w:tcPr>
            <w:tcW w:w="611" w:type="pct"/>
            <w:noWrap/>
            <w:vAlign w:val="center"/>
          </w:tcPr>
          <w:p>
            <w:pPr>
              <w:spacing w:line="288" w:lineRule="auto"/>
              <w:jc w:val="center"/>
              <w:rPr>
                <w:rFonts w:eastAsiaTheme="minorEastAsia"/>
                <w:szCs w:val="21"/>
                <w:vertAlign w:val="superscript"/>
              </w:rPr>
            </w:pPr>
            <w:r>
              <w:rPr>
                <w:rFonts w:hint="eastAsia" w:eastAsiaTheme="minorEastAsia"/>
                <w:szCs w:val="21"/>
              </w:rPr>
              <w:t>0.680</w:t>
            </w:r>
          </w:p>
        </w:tc>
        <w:tc>
          <w:tcPr>
            <w:tcW w:w="612" w:type="pct"/>
            <w:vAlign w:val="center"/>
          </w:tcPr>
          <w:p>
            <w:pPr>
              <w:spacing w:line="288" w:lineRule="auto"/>
              <w:jc w:val="center"/>
              <w:rPr>
                <w:rFonts w:eastAsiaTheme="minorEastAsia"/>
                <w:szCs w:val="21"/>
              </w:rPr>
            </w:pPr>
            <w:r>
              <w:rPr>
                <w:rFonts w:hint="eastAsia" w:eastAsiaTheme="minorEastAsia"/>
                <w:szCs w:val="21"/>
              </w:rPr>
              <w:t>0.15</w:t>
            </w:r>
          </w:p>
        </w:tc>
        <w:tc>
          <w:tcPr>
            <w:tcW w:w="611" w:type="pct"/>
            <w:vAlign w:val="center"/>
          </w:tcPr>
          <w:p>
            <w:pPr>
              <w:spacing w:line="288" w:lineRule="auto"/>
              <w:jc w:val="center"/>
              <w:rPr>
                <w:rFonts w:eastAsiaTheme="minorEastAsia"/>
                <w:szCs w:val="21"/>
                <w:vertAlign w:val="superscript"/>
              </w:rPr>
            </w:pPr>
            <w:r>
              <w:rPr>
                <w:rFonts w:hint="eastAsia" w:eastAsiaTheme="minorEastAsia"/>
                <w:szCs w:val="21"/>
              </w:rPr>
              <w:t>4.72</w:t>
            </w:r>
          </w:p>
        </w:tc>
        <w:tc>
          <w:tcPr>
            <w:tcW w:w="534" w:type="pct"/>
            <w:vAlign w:val="center"/>
          </w:tcPr>
          <w:p>
            <w:pPr>
              <w:spacing w:line="288" w:lineRule="auto"/>
              <w:jc w:val="center"/>
              <w:rPr>
                <w:rFonts w:eastAsiaTheme="minorEastAsia"/>
                <w:szCs w:val="21"/>
              </w:rPr>
            </w:pPr>
            <w:r>
              <w:rPr>
                <w:rFonts w:hint="eastAsia" w:eastAsiaTheme="minorEastAsia"/>
                <w:szCs w:val="21"/>
              </w:rPr>
              <w:t>0.94</w:t>
            </w:r>
          </w:p>
        </w:tc>
        <w:tc>
          <w:tcPr>
            <w:tcW w:w="613" w:type="pct"/>
            <w:vAlign w:val="center"/>
          </w:tcPr>
          <w:p>
            <w:pPr>
              <w:spacing w:line="288" w:lineRule="auto"/>
              <w:jc w:val="center"/>
              <w:rPr>
                <w:rFonts w:eastAsiaTheme="minorEastAsia"/>
                <w:szCs w:val="21"/>
                <w:vertAlign w:val="superscript"/>
              </w:rPr>
            </w:pPr>
            <w:r>
              <w:rPr>
                <w:rFonts w:hint="eastAsia" w:eastAsiaTheme="minorEastAsia"/>
                <w:szCs w:val="21"/>
              </w:rPr>
              <w:t>6.72</w:t>
            </w:r>
          </w:p>
        </w:tc>
        <w:tc>
          <w:tcPr>
            <w:tcW w:w="589" w:type="pct"/>
            <w:vAlign w:val="center"/>
          </w:tcPr>
          <w:p>
            <w:pPr>
              <w:spacing w:line="288" w:lineRule="auto"/>
              <w:jc w:val="center"/>
              <w:rPr>
                <w:rFonts w:eastAsiaTheme="minorEastAsia"/>
                <w:szCs w:val="21"/>
              </w:rPr>
            </w:pPr>
            <w:r>
              <w:rPr>
                <w:rFonts w:hint="eastAsia" w:eastAsiaTheme="minorEastAsia"/>
                <w:szCs w:val="21"/>
              </w:rPr>
              <w:t>3.36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30" w:type="pct"/>
            <w:gridSpan w:val="2"/>
            <w:vAlign w:val="center"/>
          </w:tcPr>
          <w:p>
            <w:pPr>
              <w:spacing w:line="288" w:lineRule="auto"/>
              <w:jc w:val="center"/>
              <w:rPr>
                <w:rFonts w:eastAsiaTheme="minorEastAsia"/>
                <w:szCs w:val="21"/>
              </w:rPr>
            </w:pPr>
            <w:r>
              <w:rPr>
                <w:rFonts w:hAnsiTheme="minorEastAsia" w:eastAsiaTheme="minorEastAsia"/>
                <w:szCs w:val="21"/>
              </w:rPr>
              <w:t>最大地面浓度出现最远距离，</w:t>
            </w:r>
            <w:r>
              <w:rPr>
                <w:rFonts w:eastAsiaTheme="minorEastAsia"/>
                <w:szCs w:val="21"/>
              </w:rPr>
              <w:t>m</w:t>
            </w:r>
          </w:p>
        </w:tc>
        <w:tc>
          <w:tcPr>
            <w:tcW w:w="1223" w:type="pct"/>
            <w:gridSpan w:val="2"/>
            <w:noWrap/>
            <w:vAlign w:val="center"/>
          </w:tcPr>
          <w:p>
            <w:pPr>
              <w:spacing w:line="288" w:lineRule="auto"/>
              <w:jc w:val="center"/>
              <w:rPr>
                <w:rFonts w:eastAsiaTheme="minorEastAsia"/>
                <w:sz w:val="22"/>
                <w:szCs w:val="22"/>
              </w:rPr>
            </w:pPr>
            <w:r>
              <w:rPr>
                <w:rFonts w:hint="eastAsia" w:eastAsiaTheme="minorEastAsia"/>
                <w:sz w:val="22"/>
                <w:szCs w:val="22"/>
              </w:rPr>
              <w:t>22</w:t>
            </w:r>
          </w:p>
        </w:tc>
        <w:tc>
          <w:tcPr>
            <w:tcW w:w="1145" w:type="pct"/>
            <w:gridSpan w:val="2"/>
            <w:vAlign w:val="center"/>
          </w:tcPr>
          <w:p>
            <w:pPr>
              <w:spacing w:line="288" w:lineRule="auto"/>
              <w:jc w:val="center"/>
              <w:rPr>
                <w:rFonts w:eastAsiaTheme="minorEastAsia"/>
                <w:sz w:val="22"/>
                <w:szCs w:val="22"/>
              </w:rPr>
            </w:pPr>
            <w:r>
              <w:rPr>
                <w:rFonts w:hint="eastAsia" w:eastAsiaTheme="minorEastAsia"/>
                <w:sz w:val="22"/>
                <w:szCs w:val="22"/>
              </w:rPr>
              <w:t>22</w:t>
            </w:r>
          </w:p>
        </w:tc>
        <w:tc>
          <w:tcPr>
            <w:tcW w:w="1202" w:type="pct"/>
            <w:gridSpan w:val="2"/>
            <w:vAlign w:val="center"/>
          </w:tcPr>
          <w:p>
            <w:pPr>
              <w:spacing w:line="288" w:lineRule="auto"/>
              <w:jc w:val="center"/>
              <w:rPr>
                <w:rFonts w:eastAsiaTheme="minorEastAsia"/>
                <w:sz w:val="22"/>
                <w:szCs w:val="22"/>
              </w:rPr>
            </w:pPr>
            <w:r>
              <w:rPr>
                <w:rFonts w:hint="eastAsia" w:eastAsiaTheme="minorEastAsia"/>
                <w:sz w:val="22"/>
                <w:szCs w:val="22"/>
              </w:rPr>
              <w:t>22</w:t>
            </w:r>
          </w:p>
        </w:tc>
      </w:tr>
    </w:tbl>
    <w:p>
      <w:pPr>
        <w:autoSpaceDE w:val="0"/>
        <w:autoSpaceDN w:val="0"/>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5.2-</w:t>
      </w:r>
      <w:r>
        <w:rPr>
          <w:rFonts w:hint="eastAsia" w:eastAsiaTheme="minorEastAsia"/>
          <w:b/>
          <w:szCs w:val="21"/>
        </w:rPr>
        <w:t xml:space="preserve">7  </w:t>
      </w:r>
      <w:r>
        <w:rPr>
          <w:rFonts w:hint="eastAsia" w:hAnsiTheme="minorEastAsia" w:eastAsiaTheme="minorEastAsia"/>
          <w:b/>
          <w:szCs w:val="21"/>
        </w:rPr>
        <w:t>1#锅炉非采暖期</w:t>
      </w:r>
      <w:r>
        <w:rPr>
          <w:rFonts w:eastAsiaTheme="minorEastAsia"/>
          <w:b/>
          <w:szCs w:val="21"/>
        </w:rPr>
        <w:t>AERSCREEN</w:t>
      </w:r>
      <w:r>
        <w:rPr>
          <w:rFonts w:hAnsiTheme="minorEastAsia" w:eastAsiaTheme="minorEastAsia"/>
          <w:b/>
          <w:szCs w:val="21"/>
        </w:rPr>
        <w:t>估算模型计算结果一览表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3"/>
        <w:gridCol w:w="1842"/>
        <w:gridCol w:w="1135"/>
        <w:gridCol w:w="1137"/>
        <w:gridCol w:w="1135"/>
        <w:gridCol w:w="992"/>
        <w:gridCol w:w="1138"/>
        <w:gridCol w:w="10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Merge w:val="restart"/>
            <w:vAlign w:val="center"/>
          </w:tcPr>
          <w:p>
            <w:pPr>
              <w:spacing w:line="288" w:lineRule="auto"/>
              <w:jc w:val="center"/>
              <w:rPr>
                <w:rFonts w:eastAsiaTheme="minorEastAsia"/>
                <w:szCs w:val="21"/>
              </w:rPr>
            </w:pPr>
            <w:r>
              <w:rPr>
                <w:rFonts w:hAnsiTheme="minorEastAsia" w:eastAsiaTheme="minorEastAsia"/>
                <w:szCs w:val="21"/>
              </w:rPr>
              <w:t>序号</w:t>
            </w:r>
          </w:p>
        </w:tc>
        <w:tc>
          <w:tcPr>
            <w:tcW w:w="992" w:type="pct"/>
            <w:vMerge w:val="restart"/>
            <w:noWrap/>
            <w:vAlign w:val="center"/>
          </w:tcPr>
          <w:p>
            <w:pPr>
              <w:spacing w:line="288" w:lineRule="auto"/>
              <w:jc w:val="center"/>
              <w:rPr>
                <w:rFonts w:eastAsiaTheme="minorEastAsia"/>
                <w:szCs w:val="21"/>
              </w:rPr>
            </w:pPr>
            <w:r>
              <w:rPr>
                <w:rFonts w:hAnsiTheme="minorEastAsia" w:eastAsiaTheme="minorEastAsia"/>
                <w:szCs w:val="21"/>
              </w:rPr>
              <w:t>下风距离（</w:t>
            </w:r>
            <w:r>
              <w:rPr>
                <w:rFonts w:eastAsiaTheme="minorEastAsia"/>
                <w:szCs w:val="21"/>
              </w:rPr>
              <w:t>m</w:t>
            </w:r>
            <w:r>
              <w:rPr>
                <w:rFonts w:hAnsiTheme="minorEastAsia" w:eastAsiaTheme="minorEastAsia"/>
                <w:szCs w:val="21"/>
              </w:rPr>
              <w:t>）</w:t>
            </w:r>
          </w:p>
        </w:tc>
        <w:tc>
          <w:tcPr>
            <w:tcW w:w="1223" w:type="pct"/>
            <w:gridSpan w:val="2"/>
            <w:noWrap/>
            <w:vAlign w:val="center"/>
          </w:tcPr>
          <w:p>
            <w:pPr>
              <w:spacing w:line="288" w:lineRule="auto"/>
              <w:jc w:val="center"/>
              <w:rPr>
                <w:rFonts w:eastAsiaTheme="minorEastAsia"/>
                <w:szCs w:val="21"/>
                <w:vertAlign w:val="subscript"/>
              </w:rPr>
            </w:pPr>
            <w:r>
              <w:rPr>
                <w:rFonts w:hint="eastAsia" w:hAnsiTheme="minorEastAsia" w:eastAsiaTheme="minorEastAsia"/>
                <w:szCs w:val="21"/>
              </w:rPr>
              <w:t>PM</w:t>
            </w:r>
            <w:r>
              <w:rPr>
                <w:rFonts w:hint="eastAsia" w:hAnsiTheme="minorEastAsia" w:eastAsiaTheme="minorEastAsia"/>
                <w:szCs w:val="21"/>
                <w:vertAlign w:val="subscript"/>
              </w:rPr>
              <w:t>10</w:t>
            </w:r>
          </w:p>
        </w:tc>
        <w:tc>
          <w:tcPr>
            <w:tcW w:w="1145" w:type="pct"/>
            <w:gridSpan w:val="2"/>
            <w:vAlign w:val="center"/>
          </w:tcPr>
          <w:p>
            <w:pPr>
              <w:spacing w:line="288" w:lineRule="auto"/>
              <w:jc w:val="center"/>
              <w:rPr>
                <w:rFonts w:eastAsiaTheme="minorEastAsia"/>
                <w:szCs w:val="21"/>
                <w:vertAlign w:val="subscript"/>
              </w:rPr>
            </w:pPr>
            <w:r>
              <w:rPr>
                <w:rFonts w:hint="eastAsia" w:eastAsiaTheme="minorEastAsia"/>
                <w:szCs w:val="21"/>
              </w:rPr>
              <w:t>SO</w:t>
            </w:r>
            <w:r>
              <w:rPr>
                <w:rFonts w:hint="eastAsia" w:eastAsiaTheme="minorEastAsia"/>
                <w:szCs w:val="21"/>
                <w:vertAlign w:val="subscript"/>
              </w:rPr>
              <w:t>2</w:t>
            </w:r>
          </w:p>
        </w:tc>
        <w:tc>
          <w:tcPr>
            <w:tcW w:w="1202" w:type="pct"/>
            <w:gridSpan w:val="2"/>
            <w:vAlign w:val="center"/>
          </w:tcPr>
          <w:p>
            <w:pPr>
              <w:spacing w:line="288" w:lineRule="auto"/>
              <w:jc w:val="center"/>
              <w:rPr>
                <w:rFonts w:eastAsiaTheme="minorEastAsia"/>
                <w:szCs w:val="21"/>
                <w:vertAlign w:val="subscript"/>
              </w:rPr>
            </w:pPr>
            <w:r>
              <w:rPr>
                <w:rFonts w:hint="eastAsia" w:eastAsiaTheme="minorEastAsia"/>
                <w:szCs w:val="21"/>
              </w:rPr>
              <w:t>NO</w:t>
            </w:r>
            <w:r>
              <w:rPr>
                <w:rFonts w:hint="eastAsia" w:eastAsiaTheme="minorEastAsia"/>
                <w:szCs w:val="21"/>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Merge w:val="continue"/>
            <w:vAlign w:val="center"/>
          </w:tcPr>
          <w:p>
            <w:pPr>
              <w:spacing w:line="288" w:lineRule="auto"/>
              <w:jc w:val="left"/>
              <w:rPr>
                <w:rFonts w:eastAsiaTheme="minorEastAsia"/>
                <w:szCs w:val="21"/>
              </w:rPr>
            </w:pPr>
          </w:p>
        </w:tc>
        <w:tc>
          <w:tcPr>
            <w:tcW w:w="992" w:type="pct"/>
            <w:vMerge w:val="continue"/>
            <w:vAlign w:val="center"/>
          </w:tcPr>
          <w:p>
            <w:pPr>
              <w:spacing w:line="288" w:lineRule="auto"/>
              <w:jc w:val="left"/>
              <w:rPr>
                <w:rFonts w:eastAsiaTheme="minorEastAsia"/>
                <w:szCs w:val="21"/>
              </w:rPr>
            </w:pPr>
          </w:p>
        </w:tc>
        <w:tc>
          <w:tcPr>
            <w:tcW w:w="611" w:type="pct"/>
            <w:noWrap/>
            <w:vAlign w:val="center"/>
          </w:tcPr>
          <w:p>
            <w:pPr>
              <w:spacing w:line="288" w:lineRule="auto"/>
              <w:jc w:val="center"/>
              <w:rPr>
                <w:rFonts w:eastAsiaTheme="minorEastAsia"/>
                <w:szCs w:val="21"/>
              </w:rPr>
            </w:pPr>
            <w:r>
              <w:rPr>
                <w:rFonts w:hAnsiTheme="minorEastAsia" w:eastAsiaTheme="minorEastAsia"/>
                <w:szCs w:val="21"/>
              </w:rPr>
              <w:t>浓度</w:t>
            </w:r>
            <w:r>
              <w:rPr>
                <w:rFonts w:eastAsiaTheme="minorEastAsia"/>
                <w:szCs w:val="21"/>
              </w:rPr>
              <w:t>(μg/m</w:t>
            </w:r>
            <w:r>
              <w:rPr>
                <w:rFonts w:eastAsiaTheme="minorEastAsia"/>
                <w:szCs w:val="21"/>
                <w:vertAlign w:val="superscript"/>
              </w:rPr>
              <w:t>3</w:t>
            </w:r>
            <w:r>
              <w:rPr>
                <w:rFonts w:eastAsiaTheme="minorEastAsia"/>
                <w:szCs w:val="21"/>
              </w:rPr>
              <w:t>)</w:t>
            </w:r>
          </w:p>
        </w:tc>
        <w:tc>
          <w:tcPr>
            <w:tcW w:w="612" w:type="pct"/>
            <w:vAlign w:val="center"/>
          </w:tcPr>
          <w:p>
            <w:pPr>
              <w:spacing w:line="288" w:lineRule="auto"/>
              <w:jc w:val="center"/>
              <w:rPr>
                <w:rFonts w:eastAsiaTheme="minorEastAsia"/>
                <w:szCs w:val="21"/>
              </w:rPr>
            </w:pPr>
            <w:r>
              <w:rPr>
                <w:rFonts w:hAnsiTheme="minorEastAsia" w:eastAsiaTheme="minorEastAsia"/>
                <w:szCs w:val="21"/>
              </w:rPr>
              <w:t>占标率</w:t>
            </w:r>
            <w:r>
              <w:rPr>
                <w:rFonts w:eastAsiaTheme="minorEastAsia"/>
                <w:szCs w:val="21"/>
              </w:rPr>
              <w:t>(%)</w:t>
            </w:r>
          </w:p>
        </w:tc>
        <w:tc>
          <w:tcPr>
            <w:tcW w:w="611" w:type="pct"/>
            <w:vAlign w:val="center"/>
          </w:tcPr>
          <w:p>
            <w:pPr>
              <w:spacing w:line="288" w:lineRule="auto"/>
              <w:jc w:val="center"/>
              <w:rPr>
                <w:rFonts w:eastAsiaTheme="minorEastAsia"/>
                <w:szCs w:val="21"/>
              </w:rPr>
            </w:pPr>
            <w:r>
              <w:rPr>
                <w:rFonts w:hAnsiTheme="minorEastAsia" w:eastAsiaTheme="minorEastAsia"/>
                <w:szCs w:val="21"/>
              </w:rPr>
              <w:t>浓度</w:t>
            </w:r>
            <w:r>
              <w:rPr>
                <w:rFonts w:eastAsiaTheme="minorEastAsia"/>
                <w:szCs w:val="21"/>
              </w:rPr>
              <w:t>(μg/m</w:t>
            </w:r>
            <w:r>
              <w:rPr>
                <w:rFonts w:eastAsiaTheme="minorEastAsia"/>
                <w:szCs w:val="21"/>
                <w:vertAlign w:val="superscript"/>
              </w:rPr>
              <w:t>3</w:t>
            </w:r>
            <w:r>
              <w:rPr>
                <w:rFonts w:eastAsiaTheme="minorEastAsia"/>
                <w:szCs w:val="21"/>
              </w:rPr>
              <w:t>)</w:t>
            </w:r>
          </w:p>
        </w:tc>
        <w:tc>
          <w:tcPr>
            <w:tcW w:w="534" w:type="pct"/>
            <w:vAlign w:val="center"/>
          </w:tcPr>
          <w:p>
            <w:pPr>
              <w:spacing w:line="288" w:lineRule="auto"/>
              <w:jc w:val="center"/>
              <w:rPr>
                <w:rFonts w:eastAsiaTheme="minorEastAsia"/>
                <w:szCs w:val="21"/>
              </w:rPr>
            </w:pPr>
            <w:r>
              <w:rPr>
                <w:rFonts w:hAnsiTheme="minorEastAsia" w:eastAsiaTheme="minorEastAsia"/>
                <w:szCs w:val="21"/>
              </w:rPr>
              <w:t>占标率</w:t>
            </w:r>
            <w:r>
              <w:rPr>
                <w:rFonts w:eastAsiaTheme="minorEastAsia"/>
                <w:szCs w:val="21"/>
              </w:rPr>
              <w:t>(%)</w:t>
            </w:r>
          </w:p>
        </w:tc>
        <w:tc>
          <w:tcPr>
            <w:tcW w:w="613" w:type="pct"/>
            <w:vAlign w:val="center"/>
          </w:tcPr>
          <w:p>
            <w:pPr>
              <w:spacing w:line="288" w:lineRule="auto"/>
              <w:jc w:val="center"/>
              <w:rPr>
                <w:rFonts w:eastAsiaTheme="minorEastAsia"/>
                <w:szCs w:val="21"/>
              </w:rPr>
            </w:pPr>
            <w:r>
              <w:rPr>
                <w:rFonts w:hAnsiTheme="minorEastAsia" w:eastAsiaTheme="minorEastAsia"/>
                <w:szCs w:val="21"/>
              </w:rPr>
              <w:t>浓度</w:t>
            </w:r>
            <w:r>
              <w:rPr>
                <w:rFonts w:eastAsiaTheme="minorEastAsia"/>
                <w:szCs w:val="21"/>
              </w:rPr>
              <w:t>(μg/m</w:t>
            </w:r>
            <w:r>
              <w:rPr>
                <w:rFonts w:eastAsiaTheme="minorEastAsia"/>
                <w:szCs w:val="21"/>
                <w:vertAlign w:val="superscript"/>
              </w:rPr>
              <w:t>3</w:t>
            </w:r>
            <w:r>
              <w:rPr>
                <w:rFonts w:eastAsiaTheme="minorEastAsia"/>
                <w:szCs w:val="21"/>
              </w:rPr>
              <w:t>)</w:t>
            </w:r>
          </w:p>
        </w:tc>
        <w:tc>
          <w:tcPr>
            <w:tcW w:w="589" w:type="pct"/>
            <w:vAlign w:val="center"/>
          </w:tcPr>
          <w:p>
            <w:pPr>
              <w:spacing w:line="288" w:lineRule="auto"/>
              <w:jc w:val="center"/>
              <w:rPr>
                <w:rFonts w:eastAsiaTheme="minorEastAsia"/>
                <w:szCs w:val="21"/>
              </w:rPr>
            </w:pPr>
            <w:r>
              <w:rPr>
                <w:rFonts w:hAnsiTheme="minorEastAsia" w:eastAsiaTheme="minorEastAsia"/>
                <w:szCs w:val="21"/>
              </w:rPr>
              <w:t>占标率</w:t>
            </w: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w:t>
            </w:r>
          </w:p>
        </w:tc>
        <w:tc>
          <w:tcPr>
            <w:tcW w:w="992" w:type="pct"/>
            <w:noWrap/>
            <w:vAlign w:val="center"/>
          </w:tcPr>
          <w:p>
            <w:pPr>
              <w:spacing w:line="288" w:lineRule="auto"/>
              <w:jc w:val="center"/>
              <w:rPr>
                <w:rFonts w:eastAsiaTheme="minorEastAsia"/>
                <w:szCs w:val="21"/>
              </w:rPr>
            </w:pPr>
            <w:r>
              <w:rPr>
                <w:rFonts w:eastAsiaTheme="minorEastAsia"/>
                <w:szCs w:val="21"/>
              </w:rPr>
              <w:t>10</w:t>
            </w:r>
          </w:p>
        </w:tc>
        <w:tc>
          <w:tcPr>
            <w:tcW w:w="611" w:type="pct"/>
            <w:noWrap/>
            <w:vAlign w:val="center"/>
          </w:tcPr>
          <w:p>
            <w:pPr>
              <w:spacing w:line="288" w:lineRule="auto"/>
              <w:jc w:val="center"/>
              <w:rPr>
                <w:rFonts w:eastAsiaTheme="minorEastAsia"/>
                <w:szCs w:val="21"/>
              </w:rPr>
            </w:pPr>
            <w:r>
              <w:rPr>
                <w:rFonts w:hint="eastAsia" w:eastAsiaTheme="minorEastAsia"/>
                <w:szCs w:val="21"/>
              </w:rPr>
              <w:t>0.125</w:t>
            </w:r>
          </w:p>
        </w:tc>
        <w:tc>
          <w:tcPr>
            <w:tcW w:w="612" w:type="pct"/>
            <w:vAlign w:val="center"/>
          </w:tcPr>
          <w:p>
            <w:pPr>
              <w:spacing w:line="288" w:lineRule="auto"/>
              <w:jc w:val="center"/>
              <w:rPr>
                <w:rFonts w:eastAsiaTheme="minorEastAsia"/>
                <w:szCs w:val="21"/>
              </w:rPr>
            </w:pPr>
            <w:r>
              <w:rPr>
                <w:rFonts w:hint="eastAsia" w:eastAsiaTheme="minorEastAsia"/>
                <w:szCs w:val="21"/>
              </w:rPr>
              <w:t>0.03</w:t>
            </w:r>
          </w:p>
        </w:tc>
        <w:tc>
          <w:tcPr>
            <w:tcW w:w="611" w:type="pct"/>
            <w:vAlign w:val="center"/>
          </w:tcPr>
          <w:p>
            <w:pPr>
              <w:spacing w:line="288" w:lineRule="auto"/>
              <w:jc w:val="center"/>
              <w:rPr>
                <w:rFonts w:eastAsiaTheme="minorEastAsia"/>
                <w:szCs w:val="21"/>
              </w:rPr>
            </w:pPr>
            <w:r>
              <w:rPr>
                <w:rFonts w:hint="eastAsia" w:eastAsiaTheme="minorEastAsia"/>
                <w:szCs w:val="21"/>
              </w:rPr>
              <w:t>0.880</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0.18</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1.25</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2</w:t>
            </w:r>
          </w:p>
        </w:tc>
        <w:tc>
          <w:tcPr>
            <w:tcW w:w="992" w:type="pct"/>
            <w:noWrap/>
            <w:vAlign w:val="center"/>
          </w:tcPr>
          <w:p>
            <w:pPr>
              <w:spacing w:line="288" w:lineRule="auto"/>
              <w:jc w:val="center"/>
              <w:rPr>
                <w:rFonts w:eastAsiaTheme="minorEastAsia"/>
                <w:szCs w:val="21"/>
              </w:rPr>
            </w:pPr>
            <w:r>
              <w:rPr>
                <w:rFonts w:eastAsiaTheme="minorEastAsia"/>
                <w:szCs w:val="21"/>
              </w:rPr>
              <w:t>25</w:t>
            </w:r>
          </w:p>
        </w:tc>
        <w:tc>
          <w:tcPr>
            <w:tcW w:w="611" w:type="pct"/>
            <w:noWrap/>
            <w:vAlign w:val="center"/>
          </w:tcPr>
          <w:p>
            <w:pPr>
              <w:spacing w:line="288" w:lineRule="auto"/>
              <w:jc w:val="center"/>
              <w:rPr>
                <w:rFonts w:eastAsiaTheme="minorEastAsia"/>
                <w:szCs w:val="21"/>
              </w:rPr>
            </w:pPr>
            <w:r>
              <w:rPr>
                <w:rFonts w:hint="eastAsia" w:eastAsiaTheme="minorEastAsia"/>
                <w:szCs w:val="21"/>
              </w:rPr>
              <w:t>1.14</w:t>
            </w:r>
          </w:p>
        </w:tc>
        <w:tc>
          <w:tcPr>
            <w:tcW w:w="612" w:type="pct"/>
            <w:vAlign w:val="center"/>
          </w:tcPr>
          <w:p>
            <w:pPr>
              <w:spacing w:line="288" w:lineRule="auto"/>
              <w:jc w:val="center"/>
              <w:rPr>
                <w:rFonts w:eastAsiaTheme="minorEastAsia"/>
                <w:szCs w:val="21"/>
              </w:rPr>
            </w:pPr>
            <w:r>
              <w:rPr>
                <w:rFonts w:hint="eastAsia" w:eastAsiaTheme="minorEastAsia"/>
                <w:szCs w:val="21"/>
              </w:rPr>
              <w:t>0.25</w:t>
            </w:r>
          </w:p>
        </w:tc>
        <w:tc>
          <w:tcPr>
            <w:tcW w:w="611" w:type="pct"/>
            <w:vAlign w:val="center"/>
          </w:tcPr>
          <w:p>
            <w:pPr>
              <w:spacing w:line="288" w:lineRule="auto"/>
              <w:jc w:val="center"/>
              <w:rPr>
                <w:rFonts w:eastAsiaTheme="minorEastAsia"/>
                <w:szCs w:val="21"/>
              </w:rPr>
            </w:pPr>
            <w:r>
              <w:rPr>
                <w:rFonts w:hint="eastAsia" w:eastAsiaTheme="minorEastAsia"/>
                <w:szCs w:val="21"/>
              </w:rPr>
              <w:t>8.03</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1.61</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11.4</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5.72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3</w:t>
            </w:r>
          </w:p>
        </w:tc>
        <w:tc>
          <w:tcPr>
            <w:tcW w:w="992" w:type="pct"/>
            <w:noWrap/>
            <w:vAlign w:val="center"/>
          </w:tcPr>
          <w:p>
            <w:pPr>
              <w:spacing w:line="288" w:lineRule="auto"/>
              <w:jc w:val="center"/>
              <w:rPr>
                <w:rFonts w:eastAsiaTheme="minorEastAsia"/>
                <w:szCs w:val="21"/>
              </w:rPr>
            </w:pPr>
            <w:r>
              <w:rPr>
                <w:rFonts w:eastAsiaTheme="minorEastAsia"/>
                <w:szCs w:val="21"/>
              </w:rPr>
              <w:t>75</w:t>
            </w:r>
          </w:p>
        </w:tc>
        <w:tc>
          <w:tcPr>
            <w:tcW w:w="611" w:type="pct"/>
            <w:noWrap/>
            <w:vAlign w:val="center"/>
          </w:tcPr>
          <w:p>
            <w:pPr>
              <w:spacing w:line="288" w:lineRule="auto"/>
              <w:jc w:val="center"/>
              <w:rPr>
                <w:rFonts w:eastAsiaTheme="minorEastAsia"/>
                <w:szCs w:val="21"/>
              </w:rPr>
            </w:pPr>
            <w:r>
              <w:rPr>
                <w:rFonts w:hint="eastAsia" w:eastAsiaTheme="minorEastAsia"/>
                <w:szCs w:val="21"/>
              </w:rPr>
              <w:t>1.11</w:t>
            </w:r>
          </w:p>
        </w:tc>
        <w:tc>
          <w:tcPr>
            <w:tcW w:w="612" w:type="pct"/>
            <w:vAlign w:val="center"/>
          </w:tcPr>
          <w:p>
            <w:pPr>
              <w:spacing w:line="288" w:lineRule="auto"/>
              <w:jc w:val="center"/>
              <w:rPr>
                <w:rFonts w:eastAsiaTheme="minorEastAsia"/>
                <w:szCs w:val="21"/>
              </w:rPr>
            </w:pPr>
            <w:r>
              <w:rPr>
                <w:rFonts w:hint="eastAsia" w:eastAsiaTheme="minorEastAsia"/>
                <w:szCs w:val="21"/>
              </w:rPr>
              <w:t>0.25</w:t>
            </w:r>
          </w:p>
        </w:tc>
        <w:tc>
          <w:tcPr>
            <w:tcW w:w="611" w:type="pct"/>
            <w:vAlign w:val="center"/>
          </w:tcPr>
          <w:p>
            <w:pPr>
              <w:spacing w:line="288" w:lineRule="auto"/>
              <w:jc w:val="center"/>
              <w:rPr>
                <w:rFonts w:eastAsiaTheme="minorEastAsia"/>
                <w:szCs w:val="21"/>
              </w:rPr>
            </w:pPr>
            <w:r>
              <w:rPr>
                <w:rFonts w:hint="eastAsia" w:eastAsiaTheme="minorEastAsia"/>
                <w:szCs w:val="21"/>
              </w:rPr>
              <w:t>7.78</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1.56</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11.1</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5.54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4</w:t>
            </w:r>
          </w:p>
        </w:tc>
        <w:tc>
          <w:tcPr>
            <w:tcW w:w="992" w:type="pct"/>
            <w:noWrap/>
            <w:vAlign w:val="center"/>
          </w:tcPr>
          <w:p>
            <w:pPr>
              <w:spacing w:line="288" w:lineRule="auto"/>
              <w:jc w:val="center"/>
              <w:rPr>
                <w:rFonts w:eastAsiaTheme="minorEastAsia"/>
                <w:szCs w:val="21"/>
              </w:rPr>
            </w:pPr>
            <w:r>
              <w:rPr>
                <w:rFonts w:eastAsiaTheme="minorEastAsia"/>
                <w:szCs w:val="21"/>
              </w:rPr>
              <w:t>100</w:t>
            </w:r>
          </w:p>
        </w:tc>
        <w:tc>
          <w:tcPr>
            <w:tcW w:w="611" w:type="pct"/>
            <w:noWrap/>
            <w:vAlign w:val="center"/>
          </w:tcPr>
          <w:p>
            <w:pPr>
              <w:spacing w:line="288" w:lineRule="auto"/>
              <w:jc w:val="center"/>
              <w:rPr>
                <w:rFonts w:eastAsiaTheme="minorEastAsia"/>
                <w:szCs w:val="21"/>
              </w:rPr>
            </w:pPr>
            <w:r>
              <w:rPr>
                <w:rFonts w:hint="eastAsia" w:eastAsiaTheme="minorEastAsia"/>
                <w:szCs w:val="21"/>
              </w:rPr>
              <w:t>1.05</w:t>
            </w:r>
          </w:p>
        </w:tc>
        <w:tc>
          <w:tcPr>
            <w:tcW w:w="612" w:type="pct"/>
            <w:vAlign w:val="center"/>
          </w:tcPr>
          <w:p>
            <w:pPr>
              <w:spacing w:line="288" w:lineRule="auto"/>
              <w:jc w:val="center"/>
              <w:rPr>
                <w:rFonts w:eastAsiaTheme="minorEastAsia"/>
                <w:szCs w:val="21"/>
              </w:rPr>
            </w:pPr>
            <w:r>
              <w:rPr>
                <w:rFonts w:hint="eastAsia" w:eastAsiaTheme="minorEastAsia"/>
                <w:szCs w:val="21"/>
              </w:rPr>
              <w:t>0.23</w:t>
            </w:r>
          </w:p>
        </w:tc>
        <w:tc>
          <w:tcPr>
            <w:tcW w:w="611" w:type="pct"/>
            <w:vAlign w:val="center"/>
          </w:tcPr>
          <w:p>
            <w:pPr>
              <w:spacing w:line="288" w:lineRule="auto"/>
              <w:jc w:val="center"/>
              <w:rPr>
                <w:rFonts w:eastAsiaTheme="minorEastAsia"/>
                <w:szCs w:val="21"/>
              </w:rPr>
            </w:pPr>
            <w:r>
              <w:rPr>
                <w:rFonts w:hint="eastAsia" w:eastAsiaTheme="minorEastAsia"/>
                <w:szCs w:val="21"/>
              </w:rPr>
              <w:t>7.40</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1.48</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10.5</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5.27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5</w:t>
            </w:r>
          </w:p>
        </w:tc>
        <w:tc>
          <w:tcPr>
            <w:tcW w:w="992" w:type="pct"/>
            <w:noWrap/>
            <w:vAlign w:val="center"/>
          </w:tcPr>
          <w:p>
            <w:pPr>
              <w:spacing w:line="288" w:lineRule="auto"/>
              <w:jc w:val="center"/>
              <w:rPr>
                <w:rFonts w:eastAsiaTheme="minorEastAsia"/>
                <w:szCs w:val="21"/>
              </w:rPr>
            </w:pPr>
            <w:r>
              <w:rPr>
                <w:rFonts w:eastAsiaTheme="minorEastAsia"/>
                <w:szCs w:val="21"/>
              </w:rPr>
              <w:t>200</w:t>
            </w:r>
          </w:p>
        </w:tc>
        <w:tc>
          <w:tcPr>
            <w:tcW w:w="611" w:type="pct"/>
            <w:noWrap/>
            <w:vAlign w:val="center"/>
          </w:tcPr>
          <w:p>
            <w:pPr>
              <w:spacing w:line="288" w:lineRule="auto"/>
              <w:jc w:val="center"/>
              <w:rPr>
                <w:rFonts w:eastAsiaTheme="minorEastAsia"/>
                <w:szCs w:val="21"/>
              </w:rPr>
            </w:pPr>
            <w:r>
              <w:rPr>
                <w:rFonts w:hint="eastAsia" w:eastAsiaTheme="minorEastAsia"/>
                <w:szCs w:val="21"/>
              </w:rPr>
              <w:t>0.621</w:t>
            </w:r>
          </w:p>
        </w:tc>
        <w:tc>
          <w:tcPr>
            <w:tcW w:w="612" w:type="pct"/>
            <w:vAlign w:val="center"/>
          </w:tcPr>
          <w:p>
            <w:pPr>
              <w:spacing w:line="288" w:lineRule="auto"/>
              <w:jc w:val="center"/>
              <w:rPr>
                <w:rFonts w:eastAsiaTheme="minorEastAsia"/>
                <w:szCs w:val="21"/>
              </w:rPr>
            </w:pPr>
            <w:r>
              <w:rPr>
                <w:rFonts w:hint="eastAsia" w:eastAsiaTheme="minorEastAsia"/>
                <w:szCs w:val="21"/>
              </w:rPr>
              <w:t>0.14</w:t>
            </w:r>
          </w:p>
        </w:tc>
        <w:tc>
          <w:tcPr>
            <w:tcW w:w="611" w:type="pct"/>
            <w:vAlign w:val="center"/>
          </w:tcPr>
          <w:p>
            <w:pPr>
              <w:spacing w:line="288" w:lineRule="auto"/>
              <w:jc w:val="center"/>
              <w:rPr>
                <w:rFonts w:eastAsiaTheme="minorEastAsia"/>
                <w:szCs w:val="21"/>
              </w:rPr>
            </w:pPr>
            <w:r>
              <w:rPr>
                <w:rFonts w:hint="eastAsia" w:eastAsiaTheme="minorEastAsia"/>
                <w:szCs w:val="21"/>
              </w:rPr>
              <w:t>4.36</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0.87</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6.21</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3.10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6</w:t>
            </w:r>
          </w:p>
        </w:tc>
        <w:tc>
          <w:tcPr>
            <w:tcW w:w="992" w:type="pct"/>
            <w:noWrap/>
            <w:vAlign w:val="center"/>
          </w:tcPr>
          <w:p>
            <w:pPr>
              <w:spacing w:line="288" w:lineRule="auto"/>
              <w:jc w:val="center"/>
              <w:rPr>
                <w:rFonts w:eastAsiaTheme="minorEastAsia"/>
                <w:szCs w:val="21"/>
              </w:rPr>
            </w:pPr>
            <w:r>
              <w:rPr>
                <w:rFonts w:eastAsiaTheme="minorEastAsia"/>
                <w:szCs w:val="21"/>
              </w:rPr>
              <w:t>300</w:t>
            </w:r>
          </w:p>
        </w:tc>
        <w:tc>
          <w:tcPr>
            <w:tcW w:w="611" w:type="pct"/>
            <w:noWrap/>
            <w:vAlign w:val="center"/>
          </w:tcPr>
          <w:p>
            <w:pPr>
              <w:spacing w:line="288" w:lineRule="auto"/>
              <w:jc w:val="center"/>
              <w:rPr>
                <w:rFonts w:eastAsiaTheme="minorEastAsia"/>
                <w:szCs w:val="21"/>
              </w:rPr>
            </w:pPr>
            <w:r>
              <w:rPr>
                <w:rFonts w:hint="eastAsia" w:eastAsiaTheme="minorEastAsia"/>
                <w:szCs w:val="21"/>
              </w:rPr>
              <w:t>0.524</w:t>
            </w:r>
          </w:p>
        </w:tc>
        <w:tc>
          <w:tcPr>
            <w:tcW w:w="612" w:type="pct"/>
            <w:vAlign w:val="center"/>
          </w:tcPr>
          <w:p>
            <w:pPr>
              <w:spacing w:line="288" w:lineRule="auto"/>
              <w:jc w:val="center"/>
              <w:rPr>
                <w:rFonts w:eastAsiaTheme="minorEastAsia"/>
                <w:szCs w:val="21"/>
              </w:rPr>
            </w:pPr>
            <w:r>
              <w:rPr>
                <w:rFonts w:hint="eastAsia" w:eastAsiaTheme="minorEastAsia"/>
                <w:szCs w:val="21"/>
              </w:rPr>
              <w:t>0.12</w:t>
            </w:r>
          </w:p>
        </w:tc>
        <w:tc>
          <w:tcPr>
            <w:tcW w:w="611" w:type="pct"/>
            <w:vAlign w:val="center"/>
          </w:tcPr>
          <w:p>
            <w:pPr>
              <w:spacing w:line="288" w:lineRule="auto"/>
              <w:jc w:val="center"/>
              <w:rPr>
                <w:rFonts w:eastAsiaTheme="minorEastAsia"/>
                <w:szCs w:val="21"/>
              </w:rPr>
            </w:pPr>
            <w:r>
              <w:rPr>
                <w:rFonts w:hint="eastAsia" w:eastAsiaTheme="minorEastAsia"/>
                <w:szCs w:val="21"/>
              </w:rPr>
              <w:t>3.68</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0.74</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5.24</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2.62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7</w:t>
            </w:r>
          </w:p>
        </w:tc>
        <w:tc>
          <w:tcPr>
            <w:tcW w:w="992" w:type="pct"/>
            <w:noWrap/>
            <w:vAlign w:val="center"/>
          </w:tcPr>
          <w:p>
            <w:pPr>
              <w:spacing w:line="288" w:lineRule="auto"/>
              <w:jc w:val="center"/>
              <w:rPr>
                <w:rFonts w:eastAsiaTheme="minorEastAsia"/>
                <w:szCs w:val="21"/>
              </w:rPr>
            </w:pPr>
            <w:r>
              <w:rPr>
                <w:rFonts w:eastAsiaTheme="minorEastAsia"/>
                <w:szCs w:val="21"/>
              </w:rPr>
              <w:t>400</w:t>
            </w:r>
          </w:p>
        </w:tc>
        <w:tc>
          <w:tcPr>
            <w:tcW w:w="611" w:type="pct"/>
            <w:noWrap/>
            <w:vAlign w:val="center"/>
          </w:tcPr>
          <w:p>
            <w:pPr>
              <w:spacing w:line="288" w:lineRule="auto"/>
              <w:jc w:val="center"/>
              <w:rPr>
                <w:rFonts w:eastAsiaTheme="minorEastAsia"/>
                <w:szCs w:val="21"/>
              </w:rPr>
            </w:pPr>
            <w:r>
              <w:rPr>
                <w:rFonts w:hint="eastAsia" w:eastAsiaTheme="minorEastAsia"/>
                <w:szCs w:val="21"/>
              </w:rPr>
              <w:t>0.478</w:t>
            </w:r>
          </w:p>
        </w:tc>
        <w:tc>
          <w:tcPr>
            <w:tcW w:w="612" w:type="pct"/>
            <w:vAlign w:val="center"/>
          </w:tcPr>
          <w:p>
            <w:pPr>
              <w:spacing w:line="288" w:lineRule="auto"/>
              <w:jc w:val="center"/>
              <w:rPr>
                <w:rFonts w:eastAsiaTheme="minorEastAsia"/>
                <w:szCs w:val="21"/>
              </w:rPr>
            </w:pPr>
            <w:r>
              <w:rPr>
                <w:rFonts w:hint="eastAsia" w:eastAsiaTheme="minorEastAsia"/>
                <w:szCs w:val="21"/>
              </w:rPr>
              <w:t>0.11</w:t>
            </w:r>
          </w:p>
        </w:tc>
        <w:tc>
          <w:tcPr>
            <w:tcW w:w="611" w:type="pct"/>
            <w:vAlign w:val="center"/>
          </w:tcPr>
          <w:p>
            <w:pPr>
              <w:spacing w:line="288" w:lineRule="auto"/>
              <w:jc w:val="center"/>
              <w:rPr>
                <w:rFonts w:eastAsiaTheme="minorEastAsia"/>
                <w:szCs w:val="21"/>
              </w:rPr>
            </w:pPr>
            <w:r>
              <w:rPr>
                <w:rFonts w:hint="eastAsia" w:eastAsiaTheme="minorEastAsia"/>
                <w:szCs w:val="21"/>
              </w:rPr>
              <w:t>3.35</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0.67</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4.78</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2.39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8</w:t>
            </w:r>
          </w:p>
        </w:tc>
        <w:tc>
          <w:tcPr>
            <w:tcW w:w="992" w:type="pct"/>
            <w:noWrap/>
            <w:vAlign w:val="center"/>
          </w:tcPr>
          <w:p>
            <w:pPr>
              <w:spacing w:line="288" w:lineRule="auto"/>
              <w:jc w:val="center"/>
              <w:rPr>
                <w:rFonts w:eastAsiaTheme="minorEastAsia"/>
                <w:szCs w:val="21"/>
              </w:rPr>
            </w:pPr>
            <w:r>
              <w:rPr>
                <w:rFonts w:eastAsiaTheme="minorEastAsia"/>
                <w:szCs w:val="21"/>
              </w:rPr>
              <w:t>500</w:t>
            </w:r>
          </w:p>
        </w:tc>
        <w:tc>
          <w:tcPr>
            <w:tcW w:w="611" w:type="pct"/>
            <w:noWrap/>
            <w:vAlign w:val="center"/>
          </w:tcPr>
          <w:p>
            <w:pPr>
              <w:spacing w:line="288" w:lineRule="auto"/>
              <w:jc w:val="center"/>
              <w:rPr>
                <w:rFonts w:eastAsiaTheme="minorEastAsia"/>
                <w:szCs w:val="21"/>
              </w:rPr>
            </w:pPr>
            <w:r>
              <w:rPr>
                <w:rFonts w:hint="eastAsia" w:eastAsiaTheme="minorEastAsia"/>
                <w:szCs w:val="21"/>
              </w:rPr>
              <w:t>0.440</w:t>
            </w:r>
          </w:p>
        </w:tc>
        <w:tc>
          <w:tcPr>
            <w:tcW w:w="612" w:type="pct"/>
            <w:vAlign w:val="center"/>
          </w:tcPr>
          <w:p>
            <w:pPr>
              <w:spacing w:line="288" w:lineRule="auto"/>
              <w:jc w:val="center"/>
              <w:rPr>
                <w:rFonts w:eastAsiaTheme="minorEastAsia"/>
                <w:szCs w:val="21"/>
              </w:rPr>
            </w:pPr>
            <w:r>
              <w:rPr>
                <w:rFonts w:hint="eastAsia" w:eastAsiaTheme="minorEastAsia"/>
                <w:szCs w:val="21"/>
              </w:rPr>
              <w:t>0.10</w:t>
            </w:r>
          </w:p>
        </w:tc>
        <w:tc>
          <w:tcPr>
            <w:tcW w:w="611" w:type="pct"/>
            <w:vAlign w:val="center"/>
          </w:tcPr>
          <w:p>
            <w:pPr>
              <w:spacing w:line="288" w:lineRule="auto"/>
              <w:jc w:val="center"/>
              <w:rPr>
                <w:rFonts w:eastAsiaTheme="minorEastAsia"/>
                <w:szCs w:val="21"/>
              </w:rPr>
            </w:pPr>
            <w:r>
              <w:rPr>
                <w:rFonts w:hint="eastAsia" w:eastAsiaTheme="minorEastAsia"/>
                <w:szCs w:val="21"/>
              </w:rPr>
              <w:t>3.09</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0.62</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4.40</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2.20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9</w:t>
            </w:r>
          </w:p>
        </w:tc>
        <w:tc>
          <w:tcPr>
            <w:tcW w:w="992" w:type="pct"/>
            <w:noWrap/>
            <w:vAlign w:val="center"/>
          </w:tcPr>
          <w:p>
            <w:pPr>
              <w:spacing w:line="288" w:lineRule="auto"/>
              <w:jc w:val="center"/>
              <w:rPr>
                <w:rFonts w:eastAsiaTheme="minorEastAsia"/>
                <w:szCs w:val="21"/>
              </w:rPr>
            </w:pPr>
            <w:r>
              <w:rPr>
                <w:rFonts w:eastAsiaTheme="minorEastAsia"/>
                <w:szCs w:val="21"/>
              </w:rPr>
              <w:t>600</w:t>
            </w:r>
          </w:p>
        </w:tc>
        <w:tc>
          <w:tcPr>
            <w:tcW w:w="611" w:type="pct"/>
            <w:noWrap/>
            <w:vAlign w:val="center"/>
          </w:tcPr>
          <w:p>
            <w:pPr>
              <w:spacing w:line="288" w:lineRule="auto"/>
              <w:jc w:val="center"/>
              <w:rPr>
                <w:rFonts w:eastAsiaTheme="minorEastAsia"/>
                <w:szCs w:val="21"/>
              </w:rPr>
            </w:pPr>
            <w:r>
              <w:rPr>
                <w:rFonts w:hint="eastAsia" w:eastAsiaTheme="minorEastAsia"/>
                <w:szCs w:val="21"/>
              </w:rPr>
              <w:t>0.408</w:t>
            </w:r>
          </w:p>
        </w:tc>
        <w:tc>
          <w:tcPr>
            <w:tcW w:w="612" w:type="pct"/>
            <w:vAlign w:val="center"/>
          </w:tcPr>
          <w:p>
            <w:pPr>
              <w:spacing w:line="288" w:lineRule="auto"/>
              <w:jc w:val="center"/>
              <w:rPr>
                <w:rFonts w:eastAsiaTheme="minorEastAsia"/>
                <w:szCs w:val="21"/>
              </w:rPr>
            </w:pPr>
            <w:r>
              <w:rPr>
                <w:rFonts w:hint="eastAsia" w:eastAsiaTheme="minorEastAsia"/>
                <w:szCs w:val="21"/>
              </w:rPr>
              <w:t>0.09</w:t>
            </w:r>
          </w:p>
        </w:tc>
        <w:tc>
          <w:tcPr>
            <w:tcW w:w="611" w:type="pct"/>
            <w:vAlign w:val="center"/>
          </w:tcPr>
          <w:p>
            <w:pPr>
              <w:spacing w:line="288" w:lineRule="auto"/>
              <w:jc w:val="center"/>
              <w:rPr>
                <w:rFonts w:eastAsiaTheme="minorEastAsia"/>
                <w:szCs w:val="21"/>
              </w:rPr>
            </w:pPr>
            <w:r>
              <w:rPr>
                <w:rFonts w:hint="eastAsia" w:eastAsiaTheme="minorEastAsia"/>
                <w:szCs w:val="21"/>
              </w:rPr>
              <w:t>2.87</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0.57</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4.08</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2.04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10</w:t>
            </w:r>
          </w:p>
        </w:tc>
        <w:tc>
          <w:tcPr>
            <w:tcW w:w="992" w:type="pct"/>
            <w:noWrap/>
            <w:vAlign w:val="center"/>
          </w:tcPr>
          <w:p>
            <w:pPr>
              <w:spacing w:line="288" w:lineRule="auto"/>
              <w:jc w:val="center"/>
              <w:rPr>
                <w:rFonts w:eastAsiaTheme="minorEastAsia"/>
                <w:szCs w:val="21"/>
              </w:rPr>
            </w:pPr>
            <w:r>
              <w:rPr>
                <w:rFonts w:eastAsiaTheme="minorEastAsia"/>
                <w:szCs w:val="21"/>
              </w:rPr>
              <w:t>700</w:t>
            </w:r>
          </w:p>
        </w:tc>
        <w:tc>
          <w:tcPr>
            <w:tcW w:w="611" w:type="pct"/>
            <w:noWrap/>
            <w:vAlign w:val="center"/>
          </w:tcPr>
          <w:p>
            <w:pPr>
              <w:spacing w:line="288" w:lineRule="auto"/>
              <w:jc w:val="center"/>
              <w:rPr>
                <w:rFonts w:eastAsiaTheme="minorEastAsia"/>
                <w:szCs w:val="21"/>
              </w:rPr>
            </w:pPr>
            <w:r>
              <w:rPr>
                <w:rFonts w:hint="eastAsia" w:eastAsiaTheme="minorEastAsia"/>
                <w:szCs w:val="21"/>
              </w:rPr>
              <w:t>0.381</w:t>
            </w:r>
          </w:p>
        </w:tc>
        <w:tc>
          <w:tcPr>
            <w:tcW w:w="612" w:type="pct"/>
            <w:vAlign w:val="center"/>
          </w:tcPr>
          <w:p>
            <w:pPr>
              <w:spacing w:line="288" w:lineRule="auto"/>
              <w:jc w:val="center"/>
              <w:rPr>
                <w:rFonts w:eastAsiaTheme="minorEastAsia"/>
                <w:szCs w:val="21"/>
              </w:rPr>
            </w:pPr>
            <w:r>
              <w:rPr>
                <w:rFonts w:hint="eastAsia" w:eastAsiaTheme="minorEastAsia"/>
                <w:szCs w:val="21"/>
              </w:rPr>
              <w:t>0.08</w:t>
            </w:r>
          </w:p>
        </w:tc>
        <w:tc>
          <w:tcPr>
            <w:tcW w:w="611" w:type="pct"/>
            <w:vAlign w:val="center"/>
          </w:tcPr>
          <w:p>
            <w:pPr>
              <w:spacing w:line="288" w:lineRule="auto"/>
              <w:jc w:val="center"/>
              <w:rPr>
                <w:rFonts w:eastAsiaTheme="minorEastAsia"/>
                <w:szCs w:val="21"/>
              </w:rPr>
            </w:pPr>
            <w:r>
              <w:rPr>
                <w:rFonts w:hint="eastAsia" w:eastAsiaTheme="minorEastAsia"/>
                <w:szCs w:val="21"/>
              </w:rPr>
              <w:t>2.68</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0.54</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3.81</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11</w:t>
            </w:r>
          </w:p>
        </w:tc>
        <w:tc>
          <w:tcPr>
            <w:tcW w:w="992" w:type="pct"/>
            <w:noWrap/>
            <w:vAlign w:val="center"/>
          </w:tcPr>
          <w:p>
            <w:pPr>
              <w:spacing w:line="288" w:lineRule="auto"/>
              <w:jc w:val="center"/>
              <w:rPr>
                <w:rFonts w:eastAsiaTheme="minorEastAsia"/>
                <w:szCs w:val="21"/>
              </w:rPr>
            </w:pPr>
            <w:r>
              <w:rPr>
                <w:rFonts w:eastAsiaTheme="minorEastAsia"/>
                <w:szCs w:val="21"/>
              </w:rPr>
              <w:t>800</w:t>
            </w:r>
          </w:p>
        </w:tc>
        <w:tc>
          <w:tcPr>
            <w:tcW w:w="611" w:type="pct"/>
            <w:noWrap/>
            <w:vAlign w:val="center"/>
          </w:tcPr>
          <w:p>
            <w:pPr>
              <w:spacing w:line="288" w:lineRule="auto"/>
              <w:jc w:val="center"/>
              <w:rPr>
                <w:rFonts w:eastAsiaTheme="minorEastAsia"/>
                <w:szCs w:val="21"/>
              </w:rPr>
            </w:pPr>
            <w:r>
              <w:rPr>
                <w:rFonts w:hint="eastAsia" w:eastAsiaTheme="minorEastAsia"/>
                <w:szCs w:val="21"/>
              </w:rPr>
              <w:t>0.358</w:t>
            </w:r>
          </w:p>
        </w:tc>
        <w:tc>
          <w:tcPr>
            <w:tcW w:w="612" w:type="pct"/>
            <w:vAlign w:val="center"/>
          </w:tcPr>
          <w:p>
            <w:pPr>
              <w:spacing w:line="288" w:lineRule="auto"/>
              <w:jc w:val="center"/>
              <w:rPr>
                <w:rFonts w:eastAsiaTheme="minorEastAsia"/>
                <w:szCs w:val="21"/>
              </w:rPr>
            </w:pPr>
            <w:r>
              <w:rPr>
                <w:rFonts w:hint="eastAsia" w:eastAsiaTheme="minorEastAsia"/>
                <w:szCs w:val="21"/>
              </w:rPr>
              <w:t>0.08</w:t>
            </w:r>
          </w:p>
        </w:tc>
        <w:tc>
          <w:tcPr>
            <w:tcW w:w="611" w:type="pct"/>
            <w:vAlign w:val="center"/>
          </w:tcPr>
          <w:p>
            <w:pPr>
              <w:spacing w:line="288" w:lineRule="auto"/>
              <w:jc w:val="center"/>
              <w:rPr>
                <w:rFonts w:eastAsiaTheme="minorEastAsia"/>
                <w:szCs w:val="21"/>
              </w:rPr>
            </w:pPr>
            <w:r>
              <w:rPr>
                <w:rFonts w:hint="eastAsia" w:eastAsiaTheme="minorEastAsia"/>
                <w:szCs w:val="21"/>
              </w:rPr>
              <w:t>2.52</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0.50</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3.58</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12</w:t>
            </w:r>
          </w:p>
        </w:tc>
        <w:tc>
          <w:tcPr>
            <w:tcW w:w="992" w:type="pct"/>
            <w:noWrap/>
            <w:vAlign w:val="center"/>
          </w:tcPr>
          <w:p>
            <w:pPr>
              <w:spacing w:line="288" w:lineRule="auto"/>
              <w:jc w:val="center"/>
              <w:rPr>
                <w:rFonts w:eastAsiaTheme="minorEastAsia"/>
                <w:szCs w:val="21"/>
              </w:rPr>
            </w:pPr>
            <w:r>
              <w:rPr>
                <w:rFonts w:eastAsiaTheme="minorEastAsia"/>
                <w:szCs w:val="21"/>
              </w:rPr>
              <w:t>900</w:t>
            </w:r>
          </w:p>
        </w:tc>
        <w:tc>
          <w:tcPr>
            <w:tcW w:w="611" w:type="pct"/>
            <w:noWrap/>
            <w:vAlign w:val="center"/>
          </w:tcPr>
          <w:p>
            <w:pPr>
              <w:spacing w:line="288" w:lineRule="auto"/>
              <w:jc w:val="center"/>
              <w:rPr>
                <w:rFonts w:eastAsiaTheme="minorEastAsia"/>
                <w:szCs w:val="21"/>
              </w:rPr>
            </w:pPr>
            <w:r>
              <w:rPr>
                <w:rFonts w:hint="eastAsia" w:eastAsiaTheme="minorEastAsia"/>
                <w:szCs w:val="21"/>
              </w:rPr>
              <w:t>0.339</w:t>
            </w:r>
          </w:p>
        </w:tc>
        <w:tc>
          <w:tcPr>
            <w:tcW w:w="612" w:type="pct"/>
            <w:vAlign w:val="center"/>
          </w:tcPr>
          <w:p>
            <w:pPr>
              <w:spacing w:line="288" w:lineRule="auto"/>
              <w:jc w:val="center"/>
              <w:rPr>
                <w:rFonts w:eastAsiaTheme="minorEastAsia"/>
                <w:szCs w:val="21"/>
              </w:rPr>
            </w:pPr>
            <w:r>
              <w:rPr>
                <w:rFonts w:hint="eastAsia" w:eastAsiaTheme="minorEastAsia"/>
                <w:szCs w:val="21"/>
              </w:rPr>
              <w:t>0.08</w:t>
            </w:r>
          </w:p>
        </w:tc>
        <w:tc>
          <w:tcPr>
            <w:tcW w:w="611" w:type="pct"/>
            <w:vAlign w:val="center"/>
          </w:tcPr>
          <w:p>
            <w:pPr>
              <w:spacing w:line="288" w:lineRule="auto"/>
              <w:jc w:val="center"/>
              <w:rPr>
                <w:rFonts w:eastAsiaTheme="minorEastAsia"/>
                <w:szCs w:val="21"/>
              </w:rPr>
            </w:pPr>
            <w:r>
              <w:rPr>
                <w:rFonts w:hint="eastAsia" w:eastAsiaTheme="minorEastAsia"/>
                <w:szCs w:val="21"/>
              </w:rPr>
              <w:t>2.38</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0.48</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3.39</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13</w:t>
            </w:r>
          </w:p>
        </w:tc>
        <w:tc>
          <w:tcPr>
            <w:tcW w:w="992" w:type="pct"/>
            <w:noWrap/>
            <w:vAlign w:val="center"/>
          </w:tcPr>
          <w:p>
            <w:pPr>
              <w:spacing w:line="288" w:lineRule="auto"/>
              <w:jc w:val="center"/>
              <w:rPr>
                <w:rFonts w:eastAsiaTheme="minorEastAsia"/>
                <w:szCs w:val="21"/>
              </w:rPr>
            </w:pPr>
            <w:r>
              <w:rPr>
                <w:rFonts w:eastAsiaTheme="minorEastAsia"/>
                <w:szCs w:val="21"/>
              </w:rPr>
              <w:t>1000</w:t>
            </w:r>
          </w:p>
        </w:tc>
        <w:tc>
          <w:tcPr>
            <w:tcW w:w="611" w:type="pct"/>
            <w:noWrap/>
            <w:vAlign w:val="center"/>
          </w:tcPr>
          <w:p>
            <w:pPr>
              <w:spacing w:line="288" w:lineRule="auto"/>
              <w:jc w:val="center"/>
              <w:rPr>
                <w:rFonts w:eastAsiaTheme="minorEastAsia"/>
                <w:szCs w:val="21"/>
              </w:rPr>
            </w:pPr>
            <w:r>
              <w:rPr>
                <w:rFonts w:hint="eastAsia" w:eastAsiaTheme="minorEastAsia"/>
                <w:szCs w:val="21"/>
              </w:rPr>
              <w:t>0.322</w:t>
            </w:r>
          </w:p>
        </w:tc>
        <w:tc>
          <w:tcPr>
            <w:tcW w:w="612" w:type="pct"/>
            <w:vAlign w:val="center"/>
          </w:tcPr>
          <w:p>
            <w:pPr>
              <w:spacing w:line="288" w:lineRule="auto"/>
              <w:jc w:val="center"/>
              <w:rPr>
                <w:rFonts w:eastAsiaTheme="minorEastAsia"/>
                <w:szCs w:val="21"/>
              </w:rPr>
            </w:pPr>
            <w:r>
              <w:rPr>
                <w:rFonts w:hint="eastAsia" w:eastAsiaTheme="minorEastAsia"/>
                <w:szCs w:val="21"/>
              </w:rPr>
              <w:t>0.07</w:t>
            </w:r>
          </w:p>
        </w:tc>
        <w:tc>
          <w:tcPr>
            <w:tcW w:w="611" w:type="pct"/>
            <w:vAlign w:val="center"/>
          </w:tcPr>
          <w:p>
            <w:pPr>
              <w:spacing w:line="288" w:lineRule="auto"/>
              <w:jc w:val="center"/>
              <w:rPr>
                <w:rFonts w:eastAsiaTheme="minorEastAsia"/>
                <w:szCs w:val="21"/>
              </w:rPr>
            </w:pPr>
            <w:r>
              <w:rPr>
                <w:rFonts w:hint="eastAsia" w:eastAsiaTheme="minorEastAsia"/>
                <w:szCs w:val="21"/>
              </w:rPr>
              <w:t>2.26</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0.45</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3.22</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14</w:t>
            </w:r>
          </w:p>
        </w:tc>
        <w:tc>
          <w:tcPr>
            <w:tcW w:w="992" w:type="pct"/>
            <w:noWrap/>
            <w:vAlign w:val="center"/>
          </w:tcPr>
          <w:p>
            <w:pPr>
              <w:spacing w:line="288" w:lineRule="auto"/>
              <w:jc w:val="center"/>
              <w:rPr>
                <w:rFonts w:eastAsiaTheme="minorEastAsia"/>
                <w:szCs w:val="21"/>
              </w:rPr>
            </w:pPr>
            <w:r>
              <w:rPr>
                <w:rFonts w:eastAsiaTheme="minorEastAsia"/>
                <w:szCs w:val="21"/>
              </w:rPr>
              <w:t>1500</w:t>
            </w:r>
          </w:p>
        </w:tc>
        <w:tc>
          <w:tcPr>
            <w:tcW w:w="611" w:type="pct"/>
            <w:noWrap/>
            <w:vAlign w:val="center"/>
          </w:tcPr>
          <w:p>
            <w:pPr>
              <w:spacing w:line="288" w:lineRule="auto"/>
              <w:jc w:val="center"/>
              <w:rPr>
                <w:rFonts w:eastAsiaTheme="minorEastAsia"/>
                <w:szCs w:val="21"/>
              </w:rPr>
            </w:pPr>
            <w:r>
              <w:rPr>
                <w:rFonts w:hint="eastAsia" w:eastAsiaTheme="minorEastAsia"/>
                <w:szCs w:val="21"/>
              </w:rPr>
              <w:t>0.261</w:t>
            </w:r>
          </w:p>
        </w:tc>
        <w:tc>
          <w:tcPr>
            <w:tcW w:w="612" w:type="pct"/>
            <w:vAlign w:val="center"/>
          </w:tcPr>
          <w:p>
            <w:pPr>
              <w:spacing w:line="288" w:lineRule="auto"/>
              <w:jc w:val="center"/>
              <w:rPr>
                <w:rFonts w:eastAsiaTheme="minorEastAsia"/>
                <w:szCs w:val="21"/>
              </w:rPr>
            </w:pPr>
            <w:r>
              <w:rPr>
                <w:rFonts w:hint="eastAsia" w:eastAsiaTheme="minorEastAsia"/>
                <w:szCs w:val="21"/>
              </w:rPr>
              <w:t>0.06</w:t>
            </w:r>
          </w:p>
        </w:tc>
        <w:tc>
          <w:tcPr>
            <w:tcW w:w="611" w:type="pct"/>
            <w:vAlign w:val="center"/>
          </w:tcPr>
          <w:p>
            <w:pPr>
              <w:spacing w:line="288" w:lineRule="auto"/>
              <w:jc w:val="center"/>
              <w:rPr>
                <w:rFonts w:eastAsiaTheme="minorEastAsia"/>
                <w:szCs w:val="21"/>
              </w:rPr>
            </w:pPr>
            <w:r>
              <w:rPr>
                <w:rFonts w:hint="eastAsia" w:eastAsiaTheme="minorEastAsia"/>
                <w:szCs w:val="21"/>
              </w:rPr>
              <w:t>1.83</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0.37</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2.61</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15</w:t>
            </w:r>
          </w:p>
        </w:tc>
        <w:tc>
          <w:tcPr>
            <w:tcW w:w="992" w:type="pct"/>
            <w:noWrap/>
            <w:vAlign w:val="center"/>
          </w:tcPr>
          <w:p>
            <w:pPr>
              <w:spacing w:line="288" w:lineRule="auto"/>
              <w:jc w:val="center"/>
              <w:rPr>
                <w:rFonts w:eastAsiaTheme="minorEastAsia"/>
                <w:szCs w:val="21"/>
              </w:rPr>
            </w:pPr>
            <w:r>
              <w:rPr>
                <w:rFonts w:eastAsiaTheme="minorEastAsia"/>
                <w:szCs w:val="21"/>
              </w:rPr>
              <w:t>2000</w:t>
            </w:r>
          </w:p>
        </w:tc>
        <w:tc>
          <w:tcPr>
            <w:tcW w:w="611" w:type="pct"/>
            <w:noWrap/>
            <w:vAlign w:val="center"/>
          </w:tcPr>
          <w:p>
            <w:pPr>
              <w:spacing w:line="288" w:lineRule="auto"/>
              <w:jc w:val="center"/>
              <w:rPr>
                <w:rFonts w:eastAsiaTheme="minorEastAsia"/>
                <w:szCs w:val="21"/>
              </w:rPr>
            </w:pPr>
            <w:r>
              <w:rPr>
                <w:rFonts w:hint="eastAsia" w:eastAsiaTheme="minorEastAsia"/>
                <w:szCs w:val="21"/>
              </w:rPr>
              <w:t>0.235</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1.65</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0.33</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2.35</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16</w:t>
            </w:r>
          </w:p>
        </w:tc>
        <w:tc>
          <w:tcPr>
            <w:tcW w:w="992" w:type="pct"/>
            <w:noWrap/>
            <w:vAlign w:val="center"/>
          </w:tcPr>
          <w:p>
            <w:pPr>
              <w:spacing w:line="288" w:lineRule="auto"/>
              <w:jc w:val="center"/>
              <w:rPr>
                <w:rFonts w:eastAsiaTheme="minorEastAsia"/>
                <w:szCs w:val="21"/>
              </w:rPr>
            </w:pPr>
            <w:r>
              <w:rPr>
                <w:rFonts w:eastAsiaTheme="minorEastAsia"/>
                <w:szCs w:val="21"/>
              </w:rPr>
              <w:t>2500</w:t>
            </w:r>
          </w:p>
        </w:tc>
        <w:tc>
          <w:tcPr>
            <w:tcW w:w="611" w:type="pct"/>
            <w:noWrap/>
            <w:vAlign w:val="center"/>
          </w:tcPr>
          <w:p>
            <w:pPr>
              <w:spacing w:line="288" w:lineRule="auto"/>
              <w:jc w:val="center"/>
              <w:rPr>
                <w:rFonts w:eastAsiaTheme="minorEastAsia"/>
                <w:szCs w:val="21"/>
              </w:rPr>
            </w:pPr>
            <w:r>
              <w:rPr>
                <w:rFonts w:hint="eastAsia" w:eastAsiaTheme="minorEastAsia"/>
                <w:szCs w:val="21"/>
              </w:rPr>
              <w:t>0.208</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1.46</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0.29</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2.08</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30" w:type="pct"/>
            <w:gridSpan w:val="2"/>
            <w:vAlign w:val="center"/>
          </w:tcPr>
          <w:p>
            <w:pPr>
              <w:spacing w:line="288" w:lineRule="auto"/>
              <w:jc w:val="center"/>
              <w:rPr>
                <w:rFonts w:eastAsiaTheme="minorEastAsia"/>
                <w:szCs w:val="21"/>
              </w:rPr>
            </w:pPr>
            <w:r>
              <w:rPr>
                <w:rFonts w:hAnsiTheme="minorEastAsia" w:eastAsiaTheme="minorEastAsia"/>
                <w:szCs w:val="21"/>
              </w:rPr>
              <w:t>下风向最大浓度及占标率</w:t>
            </w:r>
          </w:p>
        </w:tc>
        <w:tc>
          <w:tcPr>
            <w:tcW w:w="611" w:type="pct"/>
            <w:noWrap/>
            <w:vAlign w:val="center"/>
          </w:tcPr>
          <w:p>
            <w:pPr>
              <w:spacing w:line="288" w:lineRule="auto"/>
              <w:jc w:val="center"/>
              <w:rPr>
                <w:rFonts w:eastAsiaTheme="minorEastAsia"/>
                <w:szCs w:val="21"/>
              </w:rPr>
            </w:pPr>
            <w:r>
              <w:rPr>
                <w:rFonts w:hint="eastAsia" w:eastAsiaTheme="minorEastAsia"/>
                <w:szCs w:val="21"/>
              </w:rPr>
              <w:t>1.20</w:t>
            </w:r>
          </w:p>
        </w:tc>
        <w:tc>
          <w:tcPr>
            <w:tcW w:w="612" w:type="pct"/>
            <w:vAlign w:val="center"/>
          </w:tcPr>
          <w:p>
            <w:pPr>
              <w:spacing w:line="288" w:lineRule="auto"/>
              <w:jc w:val="center"/>
              <w:rPr>
                <w:rFonts w:eastAsiaTheme="minorEastAsia"/>
                <w:szCs w:val="21"/>
              </w:rPr>
            </w:pPr>
            <w:r>
              <w:rPr>
                <w:rFonts w:hint="eastAsia" w:eastAsiaTheme="minorEastAsia"/>
                <w:szCs w:val="21"/>
              </w:rPr>
              <w:t>0.27</w:t>
            </w:r>
          </w:p>
        </w:tc>
        <w:tc>
          <w:tcPr>
            <w:tcW w:w="611" w:type="pct"/>
            <w:vAlign w:val="center"/>
          </w:tcPr>
          <w:p>
            <w:pPr>
              <w:spacing w:line="288" w:lineRule="auto"/>
              <w:jc w:val="center"/>
              <w:rPr>
                <w:rFonts w:eastAsiaTheme="minorEastAsia"/>
                <w:szCs w:val="21"/>
              </w:rPr>
            </w:pPr>
            <w:r>
              <w:rPr>
                <w:rFonts w:hint="eastAsia" w:eastAsiaTheme="minorEastAsia"/>
                <w:szCs w:val="21"/>
              </w:rPr>
              <w:t>8.42</w:t>
            </w:r>
          </w:p>
        </w:tc>
        <w:tc>
          <w:tcPr>
            <w:tcW w:w="534" w:type="pct"/>
            <w:vAlign w:val="center"/>
          </w:tcPr>
          <w:p>
            <w:pPr>
              <w:spacing w:line="288" w:lineRule="auto"/>
              <w:jc w:val="center"/>
              <w:rPr>
                <w:rFonts w:eastAsiaTheme="minorEastAsia"/>
                <w:szCs w:val="21"/>
              </w:rPr>
            </w:pPr>
            <w:r>
              <w:rPr>
                <w:rFonts w:hint="eastAsia" w:eastAsiaTheme="minorEastAsia"/>
                <w:szCs w:val="21"/>
              </w:rPr>
              <w:t>1.68</w:t>
            </w:r>
          </w:p>
        </w:tc>
        <w:tc>
          <w:tcPr>
            <w:tcW w:w="613" w:type="pct"/>
            <w:vAlign w:val="center"/>
          </w:tcPr>
          <w:p>
            <w:pPr>
              <w:spacing w:line="288" w:lineRule="auto"/>
              <w:jc w:val="center"/>
              <w:rPr>
                <w:rFonts w:eastAsiaTheme="minorEastAsia"/>
                <w:szCs w:val="21"/>
              </w:rPr>
            </w:pPr>
            <w:r>
              <w:rPr>
                <w:rFonts w:hint="eastAsia" w:eastAsiaTheme="minorEastAsia"/>
                <w:szCs w:val="21"/>
              </w:rPr>
              <w:t>12.0</w:t>
            </w:r>
          </w:p>
        </w:tc>
        <w:tc>
          <w:tcPr>
            <w:tcW w:w="589" w:type="pct"/>
            <w:vAlign w:val="center"/>
          </w:tcPr>
          <w:p>
            <w:pPr>
              <w:spacing w:line="288" w:lineRule="auto"/>
              <w:jc w:val="center"/>
              <w:rPr>
                <w:rFonts w:eastAsiaTheme="minorEastAsia"/>
                <w:szCs w:val="21"/>
              </w:rPr>
            </w:pPr>
            <w:r>
              <w:rPr>
                <w:rFonts w:hint="eastAsia" w:eastAsiaTheme="minorEastAsia"/>
                <w:szCs w:val="21"/>
              </w:rPr>
              <w:t>5.99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30" w:type="pct"/>
            <w:gridSpan w:val="2"/>
            <w:vAlign w:val="center"/>
          </w:tcPr>
          <w:p>
            <w:pPr>
              <w:spacing w:line="288" w:lineRule="auto"/>
              <w:jc w:val="center"/>
              <w:rPr>
                <w:rFonts w:eastAsiaTheme="minorEastAsia"/>
                <w:szCs w:val="21"/>
              </w:rPr>
            </w:pPr>
            <w:r>
              <w:rPr>
                <w:rFonts w:hAnsiTheme="minorEastAsia" w:eastAsiaTheme="minorEastAsia"/>
                <w:szCs w:val="21"/>
              </w:rPr>
              <w:t>最大地面浓度出现最远距离，</w:t>
            </w:r>
            <w:r>
              <w:rPr>
                <w:rFonts w:eastAsiaTheme="minorEastAsia"/>
                <w:szCs w:val="21"/>
              </w:rPr>
              <w:t>m</w:t>
            </w:r>
          </w:p>
        </w:tc>
        <w:tc>
          <w:tcPr>
            <w:tcW w:w="1223" w:type="pct"/>
            <w:gridSpan w:val="2"/>
            <w:noWrap/>
            <w:vAlign w:val="center"/>
          </w:tcPr>
          <w:p>
            <w:pPr>
              <w:spacing w:line="288" w:lineRule="auto"/>
              <w:jc w:val="center"/>
              <w:rPr>
                <w:rFonts w:eastAsiaTheme="minorEastAsia"/>
                <w:sz w:val="22"/>
                <w:szCs w:val="22"/>
              </w:rPr>
            </w:pPr>
            <w:r>
              <w:rPr>
                <w:rFonts w:hint="eastAsia" w:eastAsiaTheme="minorEastAsia"/>
                <w:sz w:val="22"/>
                <w:szCs w:val="22"/>
              </w:rPr>
              <w:t>59</w:t>
            </w:r>
          </w:p>
        </w:tc>
        <w:tc>
          <w:tcPr>
            <w:tcW w:w="1145" w:type="pct"/>
            <w:gridSpan w:val="2"/>
            <w:vAlign w:val="center"/>
          </w:tcPr>
          <w:p>
            <w:pPr>
              <w:spacing w:line="288" w:lineRule="auto"/>
              <w:jc w:val="center"/>
              <w:rPr>
                <w:rFonts w:eastAsiaTheme="minorEastAsia"/>
                <w:sz w:val="22"/>
                <w:szCs w:val="22"/>
              </w:rPr>
            </w:pPr>
            <w:r>
              <w:rPr>
                <w:rFonts w:hint="eastAsia" w:eastAsiaTheme="minorEastAsia"/>
                <w:sz w:val="22"/>
                <w:szCs w:val="22"/>
              </w:rPr>
              <w:t>59</w:t>
            </w:r>
          </w:p>
        </w:tc>
        <w:tc>
          <w:tcPr>
            <w:tcW w:w="1202" w:type="pct"/>
            <w:gridSpan w:val="2"/>
            <w:vAlign w:val="center"/>
          </w:tcPr>
          <w:p>
            <w:pPr>
              <w:spacing w:line="288" w:lineRule="auto"/>
              <w:jc w:val="center"/>
              <w:rPr>
                <w:rFonts w:eastAsiaTheme="minorEastAsia"/>
                <w:sz w:val="22"/>
                <w:szCs w:val="22"/>
              </w:rPr>
            </w:pPr>
            <w:r>
              <w:rPr>
                <w:rFonts w:hint="eastAsia" w:eastAsiaTheme="minorEastAsia"/>
                <w:sz w:val="22"/>
                <w:szCs w:val="22"/>
              </w:rPr>
              <w:t>59</w:t>
            </w:r>
          </w:p>
        </w:tc>
      </w:tr>
    </w:tbl>
    <w:p>
      <w:pPr>
        <w:autoSpaceDE w:val="0"/>
        <w:autoSpaceDN w:val="0"/>
        <w:spacing w:line="360" w:lineRule="auto"/>
        <w:jc w:val="center"/>
        <w:rPr>
          <w:rFonts w:hAnsiTheme="minorEastAsia" w:eastAsiaTheme="minorEastAsia"/>
          <w:b/>
          <w:szCs w:val="21"/>
        </w:rPr>
      </w:pPr>
      <w:r>
        <w:rPr>
          <w:rFonts w:hAnsiTheme="minorEastAsia" w:eastAsiaTheme="minorEastAsia"/>
          <w:b/>
          <w:szCs w:val="21"/>
        </w:rPr>
        <w:t>表</w:t>
      </w:r>
      <w:r>
        <w:rPr>
          <w:rFonts w:eastAsiaTheme="minorEastAsia"/>
          <w:b/>
          <w:szCs w:val="21"/>
        </w:rPr>
        <w:t>5.2-</w:t>
      </w:r>
      <w:r>
        <w:rPr>
          <w:rFonts w:hint="eastAsia" w:eastAsiaTheme="minorEastAsia"/>
          <w:b/>
          <w:szCs w:val="21"/>
        </w:rPr>
        <w:t>8</w:t>
      </w:r>
      <w:r>
        <w:rPr>
          <w:rFonts w:eastAsiaTheme="minorEastAsia"/>
          <w:b/>
          <w:szCs w:val="21"/>
        </w:rPr>
        <w:t xml:space="preserve">  </w:t>
      </w:r>
      <w:r>
        <w:rPr>
          <w:rFonts w:hint="eastAsia" w:hAnsiTheme="minorEastAsia" w:eastAsiaTheme="minorEastAsia"/>
          <w:b/>
          <w:szCs w:val="21"/>
        </w:rPr>
        <w:t>2#锅炉采暖期</w:t>
      </w:r>
      <w:r>
        <w:rPr>
          <w:rFonts w:eastAsiaTheme="minorEastAsia"/>
          <w:b/>
          <w:szCs w:val="21"/>
        </w:rPr>
        <w:t>AERSCREEN</w:t>
      </w:r>
      <w:r>
        <w:rPr>
          <w:rFonts w:hAnsiTheme="minorEastAsia" w:eastAsiaTheme="minorEastAsia"/>
          <w:b/>
          <w:szCs w:val="21"/>
        </w:rPr>
        <w:t>估算模型计算结果一览表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3"/>
        <w:gridCol w:w="1842"/>
        <w:gridCol w:w="1135"/>
        <w:gridCol w:w="1137"/>
        <w:gridCol w:w="1135"/>
        <w:gridCol w:w="992"/>
        <w:gridCol w:w="1138"/>
        <w:gridCol w:w="10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Merge w:val="restart"/>
            <w:vAlign w:val="center"/>
          </w:tcPr>
          <w:p>
            <w:pPr>
              <w:spacing w:line="288" w:lineRule="auto"/>
              <w:jc w:val="center"/>
              <w:rPr>
                <w:rFonts w:eastAsiaTheme="minorEastAsia"/>
                <w:szCs w:val="21"/>
              </w:rPr>
            </w:pPr>
            <w:r>
              <w:rPr>
                <w:rFonts w:hAnsiTheme="minorEastAsia" w:eastAsiaTheme="minorEastAsia"/>
                <w:szCs w:val="21"/>
              </w:rPr>
              <w:t>序号</w:t>
            </w:r>
          </w:p>
        </w:tc>
        <w:tc>
          <w:tcPr>
            <w:tcW w:w="992" w:type="pct"/>
            <w:vMerge w:val="restart"/>
            <w:noWrap/>
            <w:vAlign w:val="center"/>
          </w:tcPr>
          <w:p>
            <w:pPr>
              <w:spacing w:line="288" w:lineRule="auto"/>
              <w:jc w:val="center"/>
              <w:rPr>
                <w:rFonts w:eastAsiaTheme="minorEastAsia"/>
                <w:szCs w:val="21"/>
              </w:rPr>
            </w:pPr>
            <w:r>
              <w:rPr>
                <w:rFonts w:hAnsiTheme="minorEastAsia" w:eastAsiaTheme="minorEastAsia"/>
                <w:szCs w:val="21"/>
              </w:rPr>
              <w:t>下风距离（</w:t>
            </w:r>
            <w:r>
              <w:rPr>
                <w:rFonts w:eastAsiaTheme="minorEastAsia"/>
                <w:szCs w:val="21"/>
              </w:rPr>
              <w:t>m</w:t>
            </w:r>
            <w:r>
              <w:rPr>
                <w:rFonts w:hAnsiTheme="minorEastAsia" w:eastAsiaTheme="minorEastAsia"/>
                <w:szCs w:val="21"/>
              </w:rPr>
              <w:t>）</w:t>
            </w:r>
          </w:p>
        </w:tc>
        <w:tc>
          <w:tcPr>
            <w:tcW w:w="1223" w:type="pct"/>
            <w:gridSpan w:val="2"/>
            <w:noWrap/>
            <w:vAlign w:val="center"/>
          </w:tcPr>
          <w:p>
            <w:pPr>
              <w:spacing w:line="288" w:lineRule="auto"/>
              <w:jc w:val="center"/>
              <w:rPr>
                <w:rFonts w:eastAsiaTheme="minorEastAsia"/>
                <w:szCs w:val="21"/>
                <w:vertAlign w:val="subscript"/>
              </w:rPr>
            </w:pPr>
            <w:r>
              <w:rPr>
                <w:rFonts w:hint="eastAsia" w:hAnsiTheme="minorEastAsia" w:eastAsiaTheme="minorEastAsia"/>
                <w:szCs w:val="21"/>
              </w:rPr>
              <w:t>PM</w:t>
            </w:r>
            <w:r>
              <w:rPr>
                <w:rFonts w:hint="eastAsia" w:hAnsiTheme="minorEastAsia" w:eastAsiaTheme="minorEastAsia"/>
                <w:szCs w:val="21"/>
                <w:vertAlign w:val="subscript"/>
              </w:rPr>
              <w:t>10</w:t>
            </w:r>
          </w:p>
        </w:tc>
        <w:tc>
          <w:tcPr>
            <w:tcW w:w="1145" w:type="pct"/>
            <w:gridSpan w:val="2"/>
            <w:vAlign w:val="center"/>
          </w:tcPr>
          <w:p>
            <w:pPr>
              <w:spacing w:line="288" w:lineRule="auto"/>
              <w:jc w:val="center"/>
              <w:rPr>
                <w:rFonts w:eastAsiaTheme="minorEastAsia"/>
                <w:szCs w:val="21"/>
                <w:vertAlign w:val="subscript"/>
              </w:rPr>
            </w:pPr>
            <w:r>
              <w:rPr>
                <w:rFonts w:hint="eastAsia" w:eastAsiaTheme="minorEastAsia"/>
                <w:szCs w:val="21"/>
              </w:rPr>
              <w:t>SO</w:t>
            </w:r>
            <w:r>
              <w:rPr>
                <w:rFonts w:hint="eastAsia" w:eastAsiaTheme="minorEastAsia"/>
                <w:szCs w:val="21"/>
                <w:vertAlign w:val="subscript"/>
              </w:rPr>
              <w:t>2</w:t>
            </w:r>
          </w:p>
        </w:tc>
        <w:tc>
          <w:tcPr>
            <w:tcW w:w="1202" w:type="pct"/>
            <w:gridSpan w:val="2"/>
            <w:vAlign w:val="center"/>
          </w:tcPr>
          <w:p>
            <w:pPr>
              <w:spacing w:line="288" w:lineRule="auto"/>
              <w:jc w:val="center"/>
              <w:rPr>
                <w:rFonts w:eastAsiaTheme="minorEastAsia"/>
                <w:szCs w:val="21"/>
                <w:vertAlign w:val="subscript"/>
              </w:rPr>
            </w:pPr>
            <w:r>
              <w:rPr>
                <w:rFonts w:hint="eastAsia" w:eastAsiaTheme="minorEastAsia"/>
                <w:szCs w:val="21"/>
              </w:rPr>
              <w:t>NO</w:t>
            </w:r>
            <w:r>
              <w:rPr>
                <w:rFonts w:hint="eastAsia" w:eastAsiaTheme="minorEastAsia"/>
                <w:szCs w:val="21"/>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Merge w:val="continue"/>
            <w:vAlign w:val="center"/>
          </w:tcPr>
          <w:p>
            <w:pPr>
              <w:spacing w:line="288" w:lineRule="auto"/>
              <w:jc w:val="left"/>
              <w:rPr>
                <w:rFonts w:eastAsiaTheme="minorEastAsia"/>
                <w:szCs w:val="21"/>
              </w:rPr>
            </w:pPr>
          </w:p>
        </w:tc>
        <w:tc>
          <w:tcPr>
            <w:tcW w:w="992" w:type="pct"/>
            <w:vMerge w:val="continue"/>
            <w:vAlign w:val="center"/>
          </w:tcPr>
          <w:p>
            <w:pPr>
              <w:spacing w:line="288" w:lineRule="auto"/>
              <w:jc w:val="left"/>
              <w:rPr>
                <w:rFonts w:eastAsiaTheme="minorEastAsia"/>
                <w:szCs w:val="21"/>
              </w:rPr>
            </w:pPr>
          </w:p>
        </w:tc>
        <w:tc>
          <w:tcPr>
            <w:tcW w:w="611" w:type="pct"/>
            <w:noWrap/>
            <w:vAlign w:val="center"/>
          </w:tcPr>
          <w:p>
            <w:pPr>
              <w:spacing w:line="288" w:lineRule="auto"/>
              <w:jc w:val="center"/>
              <w:rPr>
                <w:rFonts w:eastAsiaTheme="minorEastAsia"/>
                <w:szCs w:val="21"/>
              </w:rPr>
            </w:pPr>
            <w:r>
              <w:rPr>
                <w:rFonts w:hAnsiTheme="minorEastAsia" w:eastAsiaTheme="minorEastAsia"/>
                <w:szCs w:val="21"/>
              </w:rPr>
              <w:t>浓度</w:t>
            </w:r>
            <w:r>
              <w:rPr>
                <w:rFonts w:eastAsiaTheme="minorEastAsia"/>
                <w:szCs w:val="21"/>
              </w:rPr>
              <w:t>(μg/m</w:t>
            </w:r>
            <w:r>
              <w:rPr>
                <w:rFonts w:eastAsiaTheme="minorEastAsia"/>
                <w:szCs w:val="21"/>
                <w:vertAlign w:val="superscript"/>
              </w:rPr>
              <w:t>3</w:t>
            </w:r>
            <w:r>
              <w:rPr>
                <w:rFonts w:eastAsiaTheme="minorEastAsia"/>
                <w:szCs w:val="21"/>
              </w:rPr>
              <w:t>)</w:t>
            </w:r>
          </w:p>
        </w:tc>
        <w:tc>
          <w:tcPr>
            <w:tcW w:w="612" w:type="pct"/>
            <w:vAlign w:val="center"/>
          </w:tcPr>
          <w:p>
            <w:pPr>
              <w:spacing w:line="288" w:lineRule="auto"/>
              <w:jc w:val="center"/>
              <w:rPr>
                <w:rFonts w:eastAsiaTheme="minorEastAsia"/>
                <w:szCs w:val="21"/>
              </w:rPr>
            </w:pPr>
            <w:r>
              <w:rPr>
                <w:rFonts w:hAnsiTheme="minorEastAsia" w:eastAsiaTheme="minorEastAsia"/>
                <w:szCs w:val="21"/>
              </w:rPr>
              <w:t>占标率</w:t>
            </w:r>
            <w:r>
              <w:rPr>
                <w:rFonts w:eastAsiaTheme="minorEastAsia"/>
                <w:szCs w:val="21"/>
              </w:rPr>
              <w:t>(%)</w:t>
            </w:r>
          </w:p>
        </w:tc>
        <w:tc>
          <w:tcPr>
            <w:tcW w:w="611" w:type="pct"/>
            <w:vAlign w:val="center"/>
          </w:tcPr>
          <w:p>
            <w:pPr>
              <w:spacing w:line="288" w:lineRule="auto"/>
              <w:jc w:val="center"/>
              <w:rPr>
                <w:rFonts w:eastAsiaTheme="minorEastAsia"/>
                <w:szCs w:val="21"/>
              </w:rPr>
            </w:pPr>
            <w:r>
              <w:rPr>
                <w:rFonts w:hAnsiTheme="minorEastAsia" w:eastAsiaTheme="minorEastAsia"/>
                <w:szCs w:val="21"/>
              </w:rPr>
              <w:t>浓度</w:t>
            </w:r>
            <w:r>
              <w:rPr>
                <w:rFonts w:eastAsiaTheme="minorEastAsia"/>
                <w:szCs w:val="21"/>
              </w:rPr>
              <w:t>(μg/m</w:t>
            </w:r>
            <w:r>
              <w:rPr>
                <w:rFonts w:eastAsiaTheme="minorEastAsia"/>
                <w:szCs w:val="21"/>
                <w:vertAlign w:val="superscript"/>
              </w:rPr>
              <w:t>3</w:t>
            </w:r>
            <w:r>
              <w:rPr>
                <w:rFonts w:eastAsiaTheme="minorEastAsia"/>
                <w:szCs w:val="21"/>
              </w:rPr>
              <w:t>)</w:t>
            </w:r>
          </w:p>
        </w:tc>
        <w:tc>
          <w:tcPr>
            <w:tcW w:w="534" w:type="pct"/>
            <w:vAlign w:val="center"/>
          </w:tcPr>
          <w:p>
            <w:pPr>
              <w:spacing w:line="288" w:lineRule="auto"/>
              <w:jc w:val="center"/>
              <w:rPr>
                <w:rFonts w:eastAsiaTheme="minorEastAsia"/>
                <w:szCs w:val="21"/>
              </w:rPr>
            </w:pPr>
            <w:r>
              <w:rPr>
                <w:rFonts w:hAnsiTheme="minorEastAsia" w:eastAsiaTheme="minorEastAsia"/>
                <w:szCs w:val="21"/>
              </w:rPr>
              <w:t>占标率</w:t>
            </w:r>
            <w:r>
              <w:rPr>
                <w:rFonts w:eastAsiaTheme="minorEastAsia"/>
                <w:szCs w:val="21"/>
              </w:rPr>
              <w:t>(%)</w:t>
            </w:r>
          </w:p>
        </w:tc>
        <w:tc>
          <w:tcPr>
            <w:tcW w:w="613" w:type="pct"/>
            <w:vAlign w:val="center"/>
          </w:tcPr>
          <w:p>
            <w:pPr>
              <w:spacing w:line="288" w:lineRule="auto"/>
              <w:jc w:val="center"/>
              <w:rPr>
                <w:rFonts w:eastAsiaTheme="minorEastAsia"/>
                <w:szCs w:val="21"/>
              </w:rPr>
            </w:pPr>
            <w:r>
              <w:rPr>
                <w:rFonts w:hAnsiTheme="minorEastAsia" w:eastAsiaTheme="minorEastAsia"/>
                <w:szCs w:val="21"/>
              </w:rPr>
              <w:t>浓度</w:t>
            </w:r>
            <w:r>
              <w:rPr>
                <w:rFonts w:eastAsiaTheme="minorEastAsia"/>
                <w:szCs w:val="21"/>
              </w:rPr>
              <w:t>(μg/m</w:t>
            </w:r>
            <w:r>
              <w:rPr>
                <w:rFonts w:eastAsiaTheme="minorEastAsia"/>
                <w:szCs w:val="21"/>
                <w:vertAlign w:val="superscript"/>
              </w:rPr>
              <w:t>3</w:t>
            </w:r>
            <w:r>
              <w:rPr>
                <w:rFonts w:eastAsiaTheme="minorEastAsia"/>
                <w:szCs w:val="21"/>
              </w:rPr>
              <w:t>)</w:t>
            </w:r>
          </w:p>
        </w:tc>
        <w:tc>
          <w:tcPr>
            <w:tcW w:w="589" w:type="pct"/>
            <w:vAlign w:val="center"/>
          </w:tcPr>
          <w:p>
            <w:pPr>
              <w:spacing w:line="288" w:lineRule="auto"/>
              <w:jc w:val="center"/>
              <w:rPr>
                <w:rFonts w:eastAsiaTheme="minorEastAsia"/>
                <w:szCs w:val="21"/>
              </w:rPr>
            </w:pPr>
            <w:r>
              <w:rPr>
                <w:rFonts w:hAnsiTheme="minorEastAsia" w:eastAsiaTheme="minorEastAsia"/>
                <w:szCs w:val="21"/>
              </w:rPr>
              <w:t>占标率</w:t>
            </w: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w:t>
            </w:r>
          </w:p>
        </w:tc>
        <w:tc>
          <w:tcPr>
            <w:tcW w:w="992" w:type="pct"/>
            <w:noWrap/>
            <w:vAlign w:val="center"/>
          </w:tcPr>
          <w:p>
            <w:pPr>
              <w:spacing w:line="288" w:lineRule="auto"/>
              <w:jc w:val="center"/>
              <w:rPr>
                <w:rFonts w:eastAsiaTheme="minorEastAsia"/>
                <w:szCs w:val="21"/>
              </w:rPr>
            </w:pPr>
            <w:r>
              <w:rPr>
                <w:rFonts w:eastAsiaTheme="minorEastAsia"/>
                <w:szCs w:val="21"/>
              </w:rPr>
              <w:t>10</w:t>
            </w:r>
          </w:p>
        </w:tc>
        <w:tc>
          <w:tcPr>
            <w:tcW w:w="611" w:type="pct"/>
            <w:noWrap/>
            <w:vAlign w:val="center"/>
          </w:tcPr>
          <w:p>
            <w:pPr>
              <w:spacing w:line="288" w:lineRule="auto"/>
              <w:jc w:val="center"/>
              <w:rPr>
                <w:rFonts w:eastAsiaTheme="minorEastAsia"/>
                <w:szCs w:val="21"/>
              </w:rPr>
            </w:pPr>
            <w:r>
              <w:rPr>
                <w:rFonts w:hint="eastAsia" w:eastAsiaTheme="minorEastAsia"/>
                <w:szCs w:val="21"/>
              </w:rPr>
              <w:t>0.0618</w:t>
            </w:r>
          </w:p>
        </w:tc>
        <w:tc>
          <w:tcPr>
            <w:tcW w:w="612" w:type="pct"/>
            <w:vAlign w:val="center"/>
          </w:tcPr>
          <w:p>
            <w:pPr>
              <w:spacing w:line="288" w:lineRule="auto"/>
              <w:jc w:val="center"/>
              <w:rPr>
                <w:rFonts w:eastAsiaTheme="minorEastAsia"/>
                <w:szCs w:val="21"/>
              </w:rPr>
            </w:pPr>
            <w:r>
              <w:rPr>
                <w:rFonts w:hint="eastAsia" w:eastAsiaTheme="minorEastAsia"/>
                <w:szCs w:val="21"/>
              </w:rPr>
              <w:t>0.01</w:t>
            </w:r>
          </w:p>
        </w:tc>
        <w:tc>
          <w:tcPr>
            <w:tcW w:w="611" w:type="pct"/>
            <w:vAlign w:val="center"/>
          </w:tcPr>
          <w:p>
            <w:pPr>
              <w:spacing w:line="288" w:lineRule="auto"/>
              <w:jc w:val="center"/>
              <w:rPr>
                <w:rFonts w:eastAsiaTheme="minorEastAsia"/>
                <w:szCs w:val="21"/>
              </w:rPr>
            </w:pPr>
            <w:r>
              <w:rPr>
                <w:rFonts w:hint="eastAsia" w:eastAsiaTheme="minorEastAsia"/>
                <w:szCs w:val="21"/>
              </w:rPr>
              <w:t>0.429</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0.09</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0.610</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2</w:t>
            </w:r>
          </w:p>
        </w:tc>
        <w:tc>
          <w:tcPr>
            <w:tcW w:w="992" w:type="pct"/>
            <w:noWrap/>
            <w:vAlign w:val="center"/>
          </w:tcPr>
          <w:p>
            <w:pPr>
              <w:spacing w:line="288" w:lineRule="auto"/>
              <w:jc w:val="center"/>
              <w:rPr>
                <w:rFonts w:eastAsiaTheme="minorEastAsia"/>
                <w:szCs w:val="21"/>
              </w:rPr>
            </w:pPr>
            <w:r>
              <w:rPr>
                <w:rFonts w:eastAsiaTheme="minorEastAsia"/>
                <w:szCs w:val="21"/>
              </w:rPr>
              <w:t>25</w:t>
            </w:r>
          </w:p>
        </w:tc>
        <w:tc>
          <w:tcPr>
            <w:tcW w:w="611" w:type="pct"/>
            <w:noWrap/>
            <w:vAlign w:val="center"/>
          </w:tcPr>
          <w:p>
            <w:pPr>
              <w:spacing w:line="288" w:lineRule="auto"/>
              <w:jc w:val="center"/>
              <w:rPr>
                <w:rFonts w:eastAsiaTheme="minorEastAsia"/>
                <w:szCs w:val="21"/>
              </w:rPr>
            </w:pPr>
            <w:r>
              <w:rPr>
                <w:rFonts w:hint="eastAsia" w:eastAsiaTheme="minorEastAsia"/>
                <w:szCs w:val="21"/>
              </w:rPr>
              <w:t>0.662</w:t>
            </w:r>
          </w:p>
        </w:tc>
        <w:tc>
          <w:tcPr>
            <w:tcW w:w="612" w:type="pct"/>
            <w:vAlign w:val="center"/>
          </w:tcPr>
          <w:p>
            <w:pPr>
              <w:spacing w:line="288" w:lineRule="auto"/>
              <w:jc w:val="center"/>
              <w:rPr>
                <w:rFonts w:eastAsiaTheme="minorEastAsia"/>
                <w:szCs w:val="21"/>
              </w:rPr>
            </w:pPr>
            <w:r>
              <w:rPr>
                <w:rFonts w:hint="eastAsia" w:eastAsiaTheme="minorEastAsia"/>
                <w:szCs w:val="21"/>
              </w:rPr>
              <w:t>0.15</w:t>
            </w:r>
          </w:p>
        </w:tc>
        <w:tc>
          <w:tcPr>
            <w:tcW w:w="611" w:type="pct"/>
            <w:vAlign w:val="center"/>
          </w:tcPr>
          <w:p>
            <w:pPr>
              <w:spacing w:line="288" w:lineRule="auto"/>
              <w:jc w:val="center"/>
              <w:rPr>
                <w:rFonts w:eastAsiaTheme="minorEastAsia"/>
                <w:szCs w:val="21"/>
              </w:rPr>
            </w:pPr>
            <w:r>
              <w:rPr>
                <w:rFonts w:hint="eastAsia" w:eastAsiaTheme="minorEastAsia"/>
                <w:szCs w:val="21"/>
              </w:rPr>
              <w:t>4.59</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0.92</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6.54</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3.27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3</w:t>
            </w:r>
          </w:p>
        </w:tc>
        <w:tc>
          <w:tcPr>
            <w:tcW w:w="992" w:type="pct"/>
            <w:noWrap/>
            <w:vAlign w:val="center"/>
          </w:tcPr>
          <w:p>
            <w:pPr>
              <w:spacing w:line="288" w:lineRule="auto"/>
              <w:jc w:val="center"/>
              <w:rPr>
                <w:rFonts w:eastAsiaTheme="minorEastAsia"/>
                <w:szCs w:val="21"/>
              </w:rPr>
            </w:pPr>
            <w:r>
              <w:rPr>
                <w:rFonts w:eastAsiaTheme="minorEastAsia"/>
                <w:szCs w:val="21"/>
              </w:rPr>
              <w:t>75</w:t>
            </w:r>
          </w:p>
        </w:tc>
        <w:tc>
          <w:tcPr>
            <w:tcW w:w="611" w:type="pct"/>
            <w:noWrap/>
            <w:vAlign w:val="center"/>
          </w:tcPr>
          <w:p>
            <w:pPr>
              <w:spacing w:line="288" w:lineRule="auto"/>
              <w:jc w:val="center"/>
              <w:rPr>
                <w:rFonts w:eastAsiaTheme="minorEastAsia"/>
                <w:szCs w:val="21"/>
              </w:rPr>
            </w:pPr>
            <w:r>
              <w:rPr>
                <w:rFonts w:hint="eastAsia" w:eastAsiaTheme="minorEastAsia"/>
                <w:szCs w:val="21"/>
              </w:rPr>
              <w:t>0.610</w:t>
            </w:r>
          </w:p>
        </w:tc>
        <w:tc>
          <w:tcPr>
            <w:tcW w:w="612" w:type="pct"/>
            <w:vAlign w:val="center"/>
          </w:tcPr>
          <w:p>
            <w:pPr>
              <w:spacing w:line="288" w:lineRule="auto"/>
              <w:jc w:val="center"/>
              <w:rPr>
                <w:rFonts w:eastAsiaTheme="minorEastAsia"/>
                <w:szCs w:val="21"/>
              </w:rPr>
            </w:pPr>
            <w:r>
              <w:rPr>
                <w:rFonts w:hint="eastAsia" w:eastAsiaTheme="minorEastAsia"/>
                <w:szCs w:val="21"/>
              </w:rPr>
              <w:t>0.14</w:t>
            </w:r>
          </w:p>
        </w:tc>
        <w:tc>
          <w:tcPr>
            <w:tcW w:w="611" w:type="pct"/>
            <w:vAlign w:val="center"/>
          </w:tcPr>
          <w:p>
            <w:pPr>
              <w:spacing w:line="288" w:lineRule="auto"/>
              <w:jc w:val="center"/>
              <w:rPr>
                <w:rFonts w:eastAsiaTheme="minorEastAsia"/>
                <w:szCs w:val="21"/>
              </w:rPr>
            </w:pPr>
            <w:r>
              <w:rPr>
                <w:rFonts w:hint="eastAsia" w:eastAsiaTheme="minorEastAsia"/>
                <w:szCs w:val="21"/>
              </w:rPr>
              <w:t>4.24</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0.85</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6.03</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3.02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4</w:t>
            </w:r>
          </w:p>
        </w:tc>
        <w:tc>
          <w:tcPr>
            <w:tcW w:w="992" w:type="pct"/>
            <w:noWrap/>
            <w:vAlign w:val="center"/>
          </w:tcPr>
          <w:p>
            <w:pPr>
              <w:spacing w:line="288" w:lineRule="auto"/>
              <w:jc w:val="center"/>
              <w:rPr>
                <w:rFonts w:eastAsiaTheme="minorEastAsia"/>
                <w:szCs w:val="21"/>
              </w:rPr>
            </w:pPr>
            <w:r>
              <w:rPr>
                <w:rFonts w:eastAsiaTheme="minorEastAsia"/>
                <w:szCs w:val="21"/>
              </w:rPr>
              <w:t>100</w:t>
            </w:r>
          </w:p>
        </w:tc>
        <w:tc>
          <w:tcPr>
            <w:tcW w:w="611" w:type="pct"/>
            <w:noWrap/>
            <w:vAlign w:val="center"/>
          </w:tcPr>
          <w:p>
            <w:pPr>
              <w:spacing w:line="288" w:lineRule="auto"/>
              <w:jc w:val="center"/>
              <w:rPr>
                <w:rFonts w:eastAsiaTheme="minorEastAsia"/>
                <w:szCs w:val="21"/>
              </w:rPr>
            </w:pPr>
            <w:r>
              <w:rPr>
                <w:rFonts w:hint="eastAsia" w:eastAsiaTheme="minorEastAsia"/>
                <w:szCs w:val="21"/>
              </w:rPr>
              <w:t>0.592</w:t>
            </w:r>
          </w:p>
        </w:tc>
        <w:tc>
          <w:tcPr>
            <w:tcW w:w="612" w:type="pct"/>
            <w:vAlign w:val="center"/>
          </w:tcPr>
          <w:p>
            <w:pPr>
              <w:spacing w:line="288" w:lineRule="auto"/>
              <w:jc w:val="center"/>
              <w:rPr>
                <w:rFonts w:eastAsiaTheme="minorEastAsia"/>
                <w:szCs w:val="21"/>
              </w:rPr>
            </w:pPr>
            <w:r>
              <w:rPr>
                <w:rFonts w:hint="eastAsia" w:eastAsiaTheme="minorEastAsia"/>
                <w:szCs w:val="21"/>
              </w:rPr>
              <w:t>0.13</w:t>
            </w:r>
          </w:p>
        </w:tc>
        <w:tc>
          <w:tcPr>
            <w:tcW w:w="611" w:type="pct"/>
            <w:vAlign w:val="center"/>
          </w:tcPr>
          <w:p>
            <w:pPr>
              <w:spacing w:line="288" w:lineRule="auto"/>
              <w:jc w:val="center"/>
              <w:rPr>
                <w:rFonts w:eastAsiaTheme="minorEastAsia"/>
                <w:szCs w:val="21"/>
              </w:rPr>
            </w:pPr>
            <w:r>
              <w:rPr>
                <w:rFonts w:hint="eastAsia" w:eastAsiaTheme="minorEastAsia"/>
                <w:szCs w:val="21"/>
              </w:rPr>
              <w:t>4.11</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0.82</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5.85</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2.92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5</w:t>
            </w:r>
          </w:p>
        </w:tc>
        <w:tc>
          <w:tcPr>
            <w:tcW w:w="992" w:type="pct"/>
            <w:noWrap/>
            <w:vAlign w:val="center"/>
          </w:tcPr>
          <w:p>
            <w:pPr>
              <w:spacing w:line="288" w:lineRule="auto"/>
              <w:jc w:val="center"/>
              <w:rPr>
                <w:rFonts w:eastAsiaTheme="minorEastAsia"/>
                <w:szCs w:val="21"/>
              </w:rPr>
            </w:pPr>
            <w:r>
              <w:rPr>
                <w:rFonts w:eastAsiaTheme="minorEastAsia"/>
                <w:szCs w:val="21"/>
              </w:rPr>
              <w:t>200</w:t>
            </w:r>
          </w:p>
        </w:tc>
        <w:tc>
          <w:tcPr>
            <w:tcW w:w="611" w:type="pct"/>
            <w:noWrap/>
            <w:vAlign w:val="center"/>
          </w:tcPr>
          <w:p>
            <w:pPr>
              <w:spacing w:line="288" w:lineRule="auto"/>
              <w:jc w:val="center"/>
              <w:rPr>
                <w:rFonts w:eastAsiaTheme="minorEastAsia"/>
                <w:szCs w:val="21"/>
              </w:rPr>
            </w:pPr>
            <w:r>
              <w:rPr>
                <w:rFonts w:hint="eastAsia" w:eastAsiaTheme="minorEastAsia"/>
                <w:szCs w:val="21"/>
              </w:rPr>
              <w:t>0.381</w:t>
            </w:r>
          </w:p>
        </w:tc>
        <w:tc>
          <w:tcPr>
            <w:tcW w:w="612" w:type="pct"/>
            <w:vAlign w:val="center"/>
          </w:tcPr>
          <w:p>
            <w:pPr>
              <w:spacing w:line="288" w:lineRule="auto"/>
              <w:jc w:val="center"/>
              <w:rPr>
                <w:rFonts w:eastAsiaTheme="minorEastAsia"/>
                <w:szCs w:val="21"/>
              </w:rPr>
            </w:pPr>
            <w:r>
              <w:rPr>
                <w:rFonts w:hint="eastAsia" w:eastAsiaTheme="minorEastAsia"/>
                <w:szCs w:val="21"/>
              </w:rPr>
              <w:t>0.08</w:t>
            </w:r>
          </w:p>
        </w:tc>
        <w:tc>
          <w:tcPr>
            <w:tcW w:w="611" w:type="pct"/>
            <w:vAlign w:val="center"/>
          </w:tcPr>
          <w:p>
            <w:pPr>
              <w:spacing w:line="288" w:lineRule="auto"/>
              <w:jc w:val="center"/>
              <w:rPr>
                <w:rFonts w:eastAsiaTheme="minorEastAsia"/>
                <w:szCs w:val="21"/>
              </w:rPr>
            </w:pPr>
            <w:r>
              <w:rPr>
                <w:rFonts w:hint="eastAsia" w:eastAsiaTheme="minorEastAsia"/>
                <w:szCs w:val="21"/>
              </w:rPr>
              <w:t>3.76</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0.53</w:t>
            </w:r>
          </w:p>
        </w:tc>
        <w:tc>
          <w:tcPr>
            <w:tcW w:w="613" w:type="pct"/>
            <w:vAlign w:val="center"/>
          </w:tcPr>
          <w:p>
            <w:pPr>
              <w:spacing w:line="288" w:lineRule="auto"/>
              <w:jc w:val="center"/>
              <w:rPr>
                <w:rFonts w:eastAsiaTheme="minorEastAsia"/>
                <w:sz w:val="22"/>
                <w:szCs w:val="22"/>
              </w:rPr>
            </w:pPr>
            <w:r>
              <w:rPr>
                <w:rFonts w:hint="eastAsia" w:eastAsiaTheme="minorEastAsia"/>
                <w:szCs w:val="21"/>
              </w:rPr>
              <w:t>3.76</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6</w:t>
            </w:r>
          </w:p>
        </w:tc>
        <w:tc>
          <w:tcPr>
            <w:tcW w:w="992" w:type="pct"/>
            <w:noWrap/>
            <w:vAlign w:val="center"/>
          </w:tcPr>
          <w:p>
            <w:pPr>
              <w:spacing w:line="288" w:lineRule="auto"/>
              <w:jc w:val="center"/>
              <w:rPr>
                <w:rFonts w:eastAsiaTheme="minorEastAsia"/>
                <w:szCs w:val="21"/>
              </w:rPr>
            </w:pPr>
            <w:r>
              <w:rPr>
                <w:rFonts w:eastAsiaTheme="minorEastAsia"/>
                <w:szCs w:val="21"/>
              </w:rPr>
              <w:t>300</w:t>
            </w:r>
          </w:p>
        </w:tc>
        <w:tc>
          <w:tcPr>
            <w:tcW w:w="611" w:type="pct"/>
            <w:noWrap/>
            <w:vAlign w:val="center"/>
          </w:tcPr>
          <w:p>
            <w:pPr>
              <w:spacing w:line="288" w:lineRule="auto"/>
              <w:jc w:val="center"/>
              <w:rPr>
                <w:rFonts w:eastAsiaTheme="minorEastAsia"/>
                <w:szCs w:val="21"/>
              </w:rPr>
            </w:pPr>
            <w:r>
              <w:rPr>
                <w:rFonts w:hint="eastAsia" w:eastAsiaTheme="minorEastAsia"/>
                <w:szCs w:val="21"/>
              </w:rPr>
              <w:t>0.266</w:t>
            </w:r>
          </w:p>
        </w:tc>
        <w:tc>
          <w:tcPr>
            <w:tcW w:w="612" w:type="pct"/>
            <w:vAlign w:val="center"/>
          </w:tcPr>
          <w:p>
            <w:pPr>
              <w:spacing w:line="288" w:lineRule="auto"/>
              <w:jc w:val="center"/>
              <w:rPr>
                <w:rFonts w:eastAsiaTheme="minorEastAsia"/>
                <w:szCs w:val="21"/>
              </w:rPr>
            </w:pPr>
            <w:r>
              <w:rPr>
                <w:rFonts w:hint="eastAsia" w:eastAsiaTheme="minorEastAsia"/>
                <w:szCs w:val="21"/>
              </w:rPr>
              <w:t>0.06</w:t>
            </w:r>
          </w:p>
        </w:tc>
        <w:tc>
          <w:tcPr>
            <w:tcW w:w="611" w:type="pct"/>
            <w:vAlign w:val="center"/>
          </w:tcPr>
          <w:p>
            <w:pPr>
              <w:spacing w:line="288" w:lineRule="auto"/>
              <w:jc w:val="center"/>
              <w:rPr>
                <w:rFonts w:eastAsiaTheme="minorEastAsia"/>
                <w:szCs w:val="21"/>
              </w:rPr>
            </w:pPr>
            <w:r>
              <w:rPr>
                <w:rFonts w:hint="eastAsia" w:eastAsiaTheme="minorEastAsia"/>
                <w:szCs w:val="21"/>
              </w:rPr>
              <w:t>1.85</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0.37</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2.63</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7</w:t>
            </w:r>
          </w:p>
        </w:tc>
        <w:tc>
          <w:tcPr>
            <w:tcW w:w="992" w:type="pct"/>
            <w:noWrap/>
            <w:vAlign w:val="center"/>
          </w:tcPr>
          <w:p>
            <w:pPr>
              <w:spacing w:line="288" w:lineRule="auto"/>
              <w:jc w:val="center"/>
              <w:rPr>
                <w:rFonts w:eastAsiaTheme="minorEastAsia"/>
                <w:szCs w:val="21"/>
              </w:rPr>
            </w:pPr>
            <w:r>
              <w:rPr>
                <w:rFonts w:eastAsiaTheme="minorEastAsia"/>
                <w:szCs w:val="21"/>
              </w:rPr>
              <w:t>400</w:t>
            </w:r>
          </w:p>
        </w:tc>
        <w:tc>
          <w:tcPr>
            <w:tcW w:w="611" w:type="pct"/>
            <w:noWrap/>
            <w:vAlign w:val="center"/>
          </w:tcPr>
          <w:p>
            <w:pPr>
              <w:spacing w:line="288" w:lineRule="auto"/>
              <w:jc w:val="center"/>
              <w:rPr>
                <w:rFonts w:eastAsiaTheme="minorEastAsia"/>
                <w:szCs w:val="21"/>
              </w:rPr>
            </w:pPr>
            <w:r>
              <w:rPr>
                <w:rFonts w:hint="eastAsia" w:eastAsiaTheme="minorEastAsia"/>
                <w:szCs w:val="21"/>
              </w:rPr>
              <w:t>0.250</w:t>
            </w:r>
          </w:p>
        </w:tc>
        <w:tc>
          <w:tcPr>
            <w:tcW w:w="612" w:type="pct"/>
            <w:vAlign w:val="center"/>
          </w:tcPr>
          <w:p>
            <w:pPr>
              <w:spacing w:line="288" w:lineRule="auto"/>
              <w:jc w:val="center"/>
              <w:rPr>
                <w:rFonts w:eastAsiaTheme="minorEastAsia"/>
                <w:szCs w:val="21"/>
              </w:rPr>
            </w:pPr>
            <w:r>
              <w:rPr>
                <w:rFonts w:hint="eastAsia" w:eastAsiaTheme="minorEastAsia"/>
                <w:szCs w:val="21"/>
              </w:rPr>
              <w:t>0.06</w:t>
            </w:r>
          </w:p>
        </w:tc>
        <w:tc>
          <w:tcPr>
            <w:tcW w:w="611" w:type="pct"/>
            <w:vAlign w:val="center"/>
          </w:tcPr>
          <w:p>
            <w:pPr>
              <w:spacing w:line="288" w:lineRule="auto"/>
              <w:jc w:val="center"/>
              <w:rPr>
                <w:rFonts w:eastAsiaTheme="minorEastAsia"/>
                <w:szCs w:val="21"/>
              </w:rPr>
            </w:pPr>
            <w:r>
              <w:rPr>
                <w:rFonts w:hint="eastAsia" w:eastAsiaTheme="minorEastAsia"/>
                <w:szCs w:val="21"/>
              </w:rPr>
              <w:t>1.74</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0.35</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2.47</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8</w:t>
            </w:r>
          </w:p>
        </w:tc>
        <w:tc>
          <w:tcPr>
            <w:tcW w:w="992" w:type="pct"/>
            <w:noWrap/>
            <w:vAlign w:val="center"/>
          </w:tcPr>
          <w:p>
            <w:pPr>
              <w:spacing w:line="288" w:lineRule="auto"/>
              <w:jc w:val="center"/>
              <w:rPr>
                <w:rFonts w:eastAsiaTheme="minorEastAsia"/>
                <w:szCs w:val="21"/>
              </w:rPr>
            </w:pPr>
            <w:r>
              <w:rPr>
                <w:rFonts w:eastAsiaTheme="minorEastAsia"/>
                <w:szCs w:val="21"/>
              </w:rPr>
              <w:t>500</w:t>
            </w:r>
          </w:p>
        </w:tc>
        <w:tc>
          <w:tcPr>
            <w:tcW w:w="611" w:type="pct"/>
            <w:noWrap/>
            <w:vAlign w:val="center"/>
          </w:tcPr>
          <w:p>
            <w:pPr>
              <w:spacing w:line="288" w:lineRule="auto"/>
              <w:jc w:val="center"/>
              <w:rPr>
                <w:rFonts w:eastAsiaTheme="minorEastAsia"/>
                <w:szCs w:val="21"/>
              </w:rPr>
            </w:pPr>
            <w:r>
              <w:rPr>
                <w:rFonts w:hint="eastAsia" w:eastAsiaTheme="minorEastAsia"/>
                <w:szCs w:val="21"/>
              </w:rPr>
              <w:t>0.239</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1.66</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0.33</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2.36</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9</w:t>
            </w:r>
          </w:p>
        </w:tc>
        <w:tc>
          <w:tcPr>
            <w:tcW w:w="992" w:type="pct"/>
            <w:noWrap/>
            <w:vAlign w:val="center"/>
          </w:tcPr>
          <w:p>
            <w:pPr>
              <w:spacing w:line="288" w:lineRule="auto"/>
              <w:jc w:val="center"/>
              <w:rPr>
                <w:rFonts w:eastAsiaTheme="minorEastAsia"/>
                <w:szCs w:val="21"/>
              </w:rPr>
            </w:pPr>
            <w:r>
              <w:rPr>
                <w:rFonts w:eastAsiaTheme="minorEastAsia"/>
                <w:szCs w:val="21"/>
              </w:rPr>
              <w:t>600</w:t>
            </w:r>
          </w:p>
        </w:tc>
        <w:tc>
          <w:tcPr>
            <w:tcW w:w="611" w:type="pct"/>
            <w:noWrap/>
            <w:vAlign w:val="center"/>
          </w:tcPr>
          <w:p>
            <w:pPr>
              <w:spacing w:line="288" w:lineRule="auto"/>
              <w:jc w:val="center"/>
              <w:rPr>
                <w:rFonts w:eastAsiaTheme="minorEastAsia"/>
                <w:szCs w:val="21"/>
              </w:rPr>
            </w:pPr>
            <w:r>
              <w:rPr>
                <w:rFonts w:hint="eastAsia" w:eastAsiaTheme="minorEastAsia"/>
                <w:szCs w:val="21"/>
              </w:rPr>
              <w:t>0.227</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1.57</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0.31</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2.24</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10</w:t>
            </w:r>
          </w:p>
        </w:tc>
        <w:tc>
          <w:tcPr>
            <w:tcW w:w="992" w:type="pct"/>
            <w:noWrap/>
            <w:vAlign w:val="center"/>
          </w:tcPr>
          <w:p>
            <w:pPr>
              <w:spacing w:line="288" w:lineRule="auto"/>
              <w:jc w:val="center"/>
              <w:rPr>
                <w:rFonts w:eastAsiaTheme="minorEastAsia"/>
                <w:szCs w:val="21"/>
              </w:rPr>
            </w:pPr>
            <w:r>
              <w:rPr>
                <w:rFonts w:eastAsiaTheme="minorEastAsia"/>
                <w:szCs w:val="21"/>
              </w:rPr>
              <w:t>700</w:t>
            </w:r>
          </w:p>
        </w:tc>
        <w:tc>
          <w:tcPr>
            <w:tcW w:w="611" w:type="pct"/>
            <w:noWrap/>
            <w:vAlign w:val="center"/>
          </w:tcPr>
          <w:p>
            <w:pPr>
              <w:spacing w:line="288" w:lineRule="auto"/>
              <w:jc w:val="center"/>
              <w:rPr>
                <w:rFonts w:eastAsiaTheme="minorEastAsia"/>
                <w:szCs w:val="21"/>
              </w:rPr>
            </w:pPr>
            <w:r>
              <w:rPr>
                <w:rFonts w:hint="eastAsia" w:eastAsiaTheme="minorEastAsia"/>
                <w:szCs w:val="21"/>
              </w:rPr>
              <w:t>0.215</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1.49</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0.30</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2.13</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11</w:t>
            </w:r>
          </w:p>
        </w:tc>
        <w:tc>
          <w:tcPr>
            <w:tcW w:w="992" w:type="pct"/>
            <w:noWrap/>
            <w:vAlign w:val="center"/>
          </w:tcPr>
          <w:p>
            <w:pPr>
              <w:spacing w:line="288" w:lineRule="auto"/>
              <w:jc w:val="center"/>
              <w:rPr>
                <w:rFonts w:eastAsiaTheme="minorEastAsia"/>
                <w:szCs w:val="21"/>
              </w:rPr>
            </w:pPr>
            <w:r>
              <w:rPr>
                <w:rFonts w:eastAsiaTheme="minorEastAsia"/>
                <w:szCs w:val="21"/>
              </w:rPr>
              <w:t>800</w:t>
            </w:r>
          </w:p>
        </w:tc>
        <w:tc>
          <w:tcPr>
            <w:tcW w:w="611" w:type="pct"/>
            <w:noWrap/>
            <w:vAlign w:val="center"/>
          </w:tcPr>
          <w:p>
            <w:pPr>
              <w:spacing w:line="288" w:lineRule="auto"/>
              <w:jc w:val="center"/>
              <w:rPr>
                <w:rFonts w:eastAsiaTheme="minorEastAsia"/>
                <w:szCs w:val="21"/>
              </w:rPr>
            </w:pPr>
            <w:r>
              <w:rPr>
                <w:rFonts w:hint="eastAsia" w:eastAsiaTheme="minorEastAsia"/>
                <w:szCs w:val="21"/>
              </w:rPr>
              <w:t>0.205</w:t>
            </w:r>
          </w:p>
        </w:tc>
        <w:tc>
          <w:tcPr>
            <w:tcW w:w="612" w:type="pct"/>
            <w:vAlign w:val="center"/>
          </w:tcPr>
          <w:p>
            <w:pPr>
              <w:spacing w:line="288" w:lineRule="auto"/>
              <w:jc w:val="center"/>
              <w:rPr>
                <w:rFonts w:eastAsiaTheme="minorEastAsia"/>
                <w:szCs w:val="21"/>
              </w:rPr>
            </w:pPr>
            <w:r>
              <w:rPr>
                <w:rFonts w:hint="eastAsia" w:eastAsiaTheme="minorEastAsia"/>
                <w:szCs w:val="21"/>
              </w:rPr>
              <w:t>0.05</w:t>
            </w:r>
          </w:p>
        </w:tc>
        <w:tc>
          <w:tcPr>
            <w:tcW w:w="611" w:type="pct"/>
            <w:vAlign w:val="center"/>
          </w:tcPr>
          <w:p>
            <w:pPr>
              <w:spacing w:line="288" w:lineRule="auto"/>
              <w:jc w:val="center"/>
              <w:rPr>
                <w:rFonts w:eastAsiaTheme="minorEastAsia"/>
                <w:szCs w:val="21"/>
              </w:rPr>
            </w:pPr>
            <w:r>
              <w:rPr>
                <w:rFonts w:hint="eastAsia" w:eastAsiaTheme="minorEastAsia"/>
                <w:szCs w:val="21"/>
              </w:rPr>
              <w:t>1.42</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0.28</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2.03</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12</w:t>
            </w:r>
          </w:p>
        </w:tc>
        <w:tc>
          <w:tcPr>
            <w:tcW w:w="992" w:type="pct"/>
            <w:noWrap/>
            <w:vAlign w:val="center"/>
          </w:tcPr>
          <w:p>
            <w:pPr>
              <w:spacing w:line="288" w:lineRule="auto"/>
              <w:jc w:val="center"/>
              <w:rPr>
                <w:rFonts w:eastAsiaTheme="minorEastAsia"/>
                <w:szCs w:val="21"/>
              </w:rPr>
            </w:pPr>
            <w:r>
              <w:rPr>
                <w:rFonts w:eastAsiaTheme="minorEastAsia"/>
                <w:szCs w:val="21"/>
              </w:rPr>
              <w:t>900</w:t>
            </w:r>
          </w:p>
        </w:tc>
        <w:tc>
          <w:tcPr>
            <w:tcW w:w="611" w:type="pct"/>
            <w:noWrap/>
            <w:vAlign w:val="center"/>
          </w:tcPr>
          <w:p>
            <w:pPr>
              <w:spacing w:line="288" w:lineRule="auto"/>
              <w:jc w:val="center"/>
              <w:rPr>
                <w:rFonts w:eastAsiaTheme="minorEastAsia"/>
                <w:szCs w:val="21"/>
              </w:rPr>
            </w:pPr>
            <w:r>
              <w:rPr>
                <w:rFonts w:hint="eastAsia" w:eastAsiaTheme="minorEastAsia"/>
                <w:szCs w:val="21"/>
              </w:rPr>
              <w:t>0.196</w:t>
            </w:r>
          </w:p>
        </w:tc>
        <w:tc>
          <w:tcPr>
            <w:tcW w:w="612" w:type="pct"/>
            <w:vAlign w:val="center"/>
          </w:tcPr>
          <w:p>
            <w:pPr>
              <w:spacing w:line="288" w:lineRule="auto"/>
              <w:jc w:val="center"/>
              <w:rPr>
                <w:rFonts w:eastAsiaTheme="minorEastAsia"/>
                <w:szCs w:val="21"/>
              </w:rPr>
            </w:pPr>
            <w:r>
              <w:rPr>
                <w:rFonts w:hint="eastAsia" w:eastAsiaTheme="minorEastAsia"/>
                <w:szCs w:val="21"/>
              </w:rPr>
              <w:t>0.04</w:t>
            </w:r>
          </w:p>
        </w:tc>
        <w:tc>
          <w:tcPr>
            <w:tcW w:w="611" w:type="pct"/>
            <w:vAlign w:val="center"/>
          </w:tcPr>
          <w:p>
            <w:pPr>
              <w:spacing w:line="288" w:lineRule="auto"/>
              <w:jc w:val="center"/>
              <w:rPr>
                <w:rFonts w:eastAsiaTheme="minorEastAsia"/>
                <w:szCs w:val="21"/>
              </w:rPr>
            </w:pPr>
            <w:r>
              <w:rPr>
                <w:rFonts w:hint="eastAsia" w:eastAsiaTheme="minorEastAsia"/>
                <w:szCs w:val="21"/>
              </w:rPr>
              <w:t>1.36</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0.27</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1.94</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13</w:t>
            </w:r>
          </w:p>
        </w:tc>
        <w:tc>
          <w:tcPr>
            <w:tcW w:w="992" w:type="pct"/>
            <w:noWrap/>
            <w:vAlign w:val="center"/>
          </w:tcPr>
          <w:p>
            <w:pPr>
              <w:spacing w:line="288" w:lineRule="auto"/>
              <w:jc w:val="center"/>
              <w:rPr>
                <w:rFonts w:eastAsiaTheme="minorEastAsia"/>
                <w:szCs w:val="21"/>
              </w:rPr>
            </w:pPr>
            <w:r>
              <w:rPr>
                <w:rFonts w:eastAsiaTheme="minorEastAsia"/>
                <w:szCs w:val="21"/>
              </w:rPr>
              <w:t>1000</w:t>
            </w:r>
          </w:p>
        </w:tc>
        <w:tc>
          <w:tcPr>
            <w:tcW w:w="611" w:type="pct"/>
            <w:noWrap/>
            <w:vAlign w:val="center"/>
          </w:tcPr>
          <w:p>
            <w:pPr>
              <w:spacing w:line="288" w:lineRule="auto"/>
              <w:jc w:val="center"/>
              <w:rPr>
                <w:rFonts w:eastAsiaTheme="minorEastAsia"/>
                <w:szCs w:val="21"/>
              </w:rPr>
            </w:pPr>
            <w:r>
              <w:rPr>
                <w:rFonts w:hint="eastAsia" w:eastAsiaTheme="minorEastAsia"/>
                <w:szCs w:val="21"/>
              </w:rPr>
              <w:t>0.189</w:t>
            </w:r>
          </w:p>
        </w:tc>
        <w:tc>
          <w:tcPr>
            <w:tcW w:w="612" w:type="pct"/>
            <w:vAlign w:val="center"/>
          </w:tcPr>
          <w:p>
            <w:pPr>
              <w:spacing w:line="288" w:lineRule="auto"/>
              <w:jc w:val="center"/>
              <w:rPr>
                <w:rFonts w:eastAsiaTheme="minorEastAsia"/>
                <w:szCs w:val="21"/>
              </w:rPr>
            </w:pPr>
            <w:r>
              <w:rPr>
                <w:rFonts w:hint="eastAsia" w:eastAsiaTheme="minorEastAsia"/>
                <w:szCs w:val="21"/>
              </w:rPr>
              <w:t>0.04</w:t>
            </w:r>
          </w:p>
        </w:tc>
        <w:tc>
          <w:tcPr>
            <w:tcW w:w="611" w:type="pct"/>
            <w:vAlign w:val="center"/>
          </w:tcPr>
          <w:p>
            <w:pPr>
              <w:spacing w:line="288" w:lineRule="auto"/>
              <w:jc w:val="center"/>
              <w:rPr>
                <w:rFonts w:eastAsiaTheme="minorEastAsia"/>
                <w:szCs w:val="21"/>
              </w:rPr>
            </w:pPr>
            <w:r>
              <w:rPr>
                <w:rFonts w:hint="eastAsia" w:eastAsiaTheme="minorEastAsia"/>
                <w:szCs w:val="21"/>
              </w:rPr>
              <w:t>1.31</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0.26</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1.86</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14</w:t>
            </w:r>
          </w:p>
        </w:tc>
        <w:tc>
          <w:tcPr>
            <w:tcW w:w="992" w:type="pct"/>
            <w:noWrap/>
            <w:vAlign w:val="center"/>
          </w:tcPr>
          <w:p>
            <w:pPr>
              <w:spacing w:line="288" w:lineRule="auto"/>
              <w:jc w:val="center"/>
              <w:rPr>
                <w:rFonts w:eastAsiaTheme="minorEastAsia"/>
                <w:szCs w:val="21"/>
              </w:rPr>
            </w:pPr>
            <w:r>
              <w:rPr>
                <w:rFonts w:eastAsiaTheme="minorEastAsia"/>
                <w:szCs w:val="21"/>
              </w:rPr>
              <w:t>1500</w:t>
            </w:r>
          </w:p>
        </w:tc>
        <w:tc>
          <w:tcPr>
            <w:tcW w:w="611" w:type="pct"/>
            <w:noWrap/>
            <w:vAlign w:val="center"/>
          </w:tcPr>
          <w:p>
            <w:pPr>
              <w:spacing w:line="288" w:lineRule="auto"/>
              <w:jc w:val="center"/>
              <w:rPr>
                <w:rFonts w:eastAsiaTheme="minorEastAsia"/>
                <w:szCs w:val="21"/>
              </w:rPr>
            </w:pPr>
            <w:r>
              <w:rPr>
                <w:rFonts w:hint="eastAsia" w:eastAsiaTheme="minorEastAsia"/>
                <w:szCs w:val="21"/>
              </w:rPr>
              <w:t>0.158</w:t>
            </w:r>
          </w:p>
        </w:tc>
        <w:tc>
          <w:tcPr>
            <w:tcW w:w="612" w:type="pct"/>
            <w:vAlign w:val="center"/>
          </w:tcPr>
          <w:p>
            <w:pPr>
              <w:spacing w:line="288" w:lineRule="auto"/>
              <w:jc w:val="center"/>
              <w:rPr>
                <w:rFonts w:eastAsiaTheme="minorEastAsia"/>
                <w:szCs w:val="21"/>
              </w:rPr>
            </w:pPr>
            <w:r>
              <w:rPr>
                <w:rFonts w:hint="eastAsia" w:eastAsiaTheme="minorEastAsia"/>
                <w:szCs w:val="21"/>
              </w:rPr>
              <w:t>0.04</w:t>
            </w:r>
          </w:p>
        </w:tc>
        <w:tc>
          <w:tcPr>
            <w:tcW w:w="611" w:type="pct"/>
            <w:vAlign w:val="center"/>
          </w:tcPr>
          <w:p>
            <w:pPr>
              <w:spacing w:line="288" w:lineRule="auto"/>
              <w:jc w:val="center"/>
              <w:rPr>
                <w:rFonts w:eastAsiaTheme="minorEastAsia"/>
                <w:szCs w:val="21"/>
              </w:rPr>
            </w:pPr>
            <w:r>
              <w:rPr>
                <w:rFonts w:hint="eastAsia" w:eastAsiaTheme="minorEastAsia"/>
                <w:szCs w:val="21"/>
              </w:rPr>
              <w:t>1.10</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0.22</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1.57</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15</w:t>
            </w:r>
          </w:p>
        </w:tc>
        <w:tc>
          <w:tcPr>
            <w:tcW w:w="992" w:type="pct"/>
            <w:noWrap/>
            <w:vAlign w:val="center"/>
          </w:tcPr>
          <w:p>
            <w:pPr>
              <w:spacing w:line="288" w:lineRule="auto"/>
              <w:jc w:val="center"/>
              <w:rPr>
                <w:rFonts w:eastAsiaTheme="minorEastAsia"/>
                <w:szCs w:val="21"/>
              </w:rPr>
            </w:pPr>
            <w:r>
              <w:rPr>
                <w:rFonts w:eastAsiaTheme="minorEastAsia"/>
                <w:szCs w:val="21"/>
              </w:rPr>
              <w:t>2000</w:t>
            </w:r>
          </w:p>
        </w:tc>
        <w:tc>
          <w:tcPr>
            <w:tcW w:w="611" w:type="pct"/>
            <w:noWrap/>
            <w:vAlign w:val="center"/>
          </w:tcPr>
          <w:p>
            <w:pPr>
              <w:spacing w:line="288" w:lineRule="auto"/>
              <w:jc w:val="center"/>
              <w:rPr>
                <w:rFonts w:eastAsiaTheme="minorEastAsia"/>
                <w:szCs w:val="21"/>
              </w:rPr>
            </w:pPr>
            <w:r>
              <w:rPr>
                <w:rFonts w:hint="eastAsia" w:eastAsiaTheme="minorEastAsia"/>
                <w:szCs w:val="21"/>
              </w:rPr>
              <w:t>0.143</w:t>
            </w:r>
          </w:p>
        </w:tc>
        <w:tc>
          <w:tcPr>
            <w:tcW w:w="612" w:type="pct"/>
            <w:vAlign w:val="center"/>
          </w:tcPr>
          <w:p>
            <w:pPr>
              <w:spacing w:line="288" w:lineRule="auto"/>
              <w:jc w:val="center"/>
              <w:rPr>
                <w:rFonts w:eastAsiaTheme="minorEastAsia"/>
                <w:szCs w:val="21"/>
              </w:rPr>
            </w:pPr>
            <w:r>
              <w:rPr>
                <w:rFonts w:hint="eastAsia" w:eastAsiaTheme="minorEastAsia"/>
                <w:szCs w:val="21"/>
              </w:rPr>
              <w:t>0.03</w:t>
            </w:r>
          </w:p>
        </w:tc>
        <w:tc>
          <w:tcPr>
            <w:tcW w:w="611" w:type="pct"/>
            <w:vAlign w:val="center"/>
          </w:tcPr>
          <w:p>
            <w:pPr>
              <w:spacing w:line="288" w:lineRule="auto"/>
              <w:jc w:val="center"/>
              <w:rPr>
                <w:rFonts w:eastAsiaTheme="minorEastAsia"/>
                <w:szCs w:val="21"/>
              </w:rPr>
            </w:pPr>
            <w:r>
              <w:rPr>
                <w:rFonts w:hint="eastAsia" w:eastAsiaTheme="minorEastAsia"/>
                <w:szCs w:val="21"/>
              </w:rPr>
              <w:t>0.990</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0.20</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1.41</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38" w:type="pct"/>
            <w:vAlign w:val="center"/>
          </w:tcPr>
          <w:p>
            <w:pPr>
              <w:spacing w:line="288" w:lineRule="auto"/>
              <w:jc w:val="center"/>
              <w:rPr>
                <w:rFonts w:eastAsiaTheme="minorEastAsia"/>
                <w:szCs w:val="21"/>
              </w:rPr>
            </w:pPr>
            <w:r>
              <w:rPr>
                <w:rFonts w:eastAsiaTheme="minorEastAsia"/>
                <w:szCs w:val="21"/>
              </w:rPr>
              <w:t>16</w:t>
            </w:r>
          </w:p>
        </w:tc>
        <w:tc>
          <w:tcPr>
            <w:tcW w:w="992" w:type="pct"/>
            <w:noWrap/>
            <w:vAlign w:val="center"/>
          </w:tcPr>
          <w:p>
            <w:pPr>
              <w:spacing w:line="288" w:lineRule="auto"/>
              <w:jc w:val="center"/>
              <w:rPr>
                <w:rFonts w:eastAsiaTheme="minorEastAsia"/>
                <w:szCs w:val="21"/>
              </w:rPr>
            </w:pPr>
            <w:r>
              <w:rPr>
                <w:rFonts w:eastAsiaTheme="minorEastAsia"/>
                <w:szCs w:val="21"/>
              </w:rPr>
              <w:t>2500</w:t>
            </w:r>
          </w:p>
        </w:tc>
        <w:tc>
          <w:tcPr>
            <w:tcW w:w="611" w:type="pct"/>
            <w:noWrap/>
            <w:vAlign w:val="center"/>
          </w:tcPr>
          <w:p>
            <w:pPr>
              <w:spacing w:line="288" w:lineRule="auto"/>
              <w:jc w:val="center"/>
              <w:rPr>
                <w:rFonts w:eastAsiaTheme="minorEastAsia"/>
                <w:szCs w:val="21"/>
              </w:rPr>
            </w:pPr>
            <w:r>
              <w:rPr>
                <w:rFonts w:hint="eastAsia" w:eastAsiaTheme="minorEastAsia"/>
                <w:szCs w:val="21"/>
              </w:rPr>
              <w:t>0.128</w:t>
            </w:r>
          </w:p>
        </w:tc>
        <w:tc>
          <w:tcPr>
            <w:tcW w:w="612" w:type="pct"/>
            <w:vAlign w:val="center"/>
          </w:tcPr>
          <w:p>
            <w:pPr>
              <w:spacing w:line="288" w:lineRule="auto"/>
              <w:jc w:val="center"/>
              <w:rPr>
                <w:rFonts w:eastAsiaTheme="minorEastAsia"/>
                <w:szCs w:val="21"/>
              </w:rPr>
            </w:pPr>
            <w:r>
              <w:rPr>
                <w:rFonts w:hint="eastAsia" w:eastAsiaTheme="minorEastAsia"/>
                <w:szCs w:val="21"/>
              </w:rPr>
              <w:t>0.03</w:t>
            </w:r>
          </w:p>
        </w:tc>
        <w:tc>
          <w:tcPr>
            <w:tcW w:w="611" w:type="pct"/>
            <w:vAlign w:val="center"/>
          </w:tcPr>
          <w:p>
            <w:pPr>
              <w:spacing w:line="288" w:lineRule="auto"/>
              <w:jc w:val="center"/>
              <w:rPr>
                <w:rFonts w:eastAsiaTheme="minorEastAsia"/>
                <w:szCs w:val="21"/>
              </w:rPr>
            </w:pPr>
            <w:r>
              <w:rPr>
                <w:rFonts w:hint="eastAsia" w:eastAsiaTheme="minorEastAsia"/>
                <w:szCs w:val="21"/>
              </w:rPr>
              <w:t>0.889</w:t>
            </w:r>
          </w:p>
        </w:tc>
        <w:tc>
          <w:tcPr>
            <w:tcW w:w="534" w:type="pct"/>
            <w:vAlign w:val="center"/>
          </w:tcPr>
          <w:p>
            <w:pPr>
              <w:spacing w:line="288" w:lineRule="auto"/>
              <w:jc w:val="center"/>
              <w:rPr>
                <w:rFonts w:eastAsiaTheme="minorEastAsia"/>
                <w:sz w:val="22"/>
                <w:szCs w:val="22"/>
              </w:rPr>
            </w:pPr>
            <w:r>
              <w:rPr>
                <w:rFonts w:hint="eastAsia" w:eastAsiaTheme="minorEastAsia"/>
                <w:sz w:val="22"/>
                <w:szCs w:val="22"/>
              </w:rPr>
              <w:t>0.18</w:t>
            </w:r>
          </w:p>
        </w:tc>
        <w:tc>
          <w:tcPr>
            <w:tcW w:w="613" w:type="pct"/>
            <w:vAlign w:val="center"/>
          </w:tcPr>
          <w:p>
            <w:pPr>
              <w:spacing w:line="288" w:lineRule="auto"/>
              <w:jc w:val="center"/>
              <w:rPr>
                <w:rFonts w:eastAsiaTheme="minorEastAsia"/>
                <w:sz w:val="22"/>
                <w:szCs w:val="22"/>
              </w:rPr>
            </w:pPr>
            <w:r>
              <w:rPr>
                <w:rFonts w:hint="eastAsia" w:eastAsiaTheme="minorEastAsia"/>
                <w:sz w:val="22"/>
                <w:szCs w:val="22"/>
              </w:rPr>
              <w:t>1.27</w:t>
            </w:r>
          </w:p>
        </w:tc>
        <w:tc>
          <w:tcPr>
            <w:tcW w:w="589" w:type="pct"/>
            <w:vAlign w:val="center"/>
          </w:tcPr>
          <w:p>
            <w:pPr>
              <w:spacing w:line="288" w:lineRule="auto"/>
              <w:jc w:val="center"/>
              <w:rPr>
                <w:rFonts w:eastAsiaTheme="minorEastAsia"/>
                <w:sz w:val="22"/>
                <w:szCs w:val="22"/>
              </w:rPr>
            </w:pPr>
            <w:r>
              <w:rPr>
                <w:rFonts w:hint="eastAsia" w:eastAsiaTheme="minorEastAsia"/>
                <w:sz w:val="22"/>
                <w:szCs w:val="22"/>
              </w:rPr>
              <w:t>0.63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1430" w:type="pct"/>
            <w:gridSpan w:val="2"/>
            <w:vAlign w:val="center"/>
          </w:tcPr>
          <w:p>
            <w:pPr>
              <w:spacing w:line="288" w:lineRule="auto"/>
              <w:jc w:val="center"/>
              <w:rPr>
                <w:rFonts w:eastAsiaTheme="minorEastAsia"/>
                <w:szCs w:val="21"/>
              </w:rPr>
            </w:pPr>
            <w:r>
              <w:rPr>
                <w:rFonts w:hAnsiTheme="minorEastAsia" w:eastAsiaTheme="minorEastAsia"/>
                <w:szCs w:val="21"/>
              </w:rPr>
              <w:t>下风向最大浓度及占标率</w:t>
            </w:r>
          </w:p>
        </w:tc>
        <w:tc>
          <w:tcPr>
            <w:tcW w:w="611" w:type="pct"/>
            <w:noWrap/>
            <w:vAlign w:val="center"/>
          </w:tcPr>
          <w:p>
            <w:pPr>
              <w:spacing w:line="288" w:lineRule="auto"/>
              <w:jc w:val="center"/>
              <w:rPr>
                <w:rFonts w:eastAsiaTheme="minorEastAsia"/>
                <w:szCs w:val="21"/>
                <w:vertAlign w:val="superscript"/>
              </w:rPr>
            </w:pPr>
            <w:r>
              <w:rPr>
                <w:rFonts w:hint="eastAsia" w:eastAsiaTheme="minorEastAsia"/>
                <w:szCs w:val="21"/>
              </w:rPr>
              <w:t>0.680</w:t>
            </w:r>
          </w:p>
        </w:tc>
        <w:tc>
          <w:tcPr>
            <w:tcW w:w="612" w:type="pct"/>
            <w:vAlign w:val="center"/>
          </w:tcPr>
          <w:p>
            <w:pPr>
              <w:spacing w:line="288" w:lineRule="auto"/>
              <w:jc w:val="center"/>
              <w:rPr>
                <w:rFonts w:eastAsiaTheme="minorEastAsia"/>
                <w:szCs w:val="21"/>
              </w:rPr>
            </w:pPr>
            <w:r>
              <w:rPr>
                <w:rFonts w:hint="eastAsia" w:eastAsiaTheme="minorEastAsia"/>
                <w:szCs w:val="21"/>
              </w:rPr>
              <w:t>0.15</w:t>
            </w:r>
          </w:p>
        </w:tc>
        <w:tc>
          <w:tcPr>
            <w:tcW w:w="611" w:type="pct"/>
            <w:vAlign w:val="center"/>
          </w:tcPr>
          <w:p>
            <w:pPr>
              <w:spacing w:line="288" w:lineRule="auto"/>
              <w:jc w:val="center"/>
              <w:rPr>
                <w:rFonts w:eastAsiaTheme="minorEastAsia"/>
                <w:szCs w:val="21"/>
                <w:vertAlign w:val="superscript"/>
              </w:rPr>
            </w:pPr>
            <w:r>
              <w:rPr>
                <w:rFonts w:hint="eastAsia" w:eastAsiaTheme="minorEastAsia"/>
                <w:szCs w:val="21"/>
              </w:rPr>
              <w:t>4.72</w:t>
            </w:r>
          </w:p>
        </w:tc>
        <w:tc>
          <w:tcPr>
            <w:tcW w:w="534" w:type="pct"/>
            <w:vAlign w:val="center"/>
          </w:tcPr>
          <w:p>
            <w:pPr>
              <w:spacing w:line="288" w:lineRule="auto"/>
              <w:jc w:val="center"/>
              <w:rPr>
                <w:rFonts w:eastAsiaTheme="minorEastAsia"/>
                <w:szCs w:val="21"/>
              </w:rPr>
            </w:pPr>
            <w:r>
              <w:rPr>
                <w:rFonts w:hint="eastAsia" w:eastAsiaTheme="minorEastAsia"/>
                <w:szCs w:val="21"/>
              </w:rPr>
              <w:t>0.94</w:t>
            </w:r>
          </w:p>
        </w:tc>
        <w:tc>
          <w:tcPr>
            <w:tcW w:w="613" w:type="pct"/>
            <w:vAlign w:val="center"/>
          </w:tcPr>
          <w:p>
            <w:pPr>
              <w:spacing w:line="288" w:lineRule="auto"/>
              <w:jc w:val="center"/>
              <w:rPr>
                <w:rFonts w:eastAsiaTheme="minorEastAsia"/>
                <w:szCs w:val="21"/>
                <w:vertAlign w:val="superscript"/>
              </w:rPr>
            </w:pPr>
            <w:r>
              <w:rPr>
                <w:rFonts w:hint="eastAsia" w:eastAsiaTheme="minorEastAsia"/>
                <w:szCs w:val="21"/>
              </w:rPr>
              <w:t>6.72</w:t>
            </w:r>
          </w:p>
        </w:tc>
        <w:tc>
          <w:tcPr>
            <w:tcW w:w="589" w:type="pct"/>
            <w:vAlign w:val="center"/>
          </w:tcPr>
          <w:p>
            <w:pPr>
              <w:spacing w:line="288" w:lineRule="auto"/>
              <w:jc w:val="center"/>
              <w:rPr>
                <w:rFonts w:eastAsiaTheme="minorEastAsia"/>
                <w:szCs w:val="21"/>
              </w:rPr>
            </w:pPr>
            <w:r>
              <w:rPr>
                <w:rFonts w:hint="eastAsia" w:eastAsiaTheme="minorEastAsia"/>
                <w:szCs w:val="21"/>
              </w:rPr>
              <w:t>3.36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30" w:type="pct"/>
            <w:gridSpan w:val="2"/>
            <w:vAlign w:val="center"/>
          </w:tcPr>
          <w:p>
            <w:pPr>
              <w:spacing w:line="288" w:lineRule="auto"/>
              <w:jc w:val="center"/>
              <w:rPr>
                <w:rFonts w:eastAsiaTheme="minorEastAsia"/>
                <w:szCs w:val="21"/>
              </w:rPr>
            </w:pPr>
            <w:r>
              <w:rPr>
                <w:rFonts w:hAnsiTheme="minorEastAsia" w:eastAsiaTheme="minorEastAsia"/>
                <w:szCs w:val="21"/>
              </w:rPr>
              <w:t>最大地面浓度出现最远距离，</w:t>
            </w:r>
            <w:r>
              <w:rPr>
                <w:rFonts w:eastAsiaTheme="minorEastAsia"/>
                <w:szCs w:val="21"/>
              </w:rPr>
              <w:t>m</w:t>
            </w:r>
          </w:p>
        </w:tc>
        <w:tc>
          <w:tcPr>
            <w:tcW w:w="1223" w:type="pct"/>
            <w:gridSpan w:val="2"/>
            <w:noWrap/>
            <w:vAlign w:val="center"/>
          </w:tcPr>
          <w:p>
            <w:pPr>
              <w:spacing w:line="288" w:lineRule="auto"/>
              <w:jc w:val="center"/>
              <w:rPr>
                <w:rFonts w:eastAsiaTheme="minorEastAsia"/>
                <w:sz w:val="22"/>
                <w:szCs w:val="22"/>
              </w:rPr>
            </w:pPr>
            <w:r>
              <w:rPr>
                <w:rFonts w:hint="eastAsia" w:eastAsiaTheme="minorEastAsia"/>
                <w:sz w:val="22"/>
                <w:szCs w:val="22"/>
              </w:rPr>
              <w:t>22</w:t>
            </w:r>
          </w:p>
        </w:tc>
        <w:tc>
          <w:tcPr>
            <w:tcW w:w="1145" w:type="pct"/>
            <w:gridSpan w:val="2"/>
            <w:vAlign w:val="center"/>
          </w:tcPr>
          <w:p>
            <w:pPr>
              <w:spacing w:line="288" w:lineRule="auto"/>
              <w:jc w:val="center"/>
              <w:rPr>
                <w:rFonts w:eastAsiaTheme="minorEastAsia"/>
                <w:sz w:val="22"/>
                <w:szCs w:val="22"/>
              </w:rPr>
            </w:pPr>
            <w:r>
              <w:rPr>
                <w:rFonts w:hint="eastAsia" w:eastAsiaTheme="minorEastAsia"/>
                <w:sz w:val="22"/>
                <w:szCs w:val="22"/>
              </w:rPr>
              <w:t>22</w:t>
            </w:r>
          </w:p>
        </w:tc>
        <w:tc>
          <w:tcPr>
            <w:tcW w:w="1202" w:type="pct"/>
            <w:gridSpan w:val="2"/>
            <w:vAlign w:val="center"/>
          </w:tcPr>
          <w:p>
            <w:pPr>
              <w:spacing w:line="288" w:lineRule="auto"/>
              <w:jc w:val="center"/>
              <w:rPr>
                <w:rFonts w:eastAsiaTheme="minorEastAsia"/>
                <w:sz w:val="22"/>
                <w:szCs w:val="22"/>
              </w:rPr>
            </w:pPr>
            <w:r>
              <w:rPr>
                <w:rFonts w:hint="eastAsia" w:eastAsiaTheme="minorEastAsia"/>
                <w:sz w:val="22"/>
                <w:szCs w:val="22"/>
              </w:rPr>
              <w:t>22</w:t>
            </w:r>
          </w:p>
        </w:tc>
      </w:tr>
    </w:tbl>
    <w:p>
      <w:pPr>
        <w:autoSpaceDE w:val="0"/>
        <w:autoSpaceDN w:val="0"/>
        <w:spacing w:line="288" w:lineRule="auto"/>
        <w:jc w:val="center"/>
        <w:rPr>
          <w:rFonts w:hAnsiTheme="minorEastAsia" w:eastAsiaTheme="minorEastAsia"/>
          <w:b/>
          <w:szCs w:val="21"/>
          <w:highlight w:val="yellow"/>
        </w:rPr>
      </w:pPr>
    </w:p>
    <w:p>
      <w:pPr>
        <w:autoSpaceDE w:val="0"/>
        <w:autoSpaceDN w:val="0"/>
        <w:spacing w:line="288" w:lineRule="auto"/>
        <w:jc w:val="center"/>
        <w:rPr>
          <w:rFonts w:hAnsiTheme="minorEastAsia" w:eastAsiaTheme="minorEastAsia"/>
          <w:b/>
          <w:szCs w:val="21"/>
          <w:highlight w:val="yellow"/>
        </w:rPr>
      </w:pPr>
    </w:p>
    <w:p>
      <w:pPr>
        <w:autoSpaceDE w:val="0"/>
        <w:autoSpaceDN w:val="0"/>
        <w:spacing w:line="288" w:lineRule="auto"/>
        <w:jc w:val="center"/>
        <w:rPr>
          <w:rFonts w:hAnsiTheme="minorEastAsia" w:eastAsiaTheme="minorEastAsia"/>
          <w:b/>
          <w:szCs w:val="21"/>
          <w:highlight w:val="yellow"/>
        </w:rPr>
      </w:pPr>
    </w:p>
    <w:p>
      <w:pPr>
        <w:autoSpaceDE w:val="0"/>
        <w:autoSpaceDN w:val="0"/>
        <w:spacing w:line="288" w:lineRule="auto"/>
        <w:jc w:val="center"/>
        <w:rPr>
          <w:rFonts w:eastAsiaTheme="minorEastAsia"/>
          <w:b/>
          <w:szCs w:val="21"/>
          <w:highlight w:val="yellow"/>
        </w:rPr>
      </w:pPr>
    </w:p>
    <w:p>
      <w:pPr>
        <w:spacing w:line="360" w:lineRule="auto"/>
        <w:ind w:firstLine="480" w:firstLineChars="200"/>
        <w:rPr>
          <w:rFonts w:eastAsiaTheme="minorEastAsia"/>
          <w:bCs/>
          <w:sz w:val="24"/>
        </w:rPr>
      </w:pPr>
    </w:p>
    <w:p>
      <w:pPr>
        <w:spacing w:line="360" w:lineRule="auto"/>
        <w:ind w:firstLine="480" w:firstLineChars="200"/>
        <w:rPr>
          <w:rFonts w:eastAsiaTheme="minorEastAsia"/>
          <w:bCs/>
          <w:sz w:val="24"/>
        </w:rPr>
      </w:pPr>
    </w:p>
    <w:p>
      <w:pPr>
        <w:spacing w:line="360" w:lineRule="auto"/>
        <w:ind w:firstLine="480" w:firstLineChars="200"/>
        <w:rPr>
          <w:rFonts w:eastAsiaTheme="minorEastAsia"/>
          <w:bCs/>
          <w:sz w:val="24"/>
        </w:rPr>
      </w:pPr>
    </w:p>
    <w:p>
      <w:pPr>
        <w:spacing w:line="360" w:lineRule="auto"/>
        <w:ind w:firstLine="480" w:firstLineChars="200"/>
        <w:rPr>
          <w:rFonts w:eastAsiaTheme="minorEastAsia"/>
          <w:bCs/>
          <w:sz w:val="24"/>
        </w:rPr>
      </w:pPr>
      <w:r>
        <w:rPr>
          <w:rFonts w:eastAsiaTheme="minorEastAsia"/>
          <w:bCs/>
          <w:sz w:val="24"/>
        </w:rPr>
        <w:t>5、污染物排放量核算</w:t>
      </w:r>
    </w:p>
    <w:p>
      <w:pPr>
        <w:spacing w:line="360" w:lineRule="auto"/>
        <w:jc w:val="center"/>
        <w:rPr>
          <w:rFonts w:eastAsiaTheme="minorEastAsia"/>
          <w:b/>
          <w:szCs w:val="21"/>
        </w:rPr>
      </w:pPr>
      <w:r>
        <w:rPr>
          <w:rFonts w:hAnsiTheme="minorEastAsia" w:eastAsiaTheme="minorEastAsia"/>
          <w:b/>
          <w:szCs w:val="21"/>
        </w:rPr>
        <w:t>表</w:t>
      </w:r>
      <w:r>
        <w:rPr>
          <w:rFonts w:eastAsiaTheme="minorEastAsia"/>
          <w:b/>
          <w:szCs w:val="21"/>
        </w:rPr>
        <w:t>5.2-</w:t>
      </w:r>
      <w:r>
        <w:rPr>
          <w:rFonts w:hint="eastAsia" w:eastAsiaTheme="minorEastAsia"/>
          <w:b/>
          <w:szCs w:val="21"/>
        </w:rPr>
        <w:t>7</w:t>
      </w:r>
      <w:r>
        <w:rPr>
          <w:rFonts w:eastAsiaTheme="minorEastAsia"/>
          <w:b/>
          <w:szCs w:val="21"/>
        </w:rPr>
        <w:t xml:space="preserve">  </w:t>
      </w:r>
      <w:r>
        <w:rPr>
          <w:rFonts w:hAnsiTheme="minorEastAsia" w:eastAsiaTheme="minorEastAsia"/>
          <w:b/>
          <w:szCs w:val="21"/>
        </w:rPr>
        <w:t>大气污染物</w:t>
      </w:r>
      <w:r>
        <w:rPr>
          <w:rFonts w:hint="eastAsia" w:hAnsiTheme="minorEastAsia" w:eastAsiaTheme="minorEastAsia"/>
          <w:b/>
          <w:szCs w:val="21"/>
        </w:rPr>
        <w:t>有</w:t>
      </w:r>
      <w:r>
        <w:rPr>
          <w:rFonts w:hAnsiTheme="minorEastAsia" w:eastAsiaTheme="minorEastAsia"/>
          <w:b/>
          <w:szCs w:val="21"/>
        </w:rPr>
        <w:t>组织排放量核算表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2"/>
        <w:gridCol w:w="1111"/>
        <w:gridCol w:w="1137"/>
        <w:gridCol w:w="1274"/>
        <w:gridCol w:w="1701"/>
        <w:gridCol w:w="1558"/>
        <w:gridCol w:w="15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7" w:hRule="atLeast"/>
        </w:trPr>
        <w:tc>
          <w:tcPr>
            <w:tcW w:w="529" w:type="pct"/>
            <w:vAlign w:val="center"/>
          </w:tcPr>
          <w:p>
            <w:pPr>
              <w:spacing w:line="288" w:lineRule="auto"/>
              <w:jc w:val="center"/>
              <w:rPr>
                <w:rFonts w:eastAsiaTheme="minorEastAsia"/>
                <w:szCs w:val="21"/>
              </w:rPr>
            </w:pPr>
            <w:r>
              <w:rPr>
                <w:rFonts w:hAnsiTheme="minorEastAsia" w:eastAsiaTheme="minorEastAsia"/>
                <w:szCs w:val="21"/>
              </w:rPr>
              <w:t>序号</w:t>
            </w:r>
          </w:p>
        </w:tc>
        <w:tc>
          <w:tcPr>
            <w:tcW w:w="598" w:type="pct"/>
            <w:vAlign w:val="center"/>
          </w:tcPr>
          <w:p>
            <w:pPr>
              <w:spacing w:line="288" w:lineRule="auto"/>
              <w:jc w:val="center"/>
              <w:rPr>
                <w:rFonts w:eastAsiaTheme="minorEastAsia"/>
                <w:szCs w:val="21"/>
              </w:rPr>
            </w:pPr>
            <w:r>
              <w:rPr>
                <w:rFonts w:hint="eastAsia" w:hAnsiTheme="minorEastAsia" w:eastAsiaTheme="minorEastAsia"/>
                <w:szCs w:val="21"/>
              </w:rPr>
              <w:t>排放口编号</w:t>
            </w:r>
          </w:p>
        </w:tc>
        <w:tc>
          <w:tcPr>
            <w:tcW w:w="612" w:type="pct"/>
            <w:vAlign w:val="center"/>
          </w:tcPr>
          <w:p>
            <w:pPr>
              <w:spacing w:line="288" w:lineRule="auto"/>
              <w:jc w:val="center"/>
              <w:rPr>
                <w:rFonts w:eastAsiaTheme="minorEastAsia"/>
                <w:szCs w:val="21"/>
              </w:rPr>
            </w:pPr>
            <w:r>
              <w:rPr>
                <w:rFonts w:hint="eastAsia" w:eastAsiaTheme="minorEastAsia"/>
                <w:szCs w:val="21"/>
              </w:rPr>
              <w:t>运行时段</w:t>
            </w:r>
          </w:p>
        </w:tc>
        <w:tc>
          <w:tcPr>
            <w:tcW w:w="686" w:type="pct"/>
            <w:vAlign w:val="center"/>
          </w:tcPr>
          <w:p>
            <w:pPr>
              <w:spacing w:line="288" w:lineRule="auto"/>
              <w:jc w:val="center"/>
              <w:rPr>
                <w:rFonts w:eastAsiaTheme="minorEastAsia"/>
                <w:szCs w:val="21"/>
              </w:rPr>
            </w:pPr>
            <w:r>
              <w:rPr>
                <w:rFonts w:hAnsiTheme="minorEastAsia" w:eastAsiaTheme="minorEastAsia"/>
                <w:szCs w:val="21"/>
              </w:rPr>
              <w:t>污染物</w:t>
            </w:r>
          </w:p>
        </w:tc>
        <w:tc>
          <w:tcPr>
            <w:tcW w:w="916" w:type="pct"/>
            <w:vAlign w:val="center"/>
          </w:tcPr>
          <w:p>
            <w:pPr>
              <w:spacing w:line="288" w:lineRule="auto"/>
              <w:jc w:val="center"/>
              <w:rPr>
                <w:rFonts w:hAnsiTheme="minorEastAsia" w:eastAsiaTheme="minorEastAsia"/>
                <w:szCs w:val="21"/>
              </w:rPr>
            </w:pPr>
            <w:r>
              <w:rPr>
                <w:rFonts w:hint="eastAsia" w:hAnsiTheme="minorEastAsia" w:eastAsiaTheme="minorEastAsia"/>
                <w:szCs w:val="21"/>
              </w:rPr>
              <w:t>核算排放浓度</w:t>
            </w:r>
          </w:p>
          <w:p>
            <w:pPr>
              <w:spacing w:line="288" w:lineRule="auto"/>
              <w:jc w:val="center"/>
              <w:rPr>
                <w:rFonts w:eastAsiaTheme="minorEastAsia"/>
                <w:szCs w:val="21"/>
              </w:rPr>
            </w:pPr>
            <w:r>
              <w:rPr>
                <w:rFonts w:eastAsiaTheme="minorEastAsia"/>
                <w:szCs w:val="21"/>
              </w:rPr>
              <w:t>(</w:t>
            </w:r>
            <w:r>
              <w:rPr>
                <w:rFonts w:hint="eastAsia" w:eastAsiaTheme="minorEastAsia"/>
                <w:szCs w:val="21"/>
              </w:rPr>
              <w:t>m</w:t>
            </w:r>
            <w:r>
              <w:rPr>
                <w:rFonts w:eastAsiaTheme="minorEastAsia"/>
                <w:szCs w:val="21"/>
              </w:rPr>
              <w:t>g/m</w:t>
            </w:r>
            <w:r>
              <w:rPr>
                <w:rFonts w:eastAsiaTheme="minorEastAsia"/>
                <w:szCs w:val="21"/>
                <w:vertAlign w:val="superscript"/>
              </w:rPr>
              <w:t>3</w:t>
            </w:r>
            <w:r>
              <w:rPr>
                <w:rFonts w:eastAsiaTheme="minorEastAsia"/>
                <w:szCs w:val="21"/>
              </w:rPr>
              <w:t>)</w:t>
            </w:r>
          </w:p>
        </w:tc>
        <w:tc>
          <w:tcPr>
            <w:tcW w:w="839" w:type="pct"/>
            <w:vAlign w:val="center"/>
          </w:tcPr>
          <w:p>
            <w:pPr>
              <w:spacing w:line="288" w:lineRule="auto"/>
              <w:jc w:val="center"/>
              <w:rPr>
                <w:rFonts w:eastAsiaTheme="minorEastAsia"/>
                <w:szCs w:val="21"/>
              </w:rPr>
            </w:pPr>
            <w:r>
              <w:rPr>
                <w:rFonts w:hint="eastAsia" w:eastAsiaTheme="minorEastAsia"/>
                <w:szCs w:val="21"/>
              </w:rPr>
              <w:t>核算排放速率</w:t>
            </w:r>
          </w:p>
          <w:p>
            <w:pPr>
              <w:spacing w:line="288" w:lineRule="auto"/>
              <w:jc w:val="center"/>
              <w:rPr>
                <w:rFonts w:eastAsiaTheme="minorEastAsia"/>
                <w:szCs w:val="21"/>
              </w:rPr>
            </w:pPr>
            <w:r>
              <w:rPr>
                <w:rFonts w:hint="eastAsia" w:eastAsiaTheme="minorEastAsia"/>
                <w:szCs w:val="21"/>
              </w:rPr>
              <w:t>（kg/h）</w:t>
            </w:r>
          </w:p>
        </w:tc>
        <w:tc>
          <w:tcPr>
            <w:tcW w:w="820" w:type="pct"/>
            <w:vAlign w:val="center"/>
          </w:tcPr>
          <w:p>
            <w:pPr>
              <w:spacing w:line="288" w:lineRule="auto"/>
              <w:jc w:val="center"/>
              <w:rPr>
                <w:rFonts w:eastAsiaTheme="minorEastAsia"/>
                <w:szCs w:val="21"/>
              </w:rPr>
            </w:pPr>
            <w:r>
              <w:rPr>
                <w:rFonts w:hint="eastAsia" w:hAnsiTheme="minorEastAsia" w:eastAsiaTheme="minorEastAsia"/>
                <w:szCs w:val="21"/>
              </w:rPr>
              <w:t>核算</w:t>
            </w:r>
            <w:r>
              <w:rPr>
                <w:rFonts w:hAnsiTheme="minorEastAsia" w:eastAsiaTheme="minorEastAsia"/>
                <w:szCs w:val="21"/>
              </w:rPr>
              <w:t>年排放量（</w:t>
            </w:r>
            <w:r>
              <w:rPr>
                <w:rFonts w:eastAsiaTheme="minorEastAsia"/>
                <w:szCs w:val="21"/>
              </w:rPr>
              <w:t>t/a</w:t>
            </w:r>
            <w:r>
              <w:rPr>
                <w:rFonts w:hAnsiTheme="minorEastAsia"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trPr>
        <w:tc>
          <w:tcPr>
            <w:tcW w:w="529" w:type="pct"/>
            <w:vMerge w:val="restart"/>
            <w:vAlign w:val="center"/>
          </w:tcPr>
          <w:p>
            <w:pPr>
              <w:spacing w:line="288" w:lineRule="auto"/>
              <w:jc w:val="center"/>
              <w:rPr>
                <w:rFonts w:eastAsiaTheme="minorEastAsia"/>
                <w:szCs w:val="21"/>
              </w:rPr>
            </w:pPr>
            <w:r>
              <w:rPr>
                <w:rFonts w:eastAsiaTheme="minorEastAsia"/>
                <w:szCs w:val="21"/>
              </w:rPr>
              <w:t>1</w:t>
            </w:r>
          </w:p>
        </w:tc>
        <w:tc>
          <w:tcPr>
            <w:tcW w:w="598" w:type="pct"/>
            <w:vMerge w:val="restart"/>
            <w:vAlign w:val="center"/>
          </w:tcPr>
          <w:p>
            <w:pPr>
              <w:spacing w:line="288" w:lineRule="auto"/>
              <w:jc w:val="center"/>
              <w:rPr>
                <w:rFonts w:hAnsiTheme="minorEastAsia" w:eastAsiaTheme="minorEastAsia"/>
                <w:szCs w:val="21"/>
              </w:rPr>
            </w:pPr>
            <w:r>
              <w:rPr>
                <w:rFonts w:hint="eastAsia" w:hAnsiTheme="minorEastAsia" w:eastAsiaTheme="minorEastAsia"/>
                <w:szCs w:val="21"/>
              </w:rPr>
              <w:t>1#锅炉</w:t>
            </w:r>
          </w:p>
          <w:p>
            <w:pPr>
              <w:spacing w:line="288" w:lineRule="auto"/>
              <w:jc w:val="center"/>
              <w:rPr>
                <w:rFonts w:eastAsiaTheme="minorEastAsia"/>
                <w:szCs w:val="21"/>
              </w:rPr>
            </w:pPr>
            <w:r>
              <w:rPr>
                <w:rFonts w:hint="eastAsia" w:hAnsiTheme="minorEastAsia" w:eastAsiaTheme="minorEastAsia"/>
                <w:szCs w:val="21"/>
              </w:rPr>
              <w:t>DA001</w:t>
            </w:r>
          </w:p>
        </w:tc>
        <w:tc>
          <w:tcPr>
            <w:tcW w:w="612" w:type="pct"/>
            <w:vMerge w:val="restart"/>
            <w:vAlign w:val="center"/>
          </w:tcPr>
          <w:p>
            <w:pPr>
              <w:spacing w:line="288" w:lineRule="auto"/>
              <w:rPr>
                <w:rFonts w:eastAsiaTheme="minorEastAsia"/>
                <w:szCs w:val="21"/>
              </w:rPr>
            </w:pPr>
            <w:r>
              <w:rPr>
                <w:rFonts w:hint="eastAsia" w:hAnsiTheme="minorEastAsia" w:eastAsiaTheme="minorEastAsia"/>
                <w:szCs w:val="21"/>
              </w:rPr>
              <w:t>采暖期</w:t>
            </w:r>
          </w:p>
        </w:tc>
        <w:tc>
          <w:tcPr>
            <w:tcW w:w="686" w:type="pct"/>
            <w:vAlign w:val="center"/>
          </w:tcPr>
          <w:p>
            <w:pPr>
              <w:spacing w:line="288" w:lineRule="auto"/>
              <w:jc w:val="center"/>
              <w:rPr>
                <w:rFonts w:eastAsiaTheme="minorEastAsia"/>
                <w:sz w:val="18"/>
                <w:szCs w:val="18"/>
                <w:vertAlign w:val="subscript"/>
              </w:rPr>
            </w:pPr>
            <w:r>
              <w:rPr>
                <w:rFonts w:hint="eastAsia" w:eastAsiaTheme="minorEastAsia"/>
                <w:sz w:val="18"/>
                <w:szCs w:val="18"/>
              </w:rPr>
              <w:t>颗粒物</w:t>
            </w:r>
          </w:p>
        </w:tc>
        <w:tc>
          <w:tcPr>
            <w:tcW w:w="916" w:type="pct"/>
            <w:vAlign w:val="center"/>
          </w:tcPr>
          <w:p>
            <w:pPr>
              <w:spacing w:line="288" w:lineRule="auto"/>
              <w:jc w:val="center"/>
              <w:rPr>
                <w:rFonts w:eastAsiaTheme="minorEastAsia"/>
                <w:szCs w:val="21"/>
              </w:rPr>
            </w:pPr>
            <w:r>
              <w:rPr>
                <w:rFonts w:hint="eastAsia" w:eastAsiaTheme="minorEastAsia"/>
                <w:szCs w:val="21"/>
              </w:rPr>
              <w:t>5</w:t>
            </w:r>
          </w:p>
        </w:tc>
        <w:tc>
          <w:tcPr>
            <w:tcW w:w="839" w:type="pct"/>
            <w:vAlign w:val="center"/>
          </w:tcPr>
          <w:p>
            <w:pPr>
              <w:spacing w:line="288" w:lineRule="auto"/>
              <w:jc w:val="center"/>
              <w:rPr>
                <w:rFonts w:eastAsiaTheme="minorEastAsia"/>
                <w:szCs w:val="21"/>
              </w:rPr>
            </w:pPr>
            <w:r>
              <w:rPr>
                <w:rFonts w:hint="eastAsia" w:eastAsiaTheme="minorEastAsia"/>
                <w:szCs w:val="21"/>
              </w:rPr>
              <w:t>0.033</w:t>
            </w:r>
          </w:p>
        </w:tc>
        <w:tc>
          <w:tcPr>
            <w:tcW w:w="820" w:type="pct"/>
            <w:vAlign w:val="center"/>
          </w:tcPr>
          <w:p>
            <w:pPr>
              <w:spacing w:line="288" w:lineRule="auto"/>
              <w:jc w:val="center"/>
              <w:rPr>
                <w:rFonts w:eastAsiaTheme="minorEastAsia"/>
                <w:szCs w:val="21"/>
              </w:rPr>
            </w:pPr>
            <w:r>
              <w:rPr>
                <w:rFonts w:hint="eastAsia" w:eastAsiaTheme="minorEastAsia"/>
                <w:szCs w:val="21"/>
              </w:rPr>
              <w:t>0.079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trPr>
        <w:tc>
          <w:tcPr>
            <w:tcW w:w="529" w:type="pct"/>
            <w:vMerge w:val="continue"/>
            <w:vAlign w:val="center"/>
          </w:tcPr>
          <w:p>
            <w:pPr>
              <w:spacing w:line="288" w:lineRule="auto"/>
              <w:jc w:val="center"/>
              <w:rPr>
                <w:rFonts w:eastAsiaTheme="minorEastAsia"/>
                <w:szCs w:val="21"/>
              </w:rPr>
            </w:pPr>
          </w:p>
        </w:tc>
        <w:tc>
          <w:tcPr>
            <w:tcW w:w="598" w:type="pct"/>
            <w:vMerge w:val="continue"/>
            <w:vAlign w:val="center"/>
          </w:tcPr>
          <w:p>
            <w:pPr>
              <w:spacing w:line="288" w:lineRule="auto"/>
              <w:jc w:val="center"/>
              <w:rPr>
                <w:rFonts w:hAnsiTheme="minorEastAsia" w:eastAsiaTheme="minorEastAsia"/>
                <w:szCs w:val="21"/>
              </w:rPr>
            </w:pPr>
          </w:p>
        </w:tc>
        <w:tc>
          <w:tcPr>
            <w:tcW w:w="612" w:type="pct"/>
            <w:vMerge w:val="continue"/>
            <w:vAlign w:val="center"/>
          </w:tcPr>
          <w:p>
            <w:pPr>
              <w:spacing w:line="288" w:lineRule="auto"/>
              <w:jc w:val="center"/>
              <w:rPr>
                <w:rFonts w:hAnsiTheme="minorEastAsia" w:eastAsiaTheme="minorEastAsia"/>
                <w:szCs w:val="21"/>
              </w:rPr>
            </w:pPr>
          </w:p>
        </w:tc>
        <w:tc>
          <w:tcPr>
            <w:tcW w:w="686" w:type="pct"/>
            <w:vAlign w:val="center"/>
          </w:tcPr>
          <w:p>
            <w:pPr>
              <w:spacing w:line="288" w:lineRule="auto"/>
              <w:jc w:val="center"/>
              <w:rPr>
                <w:rFonts w:eastAsiaTheme="minorEastAsia"/>
                <w:sz w:val="18"/>
                <w:szCs w:val="18"/>
              </w:rPr>
            </w:pPr>
            <w:r>
              <w:rPr>
                <w:rFonts w:hint="eastAsia" w:eastAsiaTheme="minorEastAsia"/>
                <w:sz w:val="18"/>
                <w:szCs w:val="18"/>
              </w:rPr>
              <w:t>SO</w:t>
            </w:r>
            <w:r>
              <w:rPr>
                <w:rFonts w:hint="eastAsia" w:eastAsiaTheme="minorEastAsia"/>
                <w:sz w:val="18"/>
                <w:szCs w:val="18"/>
                <w:vertAlign w:val="subscript"/>
              </w:rPr>
              <w:t>2</w:t>
            </w:r>
          </w:p>
        </w:tc>
        <w:tc>
          <w:tcPr>
            <w:tcW w:w="916" w:type="pct"/>
            <w:vAlign w:val="center"/>
          </w:tcPr>
          <w:p>
            <w:pPr>
              <w:spacing w:line="288" w:lineRule="auto"/>
              <w:jc w:val="center"/>
              <w:rPr>
                <w:rFonts w:hAnsiTheme="minorEastAsia" w:eastAsiaTheme="minorEastAsia"/>
                <w:szCs w:val="21"/>
              </w:rPr>
            </w:pPr>
            <w:r>
              <w:rPr>
                <w:rFonts w:hint="eastAsia" w:hAnsiTheme="minorEastAsia" w:eastAsiaTheme="minorEastAsia"/>
                <w:szCs w:val="21"/>
              </w:rPr>
              <w:t>35</w:t>
            </w:r>
          </w:p>
        </w:tc>
        <w:tc>
          <w:tcPr>
            <w:tcW w:w="839" w:type="pct"/>
            <w:vAlign w:val="center"/>
          </w:tcPr>
          <w:p>
            <w:pPr>
              <w:spacing w:line="288" w:lineRule="auto"/>
              <w:jc w:val="center"/>
              <w:rPr>
                <w:rFonts w:eastAsiaTheme="minorEastAsia"/>
                <w:szCs w:val="21"/>
              </w:rPr>
            </w:pPr>
            <w:r>
              <w:rPr>
                <w:rFonts w:hint="eastAsia" w:eastAsiaTheme="minorEastAsia"/>
                <w:szCs w:val="21"/>
              </w:rPr>
              <w:t>0.229</w:t>
            </w:r>
          </w:p>
        </w:tc>
        <w:tc>
          <w:tcPr>
            <w:tcW w:w="820" w:type="pct"/>
            <w:vAlign w:val="center"/>
          </w:tcPr>
          <w:p>
            <w:pPr>
              <w:spacing w:line="288" w:lineRule="auto"/>
              <w:jc w:val="center"/>
              <w:rPr>
                <w:rFonts w:eastAsiaTheme="minorEastAsia"/>
                <w:szCs w:val="21"/>
              </w:rPr>
            </w:pPr>
            <w:r>
              <w:rPr>
                <w:rFonts w:hint="eastAsia" w:eastAsiaTheme="minorEastAsia"/>
                <w:szCs w:val="21"/>
              </w:rPr>
              <w:t>0.55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trPr>
        <w:tc>
          <w:tcPr>
            <w:tcW w:w="529" w:type="pct"/>
            <w:vMerge w:val="continue"/>
            <w:vAlign w:val="center"/>
          </w:tcPr>
          <w:p>
            <w:pPr>
              <w:spacing w:line="288" w:lineRule="auto"/>
              <w:jc w:val="center"/>
              <w:rPr>
                <w:rFonts w:eastAsiaTheme="minorEastAsia"/>
                <w:szCs w:val="21"/>
              </w:rPr>
            </w:pPr>
          </w:p>
        </w:tc>
        <w:tc>
          <w:tcPr>
            <w:tcW w:w="598" w:type="pct"/>
            <w:vMerge w:val="continue"/>
            <w:vAlign w:val="center"/>
          </w:tcPr>
          <w:p>
            <w:pPr>
              <w:spacing w:line="288" w:lineRule="auto"/>
              <w:jc w:val="center"/>
              <w:rPr>
                <w:rFonts w:hAnsiTheme="minorEastAsia" w:eastAsiaTheme="minorEastAsia"/>
                <w:szCs w:val="21"/>
              </w:rPr>
            </w:pPr>
          </w:p>
        </w:tc>
        <w:tc>
          <w:tcPr>
            <w:tcW w:w="612" w:type="pct"/>
            <w:vMerge w:val="continue"/>
            <w:vAlign w:val="center"/>
          </w:tcPr>
          <w:p>
            <w:pPr>
              <w:spacing w:line="288" w:lineRule="auto"/>
              <w:jc w:val="center"/>
              <w:rPr>
                <w:rFonts w:hAnsiTheme="minorEastAsia" w:eastAsiaTheme="minorEastAsia"/>
                <w:szCs w:val="21"/>
              </w:rPr>
            </w:pPr>
          </w:p>
        </w:tc>
        <w:tc>
          <w:tcPr>
            <w:tcW w:w="686" w:type="pct"/>
            <w:vAlign w:val="center"/>
          </w:tcPr>
          <w:p>
            <w:pPr>
              <w:spacing w:line="288" w:lineRule="auto"/>
              <w:jc w:val="center"/>
              <w:rPr>
                <w:rFonts w:eastAsiaTheme="minorEastAsia"/>
                <w:sz w:val="18"/>
                <w:szCs w:val="18"/>
              </w:rPr>
            </w:pPr>
            <w:r>
              <w:rPr>
                <w:rFonts w:hint="eastAsia" w:eastAsiaTheme="minorEastAsia"/>
                <w:sz w:val="18"/>
                <w:szCs w:val="18"/>
              </w:rPr>
              <w:t>NO</w:t>
            </w:r>
            <w:r>
              <w:rPr>
                <w:rFonts w:hint="eastAsia" w:eastAsiaTheme="minorEastAsia"/>
                <w:sz w:val="18"/>
                <w:szCs w:val="18"/>
                <w:vertAlign w:val="subscript"/>
              </w:rPr>
              <w:t>X</w:t>
            </w:r>
          </w:p>
        </w:tc>
        <w:tc>
          <w:tcPr>
            <w:tcW w:w="916" w:type="pct"/>
            <w:vAlign w:val="center"/>
          </w:tcPr>
          <w:p>
            <w:pPr>
              <w:spacing w:line="288" w:lineRule="auto"/>
              <w:jc w:val="center"/>
              <w:rPr>
                <w:rFonts w:hAnsiTheme="minorEastAsia" w:eastAsiaTheme="minorEastAsia"/>
                <w:szCs w:val="21"/>
              </w:rPr>
            </w:pPr>
            <w:r>
              <w:rPr>
                <w:rFonts w:hint="eastAsia" w:hAnsiTheme="minorEastAsia" w:eastAsiaTheme="minorEastAsia"/>
                <w:szCs w:val="21"/>
              </w:rPr>
              <w:t>50</w:t>
            </w:r>
          </w:p>
        </w:tc>
        <w:tc>
          <w:tcPr>
            <w:tcW w:w="839" w:type="pct"/>
            <w:vAlign w:val="center"/>
          </w:tcPr>
          <w:p>
            <w:pPr>
              <w:spacing w:line="288" w:lineRule="auto"/>
              <w:jc w:val="center"/>
              <w:rPr>
                <w:rFonts w:eastAsiaTheme="minorEastAsia"/>
                <w:szCs w:val="21"/>
              </w:rPr>
            </w:pPr>
            <w:r>
              <w:rPr>
                <w:rFonts w:hint="eastAsia" w:eastAsiaTheme="minorEastAsia"/>
                <w:szCs w:val="21"/>
              </w:rPr>
              <w:t>0.326</w:t>
            </w:r>
          </w:p>
        </w:tc>
        <w:tc>
          <w:tcPr>
            <w:tcW w:w="820" w:type="pct"/>
            <w:vAlign w:val="center"/>
          </w:tcPr>
          <w:p>
            <w:pPr>
              <w:spacing w:line="288" w:lineRule="auto"/>
              <w:jc w:val="center"/>
              <w:rPr>
                <w:rFonts w:eastAsiaTheme="minorEastAsia"/>
                <w:szCs w:val="21"/>
              </w:rPr>
            </w:pPr>
            <w:r>
              <w:rPr>
                <w:rFonts w:hint="eastAsia" w:eastAsiaTheme="minorEastAsia"/>
                <w:szCs w:val="21"/>
              </w:rPr>
              <w:t>0.79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trPr>
        <w:tc>
          <w:tcPr>
            <w:tcW w:w="529" w:type="pct"/>
            <w:vMerge w:val="continue"/>
            <w:vAlign w:val="center"/>
          </w:tcPr>
          <w:p>
            <w:pPr>
              <w:spacing w:line="288" w:lineRule="auto"/>
              <w:jc w:val="center"/>
              <w:rPr>
                <w:rFonts w:eastAsiaTheme="minorEastAsia"/>
                <w:szCs w:val="21"/>
              </w:rPr>
            </w:pPr>
          </w:p>
        </w:tc>
        <w:tc>
          <w:tcPr>
            <w:tcW w:w="598" w:type="pct"/>
            <w:vMerge w:val="continue"/>
            <w:vAlign w:val="center"/>
          </w:tcPr>
          <w:p>
            <w:pPr>
              <w:spacing w:line="288" w:lineRule="auto"/>
              <w:jc w:val="center"/>
              <w:rPr>
                <w:rFonts w:hAnsiTheme="minorEastAsia" w:eastAsiaTheme="minorEastAsia"/>
                <w:szCs w:val="21"/>
              </w:rPr>
            </w:pPr>
          </w:p>
        </w:tc>
        <w:tc>
          <w:tcPr>
            <w:tcW w:w="612" w:type="pct"/>
            <w:vMerge w:val="restart"/>
            <w:vAlign w:val="center"/>
          </w:tcPr>
          <w:p>
            <w:pPr>
              <w:spacing w:line="288" w:lineRule="auto"/>
              <w:jc w:val="center"/>
              <w:rPr>
                <w:rFonts w:hAnsiTheme="minorEastAsia" w:eastAsiaTheme="minorEastAsia"/>
                <w:szCs w:val="21"/>
              </w:rPr>
            </w:pPr>
            <w:r>
              <w:rPr>
                <w:rFonts w:hint="eastAsia" w:hAnsiTheme="minorEastAsia" w:eastAsiaTheme="minorEastAsia"/>
                <w:szCs w:val="21"/>
              </w:rPr>
              <w:t>非采暖期</w:t>
            </w:r>
          </w:p>
        </w:tc>
        <w:tc>
          <w:tcPr>
            <w:tcW w:w="686" w:type="pct"/>
            <w:vAlign w:val="center"/>
          </w:tcPr>
          <w:p>
            <w:pPr>
              <w:spacing w:line="288" w:lineRule="auto"/>
              <w:jc w:val="center"/>
              <w:rPr>
                <w:rFonts w:eastAsiaTheme="minorEastAsia"/>
                <w:sz w:val="18"/>
                <w:szCs w:val="18"/>
                <w:vertAlign w:val="subscript"/>
              </w:rPr>
            </w:pPr>
            <w:r>
              <w:rPr>
                <w:rFonts w:hint="eastAsia" w:eastAsiaTheme="minorEastAsia"/>
                <w:sz w:val="18"/>
                <w:szCs w:val="18"/>
              </w:rPr>
              <w:t>颗粒物</w:t>
            </w:r>
          </w:p>
        </w:tc>
        <w:tc>
          <w:tcPr>
            <w:tcW w:w="916" w:type="pct"/>
            <w:vAlign w:val="center"/>
          </w:tcPr>
          <w:p>
            <w:pPr>
              <w:spacing w:line="288" w:lineRule="auto"/>
              <w:jc w:val="center"/>
              <w:rPr>
                <w:rFonts w:eastAsiaTheme="minorEastAsia"/>
                <w:szCs w:val="21"/>
              </w:rPr>
            </w:pPr>
            <w:r>
              <w:rPr>
                <w:rFonts w:hint="eastAsia" w:eastAsiaTheme="minorEastAsia"/>
                <w:szCs w:val="21"/>
              </w:rPr>
              <w:t>5</w:t>
            </w:r>
          </w:p>
        </w:tc>
        <w:tc>
          <w:tcPr>
            <w:tcW w:w="839" w:type="pct"/>
            <w:vAlign w:val="center"/>
          </w:tcPr>
          <w:p>
            <w:pPr>
              <w:spacing w:line="288" w:lineRule="auto"/>
              <w:jc w:val="center"/>
              <w:rPr>
                <w:rFonts w:eastAsiaTheme="minorEastAsia"/>
                <w:szCs w:val="21"/>
              </w:rPr>
            </w:pPr>
            <w:r>
              <w:rPr>
                <w:rFonts w:hint="eastAsia" w:eastAsiaTheme="minorEastAsia"/>
                <w:szCs w:val="21"/>
              </w:rPr>
              <w:t>0.047</w:t>
            </w:r>
          </w:p>
        </w:tc>
        <w:tc>
          <w:tcPr>
            <w:tcW w:w="820" w:type="pct"/>
            <w:vAlign w:val="center"/>
          </w:tcPr>
          <w:p>
            <w:pPr>
              <w:spacing w:line="288" w:lineRule="auto"/>
              <w:jc w:val="center"/>
              <w:rPr>
                <w:rFonts w:eastAsiaTheme="minorEastAsia"/>
                <w:szCs w:val="21"/>
              </w:rPr>
            </w:pPr>
            <w:r>
              <w:rPr>
                <w:rFonts w:hint="eastAsia" w:eastAsiaTheme="minorEastAsia"/>
                <w:szCs w:val="21"/>
              </w:rPr>
              <w:t>0.047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trPr>
        <w:tc>
          <w:tcPr>
            <w:tcW w:w="529" w:type="pct"/>
            <w:vMerge w:val="continue"/>
            <w:vAlign w:val="center"/>
          </w:tcPr>
          <w:p>
            <w:pPr>
              <w:spacing w:line="288" w:lineRule="auto"/>
              <w:jc w:val="center"/>
              <w:rPr>
                <w:rFonts w:eastAsiaTheme="minorEastAsia"/>
                <w:szCs w:val="21"/>
              </w:rPr>
            </w:pPr>
          </w:p>
        </w:tc>
        <w:tc>
          <w:tcPr>
            <w:tcW w:w="598" w:type="pct"/>
            <w:vMerge w:val="continue"/>
            <w:vAlign w:val="center"/>
          </w:tcPr>
          <w:p>
            <w:pPr>
              <w:spacing w:line="288" w:lineRule="auto"/>
              <w:jc w:val="center"/>
              <w:rPr>
                <w:rFonts w:hAnsiTheme="minorEastAsia" w:eastAsiaTheme="minorEastAsia"/>
                <w:szCs w:val="21"/>
              </w:rPr>
            </w:pPr>
          </w:p>
        </w:tc>
        <w:tc>
          <w:tcPr>
            <w:tcW w:w="612" w:type="pct"/>
            <w:vMerge w:val="continue"/>
            <w:vAlign w:val="center"/>
          </w:tcPr>
          <w:p>
            <w:pPr>
              <w:spacing w:line="288" w:lineRule="auto"/>
              <w:jc w:val="center"/>
              <w:rPr>
                <w:rFonts w:hAnsiTheme="minorEastAsia" w:eastAsiaTheme="minorEastAsia"/>
                <w:szCs w:val="21"/>
              </w:rPr>
            </w:pPr>
          </w:p>
        </w:tc>
        <w:tc>
          <w:tcPr>
            <w:tcW w:w="686" w:type="pct"/>
            <w:vAlign w:val="center"/>
          </w:tcPr>
          <w:p>
            <w:pPr>
              <w:spacing w:line="288" w:lineRule="auto"/>
              <w:jc w:val="center"/>
              <w:rPr>
                <w:rFonts w:eastAsiaTheme="minorEastAsia"/>
                <w:sz w:val="18"/>
                <w:szCs w:val="18"/>
              </w:rPr>
            </w:pPr>
            <w:r>
              <w:rPr>
                <w:rFonts w:hint="eastAsia" w:eastAsiaTheme="minorEastAsia"/>
                <w:sz w:val="18"/>
                <w:szCs w:val="18"/>
              </w:rPr>
              <w:t>SO</w:t>
            </w:r>
            <w:r>
              <w:rPr>
                <w:rFonts w:hint="eastAsia" w:eastAsiaTheme="minorEastAsia"/>
                <w:sz w:val="18"/>
                <w:szCs w:val="18"/>
                <w:vertAlign w:val="subscript"/>
              </w:rPr>
              <w:t>2</w:t>
            </w:r>
          </w:p>
        </w:tc>
        <w:tc>
          <w:tcPr>
            <w:tcW w:w="916" w:type="pct"/>
            <w:vAlign w:val="center"/>
          </w:tcPr>
          <w:p>
            <w:pPr>
              <w:spacing w:line="288" w:lineRule="auto"/>
              <w:jc w:val="center"/>
              <w:rPr>
                <w:rFonts w:hAnsiTheme="minorEastAsia" w:eastAsiaTheme="minorEastAsia"/>
                <w:szCs w:val="21"/>
              </w:rPr>
            </w:pPr>
            <w:r>
              <w:rPr>
                <w:rFonts w:hint="eastAsia" w:hAnsiTheme="minorEastAsia" w:eastAsiaTheme="minorEastAsia"/>
                <w:szCs w:val="21"/>
              </w:rPr>
              <w:t>35</w:t>
            </w:r>
          </w:p>
        </w:tc>
        <w:tc>
          <w:tcPr>
            <w:tcW w:w="839" w:type="pct"/>
            <w:vAlign w:val="center"/>
          </w:tcPr>
          <w:p>
            <w:pPr>
              <w:spacing w:line="288" w:lineRule="auto"/>
              <w:jc w:val="center"/>
              <w:rPr>
                <w:rFonts w:eastAsiaTheme="minorEastAsia"/>
                <w:szCs w:val="21"/>
              </w:rPr>
            </w:pPr>
            <w:r>
              <w:rPr>
                <w:rFonts w:hint="eastAsia" w:eastAsiaTheme="minorEastAsia"/>
                <w:szCs w:val="21"/>
              </w:rPr>
              <w:t>0.33</w:t>
            </w:r>
          </w:p>
        </w:tc>
        <w:tc>
          <w:tcPr>
            <w:tcW w:w="820" w:type="pct"/>
            <w:vAlign w:val="center"/>
          </w:tcPr>
          <w:p>
            <w:pPr>
              <w:spacing w:line="288" w:lineRule="auto"/>
              <w:jc w:val="center"/>
              <w:rPr>
                <w:rFonts w:eastAsiaTheme="minorEastAsia"/>
                <w:szCs w:val="21"/>
              </w:rPr>
            </w:pPr>
            <w:r>
              <w:rPr>
                <w:rFonts w:hint="eastAsia" w:eastAsiaTheme="minorEastAsia"/>
                <w:szCs w:val="21"/>
              </w:rPr>
              <w:t>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7" w:hRule="atLeast"/>
        </w:trPr>
        <w:tc>
          <w:tcPr>
            <w:tcW w:w="529" w:type="pct"/>
            <w:vMerge w:val="continue"/>
            <w:vAlign w:val="center"/>
          </w:tcPr>
          <w:p>
            <w:pPr>
              <w:spacing w:line="288" w:lineRule="auto"/>
              <w:jc w:val="center"/>
              <w:rPr>
                <w:rFonts w:eastAsiaTheme="minorEastAsia"/>
                <w:szCs w:val="21"/>
              </w:rPr>
            </w:pPr>
          </w:p>
        </w:tc>
        <w:tc>
          <w:tcPr>
            <w:tcW w:w="598" w:type="pct"/>
            <w:vMerge w:val="continue"/>
            <w:vAlign w:val="center"/>
          </w:tcPr>
          <w:p>
            <w:pPr>
              <w:spacing w:line="288" w:lineRule="auto"/>
              <w:jc w:val="center"/>
              <w:rPr>
                <w:rFonts w:hAnsiTheme="minorEastAsia" w:eastAsiaTheme="minorEastAsia"/>
                <w:szCs w:val="21"/>
              </w:rPr>
            </w:pPr>
          </w:p>
        </w:tc>
        <w:tc>
          <w:tcPr>
            <w:tcW w:w="612" w:type="pct"/>
            <w:vMerge w:val="continue"/>
            <w:vAlign w:val="center"/>
          </w:tcPr>
          <w:p>
            <w:pPr>
              <w:spacing w:line="288" w:lineRule="auto"/>
              <w:jc w:val="center"/>
              <w:rPr>
                <w:rFonts w:hAnsiTheme="minorEastAsia" w:eastAsiaTheme="minorEastAsia"/>
                <w:szCs w:val="21"/>
              </w:rPr>
            </w:pPr>
          </w:p>
        </w:tc>
        <w:tc>
          <w:tcPr>
            <w:tcW w:w="686" w:type="pct"/>
            <w:vAlign w:val="center"/>
          </w:tcPr>
          <w:p>
            <w:pPr>
              <w:spacing w:line="288" w:lineRule="auto"/>
              <w:jc w:val="center"/>
              <w:rPr>
                <w:rFonts w:eastAsiaTheme="minorEastAsia"/>
                <w:sz w:val="18"/>
                <w:szCs w:val="18"/>
              </w:rPr>
            </w:pPr>
            <w:r>
              <w:rPr>
                <w:rFonts w:hint="eastAsia" w:eastAsiaTheme="minorEastAsia"/>
                <w:sz w:val="18"/>
                <w:szCs w:val="18"/>
              </w:rPr>
              <w:t>NO</w:t>
            </w:r>
            <w:r>
              <w:rPr>
                <w:rFonts w:hint="eastAsia" w:eastAsiaTheme="minorEastAsia"/>
                <w:sz w:val="18"/>
                <w:szCs w:val="18"/>
                <w:vertAlign w:val="subscript"/>
              </w:rPr>
              <w:t>X</w:t>
            </w:r>
          </w:p>
        </w:tc>
        <w:tc>
          <w:tcPr>
            <w:tcW w:w="916" w:type="pct"/>
            <w:vAlign w:val="center"/>
          </w:tcPr>
          <w:p>
            <w:pPr>
              <w:spacing w:line="288" w:lineRule="auto"/>
              <w:jc w:val="center"/>
              <w:rPr>
                <w:rFonts w:hAnsiTheme="minorEastAsia" w:eastAsiaTheme="minorEastAsia"/>
                <w:szCs w:val="21"/>
              </w:rPr>
            </w:pPr>
            <w:r>
              <w:rPr>
                <w:rFonts w:hint="eastAsia" w:hAnsiTheme="minorEastAsia" w:eastAsiaTheme="minorEastAsia"/>
                <w:szCs w:val="21"/>
              </w:rPr>
              <w:t>50</w:t>
            </w:r>
          </w:p>
        </w:tc>
        <w:tc>
          <w:tcPr>
            <w:tcW w:w="839" w:type="pct"/>
            <w:vAlign w:val="center"/>
          </w:tcPr>
          <w:p>
            <w:pPr>
              <w:spacing w:line="288" w:lineRule="auto"/>
              <w:jc w:val="center"/>
              <w:rPr>
                <w:rFonts w:eastAsiaTheme="minorEastAsia"/>
                <w:szCs w:val="21"/>
              </w:rPr>
            </w:pPr>
            <w:r>
              <w:rPr>
                <w:rFonts w:hint="eastAsia" w:eastAsiaTheme="minorEastAsia"/>
                <w:szCs w:val="21"/>
              </w:rPr>
              <w:t>0.47</w:t>
            </w:r>
          </w:p>
        </w:tc>
        <w:tc>
          <w:tcPr>
            <w:tcW w:w="820" w:type="pct"/>
            <w:vAlign w:val="center"/>
          </w:tcPr>
          <w:p>
            <w:pPr>
              <w:spacing w:line="288" w:lineRule="auto"/>
              <w:jc w:val="center"/>
              <w:rPr>
                <w:rFonts w:eastAsiaTheme="minorEastAsia"/>
                <w:szCs w:val="21"/>
              </w:rPr>
            </w:pPr>
            <w:r>
              <w:rPr>
                <w:rFonts w:hint="eastAsia" w:eastAsiaTheme="minorEastAsia"/>
                <w:szCs w:val="21"/>
              </w:rPr>
              <w:t>0.47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7" w:hRule="atLeast"/>
        </w:trPr>
        <w:tc>
          <w:tcPr>
            <w:tcW w:w="529" w:type="pct"/>
            <w:vMerge w:val="restart"/>
            <w:vAlign w:val="center"/>
          </w:tcPr>
          <w:p>
            <w:pPr>
              <w:spacing w:line="288" w:lineRule="auto"/>
              <w:jc w:val="center"/>
              <w:rPr>
                <w:rFonts w:eastAsiaTheme="minorEastAsia"/>
                <w:szCs w:val="21"/>
              </w:rPr>
            </w:pPr>
            <w:r>
              <w:rPr>
                <w:rFonts w:hint="eastAsia" w:eastAsiaTheme="minorEastAsia"/>
                <w:szCs w:val="21"/>
              </w:rPr>
              <w:t>2</w:t>
            </w:r>
          </w:p>
        </w:tc>
        <w:tc>
          <w:tcPr>
            <w:tcW w:w="598" w:type="pct"/>
            <w:vMerge w:val="restart"/>
            <w:vAlign w:val="center"/>
          </w:tcPr>
          <w:p>
            <w:pPr>
              <w:spacing w:line="288" w:lineRule="auto"/>
              <w:jc w:val="center"/>
              <w:rPr>
                <w:rFonts w:hAnsiTheme="minorEastAsia" w:eastAsiaTheme="minorEastAsia"/>
                <w:szCs w:val="21"/>
              </w:rPr>
            </w:pPr>
            <w:r>
              <w:rPr>
                <w:rFonts w:hint="eastAsia" w:hAnsiTheme="minorEastAsia" w:eastAsiaTheme="minorEastAsia"/>
                <w:szCs w:val="21"/>
              </w:rPr>
              <w:t>2#锅炉</w:t>
            </w:r>
          </w:p>
          <w:p>
            <w:pPr>
              <w:spacing w:line="288" w:lineRule="auto"/>
              <w:jc w:val="center"/>
              <w:rPr>
                <w:rFonts w:hAnsiTheme="minorEastAsia" w:eastAsiaTheme="minorEastAsia"/>
                <w:szCs w:val="21"/>
              </w:rPr>
            </w:pPr>
            <w:r>
              <w:rPr>
                <w:rFonts w:hint="eastAsia" w:hAnsiTheme="minorEastAsia" w:eastAsiaTheme="minorEastAsia"/>
                <w:szCs w:val="21"/>
              </w:rPr>
              <w:t>DA002</w:t>
            </w:r>
          </w:p>
        </w:tc>
        <w:tc>
          <w:tcPr>
            <w:tcW w:w="612" w:type="pct"/>
            <w:vMerge w:val="restart"/>
            <w:vAlign w:val="center"/>
          </w:tcPr>
          <w:p>
            <w:pPr>
              <w:spacing w:line="288" w:lineRule="auto"/>
              <w:jc w:val="center"/>
              <w:rPr>
                <w:rFonts w:hAnsiTheme="minorEastAsia" w:eastAsiaTheme="minorEastAsia"/>
                <w:szCs w:val="21"/>
              </w:rPr>
            </w:pPr>
            <w:r>
              <w:rPr>
                <w:rFonts w:hint="eastAsia" w:hAnsiTheme="minorEastAsia" w:eastAsiaTheme="minorEastAsia"/>
                <w:szCs w:val="21"/>
              </w:rPr>
              <w:t>采暖期</w:t>
            </w:r>
          </w:p>
        </w:tc>
        <w:tc>
          <w:tcPr>
            <w:tcW w:w="686" w:type="pct"/>
            <w:vAlign w:val="center"/>
          </w:tcPr>
          <w:p>
            <w:pPr>
              <w:spacing w:line="288" w:lineRule="auto"/>
              <w:jc w:val="center"/>
              <w:rPr>
                <w:rFonts w:eastAsiaTheme="minorEastAsia"/>
                <w:sz w:val="18"/>
                <w:szCs w:val="18"/>
                <w:vertAlign w:val="subscript"/>
              </w:rPr>
            </w:pPr>
            <w:r>
              <w:rPr>
                <w:rFonts w:hint="eastAsia" w:eastAsiaTheme="minorEastAsia"/>
                <w:sz w:val="18"/>
                <w:szCs w:val="18"/>
              </w:rPr>
              <w:t>颗粒物</w:t>
            </w:r>
          </w:p>
        </w:tc>
        <w:tc>
          <w:tcPr>
            <w:tcW w:w="916" w:type="pct"/>
            <w:vAlign w:val="center"/>
          </w:tcPr>
          <w:p>
            <w:pPr>
              <w:spacing w:line="288" w:lineRule="auto"/>
              <w:jc w:val="center"/>
              <w:rPr>
                <w:rFonts w:eastAsiaTheme="minorEastAsia"/>
                <w:szCs w:val="21"/>
              </w:rPr>
            </w:pPr>
            <w:r>
              <w:rPr>
                <w:rFonts w:hint="eastAsia" w:eastAsiaTheme="minorEastAsia"/>
                <w:szCs w:val="21"/>
              </w:rPr>
              <w:t>5</w:t>
            </w:r>
          </w:p>
        </w:tc>
        <w:tc>
          <w:tcPr>
            <w:tcW w:w="839" w:type="pct"/>
            <w:vAlign w:val="center"/>
          </w:tcPr>
          <w:p>
            <w:pPr>
              <w:spacing w:line="288" w:lineRule="auto"/>
              <w:jc w:val="center"/>
              <w:rPr>
                <w:rFonts w:eastAsiaTheme="minorEastAsia"/>
                <w:szCs w:val="21"/>
              </w:rPr>
            </w:pPr>
            <w:r>
              <w:rPr>
                <w:rFonts w:hint="eastAsia" w:eastAsiaTheme="minorEastAsia"/>
                <w:szCs w:val="21"/>
              </w:rPr>
              <w:t>0.033</w:t>
            </w:r>
          </w:p>
        </w:tc>
        <w:tc>
          <w:tcPr>
            <w:tcW w:w="820" w:type="pct"/>
            <w:vAlign w:val="center"/>
          </w:tcPr>
          <w:p>
            <w:pPr>
              <w:spacing w:line="288" w:lineRule="auto"/>
              <w:jc w:val="center"/>
              <w:rPr>
                <w:rFonts w:eastAsiaTheme="minorEastAsia"/>
                <w:szCs w:val="21"/>
              </w:rPr>
            </w:pPr>
            <w:r>
              <w:rPr>
                <w:rFonts w:hint="eastAsia" w:eastAsiaTheme="minorEastAsia"/>
                <w:szCs w:val="21"/>
              </w:rPr>
              <w:t>0.079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trPr>
        <w:tc>
          <w:tcPr>
            <w:tcW w:w="529" w:type="pct"/>
            <w:vMerge w:val="continue"/>
            <w:vAlign w:val="center"/>
          </w:tcPr>
          <w:p>
            <w:pPr>
              <w:spacing w:line="288" w:lineRule="auto"/>
              <w:jc w:val="center"/>
              <w:rPr>
                <w:rFonts w:eastAsiaTheme="minorEastAsia"/>
                <w:szCs w:val="21"/>
              </w:rPr>
            </w:pPr>
          </w:p>
        </w:tc>
        <w:tc>
          <w:tcPr>
            <w:tcW w:w="598" w:type="pct"/>
            <w:vMerge w:val="continue"/>
            <w:vAlign w:val="center"/>
          </w:tcPr>
          <w:p>
            <w:pPr>
              <w:spacing w:line="288" w:lineRule="auto"/>
              <w:jc w:val="center"/>
              <w:rPr>
                <w:rFonts w:hAnsiTheme="minorEastAsia" w:eastAsiaTheme="minorEastAsia"/>
                <w:szCs w:val="21"/>
              </w:rPr>
            </w:pPr>
          </w:p>
        </w:tc>
        <w:tc>
          <w:tcPr>
            <w:tcW w:w="612" w:type="pct"/>
            <w:vMerge w:val="continue"/>
            <w:vAlign w:val="center"/>
          </w:tcPr>
          <w:p>
            <w:pPr>
              <w:spacing w:line="288" w:lineRule="auto"/>
              <w:jc w:val="center"/>
              <w:rPr>
                <w:rFonts w:hAnsiTheme="minorEastAsia" w:eastAsiaTheme="minorEastAsia"/>
                <w:szCs w:val="21"/>
              </w:rPr>
            </w:pPr>
          </w:p>
        </w:tc>
        <w:tc>
          <w:tcPr>
            <w:tcW w:w="686" w:type="pct"/>
            <w:vAlign w:val="center"/>
          </w:tcPr>
          <w:p>
            <w:pPr>
              <w:spacing w:line="288" w:lineRule="auto"/>
              <w:jc w:val="center"/>
              <w:rPr>
                <w:rFonts w:eastAsiaTheme="minorEastAsia"/>
                <w:sz w:val="18"/>
                <w:szCs w:val="18"/>
              </w:rPr>
            </w:pPr>
            <w:r>
              <w:rPr>
                <w:rFonts w:hint="eastAsia" w:eastAsiaTheme="minorEastAsia"/>
                <w:sz w:val="18"/>
                <w:szCs w:val="18"/>
              </w:rPr>
              <w:t>SO</w:t>
            </w:r>
            <w:r>
              <w:rPr>
                <w:rFonts w:hint="eastAsia" w:eastAsiaTheme="minorEastAsia"/>
                <w:sz w:val="18"/>
                <w:szCs w:val="18"/>
                <w:vertAlign w:val="subscript"/>
              </w:rPr>
              <w:t>2</w:t>
            </w:r>
          </w:p>
        </w:tc>
        <w:tc>
          <w:tcPr>
            <w:tcW w:w="916" w:type="pct"/>
            <w:vAlign w:val="center"/>
          </w:tcPr>
          <w:p>
            <w:pPr>
              <w:spacing w:line="288" w:lineRule="auto"/>
              <w:jc w:val="center"/>
              <w:rPr>
                <w:rFonts w:hAnsiTheme="minorEastAsia" w:eastAsiaTheme="minorEastAsia"/>
                <w:szCs w:val="21"/>
              </w:rPr>
            </w:pPr>
            <w:r>
              <w:rPr>
                <w:rFonts w:hint="eastAsia" w:hAnsiTheme="minorEastAsia" w:eastAsiaTheme="minorEastAsia"/>
                <w:szCs w:val="21"/>
              </w:rPr>
              <w:t>35</w:t>
            </w:r>
          </w:p>
        </w:tc>
        <w:tc>
          <w:tcPr>
            <w:tcW w:w="839" w:type="pct"/>
            <w:vAlign w:val="center"/>
          </w:tcPr>
          <w:p>
            <w:pPr>
              <w:spacing w:line="288" w:lineRule="auto"/>
              <w:jc w:val="center"/>
              <w:rPr>
                <w:rFonts w:eastAsiaTheme="minorEastAsia"/>
                <w:szCs w:val="21"/>
              </w:rPr>
            </w:pPr>
            <w:r>
              <w:rPr>
                <w:rFonts w:hint="eastAsia" w:eastAsiaTheme="minorEastAsia"/>
                <w:szCs w:val="21"/>
              </w:rPr>
              <w:t>0.229</w:t>
            </w:r>
          </w:p>
        </w:tc>
        <w:tc>
          <w:tcPr>
            <w:tcW w:w="820" w:type="pct"/>
            <w:vAlign w:val="center"/>
          </w:tcPr>
          <w:p>
            <w:pPr>
              <w:spacing w:line="288" w:lineRule="auto"/>
              <w:jc w:val="center"/>
              <w:rPr>
                <w:rFonts w:eastAsiaTheme="minorEastAsia"/>
                <w:szCs w:val="21"/>
              </w:rPr>
            </w:pPr>
            <w:r>
              <w:rPr>
                <w:rFonts w:hint="eastAsia" w:eastAsiaTheme="minorEastAsia"/>
                <w:szCs w:val="21"/>
              </w:rPr>
              <w:t>0.55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7" w:hRule="atLeast"/>
        </w:trPr>
        <w:tc>
          <w:tcPr>
            <w:tcW w:w="529" w:type="pct"/>
            <w:vMerge w:val="continue"/>
            <w:vAlign w:val="center"/>
          </w:tcPr>
          <w:p>
            <w:pPr>
              <w:spacing w:line="288" w:lineRule="auto"/>
              <w:jc w:val="center"/>
              <w:rPr>
                <w:rFonts w:eastAsiaTheme="minorEastAsia"/>
                <w:szCs w:val="21"/>
              </w:rPr>
            </w:pPr>
          </w:p>
        </w:tc>
        <w:tc>
          <w:tcPr>
            <w:tcW w:w="598" w:type="pct"/>
            <w:vMerge w:val="continue"/>
            <w:vAlign w:val="center"/>
          </w:tcPr>
          <w:p>
            <w:pPr>
              <w:spacing w:line="288" w:lineRule="auto"/>
              <w:jc w:val="center"/>
              <w:rPr>
                <w:rFonts w:hAnsiTheme="minorEastAsia" w:eastAsiaTheme="minorEastAsia"/>
                <w:szCs w:val="21"/>
              </w:rPr>
            </w:pPr>
          </w:p>
        </w:tc>
        <w:tc>
          <w:tcPr>
            <w:tcW w:w="612" w:type="pct"/>
            <w:vMerge w:val="continue"/>
            <w:vAlign w:val="center"/>
          </w:tcPr>
          <w:p>
            <w:pPr>
              <w:spacing w:line="288" w:lineRule="auto"/>
              <w:jc w:val="center"/>
              <w:rPr>
                <w:rFonts w:hAnsiTheme="minorEastAsia" w:eastAsiaTheme="minorEastAsia"/>
                <w:szCs w:val="21"/>
              </w:rPr>
            </w:pPr>
          </w:p>
        </w:tc>
        <w:tc>
          <w:tcPr>
            <w:tcW w:w="686" w:type="pct"/>
            <w:vAlign w:val="center"/>
          </w:tcPr>
          <w:p>
            <w:pPr>
              <w:spacing w:line="288" w:lineRule="auto"/>
              <w:jc w:val="center"/>
              <w:rPr>
                <w:rFonts w:eastAsiaTheme="minorEastAsia"/>
                <w:sz w:val="18"/>
                <w:szCs w:val="18"/>
              </w:rPr>
            </w:pPr>
            <w:r>
              <w:rPr>
                <w:rFonts w:hint="eastAsia" w:eastAsiaTheme="minorEastAsia"/>
                <w:sz w:val="18"/>
                <w:szCs w:val="18"/>
              </w:rPr>
              <w:t>NO</w:t>
            </w:r>
            <w:r>
              <w:rPr>
                <w:rFonts w:hint="eastAsia" w:eastAsiaTheme="minorEastAsia"/>
                <w:sz w:val="18"/>
                <w:szCs w:val="18"/>
                <w:vertAlign w:val="subscript"/>
              </w:rPr>
              <w:t>X</w:t>
            </w:r>
          </w:p>
        </w:tc>
        <w:tc>
          <w:tcPr>
            <w:tcW w:w="916" w:type="pct"/>
            <w:vAlign w:val="center"/>
          </w:tcPr>
          <w:p>
            <w:pPr>
              <w:spacing w:line="288" w:lineRule="auto"/>
              <w:jc w:val="center"/>
              <w:rPr>
                <w:rFonts w:hAnsiTheme="minorEastAsia" w:eastAsiaTheme="minorEastAsia"/>
                <w:szCs w:val="21"/>
              </w:rPr>
            </w:pPr>
            <w:r>
              <w:rPr>
                <w:rFonts w:hint="eastAsia" w:hAnsiTheme="minorEastAsia" w:eastAsiaTheme="minorEastAsia"/>
                <w:szCs w:val="21"/>
              </w:rPr>
              <w:t>50</w:t>
            </w:r>
          </w:p>
        </w:tc>
        <w:tc>
          <w:tcPr>
            <w:tcW w:w="839" w:type="pct"/>
            <w:vAlign w:val="center"/>
          </w:tcPr>
          <w:p>
            <w:pPr>
              <w:spacing w:line="288" w:lineRule="auto"/>
              <w:jc w:val="center"/>
              <w:rPr>
                <w:rFonts w:eastAsiaTheme="minorEastAsia"/>
                <w:szCs w:val="21"/>
              </w:rPr>
            </w:pPr>
            <w:r>
              <w:rPr>
                <w:rFonts w:hint="eastAsia" w:eastAsiaTheme="minorEastAsia"/>
                <w:szCs w:val="21"/>
              </w:rPr>
              <w:t>0.326</w:t>
            </w:r>
          </w:p>
        </w:tc>
        <w:tc>
          <w:tcPr>
            <w:tcW w:w="820" w:type="pct"/>
            <w:vAlign w:val="center"/>
          </w:tcPr>
          <w:p>
            <w:pPr>
              <w:spacing w:line="288" w:lineRule="auto"/>
              <w:jc w:val="center"/>
              <w:rPr>
                <w:rFonts w:eastAsiaTheme="minorEastAsia"/>
                <w:szCs w:val="21"/>
              </w:rPr>
            </w:pPr>
            <w:r>
              <w:rPr>
                <w:rFonts w:hint="eastAsia" w:eastAsiaTheme="minorEastAsia"/>
                <w:szCs w:val="21"/>
              </w:rPr>
              <w:t>0.79</w:t>
            </w:r>
          </w:p>
        </w:tc>
      </w:tr>
    </w:tbl>
    <w:p>
      <w:pPr>
        <w:spacing w:line="360" w:lineRule="auto"/>
        <w:outlineLvl w:val="3"/>
        <w:rPr>
          <w:rFonts w:eastAsiaTheme="minorEastAsia"/>
          <w:b/>
          <w:sz w:val="24"/>
        </w:rPr>
      </w:pPr>
      <w:r>
        <w:rPr>
          <w:rFonts w:eastAsiaTheme="minorEastAsia"/>
          <w:b/>
          <w:sz w:val="24"/>
        </w:rPr>
        <w:t>5.2.2.2</w:t>
      </w:r>
      <w:r>
        <w:rPr>
          <w:rFonts w:hAnsiTheme="minorEastAsia" w:eastAsiaTheme="minorEastAsia"/>
          <w:b/>
          <w:sz w:val="24"/>
        </w:rPr>
        <w:t>环境空气影响评价结论</w:t>
      </w:r>
    </w:p>
    <w:p>
      <w:pPr>
        <w:pStyle w:val="56"/>
        <w:snapToGrid/>
        <w:spacing w:before="0" w:after="0" w:line="360" w:lineRule="auto"/>
        <w:ind w:firstLine="480"/>
        <w:rPr>
          <w:rFonts w:eastAsiaTheme="minorEastAsia"/>
        </w:rPr>
      </w:pPr>
      <w:r>
        <w:rPr>
          <w:rFonts w:eastAsiaTheme="minorEastAsia"/>
        </w:rPr>
        <w:t>1</w:t>
      </w:r>
      <w:r>
        <w:rPr>
          <w:rFonts w:hAnsiTheme="minorEastAsia" w:eastAsiaTheme="minorEastAsia"/>
        </w:rPr>
        <w:t>、污染源的排放源强与排放方式</w:t>
      </w:r>
    </w:p>
    <w:p>
      <w:pPr>
        <w:pStyle w:val="56"/>
        <w:snapToGrid/>
        <w:spacing w:before="0" w:after="0" w:line="360" w:lineRule="auto"/>
        <w:ind w:firstLine="480"/>
        <w:rPr>
          <w:rFonts w:hAnsiTheme="minorEastAsia" w:eastAsiaTheme="minorEastAsia"/>
        </w:rPr>
      </w:pPr>
      <w:r>
        <w:rPr>
          <w:rFonts w:hAnsiTheme="minorEastAsia" w:eastAsiaTheme="minorEastAsia"/>
        </w:rPr>
        <w:t>本次</w:t>
      </w:r>
      <w:r>
        <w:rPr>
          <w:rFonts w:hint="eastAsia" w:hAnsiTheme="minorEastAsia" w:eastAsiaTheme="minorEastAsia"/>
        </w:rPr>
        <w:t>变更</w:t>
      </w:r>
      <w:r>
        <w:rPr>
          <w:rFonts w:hAnsiTheme="minorEastAsia" w:eastAsiaTheme="minorEastAsia"/>
        </w:rPr>
        <w:t>工程污染源排放主要为</w:t>
      </w:r>
      <w:r>
        <w:rPr>
          <w:rFonts w:hint="eastAsia" w:hAnsiTheme="minorEastAsia" w:eastAsiaTheme="minorEastAsia"/>
        </w:rPr>
        <w:t>锅炉污染物的</w:t>
      </w:r>
      <w:r>
        <w:rPr>
          <w:rFonts w:hAnsiTheme="minorEastAsia" w:eastAsiaTheme="minorEastAsia"/>
        </w:rPr>
        <w:t>排放，污染源的排放源强和排放方式直接决定了对周边环境的污染程度。排放高度越高影响的距离越远，排放强度越大污染就越严重，由大气预测结果可知，本次</w:t>
      </w:r>
      <w:r>
        <w:rPr>
          <w:rFonts w:hint="eastAsia" w:hAnsiTheme="minorEastAsia" w:eastAsiaTheme="minorEastAsia"/>
        </w:rPr>
        <w:t>变更</w:t>
      </w:r>
      <w:r>
        <w:rPr>
          <w:rFonts w:hAnsiTheme="minorEastAsia" w:eastAsiaTheme="minorEastAsia"/>
        </w:rPr>
        <w:t>工程</w:t>
      </w:r>
      <w:r>
        <w:rPr>
          <w:rFonts w:hint="eastAsia" w:hAnsiTheme="minorEastAsia" w:eastAsiaTheme="minorEastAsia"/>
        </w:rPr>
        <w:t>锅炉更换为低氮燃烧锅炉</w:t>
      </w:r>
      <w:r>
        <w:rPr>
          <w:rFonts w:hAnsiTheme="minorEastAsia" w:eastAsiaTheme="minorEastAsia"/>
        </w:rPr>
        <w:t>后，预测结果可满足环境空气质量标准要求，对环境影响较小。</w:t>
      </w:r>
    </w:p>
    <w:p>
      <w:pPr>
        <w:pStyle w:val="56"/>
        <w:snapToGrid/>
        <w:spacing w:before="0" w:after="0" w:line="360" w:lineRule="auto"/>
        <w:ind w:firstLine="480"/>
        <w:rPr>
          <w:rFonts w:hAnsiTheme="minorEastAsia" w:eastAsiaTheme="minorEastAsia"/>
        </w:rPr>
      </w:pPr>
      <w:r>
        <w:rPr>
          <w:rFonts w:hint="eastAsia" w:hAnsiTheme="minorEastAsia" w:eastAsiaTheme="minorEastAsia"/>
        </w:rPr>
        <w:t>变更前本工程生产和生活供暖采用燃煤锅炉，设置2台10吨和1台2吨的燃煤蒸汽锅炉</w:t>
      </w:r>
      <w:r>
        <w:rPr>
          <w:rFonts w:hAnsiTheme="minorEastAsia" w:eastAsiaTheme="minorEastAsia"/>
        </w:rPr>
        <w:t>，</w:t>
      </w:r>
      <w:r>
        <w:rPr>
          <w:rFonts w:hint="eastAsia" w:hAnsiTheme="minorEastAsia" w:eastAsiaTheme="minorEastAsia"/>
        </w:rPr>
        <w:t>燃料采用本矿5号煤，锅炉烟气采用高效湿式脱硫除尘器，采用措施后，烟尘</w:t>
      </w:r>
      <w:r>
        <w:rPr>
          <w:rFonts w:hAnsiTheme="minorEastAsia" w:eastAsiaTheme="minorEastAsia"/>
        </w:rPr>
        <w:t>排放</w:t>
      </w:r>
      <w:r>
        <w:rPr>
          <w:rFonts w:hint="eastAsia" w:hAnsiTheme="minorEastAsia" w:eastAsiaTheme="minorEastAsia"/>
        </w:rPr>
        <w:t>浓度90/80mg/m</w:t>
      </w:r>
      <w:r>
        <w:rPr>
          <w:rFonts w:hint="eastAsia" w:hAnsiTheme="minorEastAsia" w:eastAsiaTheme="minorEastAsia"/>
          <w:vertAlign w:val="superscript"/>
        </w:rPr>
        <w:t>3</w:t>
      </w:r>
      <w:r>
        <w:rPr>
          <w:rFonts w:hAnsiTheme="minorEastAsia" w:eastAsiaTheme="minorEastAsia"/>
        </w:rPr>
        <w:t>，</w:t>
      </w:r>
      <w:r>
        <w:rPr>
          <w:rFonts w:hint="eastAsia" w:hAnsiTheme="minorEastAsia" w:eastAsiaTheme="minorEastAsia"/>
        </w:rPr>
        <w:t>排放量8.09t/a；</w:t>
      </w:r>
      <w:r>
        <w:rPr>
          <w:rFonts w:hAnsiTheme="minorEastAsia" w:eastAsiaTheme="minorEastAsia"/>
        </w:rPr>
        <w:t>SO</w:t>
      </w:r>
      <w:r>
        <w:rPr>
          <w:rFonts w:hAnsiTheme="minorEastAsia" w:eastAsiaTheme="minorEastAsia"/>
          <w:vertAlign w:val="subscript"/>
        </w:rPr>
        <w:t>2</w:t>
      </w:r>
      <w:r>
        <w:rPr>
          <w:rFonts w:hAnsiTheme="minorEastAsia" w:eastAsiaTheme="minorEastAsia"/>
        </w:rPr>
        <w:t>排放</w:t>
      </w:r>
      <w:r>
        <w:rPr>
          <w:rFonts w:hint="eastAsia" w:hAnsiTheme="minorEastAsia" w:eastAsiaTheme="minorEastAsia"/>
        </w:rPr>
        <w:t>浓度211mg/m</w:t>
      </w:r>
      <w:r>
        <w:rPr>
          <w:rFonts w:hint="eastAsia" w:hAnsiTheme="minorEastAsia" w:eastAsiaTheme="minorEastAsia"/>
          <w:vertAlign w:val="superscript"/>
        </w:rPr>
        <w:t>3</w:t>
      </w:r>
      <w:r>
        <w:rPr>
          <w:rFonts w:hint="eastAsia" w:hAnsiTheme="minorEastAsia" w:eastAsiaTheme="minorEastAsia"/>
        </w:rPr>
        <w:t>，排放量19.41t/a；N</w:t>
      </w:r>
      <w:r>
        <w:rPr>
          <w:rFonts w:hAnsiTheme="minorEastAsia" w:eastAsiaTheme="minorEastAsia"/>
        </w:rPr>
        <w:t>O</w:t>
      </w:r>
      <w:r>
        <w:rPr>
          <w:rFonts w:hint="eastAsia" w:hAnsiTheme="minorEastAsia" w:eastAsiaTheme="minorEastAsia"/>
          <w:vertAlign w:val="subscript"/>
        </w:rPr>
        <w:t>x</w:t>
      </w:r>
      <w:r>
        <w:rPr>
          <w:rFonts w:hAnsiTheme="minorEastAsia" w:eastAsiaTheme="minorEastAsia"/>
        </w:rPr>
        <w:t>排放</w:t>
      </w:r>
      <w:r>
        <w:rPr>
          <w:rFonts w:hint="eastAsia" w:hAnsiTheme="minorEastAsia" w:eastAsiaTheme="minorEastAsia"/>
        </w:rPr>
        <w:t>浓度225mg/m</w:t>
      </w:r>
      <w:r>
        <w:rPr>
          <w:rFonts w:hint="eastAsia" w:hAnsiTheme="minorEastAsia" w:eastAsiaTheme="minorEastAsia"/>
          <w:vertAlign w:val="superscript"/>
        </w:rPr>
        <w:t>3</w:t>
      </w:r>
      <w:r>
        <w:rPr>
          <w:rFonts w:hint="eastAsia" w:hAnsiTheme="minorEastAsia" w:eastAsiaTheme="minorEastAsia"/>
        </w:rPr>
        <w:t>，排放量20.68t/a</w:t>
      </w:r>
      <w:r>
        <w:rPr>
          <w:rFonts w:hAnsiTheme="minorEastAsia" w:eastAsiaTheme="minorEastAsia"/>
        </w:rPr>
        <w:t>。</w:t>
      </w:r>
      <w:r>
        <w:rPr>
          <w:rFonts w:hint="eastAsia" w:hAnsiTheme="minorEastAsia" w:eastAsiaTheme="minorEastAsia"/>
        </w:rPr>
        <w:t>变更后本工程锅炉由燃煤蒸汽锅炉改为超低氮燃气锅炉，烟尘排放浓度为5mg/m</w:t>
      </w:r>
      <w:r>
        <w:rPr>
          <w:rFonts w:hint="eastAsia" w:hAnsiTheme="minorEastAsia" w:eastAsiaTheme="minorEastAsia"/>
          <w:vertAlign w:val="superscript"/>
        </w:rPr>
        <w:t>3</w:t>
      </w:r>
      <w:r>
        <w:rPr>
          <w:rFonts w:hAnsiTheme="minorEastAsia" w:eastAsiaTheme="minorEastAsia"/>
        </w:rPr>
        <w:t>，</w:t>
      </w:r>
      <w:r>
        <w:rPr>
          <w:rFonts w:hint="eastAsia" w:hAnsiTheme="minorEastAsia" w:eastAsiaTheme="minorEastAsia"/>
        </w:rPr>
        <w:t>排放量0.205t/a；</w:t>
      </w:r>
      <w:r>
        <w:rPr>
          <w:rFonts w:hAnsiTheme="minorEastAsia" w:eastAsiaTheme="minorEastAsia"/>
        </w:rPr>
        <w:t>SO</w:t>
      </w:r>
      <w:r>
        <w:rPr>
          <w:rFonts w:hAnsiTheme="minorEastAsia" w:eastAsiaTheme="minorEastAsia"/>
          <w:vertAlign w:val="subscript"/>
        </w:rPr>
        <w:t>2</w:t>
      </w:r>
      <w:r>
        <w:rPr>
          <w:rFonts w:hAnsiTheme="minorEastAsia" w:eastAsiaTheme="minorEastAsia"/>
        </w:rPr>
        <w:t>排放</w:t>
      </w:r>
      <w:r>
        <w:rPr>
          <w:rFonts w:hint="eastAsia" w:hAnsiTheme="minorEastAsia" w:eastAsiaTheme="minorEastAsia"/>
        </w:rPr>
        <w:t>浓度35mg/m</w:t>
      </w:r>
      <w:r>
        <w:rPr>
          <w:rFonts w:hint="eastAsia" w:hAnsiTheme="minorEastAsia" w:eastAsiaTheme="minorEastAsia"/>
          <w:vertAlign w:val="superscript"/>
        </w:rPr>
        <w:t>3</w:t>
      </w:r>
      <w:r>
        <w:rPr>
          <w:rFonts w:hint="eastAsia" w:hAnsiTheme="minorEastAsia" w:eastAsiaTheme="minorEastAsia"/>
        </w:rPr>
        <w:t>，排放量1.43t/a；N</w:t>
      </w:r>
      <w:r>
        <w:rPr>
          <w:rFonts w:hAnsiTheme="minorEastAsia" w:eastAsiaTheme="minorEastAsia"/>
        </w:rPr>
        <w:t>O</w:t>
      </w:r>
      <w:r>
        <w:rPr>
          <w:rFonts w:hint="eastAsia" w:hAnsiTheme="minorEastAsia" w:eastAsiaTheme="minorEastAsia"/>
          <w:vertAlign w:val="subscript"/>
        </w:rPr>
        <w:t>x</w:t>
      </w:r>
      <w:r>
        <w:rPr>
          <w:rFonts w:hAnsiTheme="minorEastAsia" w:eastAsiaTheme="minorEastAsia"/>
        </w:rPr>
        <w:t>排放</w:t>
      </w:r>
      <w:r>
        <w:rPr>
          <w:rFonts w:hint="eastAsia" w:hAnsiTheme="minorEastAsia" w:eastAsiaTheme="minorEastAsia"/>
        </w:rPr>
        <w:t>浓度50mg/m</w:t>
      </w:r>
      <w:r>
        <w:rPr>
          <w:rFonts w:hint="eastAsia" w:hAnsiTheme="minorEastAsia" w:eastAsiaTheme="minorEastAsia"/>
          <w:vertAlign w:val="superscript"/>
        </w:rPr>
        <w:t>3</w:t>
      </w:r>
      <w:r>
        <w:rPr>
          <w:rFonts w:hint="eastAsia" w:hAnsiTheme="minorEastAsia" w:eastAsiaTheme="minorEastAsia"/>
        </w:rPr>
        <w:t>，排放量2.05t/a。变更后个污染物</w:t>
      </w:r>
      <w:r>
        <w:rPr>
          <w:rFonts w:hAnsiTheme="minorEastAsia" w:eastAsiaTheme="minorEastAsia"/>
        </w:rPr>
        <w:t>排放强度减小，</w:t>
      </w:r>
      <w:r>
        <w:rPr>
          <w:rFonts w:hint="eastAsia" w:hAnsiTheme="minorEastAsia" w:eastAsiaTheme="minorEastAsia"/>
        </w:rPr>
        <w:t>经计算，烟尘排放量减少7.885t/a，</w:t>
      </w:r>
      <w:r>
        <w:rPr>
          <w:rFonts w:hAnsiTheme="minorEastAsia" w:eastAsiaTheme="minorEastAsia"/>
        </w:rPr>
        <w:t>SO</w:t>
      </w:r>
      <w:r>
        <w:rPr>
          <w:rFonts w:hAnsiTheme="minorEastAsia" w:eastAsiaTheme="minorEastAsia"/>
          <w:vertAlign w:val="subscript"/>
        </w:rPr>
        <w:t>2</w:t>
      </w:r>
      <w:r>
        <w:rPr>
          <w:rFonts w:hint="eastAsia" w:hAnsiTheme="minorEastAsia" w:eastAsiaTheme="minorEastAsia"/>
        </w:rPr>
        <w:t>排放量减少17.98t/a，N</w:t>
      </w:r>
      <w:r>
        <w:rPr>
          <w:rFonts w:hAnsiTheme="minorEastAsia" w:eastAsiaTheme="minorEastAsia"/>
        </w:rPr>
        <w:t>O</w:t>
      </w:r>
      <w:r>
        <w:rPr>
          <w:rFonts w:hint="eastAsia" w:hAnsiTheme="minorEastAsia" w:eastAsiaTheme="minorEastAsia"/>
          <w:vertAlign w:val="subscript"/>
        </w:rPr>
        <w:t>x</w:t>
      </w:r>
      <w:r>
        <w:rPr>
          <w:rFonts w:hint="eastAsia" w:hAnsiTheme="minorEastAsia" w:eastAsiaTheme="minorEastAsia"/>
        </w:rPr>
        <w:t>排放量减少18.63t/a。变更后对环境的污染影响也降到了最低。</w:t>
      </w:r>
    </w:p>
    <w:p>
      <w:pPr>
        <w:pStyle w:val="56"/>
        <w:snapToGrid/>
        <w:spacing w:before="0" w:after="0" w:line="360" w:lineRule="auto"/>
        <w:ind w:firstLine="480"/>
        <w:rPr>
          <w:rFonts w:eastAsiaTheme="minorEastAsia"/>
        </w:rPr>
      </w:pPr>
      <w:r>
        <w:rPr>
          <w:rFonts w:hint="eastAsia" w:eastAsiaTheme="minorEastAsia"/>
        </w:rPr>
        <w:t>2</w:t>
      </w:r>
      <w:r>
        <w:rPr>
          <w:rFonts w:hAnsiTheme="minorEastAsia" w:eastAsiaTheme="minorEastAsia"/>
        </w:rPr>
        <w:t>、大气环境防护距离设置</w:t>
      </w:r>
    </w:p>
    <w:p>
      <w:pPr>
        <w:pStyle w:val="56"/>
        <w:snapToGrid/>
        <w:spacing w:before="0" w:after="0" w:line="360" w:lineRule="auto"/>
        <w:ind w:firstLine="480"/>
        <w:rPr>
          <w:rFonts w:hAnsi="宋体"/>
        </w:rPr>
      </w:pPr>
      <w:r>
        <w:rPr>
          <w:rFonts w:hAnsi="宋体"/>
        </w:rPr>
        <w:t>本项目</w:t>
      </w:r>
      <w:r>
        <w:rPr>
          <w:rFonts w:hint="eastAsia" w:hAnsi="宋体"/>
        </w:rPr>
        <w:t>无需</w:t>
      </w:r>
      <w:r>
        <w:rPr>
          <w:rFonts w:hAnsi="宋体"/>
        </w:rPr>
        <w:t>设置大气防护距离。</w:t>
      </w:r>
    </w:p>
    <w:p>
      <w:pPr>
        <w:pStyle w:val="56"/>
        <w:snapToGrid/>
        <w:spacing w:before="0" w:after="0" w:line="360" w:lineRule="auto"/>
        <w:ind w:firstLine="480"/>
      </w:pPr>
      <w:r>
        <w:rPr>
          <w:rFonts w:hint="eastAsia"/>
        </w:rPr>
        <w:t>3</w:t>
      </w:r>
      <w:r>
        <w:rPr>
          <w:rFonts w:hAnsi="宋体"/>
        </w:rPr>
        <w:t>、污染排放总量控制指标的落实情况</w:t>
      </w:r>
    </w:p>
    <w:p>
      <w:pPr>
        <w:spacing w:line="360" w:lineRule="auto"/>
        <w:ind w:firstLine="480" w:firstLineChars="200"/>
        <w:rPr>
          <w:rFonts w:hAnsiTheme="minorEastAsia" w:eastAsiaTheme="minorEastAsia"/>
          <w:sz w:val="24"/>
        </w:rPr>
      </w:pPr>
      <w:r>
        <w:rPr>
          <w:rFonts w:hAnsiTheme="minorEastAsia" w:eastAsiaTheme="minorEastAsia"/>
          <w:sz w:val="24"/>
        </w:rPr>
        <w:t>本次</w:t>
      </w:r>
      <w:r>
        <w:rPr>
          <w:rFonts w:hint="eastAsia" w:hAnsiTheme="minorEastAsia" w:eastAsiaTheme="minorEastAsia"/>
          <w:sz w:val="24"/>
        </w:rPr>
        <w:t>变更</w:t>
      </w:r>
      <w:r>
        <w:rPr>
          <w:rFonts w:hAnsiTheme="minorEastAsia" w:eastAsiaTheme="minorEastAsia"/>
          <w:sz w:val="24"/>
        </w:rPr>
        <w:t>工程</w:t>
      </w:r>
      <w:r>
        <w:rPr>
          <w:rFonts w:hint="eastAsia" w:hAnsiTheme="minorEastAsia" w:eastAsiaTheme="minorEastAsia"/>
          <w:sz w:val="24"/>
        </w:rPr>
        <w:t>燃气锅炉烟尘排放量0.205t/a；</w:t>
      </w:r>
      <w:r>
        <w:rPr>
          <w:rFonts w:hAnsiTheme="minorEastAsia" w:eastAsiaTheme="minorEastAsia"/>
          <w:sz w:val="24"/>
        </w:rPr>
        <w:t>SO</w:t>
      </w:r>
      <w:r>
        <w:rPr>
          <w:rFonts w:hAnsiTheme="minorEastAsia" w:eastAsiaTheme="minorEastAsia"/>
          <w:sz w:val="24"/>
          <w:vertAlign w:val="subscript"/>
        </w:rPr>
        <w:t>2</w:t>
      </w:r>
      <w:r>
        <w:rPr>
          <w:rFonts w:hint="eastAsia" w:hAnsiTheme="minorEastAsia" w:eastAsiaTheme="minorEastAsia"/>
          <w:sz w:val="24"/>
        </w:rPr>
        <w:t>排放量1.43t/a；N</w:t>
      </w:r>
      <w:r>
        <w:rPr>
          <w:rFonts w:hAnsiTheme="minorEastAsia" w:eastAsiaTheme="minorEastAsia"/>
          <w:sz w:val="24"/>
        </w:rPr>
        <w:t>O</w:t>
      </w:r>
      <w:r>
        <w:rPr>
          <w:rFonts w:hint="eastAsia" w:hAnsiTheme="minorEastAsia" w:eastAsiaTheme="minorEastAsia"/>
          <w:sz w:val="24"/>
          <w:vertAlign w:val="subscript"/>
        </w:rPr>
        <w:t>x</w:t>
      </w:r>
      <w:r>
        <w:rPr>
          <w:rFonts w:hint="eastAsia" w:hAnsiTheme="minorEastAsia" w:eastAsiaTheme="minorEastAsia"/>
          <w:sz w:val="24"/>
        </w:rPr>
        <w:t>排放量2.05t/a。</w:t>
      </w:r>
    </w:p>
    <w:p>
      <w:pPr>
        <w:spacing w:line="360" w:lineRule="auto"/>
        <w:ind w:firstLine="480" w:firstLineChars="200"/>
        <w:rPr>
          <w:rFonts w:eastAsiaTheme="minorEastAsia"/>
          <w:sz w:val="24"/>
        </w:rPr>
      </w:pPr>
      <w:r>
        <w:rPr>
          <w:rFonts w:hint="eastAsia" w:hAnsiTheme="minorEastAsia" w:eastAsiaTheme="minorEastAsia"/>
          <w:sz w:val="24"/>
        </w:rPr>
        <w:t>根据原吕梁市环境保护局2012年6月12日</w:t>
      </w:r>
      <w:r>
        <w:rPr>
          <w:rFonts w:hAnsiTheme="minorEastAsia" w:eastAsiaTheme="minorEastAsia"/>
          <w:sz w:val="24"/>
        </w:rPr>
        <w:t>以</w:t>
      </w:r>
      <w:r>
        <w:rPr>
          <w:rFonts w:hint="eastAsia" w:hAnsiTheme="minorEastAsia" w:eastAsiaTheme="minorEastAsia"/>
          <w:sz w:val="24"/>
        </w:rPr>
        <w:t>吕环函[2012]121号《关于山西煤炭运销集团新工煤业有限公司120万t/a矿井兼并重组整合项目主要污染物排放总量指标的批复》</w:t>
      </w:r>
      <w:r>
        <w:rPr>
          <w:rFonts w:hAnsiTheme="minorEastAsia" w:eastAsiaTheme="minorEastAsia"/>
          <w:sz w:val="24"/>
        </w:rPr>
        <w:t>，核准指标为</w:t>
      </w:r>
      <w:r>
        <w:rPr>
          <w:rFonts w:hint="eastAsia" w:hAnsiTheme="minorEastAsia" w:eastAsiaTheme="minorEastAsia"/>
          <w:sz w:val="24"/>
        </w:rPr>
        <w:t>烟尘排放量9.39t/a；</w:t>
      </w:r>
      <w:r>
        <w:rPr>
          <w:rFonts w:hAnsiTheme="minorEastAsia" w:eastAsiaTheme="minorEastAsia"/>
          <w:sz w:val="24"/>
        </w:rPr>
        <w:t>SO</w:t>
      </w:r>
      <w:r>
        <w:rPr>
          <w:rFonts w:hAnsiTheme="minorEastAsia" w:eastAsiaTheme="minorEastAsia"/>
          <w:sz w:val="24"/>
          <w:vertAlign w:val="subscript"/>
        </w:rPr>
        <w:t>2</w:t>
      </w:r>
      <w:r>
        <w:rPr>
          <w:rFonts w:hint="eastAsia" w:hAnsiTheme="minorEastAsia" w:eastAsiaTheme="minorEastAsia"/>
          <w:sz w:val="24"/>
        </w:rPr>
        <w:t>排放量19.61t/a；N</w:t>
      </w:r>
      <w:r>
        <w:rPr>
          <w:rFonts w:hAnsiTheme="minorEastAsia" w:eastAsiaTheme="minorEastAsia"/>
          <w:sz w:val="24"/>
        </w:rPr>
        <w:t>O</w:t>
      </w:r>
      <w:r>
        <w:rPr>
          <w:rFonts w:hint="eastAsia" w:hAnsiTheme="minorEastAsia" w:eastAsiaTheme="minorEastAsia"/>
          <w:sz w:val="24"/>
          <w:vertAlign w:val="subscript"/>
        </w:rPr>
        <w:t>x</w:t>
      </w:r>
      <w:r>
        <w:rPr>
          <w:rFonts w:hint="eastAsia" w:hAnsiTheme="minorEastAsia" w:eastAsiaTheme="minorEastAsia"/>
          <w:sz w:val="24"/>
        </w:rPr>
        <w:t>排放量25.04t/a；工业粉尘3.38 t/a，</w:t>
      </w:r>
      <w:r>
        <w:rPr>
          <w:rFonts w:hAnsiTheme="minorEastAsia" w:eastAsiaTheme="minorEastAsia"/>
          <w:sz w:val="24"/>
        </w:rPr>
        <w:t>可满足本</w:t>
      </w:r>
      <w:r>
        <w:rPr>
          <w:rFonts w:hint="eastAsia" w:hAnsiTheme="minorEastAsia" w:eastAsiaTheme="minorEastAsia"/>
          <w:sz w:val="24"/>
        </w:rPr>
        <w:t>次变更污染物排放</w:t>
      </w:r>
      <w:r>
        <w:rPr>
          <w:rFonts w:hAnsiTheme="minorEastAsia" w:eastAsiaTheme="minorEastAsia"/>
          <w:sz w:val="24"/>
        </w:rPr>
        <w:t>总量需求</w:t>
      </w:r>
      <w:r>
        <w:rPr>
          <w:rFonts w:hint="eastAsia" w:hAnsiTheme="minorEastAsia" w:eastAsiaTheme="minorEastAsia"/>
          <w:sz w:val="24"/>
        </w:rPr>
        <w:t>，本次变更无需另申请总量</w:t>
      </w:r>
      <w:r>
        <w:rPr>
          <w:rFonts w:hAnsiTheme="minorEastAsia" w:eastAsiaTheme="minorEastAsia"/>
          <w:sz w:val="24"/>
        </w:rPr>
        <w:t>。</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45" w:name="_Toc71551942"/>
      <w:r>
        <w:rPr>
          <w:rFonts w:ascii="Times New Roman" w:hAnsi="Times New Roman" w:eastAsiaTheme="minorEastAsia"/>
          <w:kern w:val="44"/>
          <w:sz w:val="30"/>
          <w:szCs w:val="30"/>
        </w:rPr>
        <w:t>5.3</w:t>
      </w:r>
      <w:r>
        <w:rPr>
          <w:rFonts w:ascii="Times New Roman" w:hAnsiTheme="minorEastAsia" w:eastAsiaTheme="minorEastAsia"/>
          <w:kern w:val="44"/>
          <w:sz w:val="30"/>
          <w:szCs w:val="30"/>
        </w:rPr>
        <w:t>地表水环境影响评价</w:t>
      </w:r>
      <w:bookmarkEnd w:id="245"/>
    </w:p>
    <w:p>
      <w:pPr>
        <w:spacing w:line="360" w:lineRule="auto"/>
        <w:outlineLvl w:val="2"/>
        <w:rPr>
          <w:rFonts w:eastAsiaTheme="minorEastAsia"/>
          <w:b/>
          <w:sz w:val="24"/>
        </w:rPr>
      </w:pPr>
      <w:r>
        <w:rPr>
          <w:rFonts w:eastAsiaTheme="minorEastAsia"/>
          <w:b/>
          <w:sz w:val="24"/>
        </w:rPr>
        <w:t>5.3.1</w:t>
      </w:r>
      <w:r>
        <w:rPr>
          <w:rFonts w:hint="eastAsia" w:hAnsiTheme="minorEastAsia" w:eastAsiaTheme="minorEastAsia"/>
          <w:b/>
          <w:sz w:val="24"/>
        </w:rPr>
        <w:t>施工期地表水环境影响分析</w:t>
      </w:r>
    </w:p>
    <w:p>
      <w:pPr>
        <w:spacing w:line="360" w:lineRule="auto"/>
        <w:ind w:firstLine="504" w:firstLineChars="200"/>
        <w:rPr>
          <w:bCs/>
          <w:sz w:val="24"/>
        </w:rPr>
      </w:pPr>
      <w:r>
        <w:rPr>
          <w:bCs/>
          <w:spacing w:val="6"/>
          <w:sz w:val="24"/>
        </w:rPr>
        <w:t>（一）施工期</w:t>
      </w:r>
      <w:r>
        <w:rPr>
          <w:bCs/>
          <w:sz w:val="24"/>
        </w:rPr>
        <w:t>水环境影响分析</w:t>
      </w:r>
    </w:p>
    <w:p>
      <w:pPr>
        <w:spacing w:line="360" w:lineRule="auto"/>
        <w:ind w:firstLine="480" w:firstLineChars="200"/>
        <w:rPr>
          <w:bCs/>
          <w:sz w:val="24"/>
          <w:szCs w:val="28"/>
          <w:lang w:val="zh-CN"/>
        </w:rPr>
      </w:pPr>
      <w:r>
        <w:rPr>
          <w:bCs/>
          <w:sz w:val="24"/>
        </w:rPr>
        <w:t>施工期产生的废水为</w:t>
      </w:r>
      <w:r>
        <w:rPr>
          <w:bCs/>
          <w:sz w:val="24"/>
          <w:szCs w:val="28"/>
          <w:lang w:val="zh-CN"/>
        </w:rPr>
        <w:t>建筑施工废水和施工人员生活废水。</w:t>
      </w:r>
    </w:p>
    <w:p>
      <w:pPr>
        <w:spacing w:line="360" w:lineRule="auto"/>
        <w:ind w:firstLine="480" w:firstLineChars="200"/>
        <w:rPr>
          <w:bCs/>
          <w:sz w:val="24"/>
          <w:szCs w:val="28"/>
          <w:lang w:val="zh-CN"/>
        </w:rPr>
      </w:pPr>
      <w:r>
        <w:rPr>
          <w:bCs/>
          <w:sz w:val="24"/>
          <w:szCs w:val="28"/>
          <w:lang w:val="zh-CN"/>
        </w:rPr>
        <w:t>（1）施工废水</w:t>
      </w:r>
    </w:p>
    <w:p>
      <w:pPr>
        <w:spacing w:line="360" w:lineRule="auto"/>
        <w:ind w:firstLine="480" w:firstLineChars="200"/>
        <w:rPr>
          <w:bCs/>
          <w:sz w:val="24"/>
          <w:szCs w:val="28"/>
          <w:lang w:val="zh-CN"/>
        </w:rPr>
      </w:pPr>
      <w:r>
        <w:rPr>
          <w:bCs/>
          <w:sz w:val="24"/>
          <w:szCs w:val="28"/>
          <w:lang w:val="zh-CN"/>
        </w:rPr>
        <w:t>建筑施工废水包括设备车辆冲洗水等，废水中主要含有少量泥沙，不含其它杂质，排放量小。</w:t>
      </w:r>
    </w:p>
    <w:p>
      <w:pPr>
        <w:spacing w:line="360" w:lineRule="auto"/>
        <w:ind w:firstLine="480" w:firstLineChars="200"/>
        <w:rPr>
          <w:bCs/>
          <w:sz w:val="24"/>
        </w:rPr>
      </w:pPr>
      <w:r>
        <w:rPr>
          <w:bCs/>
          <w:sz w:val="24"/>
          <w:szCs w:val="28"/>
          <w:lang w:val="zh-CN"/>
        </w:rPr>
        <w:t>（2）</w:t>
      </w:r>
      <w:r>
        <w:rPr>
          <w:bCs/>
          <w:sz w:val="24"/>
        </w:rPr>
        <w:t>施工人员生活废水</w:t>
      </w:r>
    </w:p>
    <w:p>
      <w:pPr>
        <w:spacing w:line="360" w:lineRule="auto"/>
        <w:ind w:firstLine="527"/>
        <w:rPr>
          <w:bCs/>
          <w:sz w:val="24"/>
          <w:szCs w:val="28"/>
        </w:rPr>
      </w:pPr>
      <w:r>
        <w:rPr>
          <w:bCs/>
          <w:sz w:val="24"/>
          <w:szCs w:val="28"/>
        </w:rPr>
        <w:t>施工人员生活污水，根据施工工期安排，施工会产生一定量的生活污水</w:t>
      </w:r>
      <w:r>
        <w:rPr>
          <w:bCs/>
          <w:sz w:val="24"/>
        </w:rPr>
        <w:t>。</w:t>
      </w:r>
    </w:p>
    <w:p>
      <w:pPr>
        <w:spacing w:line="360" w:lineRule="auto"/>
        <w:ind w:firstLine="480" w:firstLineChars="200"/>
        <w:rPr>
          <w:bCs/>
          <w:sz w:val="24"/>
        </w:rPr>
      </w:pPr>
      <w:r>
        <w:rPr>
          <w:bCs/>
          <w:sz w:val="24"/>
        </w:rPr>
        <w:t>（二）施工期水污染物防治措施</w:t>
      </w:r>
    </w:p>
    <w:p>
      <w:pPr>
        <w:spacing w:line="360" w:lineRule="auto"/>
        <w:ind w:firstLine="480" w:firstLineChars="200"/>
        <w:rPr>
          <w:bCs/>
          <w:sz w:val="24"/>
        </w:rPr>
      </w:pPr>
      <w:r>
        <w:rPr>
          <w:bCs/>
          <w:sz w:val="24"/>
        </w:rPr>
        <w:t>（1）施工废水</w:t>
      </w:r>
    </w:p>
    <w:p>
      <w:pPr>
        <w:spacing w:line="360" w:lineRule="auto"/>
        <w:ind w:firstLine="480" w:firstLineChars="200"/>
        <w:rPr>
          <w:bCs/>
          <w:sz w:val="24"/>
        </w:rPr>
      </w:pPr>
      <w:r>
        <w:rPr>
          <w:bCs/>
          <w:sz w:val="24"/>
        </w:rPr>
        <w:t>施工期间将产生设备冲洗废水，施工期设备冲洗废水只含有少量泥沙，不含其它杂质，施工现场设</w:t>
      </w:r>
      <w:r>
        <w:rPr>
          <w:rFonts w:hint="eastAsia" w:hAnsi="宋体"/>
          <w:color w:val="000000"/>
          <w:sz w:val="24"/>
        </w:rPr>
        <w:t>一座10</w:t>
      </w:r>
      <w:r>
        <w:rPr>
          <w:rFonts w:hAnsi="宋体"/>
          <w:color w:val="000000"/>
          <w:sz w:val="24"/>
        </w:rPr>
        <w:t>m</w:t>
      </w:r>
      <w:r>
        <w:rPr>
          <w:rFonts w:hAnsi="宋体"/>
          <w:color w:val="000000"/>
          <w:sz w:val="24"/>
          <w:vertAlign w:val="superscript"/>
        </w:rPr>
        <w:t>3</w:t>
      </w:r>
      <w:r>
        <w:rPr>
          <w:rFonts w:hint="eastAsia" w:hAnsi="宋体"/>
          <w:color w:val="000000"/>
          <w:sz w:val="24"/>
        </w:rPr>
        <w:t>的沉淀池</w:t>
      </w:r>
      <w:r>
        <w:rPr>
          <w:rFonts w:hint="eastAsia"/>
          <w:bCs/>
          <w:sz w:val="24"/>
        </w:rPr>
        <w:t>，</w:t>
      </w:r>
      <w:r>
        <w:rPr>
          <w:bCs/>
          <w:sz w:val="24"/>
        </w:rPr>
        <w:t>收集</w:t>
      </w:r>
      <w:r>
        <w:rPr>
          <w:rFonts w:hint="eastAsia" w:hAnsi="宋体"/>
          <w:color w:val="000000"/>
          <w:sz w:val="24"/>
        </w:rPr>
        <w:t>机械、车辆冲洗水，</w:t>
      </w:r>
      <w:r>
        <w:rPr>
          <w:bCs/>
          <w:sz w:val="24"/>
        </w:rPr>
        <w:t>，经沉淀后用于施工场地洒水抑尘。</w:t>
      </w:r>
    </w:p>
    <w:p>
      <w:pPr>
        <w:spacing w:line="360" w:lineRule="auto"/>
        <w:ind w:firstLine="480" w:firstLineChars="200"/>
        <w:rPr>
          <w:bCs/>
          <w:sz w:val="24"/>
        </w:rPr>
      </w:pPr>
      <w:r>
        <w:rPr>
          <w:bCs/>
          <w:sz w:val="24"/>
          <w:szCs w:val="28"/>
          <w:lang w:val="zh-CN"/>
        </w:rPr>
        <w:t>（2）</w:t>
      </w:r>
      <w:r>
        <w:rPr>
          <w:bCs/>
          <w:sz w:val="24"/>
        </w:rPr>
        <w:t>施工人员生活废水</w:t>
      </w:r>
    </w:p>
    <w:p>
      <w:pPr>
        <w:spacing w:line="360" w:lineRule="auto"/>
        <w:ind w:firstLine="480" w:firstLineChars="200"/>
        <w:rPr>
          <w:bCs/>
          <w:sz w:val="24"/>
        </w:rPr>
      </w:pPr>
      <w:r>
        <w:rPr>
          <w:bCs/>
          <w:sz w:val="24"/>
        </w:rPr>
        <w:t>施工人员产生的生活污水</w:t>
      </w:r>
      <w:r>
        <w:rPr>
          <w:rFonts w:hint="eastAsia"/>
          <w:color w:val="000000"/>
          <w:kern w:val="0"/>
          <w:sz w:val="24"/>
        </w:rPr>
        <w:t>集中收集后用于场内洒水抑尘</w:t>
      </w:r>
      <w:r>
        <w:rPr>
          <w:bCs/>
          <w:sz w:val="24"/>
        </w:rPr>
        <w:t>，不外排。</w:t>
      </w:r>
    </w:p>
    <w:p>
      <w:pPr>
        <w:spacing w:line="360" w:lineRule="auto"/>
        <w:ind w:firstLine="480" w:firstLineChars="200"/>
        <w:rPr>
          <w:rFonts w:hAnsi="宋体"/>
          <w:color w:val="000000"/>
          <w:sz w:val="24"/>
        </w:rPr>
      </w:pPr>
      <w:r>
        <w:rPr>
          <w:bCs/>
          <w:sz w:val="24"/>
        </w:rPr>
        <w:t>因此，施工期废水均不外排，对周围环境及地表水环境不会造成影响</w:t>
      </w:r>
      <w:r>
        <w:rPr>
          <w:rFonts w:hint="eastAsia" w:hAnsi="宋体"/>
          <w:color w:val="000000"/>
          <w:sz w:val="24"/>
        </w:rPr>
        <w:t>，且随着基建期的结束，此影响也随之消失。</w:t>
      </w:r>
    </w:p>
    <w:p>
      <w:pPr>
        <w:spacing w:line="360" w:lineRule="auto"/>
        <w:outlineLvl w:val="2"/>
        <w:rPr>
          <w:rFonts w:eastAsiaTheme="minorEastAsia"/>
          <w:b/>
          <w:sz w:val="24"/>
        </w:rPr>
      </w:pPr>
      <w:r>
        <w:rPr>
          <w:rFonts w:eastAsiaTheme="minorEastAsia"/>
          <w:b/>
          <w:sz w:val="24"/>
        </w:rPr>
        <w:t>5.3.</w:t>
      </w:r>
      <w:r>
        <w:rPr>
          <w:rFonts w:hint="eastAsia" w:eastAsiaTheme="minorEastAsia"/>
          <w:b/>
          <w:sz w:val="24"/>
        </w:rPr>
        <w:t>2</w:t>
      </w:r>
      <w:r>
        <w:rPr>
          <w:rFonts w:hint="eastAsia" w:hAnsiTheme="minorEastAsia" w:eastAsiaTheme="minorEastAsia"/>
          <w:b/>
          <w:sz w:val="24"/>
        </w:rPr>
        <w:t>运营期地表水环境影响分析</w:t>
      </w:r>
    </w:p>
    <w:p>
      <w:pPr>
        <w:spacing w:line="360" w:lineRule="auto"/>
        <w:outlineLvl w:val="3"/>
        <w:rPr>
          <w:rFonts w:eastAsiaTheme="minorEastAsia"/>
          <w:b/>
          <w:sz w:val="24"/>
        </w:rPr>
      </w:pPr>
      <w:r>
        <w:rPr>
          <w:rFonts w:eastAsiaTheme="minorEastAsia"/>
          <w:b/>
          <w:sz w:val="24"/>
        </w:rPr>
        <w:t>5.3.</w:t>
      </w:r>
      <w:r>
        <w:rPr>
          <w:rFonts w:hint="eastAsia" w:eastAsiaTheme="minorEastAsia"/>
          <w:b/>
          <w:sz w:val="24"/>
        </w:rPr>
        <w:t>2.1</w:t>
      </w:r>
      <w:r>
        <w:rPr>
          <w:rFonts w:eastAsiaTheme="minorEastAsia"/>
          <w:b/>
          <w:sz w:val="24"/>
        </w:rPr>
        <w:t>废水排放情况</w:t>
      </w:r>
    </w:p>
    <w:p>
      <w:pPr>
        <w:spacing w:line="360" w:lineRule="auto"/>
        <w:ind w:firstLine="480" w:firstLineChars="200"/>
        <w:rPr>
          <w:rFonts w:hAnsiTheme="minorEastAsia" w:eastAsiaTheme="minorEastAsia"/>
          <w:sz w:val="24"/>
        </w:rPr>
      </w:pPr>
      <w:r>
        <w:rPr>
          <w:rFonts w:hint="eastAsia" w:hAnsiTheme="minorEastAsia" w:eastAsiaTheme="minorEastAsia"/>
          <w:sz w:val="24"/>
        </w:rPr>
        <w:t>1）矿井水</w:t>
      </w:r>
    </w:p>
    <w:p>
      <w:pPr>
        <w:spacing w:line="360" w:lineRule="auto"/>
        <w:ind w:firstLine="480" w:firstLineChars="200"/>
        <w:rPr>
          <w:rFonts w:hAnsiTheme="minorEastAsia" w:eastAsiaTheme="minorEastAsia"/>
          <w:sz w:val="24"/>
        </w:rPr>
      </w:pPr>
      <w:r>
        <w:rPr>
          <w:rFonts w:hint="eastAsia" w:hAnsiTheme="minorEastAsia" w:eastAsiaTheme="minorEastAsia"/>
          <w:sz w:val="24"/>
        </w:rPr>
        <w:t>工业场地设置一座矿井水处理站，设计处理规模分别为6120m</w:t>
      </w:r>
      <w:r>
        <w:rPr>
          <w:rFonts w:hint="eastAsia" w:hAnsiTheme="minorEastAsia" w:eastAsiaTheme="minorEastAsia"/>
          <w:sz w:val="24"/>
          <w:vertAlign w:val="superscript"/>
        </w:rPr>
        <w:t>3</w:t>
      </w:r>
      <w:r>
        <w:rPr>
          <w:rFonts w:hint="eastAsia" w:hAnsiTheme="minorEastAsia" w:eastAsiaTheme="minorEastAsia"/>
          <w:sz w:val="24"/>
        </w:rPr>
        <w:t>/d ，矿井水经矿井水处理站处理后回用，不外排。</w:t>
      </w:r>
    </w:p>
    <w:p>
      <w:pPr>
        <w:spacing w:line="360" w:lineRule="auto"/>
        <w:ind w:firstLine="480" w:firstLineChars="200"/>
        <w:rPr>
          <w:rFonts w:hAnsiTheme="minorEastAsia" w:eastAsiaTheme="minorEastAsia"/>
          <w:sz w:val="24"/>
        </w:rPr>
      </w:pPr>
      <w:r>
        <w:rPr>
          <w:rFonts w:hint="eastAsia" w:hAnsiTheme="minorEastAsia" w:eastAsiaTheme="minorEastAsia"/>
          <w:sz w:val="24"/>
        </w:rPr>
        <w:t>2）生活污水</w:t>
      </w:r>
    </w:p>
    <w:p>
      <w:pPr>
        <w:spacing w:line="360" w:lineRule="auto"/>
        <w:ind w:firstLine="480" w:firstLineChars="200"/>
        <w:rPr>
          <w:rFonts w:hAnsiTheme="minorEastAsia" w:eastAsiaTheme="minorEastAsia"/>
          <w:sz w:val="24"/>
        </w:rPr>
      </w:pPr>
      <w:r>
        <w:rPr>
          <w:rFonts w:hint="eastAsia" w:hAnsiTheme="minorEastAsia" w:eastAsiaTheme="minorEastAsia"/>
          <w:sz w:val="24"/>
        </w:rPr>
        <w:t>本项目在工业场地设置有一座生活污水处理站，设计生活污水处理站处理规模为</w:t>
      </w:r>
      <w:r>
        <w:rPr>
          <w:rFonts w:hAnsiTheme="minorEastAsia" w:eastAsiaTheme="minorEastAsia"/>
          <w:sz w:val="24"/>
        </w:rPr>
        <w:t>450m</w:t>
      </w:r>
      <w:r>
        <w:rPr>
          <w:rFonts w:hAnsiTheme="minorEastAsia" w:eastAsiaTheme="minorEastAsia"/>
          <w:sz w:val="24"/>
          <w:vertAlign w:val="superscript"/>
        </w:rPr>
        <w:t>3</w:t>
      </w:r>
      <w:r>
        <w:rPr>
          <w:rFonts w:hAnsiTheme="minorEastAsia" w:eastAsiaTheme="minorEastAsia"/>
          <w:sz w:val="24"/>
        </w:rPr>
        <w:t>/d</w:t>
      </w:r>
      <w:r>
        <w:rPr>
          <w:rFonts w:hint="eastAsia" w:hAnsiTheme="minorEastAsia" w:eastAsiaTheme="minorEastAsia"/>
          <w:sz w:val="24"/>
        </w:rPr>
        <w:t>。处理工艺采用厌氧、缺氧、好氧同步脱碳除磷生物处理法</w:t>
      </w:r>
      <w:r>
        <w:rPr>
          <w:rFonts w:hAnsiTheme="minorEastAsia" w:eastAsiaTheme="minorEastAsia"/>
          <w:sz w:val="24"/>
        </w:rPr>
        <w:t>+</w:t>
      </w:r>
      <w:r>
        <w:rPr>
          <w:rFonts w:hint="eastAsia" w:hAnsiTheme="minorEastAsia" w:eastAsiaTheme="minorEastAsia"/>
          <w:sz w:val="24"/>
        </w:rPr>
        <w:t>臭氧氧化、活性炭过滤厌（具体如下：矿井生产生活污水经厂区排水管网收集自流进入污水处理站进行处理。生产</w:t>
      </w:r>
      <w:r>
        <w:rPr>
          <w:rFonts w:hAnsiTheme="minorEastAsia" w:eastAsiaTheme="minorEastAsia"/>
          <w:sz w:val="24"/>
        </w:rPr>
        <w:pict>
          <v:line id="_x0000_s56103" o:spid="_x0000_s56103" o:spt="20" style="position:absolute;left:0pt;flip:x;margin-left:-108pt;margin-top:54.6pt;height:15.6pt;width:9pt;z-index:251706368;mso-width-relative:page;mso-height-relative:page;" coordsize="21600,21600">
            <v:path arrowok="t"/>
            <v:fill focussize="0,0"/>
            <v:stroke/>
            <v:imagedata o:title=""/>
            <o:lock v:ext="edit"/>
          </v:line>
        </w:pict>
      </w:r>
      <w:r>
        <w:rPr>
          <w:rFonts w:hint="eastAsia" w:hAnsiTheme="minorEastAsia" w:eastAsiaTheme="minorEastAsia"/>
          <w:sz w:val="24"/>
        </w:rPr>
        <w:t>生活污水经格栅井由污水泵提升进入初沉池，在初沉池内大部分</w:t>
      </w:r>
      <w:r>
        <w:rPr>
          <w:rFonts w:hAnsiTheme="minorEastAsia" w:eastAsiaTheme="minorEastAsia"/>
          <w:sz w:val="24"/>
        </w:rPr>
        <w:t>SS</w:t>
      </w:r>
      <w:r>
        <w:rPr>
          <w:rFonts w:hint="eastAsia" w:hAnsiTheme="minorEastAsia" w:eastAsiaTheme="minorEastAsia"/>
          <w:sz w:val="24"/>
        </w:rPr>
        <w:t>得到去除后进入同步脱氮除磷生物处理一体化设备，通过生物氧化、硝化、反硝化、除磷作用，污水中的绝大部分</w:t>
      </w:r>
      <w:r>
        <w:rPr>
          <w:rFonts w:hAnsiTheme="minorEastAsia" w:eastAsiaTheme="minorEastAsia"/>
          <w:sz w:val="24"/>
        </w:rPr>
        <w:t>BOD</w:t>
      </w:r>
      <w:r>
        <w:rPr>
          <w:rFonts w:hint="eastAsia" w:hAnsiTheme="minorEastAsia" w:eastAsiaTheme="minorEastAsia"/>
          <w:sz w:val="24"/>
        </w:rPr>
        <w:t>、</w:t>
      </w:r>
      <w:r>
        <w:rPr>
          <w:rFonts w:hAnsiTheme="minorEastAsia" w:eastAsiaTheme="minorEastAsia"/>
          <w:sz w:val="24"/>
        </w:rPr>
        <w:t>COD</w:t>
      </w:r>
      <w:r>
        <w:rPr>
          <w:rFonts w:hint="eastAsia" w:hAnsiTheme="minorEastAsia" w:eastAsiaTheme="minorEastAsia"/>
          <w:sz w:val="24"/>
        </w:rPr>
        <w:t>、氮、磷在此得到去除，生物处理池出水进入二沉池，在二沉池内可沉淀物得到沉淀去除，出水进入臭氧接触氧化池、活性炭滤池深度处理设备，其有机物、氨氮、磷得到进一步去除，出水经消毒后全部回用于选煤厂生产补水。）。生产生活污水经处理后污染物浓度</w:t>
      </w:r>
      <w:r>
        <w:rPr>
          <w:rFonts w:hAnsiTheme="minorEastAsia" w:eastAsiaTheme="minorEastAsia"/>
          <w:sz w:val="24"/>
        </w:rPr>
        <w:t>CODcr</w:t>
      </w:r>
      <w:r>
        <w:rPr>
          <w:rFonts w:hint="eastAsia" w:hAnsiTheme="minorEastAsia" w:eastAsiaTheme="minorEastAsia"/>
          <w:sz w:val="24"/>
        </w:rPr>
        <w:t>≤</w:t>
      </w:r>
      <w:r>
        <w:rPr>
          <w:rFonts w:hAnsiTheme="minorEastAsia" w:eastAsiaTheme="minorEastAsia"/>
          <w:sz w:val="24"/>
        </w:rPr>
        <w:t>40mg/L</w:t>
      </w:r>
      <w:r>
        <w:rPr>
          <w:rFonts w:hint="eastAsia" w:hAnsiTheme="minorEastAsia" w:eastAsiaTheme="minorEastAsia"/>
          <w:sz w:val="24"/>
        </w:rPr>
        <w:t>、</w:t>
      </w:r>
      <w:r>
        <w:rPr>
          <w:rFonts w:hAnsiTheme="minorEastAsia" w:eastAsiaTheme="minorEastAsia"/>
          <w:sz w:val="24"/>
        </w:rPr>
        <w:t>BOD</w:t>
      </w:r>
      <w:r>
        <w:rPr>
          <w:rFonts w:hAnsiTheme="minorEastAsia" w:eastAsiaTheme="minorEastAsia"/>
          <w:sz w:val="24"/>
          <w:vertAlign w:val="subscript"/>
        </w:rPr>
        <w:t xml:space="preserve">5 </w:t>
      </w:r>
      <w:r>
        <w:rPr>
          <w:rFonts w:hint="eastAsia" w:hAnsiTheme="minorEastAsia" w:eastAsiaTheme="minorEastAsia"/>
          <w:sz w:val="24"/>
        </w:rPr>
        <w:t>≤</w:t>
      </w:r>
      <w:r>
        <w:rPr>
          <w:rFonts w:hAnsiTheme="minorEastAsia" w:eastAsiaTheme="minorEastAsia"/>
          <w:sz w:val="24"/>
        </w:rPr>
        <w:t>10mg/L</w:t>
      </w:r>
      <w:r>
        <w:rPr>
          <w:rFonts w:hint="eastAsia" w:hAnsiTheme="minorEastAsia" w:eastAsiaTheme="minorEastAsia"/>
          <w:sz w:val="24"/>
        </w:rPr>
        <w:t>、</w:t>
      </w:r>
      <w:r>
        <w:rPr>
          <w:rFonts w:hAnsiTheme="minorEastAsia" w:eastAsiaTheme="minorEastAsia"/>
          <w:sz w:val="24"/>
        </w:rPr>
        <w:t>SS</w:t>
      </w:r>
      <w:r>
        <w:rPr>
          <w:rFonts w:hint="eastAsia" w:hAnsiTheme="minorEastAsia" w:eastAsiaTheme="minorEastAsia"/>
          <w:sz w:val="24"/>
        </w:rPr>
        <w:t>≤</w:t>
      </w:r>
      <w:r>
        <w:rPr>
          <w:rFonts w:hAnsiTheme="minorEastAsia" w:eastAsiaTheme="minorEastAsia"/>
          <w:sz w:val="24"/>
        </w:rPr>
        <w:t>10mg/L</w:t>
      </w:r>
      <w:r>
        <w:rPr>
          <w:rFonts w:hint="eastAsia" w:hAnsiTheme="minorEastAsia" w:eastAsiaTheme="minorEastAsia"/>
          <w:sz w:val="24"/>
        </w:rPr>
        <w:t>、</w:t>
      </w:r>
      <w:r>
        <w:rPr>
          <w:rFonts w:hAnsiTheme="minorEastAsia" w:eastAsiaTheme="minorEastAsia"/>
          <w:sz w:val="24"/>
        </w:rPr>
        <w:t>NH</w:t>
      </w:r>
      <w:r>
        <w:rPr>
          <w:rFonts w:hAnsiTheme="minorEastAsia" w:eastAsiaTheme="minorEastAsia"/>
          <w:sz w:val="24"/>
          <w:vertAlign w:val="subscript"/>
        </w:rPr>
        <w:t>3</w:t>
      </w:r>
      <w:r>
        <w:rPr>
          <w:rFonts w:hAnsiTheme="minorEastAsia" w:eastAsiaTheme="minorEastAsia"/>
          <w:sz w:val="24"/>
        </w:rPr>
        <w:t>-N</w:t>
      </w:r>
      <w:r>
        <w:rPr>
          <w:rFonts w:hint="eastAsia" w:hAnsiTheme="minorEastAsia" w:eastAsiaTheme="minorEastAsia"/>
          <w:sz w:val="24"/>
        </w:rPr>
        <w:t>≤</w:t>
      </w:r>
      <w:r>
        <w:rPr>
          <w:rFonts w:hAnsiTheme="minorEastAsia" w:eastAsiaTheme="minorEastAsia"/>
          <w:sz w:val="24"/>
        </w:rPr>
        <w:t>2mg/L</w:t>
      </w:r>
      <w:r>
        <w:rPr>
          <w:rFonts w:hint="eastAsia" w:hAnsiTheme="minorEastAsia" w:eastAsiaTheme="minorEastAsia"/>
          <w:sz w:val="24"/>
        </w:rPr>
        <w:t>、</w:t>
      </w:r>
      <w:r>
        <w:rPr>
          <w:rFonts w:hAnsiTheme="minorEastAsia" w:eastAsiaTheme="minorEastAsia"/>
          <w:sz w:val="24"/>
        </w:rPr>
        <w:t>TP≤0.4mg/L</w:t>
      </w:r>
      <w:r>
        <w:rPr>
          <w:rFonts w:hint="eastAsia" w:hAnsiTheme="minorEastAsia" w:eastAsiaTheme="minorEastAsia"/>
          <w:sz w:val="24"/>
        </w:rPr>
        <w:t>和</w:t>
      </w:r>
      <w:r>
        <w:rPr>
          <w:rFonts w:hAnsiTheme="minorEastAsia" w:eastAsiaTheme="minorEastAsia"/>
          <w:sz w:val="24"/>
        </w:rPr>
        <w:t xml:space="preserve">PH </w:t>
      </w:r>
      <w:r>
        <w:rPr>
          <w:rFonts w:hint="eastAsia" w:hAnsiTheme="minorEastAsia" w:eastAsiaTheme="minorEastAsia"/>
          <w:sz w:val="24"/>
        </w:rPr>
        <w:t>：</w:t>
      </w:r>
      <w:r>
        <w:rPr>
          <w:rFonts w:hAnsiTheme="minorEastAsia" w:eastAsiaTheme="minorEastAsia"/>
          <w:sz w:val="24"/>
        </w:rPr>
        <w:t>6</w:t>
      </w:r>
      <w:r>
        <w:rPr>
          <w:rFonts w:hint="eastAsia" w:hAnsiTheme="minorEastAsia" w:eastAsiaTheme="minorEastAsia"/>
          <w:sz w:val="24"/>
        </w:rPr>
        <w:t>～</w:t>
      </w:r>
      <w:r>
        <w:rPr>
          <w:rFonts w:hAnsiTheme="minorEastAsia" w:eastAsiaTheme="minorEastAsia"/>
          <w:sz w:val="24"/>
        </w:rPr>
        <w:t>9</w:t>
      </w:r>
      <w:r>
        <w:rPr>
          <w:rFonts w:hint="eastAsia" w:hAnsiTheme="minorEastAsia" w:eastAsiaTheme="minorEastAsia"/>
          <w:sz w:val="24"/>
        </w:rPr>
        <w:t>。处理后的生产生活污水水质达到《污水综合排放标准》（</w:t>
      </w:r>
      <w:r>
        <w:rPr>
          <w:rFonts w:hAnsiTheme="minorEastAsia" w:eastAsiaTheme="minorEastAsia"/>
          <w:sz w:val="24"/>
        </w:rPr>
        <w:t>DB14</w:t>
      </w:r>
      <w:r>
        <w:rPr>
          <w:rFonts w:hint="eastAsia" w:hAnsiTheme="minorEastAsia" w:eastAsiaTheme="minorEastAsia"/>
          <w:sz w:val="24"/>
        </w:rPr>
        <w:t>，</w:t>
      </w:r>
      <w:r>
        <w:rPr>
          <w:rFonts w:hAnsiTheme="minorEastAsia" w:eastAsiaTheme="minorEastAsia"/>
          <w:sz w:val="24"/>
        </w:rPr>
        <w:t>2021-01-01</w:t>
      </w:r>
      <w:r>
        <w:rPr>
          <w:rFonts w:hint="eastAsia" w:hAnsiTheme="minorEastAsia" w:eastAsiaTheme="minorEastAsia"/>
          <w:sz w:val="24"/>
        </w:rPr>
        <w:t>实施），全部回用于供给工业场地选煤厂生产用水。</w:t>
      </w:r>
    </w:p>
    <w:p>
      <w:pPr>
        <w:spacing w:line="360" w:lineRule="auto"/>
        <w:ind w:firstLine="480" w:firstLineChars="200"/>
        <w:rPr>
          <w:rFonts w:hAnsiTheme="minorEastAsia" w:eastAsiaTheme="minorEastAsia"/>
          <w:sz w:val="24"/>
        </w:rPr>
      </w:pPr>
      <w:r>
        <w:rPr>
          <w:rFonts w:hint="eastAsia" w:hAnsiTheme="minorEastAsia" w:eastAsiaTheme="minorEastAsia"/>
          <w:sz w:val="24"/>
        </w:rPr>
        <w:t>3）初期雨水</w:t>
      </w:r>
    </w:p>
    <w:p>
      <w:pPr>
        <w:spacing w:line="360" w:lineRule="auto"/>
        <w:ind w:firstLine="480" w:firstLineChars="200"/>
        <w:rPr>
          <w:rFonts w:hAnsiTheme="minorEastAsia" w:eastAsiaTheme="minorEastAsia"/>
          <w:sz w:val="24"/>
        </w:rPr>
      </w:pPr>
      <w:r>
        <w:rPr>
          <w:rFonts w:hAnsiTheme="minorEastAsia" w:eastAsiaTheme="minorEastAsia"/>
          <w:sz w:val="24"/>
        </w:rPr>
        <w:t>工业场地中部偏东侧设一座</w:t>
      </w:r>
      <w:r>
        <w:rPr>
          <w:rFonts w:eastAsiaTheme="minorEastAsia"/>
          <w:sz w:val="24"/>
        </w:rPr>
        <w:t>500m</w:t>
      </w:r>
      <w:r>
        <w:rPr>
          <w:rFonts w:eastAsiaTheme="minorEastAsia"/>
          <w:sz w:val="24"/>
          <w:vertAlign w:val="superscript"/>
        </w:rPr>
        <w:t>3</w:t>
      </w:r>
      <w:r>
        <w:rPr>
          <w:rFonts w:hAnsiTheme="minorEastAsia" w:eastAsiaTheme="minorEastAsia"/>
          <w:sz w:val="24"/>
        </w:rPr>
        <w:t>的初期雨水收集池</w:t>
      </w:r>
      <w:r>
        <w:rPr>
          <w:rFonts w:hint="eastAsia" w:hAnsiTheme="minorEastAsia" w:eastAsiaTheme="minorEastAsia"/>
          <w:sz w:val="24"/>
        </w:rPr>
        <w:t>，对初期雨水进行收集和沉淀处理。经处理后回用，不外排。</w:t>
      </w:r>
    </w:p>
    <w:p>
      <w:pPr>
        <w:spacing w:line="360" w:lineRule="auto"/>
        <w:ind w:firstLine="480" w:firstLineChars="200"/>
        <w:rPr>
          <w:rFonts w:hAnsiTheme="minorEastAsia" w:eastAsiaTheme="minorEastAsia"/>
          <w:bCs/>
          <w:sz w:val="24"/>
        </w:rPr>
      </w:pPr>
      <w:bookmarkStart w:id="246" w:name="_Toc214159228"/>
      <w:r>
        <w:rPr>
          <w:rFonts w:hint="eastAsia" w:hAnsiTheme="minorEastAsia" w:eastAsiaTheme="minorEastAsia"/>
          <w:bCs/>
          <w:sz w:val="24"/>
        </w:rPr>
        <w:t>综上，本项目对地表水环境几乎没有影响。</w:t>
      </w:r>
    </w:p>
    <w:p>
      <w:pPr>
        <w:spacing w:line="360" w:lineRule="auto"/>
        <w:outlineLvl w:val="3"/>
        <w:rPr>
          <w:rFonts w:eastAsiaTheme="minorEastAsia"/>
          <w:b/>
          <w:sz w:val="24"/>
        </w:rPr>
      </w:pPr>
      <w:r>
        <w:rPr>
          <w:rFonts w:eastAsiaTheme="minorEastAsia"/>
          <w:b/>
          <w:sz w:val="24"/>
        </w:rPr>
        <w:t>5.3.2</w:t>
      </w:r>
      <w:r>
        <w:rPr>
          <w:rFonts w:hint="eastAsia" w:eastAsiaTheme="minorEastAsia"/>
          <w:b/>
          <w:sz w:val="24"/>
        </w:rPr>
        <w:t>.2</w:t>
      </w:r>
      <w:r>
        <w:rPr>
          <w:rFonts w:eastAsiaTheme="minorEastAsia"/>
          <w:b/>
          <w:sz w:val="24"/>
        </w:rPr>
        <w:t>地表水环境影响分析</w:t>
      </w:r>
      <w:bookmarkEnd w:id="246"/>
    </w:p>
    <w:p>
      <w:pPr>
        <w:spacing w:line="360" w:lineRule="auto"/>
        <w:ind w:firstLine="480" w:firstLineChars="200"/>
        <w:rPr>
          <w:rFonts w:eastAsiaTheme="minorEastAsia"/>
          <w:sz w:val="24"/>
        </w:rPr>
      </w:pPr>
      <w:r>
        <w:rPr>
          <w:rFonts w:hAnsiTheme="minorEastAsia" w:eastAsiaTheme="minorEastAsia"/>
          <w:sz w:val="24"/>
        </w:rPr>
        <w:t>由废水排放分析结果可以看出，在正常生产情况下，煤矿排水和生活污水全部排入本矿井污水处理站，对地表水环境无影响。在事故状态下污染物浓度超标，但在设置事故水池的情况下，对周围水环境影响不大。环评要求该矿在投产后必须提高管理意识，加强规范操作，尤其要调节好生活污水处理设施的生产负荷，保证处理效率，以避免污水的非正常排放。</w:t>
      </w:r>
    </w:p>
    <w:p>
      <w:pPr>
        <w:spacing w:line="360" w:lineRule="auto"/>
        <w:outlineLvl w:val="3"/>
        <w:rPr>
          <w:rFonts w:eastAsiaTheme="minorEastAsia"/>
          <w:b/>
          <w:sz w:val="24"/>
        </w:rPr>
      </w:pPr>
      <w:r>
        <w:rPr>
          <w:rFonts w:eastAsiaTheme="minorEastAsia"/>
          <w:b/>
          <w:sz w:val="24"/>
        </w:rPr>
        <w:t>5.3.</w:t>
      </w:r>
      <w:r>
        <w:rPr>
          <w:rFonts w:hint="eastAsia" w:eastAsiaTheme="minorEastAsia"/>
          <w:b/>
          <w:sz w:val="24"/>
        </w:rPr>
        <w:t>2.3</w:t>
      </w:r>
      <w:r>
        <w:rPr>
          <w:rFonts w:eastAsiaTheme="minorEastAsia"/>
          <w:b/>
          <w:sz w:val="24"/>
        </w:rPr>
        <w:t>污水泄露对地表水的影响分析</w:t>
      </w:r>
    </w:p>
    <w:p>
      <w:pPr>
        <w:spacing w:line="360" w:lineRule="auto"/>
        <w:ind w:firstLine="480" w:firstLineChars="200"/>
        <w:rPr>
          <w:rFonts w:eastAsiaTheme="minorEastAsia"/>
          <w:bCs/>
          <w:sz w:val="24"/>
        </w:rPr>
      </w:pPr>
      <w:r>
        <w:rPr>
          <w:rFonts w:hAnsiTheme="minorEastAsia" w:eastAsiaTheme="minorEastAsia"/>
          <w:bCs/>
          <w:sz w:val="24"/>
        </w:rPr>
        <w:t>项目</w:t>
      </w:r>
      <w:r>
        <w:rPr>
          <w:rFonts w:hint="eastAsia" w:hAnsiTheme="minorEastAsia" w:eastAsiaTheme="minorEastAsia"/>
          <w:bCs/>
          <w:sz w:val="24"/>
        </w:rPr>
        <w:t>矿井水</w:t>
      </w:r>
      <w:r>
        <w:rPr>
          <w:rFonts w:hAnsiTheme="minorEastAsia" w:eastAsiaTheme="minorEastAsia"/>
          <w:bCs/>
          <w:sz w:val="24"/>
        </w:rPr>
        <w:t>处理站与</w:t>
      </w:r>
      <w:r>
        <w:rPr>
          <w:rFonts w:hint="eastAsia" w:hAnsiTheme="minorEastAsia" w:eastAsiaTheme="minorEastAsia"/>
          <w:bCs/>
          <w:sz w:val="24"/>
        </w:rPr>
        <w:t>湫水</w:t>
      </w:r>
      <w:r>
        <w:rPr>
          <w:rFonts w:hAnsiTheme="minorEastAsia" w:eastAsiaTheme="minorEastAsia"/>
          <w:bCs/>
          <w:sz w:val="24"/>
        </w:rPr>
        <w:t>河距离为</w:t>
      </w:r>
      <w:r>
        <w:rPr>
          <w:rFonts w:hint="eastAsia" w:eastAsiaTheme="minorEastAsia"/>
          <w:bCs/>
          <w:sz w:val="24"/>
        </w:rPr>
        <w:t>6.78</w:t>
      </w:r>
      <w:r>
        <w:rPr>
          <w:rFonts w:eastAsiaTheme="minorEastAsia"/>
          <w:bCs/>
          <w:sz w:val="24"/>
        </w:rPr>
        <w:t>m</w:t>
      </w:r>
      <w:r>
        <w:rPr>
          <w:rFonts w:hAnsiTheme="minorEastAsia" w:eastAsiaTheme="minorEastAsia"/>
          <w:bCs/>
          <w:sz w:val="24"/>
        </w:rPr>
        <w:t>，根据第</w:t>
      </w:r>
      <w:r>
        <w:rPr>
          <w:rFonts w:eastAsiaTheme="minorEastAsia"/>
          <w:bCs/>
          <w:sz w:val="24"/>
        </w:rPr>
        <w:t>5.4.4</w:t>
      </w:r>
      <w:r>
        <w:rPr>
          <w:rFonts w:hAnsiTheme="minorEastAsia" w:eastAsiaTheme="minorEastAsia"/>
          <w:bCs/>
          <w:sz w:val="24"/>
        </w:rPr>
        <w:t>节表</w:t>
      </w:r>
      <w:r>
        <w:rPr>
          <w:rFonts w:eastAsiaTheme="minorEastAsia"/>
          <w:bCs/>
          <w:sz w:val="24"/>
        </w:rPr>
        <w:t>5.4-3</w:t>
      </w:r>
      <w:r>
        <w:rPr>
          <w:rFonts w:hAnsiTheme="minorEastAsia" w:eastAsiaTheme="minorEastAsia"/>
          <w:bCs/>
          <w:sz w:val="24"/>
        </w:rPr>
        <w:t>可知，按最不利原则考虑，污水泄露</w:t>
      </w:r>
      <w:r>
        <w:rPr>
          <w:rFonts w:eastAsiaTheme="minorEastAsia"/>
          <w:bCs/>
          <w:sz w:val="24"/>
        </w:rPr>
        <w:t>10</w:t>
      </w:r>
      <w:r>
        <w:rPr>
          <w:rFonts w:hAnsiTheme="minorEastAsia" w:eastAsiaTheme="minorEastAsia"/>
          <w:bCs/>
          <w:sz w:val="24"/>
        </w:rPr>
        <w:t>年后，渗漏</w:t>
      </w:r>
      <w:r>
        <w:rPr>
          <w:rFonts w:eastAsiaTheme="minorEastAsia"/>
          <w:bCs/>
          <w:sz w:val="24"/>
        </w:rPr>
        <w:t>10</w:t>
      </w:r>
      <w:r>
        <w:rPr>
          <w:rFonts w:hAnsiTheme="minorEastAsia" w:eastAsiaTheme="minorEastAsia"/>
          <w:bCs/>
          <w:sz w:val="24"/>
        </w:rPr>
        <w:t>年下游</w:t>
      </w:r>
      <w:r>
        <w:rPr>
          <w:rFonts w:hint="eastAsia" w:eastAsiaTheme="minorEastAsia"/>
          <w:bCs/>
          <w:sz w:val="24"/>
        </w:rPr>
        <w:t>150</w:t>
      </w:r>
      <w:r>
        <w:rPr>
          <w:rFonts w:eastAsiaTheme="minorEastAsia"/>
          <w:bCs/>
          <w:sz w:val="24"/>
        </w:rPr>
        <w:t>0m</w:t>
      </w:r>
      <w:r>
        <w:rPr>
          <w:rFonts w:hAnsiTheme="minorEastAsia" w:eastAsiaTheme="minorEastAsia"/>
          <w:bCs/>
          <w:sz w:val="24"/>
        </w:rPr>
        <w:t>处</w:t>
      </w:r>
      <w:r>
        <w:rPr>
          <w:rFonts w:eastAsiaTheme="minorEastAsia"/>
          <w:bCs/>
          <w:sz w:val="24"/>
        </w:rPr>
        <w:t>NH</w:t>
      </w:r>
      <w:r>
        <w:rPr>
          <w:rFonts w:eastAsiaTheme="minorEastAsia"/>
          <w:bCs/>
          <w:sz w:val="24"/>
          <w:vertAlign w:val="subscript"/>
        </w:rPr>
        <w:t>3</w:t>
      </w:r>
      <w:r>
        <w:rPr>
          <w:rFonts w:eastAsiaTheme="minorEastAsia"/>
          <w:bCs/>
          <w:sz w:val="24"/>
        </w:rPr>
        <w:t>-N</w:t>
      </w:r>
      <w:r>
        <w:rPr>
          <w:rFonts w:hAnsiTheme="minorEastAsia" w:eastAsiaTheme="minorEastAsia"/>
          <w:bCs/>
          <w:sz w:val="24"/>
        </w:rPr>
        <w:t>浓度能够达到标准限值，均满足《地表水环质量标准》（</w:t>
      </w:r>
      <w:r>
        <w:rPr>
          <w:rFonts w:eastAsiaTheme="minorEastAsia"/>
          <w:bCs/>
          <w:sz w:val="24"/>
        </w:rPr>
        <w:t>GB3838-2002</w:t>
      </w:r>
      <w:r>
        <w:rPr>
          <w:rFonts w:hAnsiTheme="minorEastAsia" w:eastAsiaTheme="minorEastAsia"/>
          <w:bCs/>
          <w:sz w:val="24"/>
        </w:rPr>
        <w:t>）中</w:t>
      </w:r>
      <w:bookmarkStart w:id="247" w:name="_Toc225156386"/>
      <w:bookmarkStart w:id="248" w:name="_Toc247767736"/>
      <w:bookmarkStart w:id="249" w:name="_Toc157361335"/>
      <w:bookmarkStart w:id="250" w:name="_Toc214159229"/>
      <w:r>
        <w:rPr>
          <w:rFonts w:eastAsiaTheme="minorEastAsia"/>
          <w:bCs/>
          <w:sz w:val="24"/>
        </w:rPr>
        <w:fldChar w:fldCharType="begin"/>
      </w:r>
      <w:r>
        <w:rPr>
          <w:rFonts w:eastAsiaTheme="minorEastAsia"/>
          <w:bCs/>
          <w:sz w:val="24"/>
        </w:rPr>
        <w:instrText xml:space="preserve"> = 3 \* ROMAN </w:instrText>
      </w:r>
      <w:r>
        <w:rPr>
          <w:rFonts w:eastAsiaTheme="minorEastAsia"/>
          <w:bCs/>
          <w:sz w:val="24"/>
        </w:rPr>
        <w:fldChar w:fldCharType="separate"/>
      </w:r>
      <w:r>
        <w:rPr>
          <w:rFonts w:eastAsiaTheme="minorEastAsia"/>
          <w:bCs/>
          <w:sz w:val="24"/>
        </w:rPr>
        <w:t>III</w:t>
      </w:r>
      <w:r>
        <w:rPr>
          <w:rFonts w:eastAsiaTheme="minorEastAsia"/>
          <w:bCs/>
          <w:sz w:val="24"/>
        </w:rPr>
        <w:fldChar w:fldCharType="end"/>
      </w:r>
      <w:r>
        <w:rPr>
          <w:rFonts w:hAnsiTheme="minorEastAsia" w:eastAsiaTheme="minorEastAsia"/>
          <w:bCs/>
          <w:sz w:val="24"/>
        </w:rPr>
        <w:t>类标准，对</w:t>
      </w:r>
      <w:r>
        <w:rPr>
          <w:rFonts w:hint="eastAsia" w:hAnsiTheme="minorEastAsia" w:eastAsiaTheme="minorEastAsia"/>
          <w:bCs/>
          <w:sz w:val="24"/>
        </w:rPr>
        <w:t>湫水</w:t>
      </w:r>
      <w:r>
        <w:rPr>
          <w:rFonts w:hAnsiTheme="minorEastAsia" w:eastAsiaTheme="minorEastAsia"/>
          <w:bCs/>
          <w:sz w:val="24"/>
        </w:rPr>
        <w:t>河水环境影响较小。</w:t>
      </w:r>
    </w:p>
    <w:p>
      <w:pPr>
        <w:spacing w:line="360" w:lineRule="auto"/>
        <w:outlineLvl w:val="3"/>
        <w:rPr>
          <w:rFonts w:eastAsiaTheme="minorEastAsia"/>
          <w:b/>
          <w:sz w:val="24"/>
        </w:rPr>
      </w:pPr>
      <w:r>
        <w:rPr>
          <w:rFonts w:eastAsiaTheme="minorEastAsia"/>
          <w:b/>
          <w:sz w:val="24"/>
        </w:rPr>
        <w:t>5.3.</w:t>
      </w:r>
      <w:r>
        <w:rPr>
          <w:rFonts w:hint="eastAsia" w:eastAsiaTheme="minorEastAsia"/>
          <w:b/>
          <w:sz w:val="24"/>
        </w:rPr>
        <w:t>2.4</w:t>
      </w:r>
      <w:r>
        <w:rPr>
          <w:rFonts w:eastAsiaTheme="minorEastAsia"/>
          <w:b/>
          <w:sz w:val="24"/>
        </w:rPr>
        <w:t>采煤对地表水环境影响分析</w:t>
      </w:r>
      <w:bookmarkEnd w:id="247"/>
      <w:bookmarkEnd w:id="248"/>
      <w:bookmarkEnd w:id="249"/>
      <w:bookmarkEnd w:id="250"/>
    </w:p>
    <w:p>
      <w:pPr>
        <w:spacing w:line="360" w:lineRule="auto"/>
        <w:ind w:firstLine="480" w:firstLineChars="200"/>
        <w:rPr>
          <w:rFonts w:eastAsiaTheme="minorEastAsia"/>
          <w:sz w:val="24"/>
        </w:rPr>
      </w:pPr>
      <w:bookmarkStart w:id="251" w:name="_Toc214159230"/>
      <w:r>
        <w:rPr>
          <w:rFonts w:eastAsiaTheme="minorEastAsia"/>
          <w:sz w:val="24"/>
        </w:rPr>
        <w:t>1</w:t>
      </w:r>
      <w:r>
        <w:rPr>
          <w:rFonts w:hAnsiTheme="minorEastAsia" w:eastAsiaTheme="minorEastAsia"/>
          <w:sz w:val="24"/>
        </w:rPr>
        <w:t>、概述</w:t>
      </w:r>
      <w:bookmarkEnd w:id="251"/>
    </w:p>
    <w:p>
      <w:pPr>
        <w:spacing w:line="360" w:lineRule="auto"/>
        <w:ind w:firstLine="480" w:firstLineChars="200"/>
        <w:rPr>
          <w:rFonts w:eastAsiaTheme="minorEastAsia"/>
          <w:sz w:val="24"/>
        </w:rPr>
      </w:pPr>
      <w:r>
        <w:rPr>
          <w:rFonts w:hAnsiTheme="minorEastAsia" w:eastAsiaTheme="minorEastAsia"/>
          <w:sz w:val="24"/>
        </w:rPr>
        <w:t>煤矿开采过程中，不可避免地将对地质环境造成一定的影响。地质环境的变化可分为</w:t>
      </w:r>
      <w:r>
        <w:rPr>
          <w:rFonts w:asciiTheme="minorEastAsia" w:hAnsiTheme="minorEastAsia" w:eastAsiaTheme="minorEastAsia"/>
          <w:sz w:val="24"/>
        </w:rPr>
        <w:t>Ⅰ</w:t>
      </w:r>
      <w:r>
        <w:rPr>
          <w:rFonts w:hAnsiTheme="minorEastAsia" w:eastAsiaTheme="minorEastAsia"/>
          <w:sz w:val="24"/>
        </w:rPr>
        <w:t>带</w:t>
      </w:r>
      <w:r>
        <w:rPr>
          <w:rFonts w:eastAsiaTheme="minorEastAsia"/>
          <w:sz w:val="24"/>
        </w:rPr>
        <w:t>---</w:t>
      </w:r>
      <w:r>
        <w:rPr>
          <w:rFonts w:hAnsiTheme="minorEastAsia" w:eastAsiaTheme="minorEastAsia"/>
          <w:sz w:val="24"/>
        </w:rPr>
        <w:t>冒落带、</w:t>
      </w:r>
      <w:r>
        <w:rPr>
          <w:rFonts w:asciiTheme="minorEastAsia" w:hAnsiTheme="minorEastAsia" w:eastAsiaTheme="minorEastAsia"/>
          <w:sz w:val="24"/>
        </w:rPr>
        <w:t>Ⅱ</w:t>
      </w:r>
      <w:r>
        <w:rPr>
          <w:rFonts w:hAnsiTheme="minorEastAsia" w:eastAsiaTheme="minorEastAsia"/>
          <w:sz w:val="24"/>
        </w:rPr>
        <w:t>带</w:t>
      </w:r>
      <w:r>
        <w:rPr>
          <w:rFonts w:eastAsiaTheme="minorEastAsia"/>
          <w:sz w:val="24"/>
        </w:rPr>
        <w:t>---</w:t>
      </w:r>
      <w:r>
        <w:rPr>
          <w:rFonts w:hAnsiTheme="minorEastAsia" w:eastAsiaTheme="minorEastAsia"/>
          <w:sz w:val="24"/>
        </w:rPr>
        <w:t>裂隙带和</w:t>
      </w:r>
      <w:r>
        <w:rPr>
          <w:rFonts w:asciiTheme="minorEastAsia" w:hAnsiTheme="minorEastAsia" w:eastAsiaTheme="minorEastAsia"/>
          <w:sz w:val="24"/>
        </w:rPr>
        <w:t>Ⅲ</w:t>
      </w:r>
      <w:r>
        <w:rPr>
          <w:rFonts w:hAnsiTheme="minorEastAsia" w:eastAsiaTheme="minorEastAsia"/>
          <w:sz w:val="24"/>
        </w:rPr>
        <w:t>带</w:t>
      </w:r>
      <w:r>
        <w:rPr>
          <w:rFonts w:eastAsiaTheme="minorEastAsia"/>
          <w:sz w:val="24"/>
        </w:rPr>
        <w:t>---</w:t>
      </w:r>
      <w:r>
        <w:rPr>
          <w:rFonts w:hAnsiTheme="minorEastAsia" w:eastAsiaTheme="minorEastAsia"/>
          <w:sz w:val="24"/>
        </w:rPr>
        <w:t>整体移动带。其中具有重要影响的是冒落带和裂隙带。当一个地层煤开采后，其上部岩层移动破坏时，一方面如果产生的裂隙带达到地表，则将引起地表水的渗漏；另一方面，煤层顶板以上含水层遭到破坏、疏干，水位的下降将影响泉流的排泄，使其流量减小甚至断流。</w:t>
      </w:r>
    </w:p>
    <w:p>
      <w:pPr>
        <w:spacing w:line="360" w:lineRule="auto"/>
        <w:ind w:firstLine="480" w:firstLineChars="200"/>
        <w:rPr>
          <w:rFonts w:eastAsiaTheme="minorEastAsia"/>
          <w:sz w:val="24"/>
        </w:rPr>
      </w:pPr>
      <w:bookmarkStart w:id="252" w:name="_Toc214159231"/>
      <w:r>
        <w:rPr>
          <w:rFonts w:eastAsiaTheme="minorEastAsia"/>
          <w:sz w:val="24"/>
        </w:rPr>
        <w:t>2</w:t>
      </w:r>
      <w:r>
        <w:rPr>
          <w:rFonts w:hAnsiTheme="minorEastAsia" w:eastAsiaTheme="minorEastAsia"/>
          <w:sz w:val="24"/>
        </w:rPr>
        <w:t>、矿井开采对地表水的影响分析</w:t>
      </w:r>
      <w:bookmarkEnd w:id="252"/>
    </w:p>
    <w:p>
      <w:pPr>
        <w:spacing w:line="360" w:lineRule="auto"/>
        <w:ind w:firstLine="480" w:firstLineChars="200"/>
        <w:rPr>
          <w:rFonts w:eastAsiaTheme="minorEastAsia"/>
          <w:sz w:val="24"/>
        </w:rPr>
      </w:pPr>
      <w:r>
        <w:rPr>
          <w:rFonts w:hAnsiTheme="minorEastAsia" w:eastAsiaTheme="minorEastAsia"/>
          <w:sz w:val="24"/>
        </w:rPr>
        <w:t>煤矿开采过程中，若存在隐含断裂构造时，有可能沟通地表裂缝，使地表水向地下渗漏，而地表裂缝有可能造成地表潜水及浅层水下渗，渗漏过程中泥土淤积逐渐会将裂缝填堵，经过一段时间即可恢复。为防止洪水对井田的影响，本工程井口标高设计均在洪水水位之上，因此井口和工业场地均不受洪水威胁。煤矿开采过程中，因地表塌陷造成地表出现裂缝时，应及时进行填平压实。</w:t>
      </w:r>
    </w:p>
    <w:p>
      <w:pPr>
        <w:spacing w:line="360" w:lineRule="auto"/>
        <w:outlineLvl w:val="3"/>
        <w:rPr>
          <w:rFonts w:eastAsiaTheme="minorEastAsia"/>
          <w:b/>
          <w:sz w:val="24"/>
        </w:rPr>
      </w:pPr>
      <w:bookmarkStart w:id="253" w:name="_Toc247767737"/>
      <w:bookmarkStart w:id="254" w:name="_Toc225156387"/>
      <w:bookmarkStart w:id="255" w:name="_Toc214159232"/>
      <w:bookmarkStart w:id="256" w:name="_Toc157361336"/>
      <w:bookmarkStart w:id="257" w:name="_Toc82630021"/>
      <w:r>
        <w:rPr>
          <w:rFonts w:eastAsiaTheme="minorEastAsia"/>
          <w:b/>
          <w:sz w:val="24"/>
        </w:rPr>
        <w:t>5.3.</w:t>
      </w:r>
      <w:r>
        <w:rPr>
          <w:rFonts w:hint="eastAsia" w:eastAsiaTheme="minorEastAsia"/>
          <w:b/>
          <w:sz w:val="24"/>
        </w:rPr>
        <w:t>2.5</w:t>
      </w:r>
      <w:r>
        <w:rPr>
          <w:rFonts w:eastAsiaTheme="minorEastAsia"/>
          <w:b/>
          <w:sz w:val="24"/>
        </w:rPr>
        <w:t>地表水环境保护措施</w:t>
      </w:r>
      <w:bookmarkEnd w:id="253"/>
      <w:bookmarkEnd w:id="254"/>
      <w:bookmarkEnd w:id="255"/>
      <w:bookmarkEnd w:id="256"/>
      <w:bookmarkEnd w:id="257"/>
    </w:p>
    <w:p>
      <w:pPr>
        <w:spacing w:line="360" w:lineRule="auto"/>
        <w:ind w:firstLine="480" w:firstLineChars="200"/>
        <w:rPr>
          <w:rFonts w:eastAsiaTheme="minorEastAsia"/>
          <w:sz w:val="24"/>
        </w:rPr>
      </w:pPr>
      <w:r>
        <w:rPr>
          <w:rFonts w:hAnsiTheme="minorEastAsia" w:eastAsiaTheme="minorEastAsia"/>
          <w:sz w:val="24"/>
        </w:rPr>
        <w:t>煤矿开采对周围地表水环境的影响情况如下：</w:t>
      </w:r>
    </w:p>
    <w:p>
      <w:pPr>
        <w:spacing w:line="360" w:lineRule="auto"/>
        <w:ind w:firstLine="480" w:firstLineChars="200"/>
        <w:rPr>
          <w:rFonts w:eastAsiaTheme="minorEastAsia"/>
          <w:sz w:val="24"/>
        </w:rPr>
      </w:pPr>
      <w:bookmarkStart w:id="258" w:name="_Toc214159233"/>
      <w:bookmarkStart w:id="259" w:name="_Toc225156388"/>
      <w:r>
        <w:rPr>
          <w:rFonts w:hAnsiTheme="minorEastAsia" w:eastAsiaTheme="minorEastAsia"/>
          <w:sz w:val="24"/>
        </w:rPr>
        <w:t>（</w:t>
      </w:r>
      <w:r>
        <w:rPr>
          <w:rFonts w:eastAsiaTheme="minorEastAsia"/>
          <w:sz w:val="24"/>
        </w:rPr>
        <w:t>1</w:t>
      </w:r>
      <w:r>
        <w:rPr>
          <w:rFonts w:hAnsiTheme="minorEastAsia" w:eastAsiaTheme="minorEastAsia"/>
          <w:sz w:val="24"/>
        </w:rPr>
        <w:t>）井下排水、生产生活污水对地表水环境的影响；</w:t>
      </w:r>
      <w:bookmarkEnd w:id="258"/>
      <w:bookmarkEnd w:id="259"/>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）下雨时，工业场地的煤尘被雨水带入河中，对地表水造成污染；</w:t>
      </w:r>
    </w:p>
    <w:p>
      <w:pPr>
        <w:spacing w:line="360" w:lineRule="auto"/>
        <w:ind w:firstLine="480" w:firstLineChars="200"/>
        <w:rPr>
          <w:rFonts w:eastAsiaTheme="minorEastAsia"/>
          <w:sz w:val="24"/>
        </w:rPr>
      </w:pPr>
      <w:bookmarkStart w:id="260" w:name="_Toc225156389"/>
      <w:bookmarkStart w:id="261" w:name="_Toc214159234"/>
      <w:r>
        <w:rPr>
          <w:rFonts w:hAnsiTheme="minorEastAsia" w:eastAsiaTheme="minorEastAsia"/>
          <w:sz w:val="24"/>
        </w:rPr>
        <w:t>（</w:t>
      </w:r>
      <w:r>
        <w:rPr>
          <w:rFonts w:eastAsiaTheme="minorEastAsia"/>
          <w:sz w:val="24"/>
        </w:rPr>
        <w:t>3</w:t>
      </w:r>
      <w:r>
        <w:rPr>
          <w:rFonts w:hAnsiTheme="minorEastAsia" w:eastAsiaTheme="minorEastAsia"/>
          <w:sz w:val="24"/>
        </w:rPr>
        <w:t>）下雨时矸石淋溶对地表水造成的影响；</w:t>
      </w:r>
      <w:bookmarkEnd w:id="260"/>
      <w:bookmarkEnd w:id="261"/>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）煤矿开采过程中对地质环境造成一定的影响，产生的裂隙带达到地表，则将引起地表水的渗漏；另一方面，煤层顶板以上含水层遭到破坏、疏干，水位的下降将影响泉流的排泄，使其流量减小甚至断流。</w:t>
      </w:r>
    </w:p>
    <w:p>
      <w:pPr>
        <w:spacing w:line="360" w:lineRule="auto"/>
        <w:ind w:firstLine="480" w:firstLineChars="200"/>
        <w:rPr>
          <w:rFonts w:eastAsiaTheme="minorEastAsia"/>
          <w:sz w:val="24"/>
        </w:rPr>
      </w:pPr>
      <w:r>
        <w:rPr>
          <w:rFonts w:hAnsiTheme="minorEastAsia" w:eastAsiaTheme="minorEastAsia"/>
          <w:sz w:val="24"/>
        </w:rPr>
        <w:t>为此，现有的环境保护措施：</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）井下排水排入矿井水处理站经处理达到地表水</w:t>
      </w:r>
      <w:r>
        <w:rPr>
          <w:rFonts w:asciiTheme="minorEastAsia" w:hAnsiTheme="minorEastAsia" w:eastAsiaTheme="minorEastAsia"/>
          <w:sz w:val="24"/>
        </w:rPr>
        <w:t>Ⅲ</w:t>
      </w:r>
      <w:r>
        <w:rPr>
          <w:rFonts w:hAnsiTheme="minorEastAsia" w:eastAsiaTheme="minorEastAsia"/>
          <w:sz w:val="24"/>
        </w:rPr>
        <w:t>类标准后，优先回用。</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）生活污水排入生活污水处理站经处理达到地表水</w:t>
      </w:r>
      <w:r>
        <w:rPr>
          <w:rFonts w:asciiTheme="minorEastAsia" w:hAnsiTheme="minorEastAsia" w:eastAsiaTheme="minorEastAsia"/>
          <w:sz w:val="24"/>
        </w:rPr>
        <w:t>Ⅲ</w:t>
      </w:r>
      <w:r>
        <w:rPr>
          <w:rFonts w:hAnsiTheme="minorEastAsia" w:eastAsiaTheme="minorEastAsia"/>
          <w:sz w:val="24"/>
        </w:rPr>
        <w:t>类标准后，优先回用。</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）工业场地、运输道路设置了洗车平台，并进行了硬化处理，并设初期雨水收集池。</w:t>
      </w:r>
    </w:p>
    <w:p>
      <w:pPr>
        <w:spacing w:line="360" w:lineRule="auto"/>
        <w:ind w:firstLine="480" w:firstLineChars="200"/>
        <w:rPr>
          <w:rFonts w:eastAsiaTheme="minorEastAsia"/>
          <w:sz w:val="24"/>
        </w:rPr>
      </w:pPr>
      <w:bookmarkStart w:id="262" w:name="_Toc214159235"/>
      <w:bookmarkStart w:id="263" w:name="_Toc225156390"/>
      <w:r>
        <w:rPr>
          <w:rFonts w:hAnsiTheme="minorEastAsia" w:eastAsiaTheme="minorEastAsia"/>
          <w:sz w:val="24"/>
        </w:rPr>
        <w:t>（</w:t>
      </w:r>
      <w:r>
        <w:rPr>
          <w:rFonts w:eastAsiaTheme="minorEastAsia"/>
          <w:sz w:val="24"/>
        </w:rPr>
        <w:t>4</w:t>
      </w:r>
      <w:r>
        <w:rPr>
          <w:rFonts w:hAnsiTheme="minorEastAsia" w:eastAsiaTheme="minorEastAsia"/>
          <w:sz w:val="24"/>
        </w:rPr>
        <w:t>）初期雨水收集池</w:t>
      </w:r>
      <w:bookmarkEnd w:id="262"/>
      <w:bookmarkEnd w:id="263"/>
    </w:p>
    <w:p>
      <w:pPr>
        <w:spacing w:line="360" w:lineRule="auto"/>
        <w:ind w:firstLine="480" w:firstLineChars="200"/>
        <w:rPr>
          <w:rFonts w:hAnsiTheme="minorEastAsia" w:eastAsiaTheme="minorEastAsia"/>
          <w:sz w:val="24"/>
        </w:rPr>
      </w:pPr>
      <w:r>
        <w:rPr>
          <w:rFonts w:hAnsiTheme="minorEastAsia" w:eastAsiaTheme="minorEastAsia"/>
          <w:sz w:val="24"/>
        </w:rPr>
        <w:t>工业场地中部偏东侧设一座500m</w:t>
      </w:r>
      <w:r>
        <w:rPr>
          <w:rFonts w:hAnsiTheme="minorEastAsia" w:eastAsiaTheme="minorEastAsia"/>
          <w:sz w:val="24"/>
          <w:vertAlign w:val="superscript"/>
        </w:rPr>
        <w:t>3</w:t>
      </w:r>
      <w:r>
        <w:rPr>
          <w:rFonts w:hAnsiTheme="minorEastAsia" w:eastAsiaTheme="minorEastAsia"/>
          <w:sz w:val="24"/>
        </w:rPr>
        <w:t>的初期雨水收集池。初期雨水通过工业场地雨水管网汇集至雨水收集池后，由潜水泵打到煤泥水处理系统和矿井水处理站进行处理。</w:t>
      </w:r>
    </w:p>
    <w:p>
      <w:pPr>
        <w:spacing w:line="360" w:lineRule="auto"/>
        <w:ind w:firstLine="480" w:firstLineChars="200"/>
        <w:rPr>
          <w:rFonts w:eastAsiaTheme="minorEastAsia"/>
          <w:sz w:val="24"/>
        </w:rPr>
      </w:pPr>
      <w:r>
        <w:rPr>
          <w:rFonts w:hAnsiTheme="minorEastAsia" w:eastAsiaTheme="minorEastAsia"/>
          <w:sz w:val="24"/>
        </w:rPr>
        <w:t>综上所述，现有的地表水环境保护措施，可以满足环保要求，不会对地表水产生较大影响。</w:t>
      </w:r>
    </w:p>
    <w:p>
      <w:pPr>
        <w:spacing w:line="360" w:lineRule="auto"/>
        <w:outlineLvl w:val="3"/>
        <w:rPr>
          <w:rFonts w:eastAsiaTheme="minorEastAsia"/>
          <w:b/>
          <w:sz w:val="24"/>
        </w:rPr>
      </w:pPr>
      <w:r>
        <w:rPr>
          <w:rFonts w:eastAsiaTheme="minorEastAsia"/>
          <w:b/>
          <w:sz w:val="24"/>
        </w:rPr>
        <w:t>5.3.</w:t>
      </w:r>
      <w:r>
        <w:rPr>
          <w:rFonts w:hint="eastAsia" w:eastAsiaTheme="minorEastAsia"/>
          <w:b/>
          <w:sz w:val="24"/>
        </w:rPr>
        <w:t>2.6</w:t>
      </w:r>
      <w:r>
        <w:rPr>
          <w:rFonts w:eastAsiaTheme="minorEastAsia"/>
          <w:b/>
          <w:sz w:val="24"/>
        </w:rPr>
        <w:t>小结</w:t>
      </w:r>
    </w:p>
    <w:p>
      <w:pPr>
        <w:spacing w:line="360" w:lineRule="auto"/>
        <w:ind w:firstLine="480" w:firstLineChars="200"/>
        <w:rPr>
          <w:rFonts w:hAnsiTheme="minorEastAsia" w:eastAsiaTheme="minorEastAsia"/>
          <w:sz w:val="24"/>
        </w:rPr>
      </w:pPr>
      <w:r>
        <w:rPr>
          <w:rFonts w:hAnsiTheme="minorEastAsia" w:eastAsiaTheme="minorEastAsia"/>
          <w:sz w:val="24"/>
        </w:rPr>
        <w:t>本区内主要河流为</w:t>
      </w:r>
      <w:r>
        <w:rPr>
          <w:rFonts w:hint="eastAsia" w:hAnsiTheme="minorEastAsia" w:eastAsiaTheme="minorEastAsia"/>
          <w:sz w:val="24"/>
        </w:rPr>
        <w:t>湫水</w:t>
      </w:r>
      <w:r>
        <w:rPr>
          <w:rFonts w:hAnsiTheme="minorEastAsia" w:eastAsiaTheme="minorEastAsia"/>
          <w:sz w:val="24"/>
        </w:rPr>
        <w:t>河，从</w:t>
      </w:r>
      <w:r>
        <w:rPr>
          <w:rFonts w:hint="eastAsia" w:hAnsiTheme="minorEastAsia" w:eastAsiaTheme="minorEastAsia"/>
          <w:sz w:val="24"/>
        </w:rPr>
        <w:t>新工</w:t>
      </w:r>
      <w:r>
        <w:rPr>
          <w:rFonts w:hAnsiTheme="minorEastAsia" w:eastAsiaTheme="minorEastAsia"/>
          <w:sz w:val="24"/>
        </w:rPr>
        <w:t>井田</w:t>
      </w:r>
      <w:r>
        <w:rPr>
          <w:rFonts w:hint="eastAsia" w:hAnsiTheme="minorEastAsia" w:eastAsiaTheme="minorEastAsia"/>
          <w:sz w:val="24"/>
        </w:rPr>
        <w:t>西</w:t>
      </w:r>
      <w:r>
        <w:rPr>
          <w:rFonts w:hAnsiTheme="minorEastAsia" w:eastAsiaTheme="minorEastAsia"/>
          <w:sz w:val="24"/>
        </w:rPr>
        <w:t>部流过，</w:t>
      </w:r>
      <w:r>
        <w:rPr>
          <w:rFonts w:hint="eastAsia" w:hAnsiTheme="minorEastAsia" w:eastAsiaTheme="minorEastAsia"/>
          <w:sz w:val="24"/>
        </w:rPr>
        <w:t>井田内无常年性河流，沟谷发育，沟内平时无水，雨季有洪水流过，水流方向为先向西北流入湫水河，再向西南汇入黄河。</w:t>
      </w:r>
    </w:p>
    <w:p>
      <w:pPr>
        <w:spacing w:line="360" w:lineRule="auto"/>
        <w:ind w:firstLine="480" w:firstLineChars="200"/>
        <w:rPr>
          <w:rFonts w:eastAsiaTheme="minorEastAsia"/>
          <w:sz w:val="24"/>
        </w:rPr>
      </w:pPr>
      <w:r>
        <w:rPr>
          <w:rFonts w:hAnsiTheme="minorEastAsia" w:eastAsiaTheme="minorEastAsia"/>
          <w:sz w:val="24"/>
        </w:rPr>
        <w:t>本矿井水和生活污水经处理后达到《地表水环境质量标准》（</w:t>
      </w:r>
      <w:r>
        <w:rPr>
          <w:rFonts w:eastAsiaTheme="minorEastAsia"/>
          <w:sz w:val="24"/>
        </w:rPr>
        <w:t>GB3838-2002</w:t>
      </w:r>
      <w:r>
        <w:rPr>
          <w:rFonts w:hAnsiTheme="minorEastAsia" w:eastAsiaTheme="minorEastAsia"/>
          <w:sz w:val="24"/>
        </w:rPr>
        <w:t>）Ⅲ类标准后，</w:t>
      </w:r>
      <w:r>
        <w:rPr>
          <w:rFonts w:hint="eastAsia" w:hAnsiTheme="minorEastAsia" w:eastAsiaTheme="minorEastAsia"/>
          <w:sz w:val="24"/>
        </w:rPr>
        <w:t>回用，不外排</w:t>
      </w:r>
      <w:r>
        <w:rPr>
          <w:rFonts w:hAnsiTheme="minorEastAsia" w:eastAsiaTheme="minorEastAsia"/>
          <w:sz w:val="24"/>
        </w:rPr>
        <w:t>。</w:t>
      </w:r>
    </w:p>
    <w:p>
      <w:pPr>
        <w:spacing w:line="360" w:lineRule="auto"/>
        <w:ind w:firstLine="480" w:firstLineChars="200"/>
        <w:rPr>
          <w:rFonts w:eastAsiaTheme="minorEastAsia"/>
          <w:bCs/>
          <w:sz w:val="24"/>
        </w:rPr>
        <w:sectPr>
          <w:pgSz w:w="11906" w:h="16838"/>
          <w:pgMar w:top="1701" w:right="1418" w:bottom="1701" w:left="1418" w:header="992" w:footer="992" w:gutter="0"/>
          <w:cols w:space="425" w:num="1"/>
          <w:docGrid w:linePitch="312" w:charSpace="0"/>
        </w:sectPr>
      </w:pP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64" w:name="_Toc71551943"/>
      <w:r>
        <w:rPr>
          <w:rFonts w:ascii="Times New Roman" w:hAnsi="Times New Roman" w:eastAsiaTheme="minorEastAsia"/>
          <w:kern w:val="44"/>
          <w:sz w:val="30"/>
          <w:szCs w:val="30"/>
        </w:rPr>
        <w:t>5.4</w:t>
      </w:r>
      <w:r>
        <w:rPr>
          <w:rFonts w:ascii="Times New Roman" w:hAnsiTheme="minorEastAsia" w:eastAsiaTheme="minorEastAsia"/>
          <w:kern w:val="44"/>
          <w:sz w:val="30"/>
          <w:szCs w:val="30"/>
        </w:rPr>
        <w:t>地下水环境影响评价</w:t>
      </w:r>
      <w:bookmarkEnd w:id="264"/>
    </w:p>
    <w:p>
      <w:pPr>
        <w:spacing w:line="360" w:lineRule="auto"/>
        <w:outlineLvl w:val="2"/>
        <w:rPr>
          <w:rFonts w:eastAsiaTheme="minorEastAsia"/>
          <w:b/>
          <w:sz w:val="24"/>
        </w:rPr>
      </w:pPr>
      <w:bookmarkStart w:id="265" w:name="_Toc489427096"/>
      <w:r>
        <w:rPr>
          <w:rFonts w:eastAsiaTheme="minorEastAsia"/>
          <w:b/>
          <w:sz w:val="24"/>
        </w:rPr>
        <w:t>5.4.1</w:t>
      </w:r>
      <w:r>
        <w:rPr>
          <w:rFonts w:hAnsiTheme="minorEastAsia" w:eastAsiaTheme="minorEastAsia"/>
          <w:b/>
          <w:sz w:val="24"/>
        </w:rPr>
        <w:t>地下水环境影响评价</w:t>
      </w:r>
      <w:bookmarkEnd w:id="265"/>
    </w:p>
    <w:p>
      <w:pPr>
        <w:spacing w:line="360" w:lineRule="auto"/>
        <w:ind w:firstLine="480" w:firstLineChars="200"/>
        <w:rPr>
          <w:rFonts w:eastAsiaTheme="minorEastAsia"/>
          <w:sz w:val="24"/>
        </w:rPr>
      </w:pPr>
      <w:r>
        <w:rPr>
          <w:rFonts w:hAnsiTheme="minorEastAsia" w:eastAsiaTheme="minorEastAsia"/>
          <w:sz w:val="24"/>
        </w:rPr>
        <w:t>根据对评价区深、浅层地下水的补给、径流和排泄途径的分析，结合本项目生产过程中的污染物产生及排放情况，分析本项目对地下水环境的影响途径如下：</w:t>
      </w:r>
    </w:p>
    <w:p>
      <w:pPr>
        <w:pStyle w:val="68"/>
        <w:rPr>
          <w:rFonts w:hAnsi="Times New Roman" w:cs="Times New Roman" w:eastAsiaTheme="minorEastAsia"/>
        </w:rPr>
      </w:pPr>
      <w:r>
        <w:rPr>
          <w:rFonts w:cs="Times New Roman" w:hAnsiTheme="minorEastAsia" w:eastAsiaTheme="minorEastAsia"/>
        </w:rPr>
        <w:t>正常工况下，工业场地和风井场地生活污水经处理后回用于</w:t>
      </w:r>
      <w:r>
        <w:rPr>
          <w:rFonts w:hint="eastAsia" w:hAnsiTheme="minorEastAsia" w:eastAsiaTheme="minorEastAsia"/>
          <w:bCs/>
        </w:rPr>
        <w:t>储煤场洒水、厂区道路洒水、绿化洒水、洗车平台用水，其余送至龙宇洗煤厂作为洗煤厂补充水，生活污水全部回用，不外排</w:t>
      </w:r>
      <w:r>
        <w:rPr>
          <w:rFonts w:cs="Times New Roman" w:hAnsiTheme="minorEastAsia" w:eastAsiaTheme="minorEastAsia"/>
        </w:rPr>
        <w:t>；矿井水经处理后部分用于井下生产、</w:t>
      </w:r>
      <w:r>
        <w:rPr>
          <w:rFonts w:hint="eastAsia" w:cs="Times New Roman" w:hAnsiTheme="minorEastAsia" w:eastAsiaTheme="minorEastAsia"/>
        </w:rPr>
        <w:t>洗车平台用水和锅炉补充用水</w:t>
      </w:r>
      <w:r>
        <w:rPr>
          <w:rFonts w:cs="Times New Roman" w:hAnsiTheme="minorEastAsia" w:eastAsiaTheme="minorEastAsia"/>
        </w:rPr>
        <w:t>等，</w:t>
      </w:r>
      <w:r>
        <w:rPr>
          <w:rFonts w:hint="eastAsia" w:cs="Times New Roman" w:hAnsiTheme="minorEastAsia" w:eastAsiaTheme="minorEastAsia"/>
        </w:rPr>
        <w:t>不外排</w:t>
      </w:r>
      <w:r>
        <w:rPr>
          <w:rFonts w:cs="Times New Roman" w:hAnsiTheme="minorEastAsia" w:eastAsiaTheme="minorEastAsia"/>
        </w:rPr>
        <w:t>；不会对地下水环境产生影响。</w:t>
      </w:r>
    </w:p>
    <w:p>
      <w:pPr>
        <w:spacing w:line="360" w:lineRule="auto"/>
        <w:ind w:firstLine="480" w:firstLineChars="200"/>
        <w:rPr>
          <w:rFonts w:eastAsiaTheme="minorEastAsia"/>
          <w:sz w:val="24"/>
        </w:rPr>
      </w:pPr>
      <w:r>
        <w:rPr>
          <w:rFonts w:hAnsiTheme="minorEastAsia" w:eastAsiaTheme="minorEastAsia"/>
          <w:sz w:val="24"/>
        </w:rPr>
        <w:t>非正常工况下，矿井水、生活污水处理站及其收集管道发生渗漏，未经处理的污、废水直接进入浅层地下水，对浅层地下水环境产生影响；受污染的浅层地下水下渗污染深层地下水。</w:t>
      </w:r>
    </w:p>
    <w:p>
      <w:pPr>
        <w:spacing w:line="360" w:lineRule="auto"/>
        <w:outlineLvl w:val="2"/>
        <w:rPr>
          <w:rFonts w:eastAsiaTheme="minorEastAsia"/>
          <w:b/>
          <w:sz w:val="24"/>
        </w:rPr>
      </w:pPr>
      <w:r>
        <w:rPr>
          <w:rFonts w:eastAsiaTheme="minorEastAsia"/>
          <w:b/>
          <w:sz w:val="24"/>
        </w:rPr>
        <w:t>5.4.2</w:t>
      </w:r>
      <w:r>
        <w:rPr>
          <w:rFonts w:hAnsiTheme="minorEastAsia" w:eastAsiaTheme="minorEastAsia"/>
          <w:b/>
          <w:sz w:val="24"/>
        </w:rPr>
        <w:t>区域地质与水文地质条件</w:t>
      </w:r>
    </w:p>
    <w:p>
      <w:pPr>
        <w:spacing w:line="360" w:lineRule="auto"/>
        <w:ind w:firstLine="480" w:firstLineChars="200"/>
        <w:rPr>
          <w:rFonts w:eastAsiaTheme="minorEastAsia"/>
          <w:sz w:val="24"/>
        </w:rPr>
      </w:pPr>
      <w:r>
        <w:rPr>
          <w:rFonts w:hAnsiTheme="minorEastAsia" w:eastAsiaTheme="minorEastAsia"/>
          <w:sz w:val="24"/>
        </w:rPr>
        <w:t>项目区域地质条件详见</w:t>
      </w:r>
      <w:r>
        <w:rPr>
          <w:rFonts w:eastAsiaTheme="minorEastAsia"/>
          <w:sz w:val="24"/>
        </w:rPr>
        <w:t>4.2.3</w:t>
      </w:r>
      <w:r>
        <w:rPr>
          <w:rFonts w:hAnsiTheme="minorEastAsia" w:eastAsiaTheme="minorEastAsia"/>
          <w:sz w:val="24"/>
        </w:rPr>
        <w:t>及</w:t>
      </w:r>
      <w:r>
        <w:rPr>
          <w:rFonts w:eastAsiaTheme="minorEastAsia"/>
          <w:sz w:val="24"/>
        </w:rPr>
        <w:t>4.2.4</w:t>
      </w:r>
      <w:r>
        <w:rPr>
          <w:rFonts w:hAnsiTheme="minorEastAsia" w:eastAsiaTheme="minorEastAsia"/>
          <w:sz w:val="24"/>
        </w:rPr>
        <w:t>节。</w:t>
      </w:r>
    </w:p>
    <w:p>
      <w:pPr>
        <w:spacing w:line="360" w:lineRule="auto"/>
        <w:outlineLvl w:val="2"/>
        <w:rPr>
          <w:rFonts w:eastAsiaTheme="minorEastAsia"/>
          <w:b/>
          <w:sz w:val="24"/>
        </w:rPr>
      </w:pPr>
      <w:r>
        <w:rPr>
          <w:rFonts w:eastAsiaTheme="minorEastAsia"/>
          <w:b/>
          <w:sz w:val="24"/>
        </w:rPr>
        <w:t>5.4.</w:t>
      </w:r>
      <w:r>
        <w:rPr>
          <w:rFonts w:hint="eastAsia" w:eastAsiaTheme="minorEastAsia"/>
          <w:b/>
          <w:sz w:val="24"/>
        </w:rPr>
        <w:t>3</w:t>
      </w:r>
      <w:r>
        <w:rPr>
          <w:rFonts w:hAnsiTheme="minorEastAsia" w:eastAsiaTheme="minorEastAsia"/>
          <w:b/>
          <w:sz w:val="24"/>
        </w:rPr>
        <w:t>地下水环境影响预测</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、预测因子及源强</w:t>
      </w:r>
    </w:p>
    <w:p>
      <w:pPr>
        <w:spacing w:line="360" w:lineRule="auto"/>
        <w:ind w:firstLine="480" w:firstLineChars="200"/>
        <w:rPr>
          <w:rFonts w:eastAsiaTheme="minorEastAsia"/>
          <w:sz w:val="24"/>
        </w:rPr>
      </w:pPr>
      <w:r>
        <w:rPr>
          <w:rFonts w:hAnsiTheme="minorEastAsia" w:eastAsiaTheme="minorEastAsia"/>
          <w:sz w:val="24"/>
        </w:rPr>
        <w:t>本次评价选取主工业场地的</w:t>
      </w:r>
      <w:r>
        <w:rPr>
          <w:rFonts w:hint="eastAsia" w:hAnsiTheme="minorEastAsia" w:eastAsiaTheme="minorEastAsia"/>
          <w:sz w:val="24"/>
        </w:rPr>
        <w:t>矿井水</w:t>
      </w:r>
      <w:r>
        <w:rPr>
          <w:rFonts w:hAnsiTheme="minorEastAsia" w:eastAsiaTheme="minorEastAsia"/>
          <w:sz w:val="24"/>
        </w:rPr>
        <w:t>处理站</w:t>
      </w:r>
      <w:r>
        <w:rPr>
          <w:rFonts w:eastAsiaTheme="minorEastAsia"/>
          <w:sz w:val="24"/>
        </w:rPr>
        <w:t>NH</w:t>
      </w:r>
      <w:r>
        <w:rPr>
          <w:rFonts w:eastAsiaTheme="minorEastAsia"/>
          <w:sz w:val="24"/>
          <w:vertAlign w:val="subscript"/>
        </w:rPr>
        <w:t>3</w:t>
      </w:r>
      <w:r>
        <w:rPr>
          <w:rFonts w:eastAsiaTheme="minorEastAsia"/>
          <w:sz w:val="24"/>
        </w:rPr>
        <w:t>-N</w:t>
      </w:r>
      <w:r>
        <w:rPr>
          <w:rFonts w:hAnsiTheme="minorEastAsia" w:eastAsiaTheme="minorEastAsia"/>
          <w:sz w:val="24"/>
        </w:rPr>
        <w:t>作为预测因子</w:t>
      </w:r>
      <w:r>
        <w:rPr>
          <w:rFonts w:hint="eastAsia" w:hAnsiTheme="minorEastAsia" w:eastAsiaTheme="minorEastAsia"/>
          <w:sz w:val="24"/>
        </w:rPr>
        <w:t>，</w:t>
      </w:r>
      <w:r>
        <w:rPr>
          <w:rFonts w:hAnsiTheme="minorEastAsia" w:eastAsiaTheme="minorEastAsia"/>
          <w:sz w:val="24"/>
        </w:rPr>
        <w:t>假定主工业场地</w:t>
      </w:r>
      <w:r>
        <w:rPr>
          <w:rFonts w:hint="eastAsia" w:hAnsiTheme="minorEastAsia" w:eastAsiaTheme="minorEastAsia"/>
          <w:sz w:val="24"/>
        </w:rPr>
        <w:t>矿井水</w:t>
      </w:r>
      <w:r>
        <w:rPr>
          <w:rFonts w:hAnsiTheme="minorEastAsia" w:eastAsiaTheme="minorEastAsia"/>
          <w:sz w:val="24"/>
        </w:rPr>
        <w:t>处理站</w:t>
      </w:r>
      <w:r>
        <w:rPr>
          <w:rFonts w:hint="eastAsia" w:hAnsiTheme="minorEastAsia" w:eastAsiaTheme="minorEastAsia"/>
          <w:sz w:val="24"/>
        </w:rPr>
        <w:t>斜管沉淀池</w:t>
      </w:r>
      <w:r>
        <w:rPr>
          <w:rFonts w:hAnsiTheme="minorEastAsia" w:eastAsiaTheme="minorEastAsia"/>
          <w:sz w:val="24"/>
        </w:rPr>
        <w:t>池底发生渗漏，池底面积为</w:t>
      </w:r>
      <w:r>
        <w:rPr>
          <w:rFonts w:hint="eastAsia" w:eastAsiaTheme="minorEastAsia"/>
          <w:sz w:val="24"/>
        </w:rPr>
        <w:t>208</w:t>
      </w:r>
      <w:r>
        <w:rPr>
          <w:rFonts w:eastAsiaTheme="minorEastAsia"/>
          <w:sz w:val="24"/>
        </w:rPr>
        <w:t>m</w:t>
      </w:r>
      <w:r>
        <w:rPr>
          <w:rFonts w:eastAsiaTheme="minorEastAsia"/>
          <w:sz w:val="24"/>
          <w:vertAlign w:val="superscript"/>
        </w:rPr>
        <w:t>2</w:t>
      </w:r>
      <w:r>
        <w:rPr>
          <w:rFonts w:hAnsiTheme="minorEastAsia" w:eastAsiaTheme="minorEastAsia"/>
          <w:sz w:val="24"/>
        </w:rPr>
        <w:t>，本次评价渗漏面积按池底</w:t>
      </w:r>
      <w:r>
        <w:rPr>
          <w:rFonts w:eastAsiaTheme="minorEastAsia"/>
          <w:sz w:val="24"/>
        </w:rPr>
        <w:t>10%</w:t>
      </w:r>
      <w:r>
        <w:rPr>
          <w:rFonts w:hAnsiTheme="minorEastAsia" w:eastAsiaTheme="minorEastAsia"/>
          <w:sz w:val="24"/>
        </w:rPr>
        <w:t>考虑，渗漏面积为</w:t>
      </w:r>
      <w:r>
        <w:rPr>
          <w:rFonts w:hint="eastAsia" w:eastAsiaTheme="minorEastAsia"/>
          <w:sz w:val="24"/>
        </w:rPr>
        <w:t>20.8</w:t>
      </w:r>
      <w:r>
        <w:rPr>
          <w:rFonts w:eastAsiaTheme="minorEastAsia"/>
          <w:sz w:val="24"/>
        </w:rPr>
        <w:t>m</w:t>
      </w:r>
      <w:r>
        <w:rPr>
          <w:rFonts w:eastAsiaTheme="minorEastAsia"/>
          <w:sz w:val="24"/>
          <w:vertAlign w:val="superscript"/>
        </w:rPr>
        <w:t>2</w:t>
      </w:r>
      <w:r>
        <w:rPr>
          <w:rFonts w:hAnsiTheme="minorEastAsia" w:eastAsiaTheme="minorEastAsia"/>
          <w:sz w:val="24"/>
        </w:rPr>
        <w:t>。假定污染物在包气带中已达到饱和状态，其渗漏后完全进入含水层，</w:t>
      </w:r>
      <w:r>
        <w:rPr>
          <w:rFonts w:eastAsiaTheme="minorEastAsia"/>
          <w:sz w:val="24"/>
        </w:rPr>
        <w:t>NH</w:t>
      </w:r>
      <w:r>
        <w:rPr>
          <w:rFonts w:eastAsiaTheme="minorEastAsia"/>
          <w:sz w:val="24"/>
          <w:vertAlign w:val="subscript"/>
        </w:rPr>
        <w:t>3</w:t>
      </w:r>
      <w:r>
        <w:rPr>
          <w:rFonts w:eastAsiaTheme="minorEastAsia"/>
          <w:sz w:val="24"/>
        </w:rPr>
        <w:t>-N</w:t>
      </w:r>
      <w:r>
        <w:rPr>
          <w:rFonts w:hAnsiTheme="minorEastAsia" w:eastAsiaTheme="minorEastAsia"/>
          <w:sz w:val="24"/>
        </w:rPr>
        <w:t>初始浓度为</w:t>
      </w:r>
      <w:r>
        <w:rPr>
          <w:rFonts w:hint="eastAsia" w:eastAsiaTheme="minorEastAsia"/>
          <w:sz w:val="24"/>
        </w:rPr>
        <w:t>50</w:t>
      </w:r>
      <w:r>
        <w:rPr>
          <w:rFonts w:eastAsiaTheme="minorEastAsia"/>
          <w:sz w:val="24"/>
        </w:rPr>
        <w:t>mg/L</w:t>
      </w:r>
      <w:r>
        <w:rPr>
          <w:rFonts w:hAnsiTheme="minorEastAsia" w:eastAsiaTheme="minorEastAsia"/>
          <w:sz w:val="24"/>
        </w:rPr>
        <w:t>。则</w:t>
      </w:r>
      <w:r>
        <w:rPr>
          <w:rFonts w:eastAsiaTheme="minorEastAsia"/>
          <w:sz w:val="24"/>
        </w:rPr>
        <w:t>NH</w:t>
      </w:r>
      <w:r>
        <w:rPr>
          <w:rFonts w:eastAsiaTheme="minorEastAsia"/>
          <w:sz w:val="24"/>
          <w:vertAlign w:val="subscript"/>
        </w:rPr>
        <w:t>3</w:t>
      </w:r>
      <w:r>
        <w:rPr>
          <w:rFonts w:eastAsiaTheme="minorEastAsia"/>
          <w:sz w:val="24"/>
        </w:rPr>
        <w:t>-N</w:t>
      </w:r>
      <w:r>
        <w:rPr>
          <w:rFonts w:hAnsiTheme="minorEastAsia" w:eastAsiaTheme="minorEastAsia"/>
          <w:sz w:val="24"/>
        </w:rPr>
        <w:t>渗漏进入含水层中的渗漏量为：</w:t>
      </w:r>
    </w:p>
    <w:p>
      <w:pPr>
        <w:widowControl/>
        <w:spacing w:line="360" w:lineRule="auto"/>
        <w:ind w:firstLine="480" w:firstLineChars="200"/>
        <w:rPr>
          <w:rFonts w:eastAsiaTheme="minorEastAsia"/>
          <w:kern w:val="0"/>
          <w:sz w:val="24"/>
        </w:rPr>
      </w:pPr>
      <w:r>
        <w:rPr>
          <w:rFonts w:eastAsiaTheme="minorEastAsia"/>
          <w:kern w:val="0"/>
          <w:sz w:val="24"/>
        </w:rPr>
        <w:t>NH</w:t>
      </w:r>
      <w:r>
        <w:rPr>
          <w:rFonts w:eastAsiaTheme="minorEastAsia"/>
          <w:kern w:val="0"/>
          <w:sz w:val="24"/>
          <w:vertAlign w:val="subscript"/>
        </w:rPr>
        <w:t>3</w:t>
      </w:r>
      <w:r>
        <w:rPr>
          <w:rFonts w:eastAsiaTheme="minorEastAsia"/>
          <w:kern w:val="0"/>
          <w:sz w:val="24"/>
        </w:rPr>
        <w:t>-N</w:t>
      </w:r>
      <w:r>
        <w:rPr>
          <w:rFonts w:hAnsiTheme="minorEastAsia" w:eastAsiaTheme="minorEastAsia"/>
          <w:kern w:val="0"/>
          <w:sz w:val="24"/>
        </w:rPr>
        <w:t>渗漏量：</w:t>
      </w:r>
      <w:r>
        <w:rPr>
          <w:rFonts w:hint="eastAsia" w:eastAsiaTheme="minorEastAsia"/>
          <w:kern w:val="0"/>
          <w:sz w:val="24"/>
        </w:rPr>
        <w:t>20.8</w:t>
      </w:r>
      <w:r>
        <w:rPr>
          <w:rFonts w:eastAsiaTheme="minorEastAsia"/>
          <w:kern w:val="0"/>
          <w:sz w:val="24"/>
        </w:rPr>
        <w:t>m</w:t>
      </w:r>
      <w:r>
        <w:rPr>
          <w:rFonts w:eastAsiaTheme="minorEastAsia"/>
          <w:kern w:val="0"/>
          <w:sz w:val="24"/>
          <w:vertAlign w:val="superscript"/>
        </w:rPr>
        <w:t>2</w:t>
      </w:r>
      <w:r>
        <w:rPr>
          <w:rFonts w:eastAsiaTheme="minorEastAsia"/>
          <w:kern w:val="0"/>
          <w:sz w:val="24"/>
        </w:rPr>
        <w:t>×0.0409m/d×</w:t>
      </w:r>
      <w:r>
        <w:rPr>
          <w:rFonts w:hint="eastAsia" w:eastAsiaTheme="minorEastAsia"/>
          <w:kern w:val="0"/>
          <w:sz w:val="24"/>
        </w:rPr>
        <w:t>50</w:t>
      </w:r>
      <w:r>
        <w:rPr>
          <w:rFonts w:eastAsiaTheme="minorEastAsia"/>
          <w:kern w:val="0"/>
          <w:sz w:val="24"/>
        </w:rPr>
        <w:t>mg/L×10</w:t>
      </w:r>
      <w:r>
        <w:rPr>
          <w:rFonts w:eastAsiaTheme="minorEastAsia"/>
          <w:kern w:val="0"/>
          <w:sz w:val="24"/>
          <w:vertAlign w:val="superscript"/>
        </w:rPr>
        <w:t>-3</w:t>
      </w:r>
      <w:r>
        <w:rPr>
          <w:rFonts w:eastAsiaTheme="minorEastAsia"/>
          <w:kern w:val="0"/>
          <w:sz w:val="24"/>
        </w:rPr>
        <w:t>=0.0</w:t>
      </w:r>
      <w:r>
        <w:rPr>
          <w:rFonts w:hint="eastAsia" w:eastAsiaTheme="minorEastAsia"/>
          <w:kern w:val="0"/>
          <w:sz w:val="24"/>
        </w:rPr>
        <w:t>43</w:t>
      </w:r>
      <w:r>
        <w:rPr>
          <w:rFonts w:eastAsiaTheme="minorEastAsia"/>
          <w:kern w:val="0"/>
          <w:sz w:val="24"/>
        </w:rPr>
        <w:t>kg/d</w:t>
      </w:r>
    </w:p>
    <w:p>
      <w:pPr>
        <w:pStyle w:val="56"/>
        <w:snapToGrid/>
        <w:spacing w:before="0" w:after="0" w:line="360" w:lineRule="auto"/>
        <w:ind w:firstLine="480"/>
        <w:rPr>
          <w:rFonts w:eastAsiaTheme="minorEastAsia"/>
        </w:rPr>
      </w:pPr>
      <w:r>
        <w:rPr>
          <w:rFonts w:eastAsiaTheme="minorEastAsia"/>
        </w:rPr>
        <w:t>2</w:t>
      </w:r>
      <w:r>
        <w:rPr>
          <w:rFonts w:hAnsiTheme="minorEastAsia" w:eastAsiaTheme="minorEastAsia"/>
        </w:rPr>
        <w:t>、预测方法</w:t>
      </w:r>
    </w:p>
    <w:p>
      <w:pPr>
        <w:pStyle w:val="56"/>
        <w:snapToGrid/>
        <w:spacing w:before="0" w:after="0" w:line="360" w:lineRule="auto"/>
        <w:ind w:firstLine="480"/>
        <w:rPr>
          <w:rFonts w:eastAsiaTheme="minorEastAsia"/>
        </w:rPr>
      </w:pPr>
      <w:r>
        <w:rPr>
          <w:rFonts w:hAnsiTheme="minorEastAsia" w:eastAsiaTheme="minorEastAsia"/>
        </w:rPr>
        <w:t>水文地质条件为简单类型，采用解析法进行预测。</w:t>
      </w:r>
    </w:p>
    <w:p>
      <w:pPr>
        <w:spacing w:line="360" w:lineRule="auto"/>
        <w:ind w:firstLine="480" w:firstLineChars="200"/>
        <w:rPr>
          <w:rFonts w:eastAsiaTheme="minorEastAsia"/>
          <w:sz w:val="24"/>
        </w:rPr>
      </w:pPr>
      <w:r>
        <w:rPr>
          <w:rFonts w:eastAsiaTheme="minorEastAsia"/>
          <w:sz w:val="24"/>
        </w:rPr>
        <w:t>3</w:t>
      </w:r>
      <w:r>
        <w:rPr>
          <w:rFonts w:hAnsiTheme="minorEastAsia" w:eastAsiaTheme="minorEastAsia"/>
          <w:sz w:val="24"/>
        </w:rPr>
        <w:t>、预测公式</w:t>
      </w:r>
    </w:p>
    <w:p>
      <w:pPr>
        <w:spacing w:line="360" w:lineRule="auto"/>
        <w:ind w:firstLine="480" w:firstLineChars="200"/>
        <w:rPr>
          <w:rFonts w:eastAsiaTheme="minorEastAsia"/>
          <w:sz w:val="24"/>
        </w:rPr>
      </w:pPr>
      <w:r>
        <w:rPr>
          <w:rFonts w:hAnsiTheme="minorEastAsia" w:eastAsiaTheme="minorEastAsia"/>
          <w:sz w:val="24"/>
        </w:rPr>
        <w:t>项目调节池泄漏淋溶水均假设为连续状况，不易及时发现，污染源可概化为点源，注入规律为连续注入，忽略吸附作用、化学反应等因素，采用一维稳定流二维水动力弥散</w:t>
      </w:r>
      <w:r>
        <w:rPr>
          <w:rFonts w:eastAsiaTheme="minorEastAsia"/>
          <w:sz w:val="24"/>
        </w:rPr>
        <w:noBreakHyphen/>
      </w:r>
      <w:r>
        <w:rPr>
          <w:rFonts w:hAnsiTheme="minorEastAsia" w:eastAsiaTheme="minorEastAsia"/>
          <w:sz w:val="24"/>
        </w:rPr>
        <w:t>平面连续点源公式预测，公式如下：</w:t>
      </w:r>
    </w:p>
    <w:p>
      <w:pPr>
        <w:jc w:val="center"/>
        <w:rPr>
          <w:rFonts w:eastAsiaTheme="minorEastAsia"/>
        </w:rPr>
      </w:pPr>
      <w:r>
        <w:rPr>
          <w:rFonts w:eastAsiaTheme="minorEastAsia"/>
        </w:rPr>
        <w:drawing>
          <wp:inline distT="0" distB="0" distL="0" distR="0">
            <wp:extent cx="3771900" cy="514350"/>
            <wp:effectExtent l="19050" t="0" r="0" b="0"/>
            <wp:docPr id="8" name="图片 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image001"/>
                    <pic:cNvPicPr>
                      <a:picLocks noChangeAspect="1" noChangeArrowheads="1"/>
                    </pic:cNvPicPr>
                  </pic:nvPicPr>
                  <pic:blipFill>
                    <a:blip r:embed="rId102" cstate="print"/>
                    <a:srcRect/>
                    <a:stretch>
                      <a:fillRect/>
                    </a:stretch>
                  </pic:blipFill>
                  <pic:spPr>
                    <a:xfrm>
                      <a:off x="0" y="0"/>
                      <a:ext cx="3771900" cy="514350"/>
                    </a:xfrm>
                    <a:prstGeom prst="rect">
                      <a:avLst/>
                    </a:prstGeom>
                    <a:noFill/>
                    <a:ln w="9525">
                      <a:noFill/>
                      <a:miter lim="800000"/>
                      <a:headEnd/>
                      <a:tailEnd/>
                    </a:ln>
                  </pic:spPr>
                </pic:pic>
              </a:graphicData>
            </a:graphic>
          </wp:inline>
        </w:drawing>
      </w:r>
    </w:p>
    <w:p>
      <w:pPr>
        <w:jc w:val="center"/>
        <w:rPr>
          <w:rFonts w:eastAsiaTheme="minorEastAsia"/>
        </w:rPr>
      </w:pPr>
      <w:r>
        <w:rPr>
          <w:rFonts w:eastAsiaTheme="minorEastAsia"/>
        </w:rPr>
        <w:drawing>
          <wp:inline distT="0" distB="0" distL="0" distR="0">
            <wp:extent cx="1247775" cy="476250"/>
            <wp:effectExtent l="19050" t="0" r="9525" b="0"/>
            <wp:docPr id="10" name="图片 24" descr="LVIA$G@`9C%GHMEVL5@KQ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LVIA$G@`9C%GHMEVL5@KQ4F"/>
                    <pic:cNvPicPr>
                      <a:picLocks noChangeAspect="1" noChangeArrowheads="1"/>
                    </pic:cNvPicPr>
                  </pic:nvPicPr>
                  <pic:blipFill>
                    <a:blip r:embed="rId103" cstate="print"/>
                    <a:srcRect/>
                    <a:stretch>
                      <a:fillRect/>
                    </a:stretch>
                  </pic:blipFill>
                  <pic:spPr>
                    <a:xfrm>
                      <a:off x="0" y="0"/>
                      <a:ext cx="1247775" cy="476250"/>
                    </a:xfrm>
                    <a:prstGeom prst="rect">
                      <a:avLst/>
                    </a:prstGeom>
                    <a:noFill/>
                    <a:ln w="9525">
                      <a:noFill/>
                      <a:miter lim="800000"/>
                      <a:headEnd/>
                      <a:tailEnd/>
                    </a:ln>
                  </pic:spPr>
                </pic:pic>
              </a:graphicData>
            </a:graphic>
          </wp:inline>
        </w:drawing>
      </w:r>
    </w:p>
    <w:p>
      <w:pPr>
        <w:spacing w:line="360" w:lineRule="auto"/>
        <w:ind w:firstLine="600" w:firstLineChars="250"/>
        <w:rPr>
          <w:rFonts w:eastAsiaTheme="minorEastAsia"/>
          <w:sz w:val="24"/>
        </w:rPr>
      </w:pPr>
      <w:r>
        <w:rPr>
          <w:rFonts w:hAnsiTheme="minorEastAsia" w:eastAsiaTheme="minorEastAsia"/>
          <w:sz w:val="24"/>
        </w:rPr>
        <w:t>式中：</w:t>
      </w:r>
      <w:r>
        <w:rPr>
          <w:rFonts w:eastAsiaTheme="minorEastAsia"/>
          <w:sz w:val="24"/>
        </w:rPr>
        <w:t>x</w:t>
      </w:r>
      <w:r>
        <w:rPr>
          <w:rFonts w:hAnsiTheme="minorEastAsia" w:eastAsiaTheme="minorEastAsia"/>
          <w:sz w:val="24"/>
        </w:rPr>
        <w:t>、</w:t>
      </w:r>
      <w:r>
        <w:rPr>
          <w:rFonts w:eastAsiaTheme="minorEastAsia"/>
          <w:sz w:val="24"/>
        </w:rPr>
        <w:t>y</w:t>
      </w:r>
      <w:r>
        <w:rPr>
          <w:rFonts w:hAnsiTheme="minorEastAsia" w:eastAsiaTheme="minorEastAsia"/>
          <w:sz w:val="24"/>
        </w:rPr>
        <w:t>为计算点处的位置坐标；</w:t>
      </w:r>
    </w:p>
    <w:p>
      <w:pPr>
        <w:spacing w:line="440" w:lineRule="exact"/>
        <w:ind w:firstLine="480" w:firstLineChars="200"/>
        <w:rPr>
          <w:rFonts w:eastAsiaTheme="minorEastAsia"/>
          <w:sz w:val="24"/>
        </w:rPr>
      </w:pPr>
      <w:r>
        <w:rPr>
          <w:rFonts w:eastAsiaTheme="minorEastAsia"/>
          <w:sz w:val="24"/>
        </w:rPr>
        <w:t xml:space="preserve">       t</w:t>
      </w:r>
      <w:r>
        <w:rPr>
          <w:rFonts w:hAnsiTheme="minorEastAsia" w:eastAsiaTheme="minorEastAsia"/>
          <w:sz w:val="24"/>
        </w:rPr>
        <w:t>为时间，</w:t>
      </w:r>
      <w:r>
        <w:rPr>
          <w:rFonts w:eastAsiaTheme="minorEastAsia"/>
          <w:sz w:val="24"/>
        </w:rPr>
        <w:t>d</w:t>
      </w:r>
      <w:r>
        <w:rPr>
          <w:rFonts w:hAnsiTheme="minorEastAsia" w:eastAsiaTheme="minorEastAsia"/>
          <w:sz w:val="24"/>
        </w:rPr>
        <w:t>；</w:t>
      </w:r>
    </w:p>
    <w:p>
      <w:pPr>
        <w:spacing w:line="440" w:lineRule="exact"/>
        <w:rPr>
          <w:rFonts w:eastAsiaTheme="minorEastAsia"/>
          <w:sz w:val="24"/>
        </w:rPr>
      </w:pPr>
      <w:r>
        <w:rPr>
          <w:rFonts w:eastAsiaTheme="minorEastAsia"/>
          <w:sz w:val="24"/>
        </w:rPr>
        <w:t xml:space="preserve">           C(x,y,t)</w:t>
      </w:r>
      <w:r>
        <w:rPr>
          <w:rFonts w:hAnsiTheme="minorEastAsia" w:eastAsiaTheme="minorEastAsia"/>
          <w:sz w:val="24"/>
        </w:rPr>
        <w:t>为</w:t>
      </w:r>
      <w:r>
        <w:rPr>
          <w:rFonts w:eastAsiaTheme="minorEastAsia"/>
          <w:sz w:val="24"/>
        </w:rPr>
        <w:t>t</w:t>
      </w:r>
      <w:r>
        <w:rPr>
          <w:rFonts w:hAnsiTheme="minorEastAsia" w:eastAsiaTheme="minorEastAsia"/>
          <w:sz w:val="24"/>
        </w:rPr>
        <w:t>时刻点</w:t>
      </w:r>
      <w:r>
        <w:rPr>
          <w:rFonts w:eastAsiaTheme="minorEastAsia"/>
          <w:sz w:val="24"/>
        </w:rPr>
        <w:t>x,y</w:t>
      </w:r>
      <w:r>
        <w:rPr>
          <w:rFonts w:hAnsiTheme="minorEastAsia" w:eastAsiaTheme="minorEastAsia"/>
          <w:sz w:val="24"/>
        </w:rPr>
        <w:t>处的示踪剂浓度，</w:t>
      </w:r>
      <w:r>
        <w:rPr>
          <w:rFonts w:eastAsiaTheme="minorEastAsia"/>
          <w:sz w:val="24"/>
        </w:rPr>
        <w:t>mg/L</w:t>
      </w:r>
      <w:r>
        <w:rPr>
          <w:rFonts w:hAnsiTheme="minorEastAsia" w:eastAsiaTheme="minorEastAsia"/>
          <w:sz w:val="24"/>
        </w:rPr>
        <w:t>；</w:t>
      </w:r>
    </w:p>
    <w:p>
      <w:pPr>
        <w:spacing w:line="440" w:lineRule="exact"/>
        <w:rPr>
          <w:rFonts w:eastAsiaTheme="minorEastAsia"/>
          <w:sz w:val="24"/>
        </w:rPr>
      </w:pPr>
      <w:r>
        <w:rPr>
          <w:rFonts w:eastAsiaTheme="minorEastAsia"/>
          <w:sz w:val="24"/>
        </w:rPr>
        <w:t xml:space="preserve">           M</w:t>
      </w:r>
      <w:r>
        <w:rPr>
          <w:rFonts w:hAnsiTheme="minorEastAsia" w:eastAsiaTheme="minorEastAsia"/>
          <w:sz w:val="24"/>
        </w:rPr>
        <w:t>为含水层厚度；</w:t>
      </w:r>
      <w:r>
        <w:rPr>
          <w:rFonts w:eastAsiaTheme="minorEastAsia"/>
          <w:sz w:val="24"/>
        </w:rPr>
        <w:t xml:space="preserve"> </w:t>
      </w:r>
    </w:p>
    <w:p>
      <w:pPr>
        <w:spacing w:line="440" w:lineRule="exact"/>
        <w:ind w:firstLine="1080" w:firstLineChars="450"/>
        <w:rPr>
          <w:rFonts w:eastAsiaTheme="minorEastAsia"/>
          <w:sz w:val="24"/>
        </w:rPr>
      </w:pPr>
      <w:r>
        <w:rPr>
          <w:rFonts w:eastAsiaTheme="minorEastAsia"/>
          <w:sz w:val="24"/>
        </w:rPr>
        <w:t xml:space="preserve">  mt</w:t>
      </w:r>
      <w:r>
        <w:rPr>
          <w:rFonts w:hAnsiTheme="minorEastAsia" w:eastAsiaTheme="minorEastAsia"/>
          <w:sz w:val="24"/>
        </w:rPr>
        <w:t>为单位时间注入示踪剂的质量，</w:t>
      </w:r>
      <w:r>
        <w:rPr>
          <w:rFonts w:eastAsiaTheme="minorEastAsia"/>
          <w:sz w:val="24"/>
        </w:rPr>
        <w:t>g/d</w:t>
      </w:r>
      <w:r>
        <w:rPr>
          <w:rFonts w:hAnsiTheme="minorEastAsia" w:eastAsiaTheme="minorEastAsia"/>
          <w:sz w:val="24"/>
        </w:rPr>
        <w:t>；</w:t>
      </w:r>
    </w:p>
    <w:p>
      <w:pPr>
        <w:spacing w:line="440" w:lineRule="exact"/>
        <w:rPr>
          <w:rFonts w:eastAsiaTheme="minorEastAsia"/>
          <w:sz w:val="24"/>
        </w:rPr>
      </w:pPr>
      <w:r>
        <w:rPr>
          <w:rFonts w:eastAsiaTheme="minorEastAsia"/>
          <w:sz w:val="24"/>
        </w:rPr>
        <w:t xml:space="preserve">           u</w:t>
      </w:r>
      <w:r>
        <w:rPr>
          <w:rFonts w:hAnsiTheme="minorEastAsia" w:eastAsiaTheme="minorEastAsia"/>
          <w:sz w:val="24"/>
        </w:rPr>
        <w:t>为水流速度，</w:t>
      </w:r>
      <w:r>
        <w:rPr>
          <w:rFonts w:eastAsiaTheme="minorEastAsia"/>
          <w:sz w:val="24"/>
        </w:rPr>
        <w:t>m/d</w:t>
      </w:r>
      <w:r>
        <w:rPr>
          <w:rFonts w:hAnsiTheme="minorEastAsia" w:eastAsiaTheme="minorEastAsia"/>
          <w:sz w:val="24"/>
        </w:rPr>
        <w:t>；</w:t>
      </w:r>
    </w:p>
    <w:p>
      <w:pPr>
        <w:spacing w:line="440" w:lineRule="exact"/>
        <w:rPr>
          <w:rFonts w:eastAsiaTheme="minorEastAsia"/>
          <w:sz w:val="24"/>
        </w:rPr>
      </w:pPr>
      <w:r>
        <w:rPr>
          <w:rFonts w:eastAsiaTheme="minorEastAsia"/>
          <w:sz w:val="24"/>
        </w:rPr>
        <w:t xml:space="preserve">           n</w:t>
      </w:r>
      <w:r>
        <w:rPr>
          <w:rFonts w:hAnsiTheme="minorEastAsia" w:eastAsiaTheme="minorEastAsia"/>
          <w:sz w:val="24"/>
        </w:rPr>
        <w:t>为有效孔隙度</w:t>
      </w:r>
      <w:r>
        <w:rPr>
          <w:rFonts w:eastAsiaTheme="minorEastAsia"/>
          <w:sz w:val="24"/>
        </w:rPr>
        <w:t>,</w:t>
      </w:r>
      <w:r>
        <w:rPr>
          <w:rFonts w:hAnsiTheme="minorEastAsia" w:eastAsiaTheme="minorEastAsia"/>
          <w:sz w:val="24"/>
        </w:rPr>
        <w:t>无量纲；</w:t>
      </w:r>
      <w:r>
        <w:rPr>
          <w:rFonts w:eastAsiaTheme="minorEastAsia"/>
          <w:sz w:val="24"/>
        </w:rPr>
        <w:t xml:space="preserve"> </w:t>
      </w:r>
    </w:p>
    <w:p>
      <w:pPr>
        <w:spacing w:line="440" w:lineRule="exact"/>
        <w:rPr>
          <w:rFonts w:eastAsiaTheme="minorEastAsia"/>
          <w:sz w:val="24"/>
        </w:rPr>
      </w:pPr>
      <w:r>
        <w:rPr>
          <w:rFonts w:eastAsiaTheme="minorEastAsia"/>
          <w:sz w:val="24"/>
        </w:rPr>
        <w:t xml:space="preserve">           DL</w:t>
      </w:r>
      <w:r>
        <w:rPr>
          <w:rFonts w:hAnsiTheme="minorEastAsia" w:eastAsiaTheme="minorEastAsia"/>
          <w:sz w:val="24"/>
        </w:rPr>
        <w:t>为纵向弥散系数，</w:t>
      </w:r>
      <w:r>
        <w:rPr>
          <w:rFonts w:eastAsiaTheme="minorEastAsia"/>
          <w:sz w:val="24"/>
        </w:rPr>
        <w:t>m</w:t>
      </w:r>
      <w:r>
        <w:rPr>
          <w:rFonts w:eastAsiaTheme="minorEastAsia"/>
          <w:sz w:val="24"/>
          <w:vertAlign w:val="superscript"/>
        </w:rPr>
        <w:t>2</w:t>
      </w:r>
      <w:r>
        <w:rPr>
          <w:rFonts w:eastAsiaTheme="minorEastAsia"/>
          <w:sz w:val="24"/>
        </w:rPr>
        <w:t>/d</w:t>
      </w:r>
      <w:r>
        <w:rPr>
          <w:rFonts w:hAnsiTheme="minorEastAsia" w:eastAsiaTheme="minorEastAsia"/>
          <w:sz w:val="24"/>
        </w:rPr>
        <w:t>；</w:t>
      </w:r>
      <w:r>
        <w:rPr>
          <w:rFonts w:eastAsiaTheme="minorEastAsia"/>
          <w:sz w:val="24"/>
        </w:rPr>
        <w:t xml:space="preserve"> </w:t>
      </w:r>
    </w:p>
    <w:p>
      <w:pPr>
        <w:spacing w:line="440" w:lineRule="exact"/>
        <w:rPr>
          <w:rFonts w:eastAsiaTheme="minorEastAsia"/>
          <w:sz w:val="24"/>
        </w:rPr>
      </w:pPr>
      <w:r>
        <w:rPr>
          <w:rFonts w:eastAsiaTheme="minorEastAsia"/>
          <w:sz w:val="24"/>
        </w:rPr>
        <w:t xml:space="preserve">           DT</w:t>
      </w:r>
      <w:r>
        <w:rPr>
          <w:rFonts w:hAnsiTheme="minorEastAsia" w:eastAsiaTheme="minorEastAsia"/>
          <w:sz w:val="24"/>
        </w:rPr>
        <w:t>为横向</w:t>
      </w:r>
      <w:r>
        <w:rPr>
          <w:rFonts w:eastAsiaTheme="minorEastAsia"/>
          <w:sz w:val="24"/>
        </w:rPr>
        <w:t>y</w:t>
      </w:r>
      <w:r>
        <w:rPr>
          <w:rFonts w:hAnsiTheme="minorEastAsia" w:eastAsiaTheme="minorEastAsia"/>
          <w:sz w:val="24"/>
        </w:rPr>
        <w:t>方向的弥散系数，</w:t>
      </w:r>
      <w:r>
        <w:rPr>
          <w:rFonts w:eastAsiaTheme="minorEastAsia"/>
          <w:sz w:val="24"/>
        </w:rPr>
        <w:t>m</w:t>
      </w:r>
      <w:r>
        <w:rPr>
          <w:rFonts w:eastAsiaTheme="minorEastAsia"/>
          <w:sz w:val="24"/>
          <w:vertAlign w:val="superscript"/>
        </w:rPr>
        <w:t>2</w:t>
      </w:r>
      <w:r>
        <w:rPr>
          <w:rFonts w:eastAsiaTheme="minorEastAsia"/>
          <w:sz w:val="24"/>
        </w:rPr>
        <w:t>/d</w:t>
      </w:r>
      <w:r>
        <w:rPr>
          <w:rFonts w:hAnsiTheme="minorEastAsia" w:eastAsiaTheme="minorEastAsia"/>
          <w:sz w:val="24"/>
        </w:rPr>
        <w:t>；</w:t>
      </w:r>
    </w:p>
    <w:p>
      <w:pPr>
        <w:spacing w:line="440" w:lineRule="exact"/>
        <w:ind w:firstLine="480" w:firstLineChars="200"/>
        <w:rPr>
          <w:rFonts w:eastAsiaTheme="minorEastAsia"/>
          <w:sz w:val="24"/>
        </w:rPr>
      </w:pPr>
      <w:r>
        <w:rPr>
          <w:rFonts w:eastAsiaTheme="minorEastAsia"/>
          <w:sz w:val="24"/>
        </w:rPr>
        <w:t xml:space="preserve">       π</w:t>
      </w:r>
      <w:r>
        <w:rPr>
          <w:rFonts w:hAnsiTheme="minorEastAsia" w:eastAsiaTheme="minorEastAsia"/>
          <w:sz w:val="24"/>
        </w:rPr>
        <w:t>为圆周率；</w:t>
      </w:r>
    </w:p>
    <w:p>
      <w:pPr>
        <w:spacing w:line="440" w:lineRule="exact"/>
        <w:ind w:firstLine="1320" w:firstLineChars="550"/>
        <w:rPr>
          <w:rFonts w:eastAsiaTheme="minorEastAsia"/>
          <w:sz w:val="24"/>
        </w:rPr>
      </w:pPr>
      <w:r>
        <w:rPr>
          <w:rFonts w:eastAsiaTheme="minorEastAsia"/>
          <w:sz w:val="24"/>
        </w:rPr>
        <w:t>K0(β)</w:t>
      </w:r>
      <w:r>
        <w:rPr>
          <w:rFonts w:hAnsiTheme="minorEastAsia" w:eastAsiaTheme="minorEastAsia"/>
          <w:sz w:val="24"/>
        </w:rPr>
        <w:t>为第二类零阶修正贝塞尔函数；</w:t>
      </w:r>
    </w:p>
    <w:p>
      <w:pPr>
        <w:spacing w:line="440" w:lineRule="exact"/>
        <w:rPr>
          <w:rFonts w:eastAsiaTheme="minorEastAsia"/>
          <w:sz w:val="24"/>
        </w:rPr>
      </w:pPr>
      <w:r>
        <w:rPr>
          <w:rFonts w:eastAsiaTheme="minorEastAsia"/>
          <w:sz w:val="24"/>
        </w:rPr>
        <w:t xml:space="preserve">           W(u2t/4DL,β)</w:t>
      </w:r>
      <w:r>
        <w:rPr>
          <w:rFonts w:hAnsiTheme="minorEastAsia" w:eastAsiaTheme="minorEastAsia"/>
          <w:sz w:val="24"/>
        </w:rPr>
        <w:t>为第一类越流系统井函数。</w:t>
      </w:r>
    </w:p>
    <w:p>
      <w:pPr>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w:t>
      </w:r>
      <w:r>
        <w:rPr>
          <w:rFonts w:eastAsiaTheme="minorEastAsia"/>
          <w:sz w:val="24"/>
        </w:rPr>
        <w:t>x</w:t>
      </w:r>
      <w:r>
        <w:rPr>
          <w:rFonts w:hAnsiTheme="minorEastAsia" w:eastAsiaTheme="minorEastAsia"/>
          <w:sz w:val="24"/>
        </w:rPr>
        <w:t>坐标选取与地下水水流方向相同，</w:t>
      </w:r>
      <w:r>
        <w:rPr>
          <w:rFonts w:eastAsiaTheme="minorEastAsia"/>
          <w:sz w:val="24"/>
        </w:rPr>
        <w:t>y坐标选取与地下水水流垂直方向，以污染源为坐标零点。</w:t>
      </w:r>
    </w:p>
    <w:p>
      <w:pPr>
        <w:spacing w:line="440" w:lineRule="exact"/>
        <w:ind w:firstLine="480" w:firstLineChars="200"/>
        <w:rPr>
          <w:rFonts w:eastAsiaTheme="minorEastAsia"/>
          <w:sz w:val="24"/>
        </w:rPr>
      </w:pPr>
      <w:r>
        <w:rPr>
          <w:rFonts w:eastAsiaTheme="minorEastAsia"/>
          <w:sz w:val="24"/>
        </w:rPr>
        <w:t>（2）计算时间t选择100天、1000天、10年。</w:t>
      </w:r>
    </w:p>
    <w:p>
      <w:pPr>
        <w:spacing w:line="440" w:lineRule="exact"/>
        <w:ind w:firstLine="480" w:firstLineChars="200"/>
        <w:rPr>
          <w:rFonts w:eastAsiaTheme="minorEastAsia"/>
          <w:sz w:val="24"/>
        </w:rPr>
      </w:pPr>
      <w:r>
        <w:rPr>
          <w:rFonts w:eastAsiaTheme="minorEastAsia"/>
          <w:sz w:val="24"/>
        </w:rPr>
        <w:t>（3）根据评价区水文地质条件，含水层厚度取30m。</w:t>
      </w:r>
    </w:p>
    <w:p>
      <w:pPr>
        <w:widowControl/>
        <w:spacing w:line="440" w:lineRule="exact"/>
        <w:ind w:firstLine="482"/>
        <w:rPr>
          <w:rFonts w:eastAsiaTheme="minorEastAsia"/>
          <w:kern w:val="0"/>
          <w:sz w:val="24"/>
        </w:rPr>
      </w:pPr>
      <w:r>
        <w:rPr>
          <w:rFonts w:eastAsiaTheme="minorEastAsia"/>
          <w:sz w:val="24"/>
        </w:rPr>
        <w:t>（4）</w:t>
      </w:r>
      <w:r>
        <w:rPr>
          <w:rFonts w:eastAsiaTheme="minorEastAsia"/>
          <w:kern w:val="0"/>
          <w:sz w:val="24"/>
        </w:rPr>
        <w:t>有效孔隙度根据水文地质手册，取0.2。</w:t>
      </w:r>
    </w:p>
    <w:p>
      <w:pPr>
        <w:spacing w:line="440" w:lineRule="exact"/>
        <w:ind w:firstLine="480" w:firstLineChars="200"/>
        <w:rPr>
          <w:rFonts w:eastAsiaTheme="minorEastAsia"/>
          <w:sz w:val="24"/>
        </w:rPr>
      </w:pPr>
      <w:r>
        <w:rPr>
          <w:rFonts w:eastAsiaTheme="minorEastAsia"/>
          <w:sz w:val="24"/>
        </w:rPr>
        <w:t>（5）水流速度取新生界地下水水流速度经验值为0.5m/d。</w:t>
      </w:r>
    </w:p>
    <w:p>
      <w:pPr>
        <w:widowControl/>
        <w:spacing w:line="440" w:lineRule="exact"/>
        <w:ind w:firstLine="482"/>
        <w:rPr>
          <w:rFonts w:eastAsiaTheme="minorEastAsia"/>
          <w:kern w:val="0"/>
          <w:sz w:val="24"/>
        </w:rPr>
      </w:pPr>
      <w:r>
        <w:rPr>
          <w:rFonts w:eastAsiaTheme="minorEastAsia"/>
          <w:kern w:val="0"/>
          <w:sz w:val="24"/>
        </w:rPr>
        <w:t>（6）根据经验值确定弥散系数D</w:t>
      </w:r>
      <w:r>
        <w:rPr>
          <w:rFonts w:eastAsiaTheme="minorEastAsia"/>
          <w:kern w:val="0"/>
          <w:sz w:val="24"/>
          <w:vertAlign w:val="subscript"/>
        </w:rPr>
        <w:t>L</w:t>
      </w:r>
      <w:r>
        <w:rPr>
          <w:rFonts w:eastAsiaTheme="minorEastAsia"/>
          <w:kern w:val="0"/>
          <w:sz w:val="24"/>
        </w:rPr>
        <w:t>为1.20m</w:t>
      </w:r>
      <w:r>
        <w:rPr>
          <w:rFonts w:eastAsiaTheme="minorEastAsia"/>
          <w:kern w:val="0"/>
          <w:sz w:val="24"/>
          <w:vertAlign w:val="superscript"/>
        </w:rPr>
        <w:t>2</w:t>
      </w:r>
      <w:r>
        <w:rPr>
          <w:rFonts w:eastAsiaTheme="minorEastAsia"/>
          <w:kern w:val="0"/>
          <w:sz w:val="24"/>
        </w:rPr>
        <w:t>/d，D</w:t>
      </w:r>
      <w:r>
        <w:rPr>
          <w:rFonts w:eastAsiaTheme="minorEastAsia"/>
          <w:kern w:val="0"/>
          <w:sz w:val="24"/>
          <w:vertAlign w:val="subscript"/>
        </w:rPr>
        <w:t>T</w:t>
      </w:r>
      <w:r>
        <w:rPr>
          <w:rFonts w:eastAsiaTheme="minorEastAsia"/>
          <w:kern w:val="0"/>
          <w:sz w:val="24"/>
        </w:rPr>
        <w:t>为0.52m</w:t>
      </w:r>
      <w:r>
        <w:rPr>
          <w:rFonts w:eastAsiaTheme="minorEastAsia"/>
          <w:kern w:val="0"/>
          <w:sz w:val="24"/>
          <w:vertAlign w:val="superscript"/>
        </w:rPr>
        <w:t>2</w:t>
      </w:r>
      <w:r>
        <w:rPr>
          <w:rFonts w:eastAsiaTheme="minorEastAsia"/>
          <w:kern w:val="0"/>
          <w:sz w:val="24"/>
        </w:rPr>
        <w:t>/d。</w:t>
      </w:r>
    </w:p>
    <w:p>
      <w:pPr>
        <w:pStyle w:val="68"/>
        <w:spacing w:line="440" w:lineRule="exact"/>
        <w:rPr>
          <w:rFonts w:hAnsi="Times New Roman" w:cs="Times New Roman" w:eastAsiaTheme="minorEastAsia"/>
        </w:rPr>
      </w:pPr>
      <w:r>
        <w:rPr>
          <w:rFonts w:hAnsi="Times New Roman" w:cs="Times New Roman" w:eastAsiaTheme="minorEastAsia"/>
        </w:rPr>
        <w:t>3、预测时段</w:t>
      </w:r>
    </w:p>
    <w:p>
      <w:pPr>
        <w:pStyle w:val="68"/>
        <w:spacing w:line="440" w:lineRule="exact"/>
        <w:rPr>
          <w:rFonts w:hAnsi="Times New Roman" w:cs="Times New Roman" w:eastAsiaTheme="minorEastAsia"/>
        </w:rPr>
      </w:pPr>
      <w:r>
        <w:rPr>
          <w:rFonts w:hAnsi="Times New Roman" w:cs="Times New Roman" w:eastAsiaTheme="minorEastAsia"/>
        </w:rPr>
        <w:t>预测时段选取100天、1000天、10年三个时段。</w:t>
      </w:r>
    </w:p>
    <w:p>
      <w:pPr>
        <w:pStyle w:val="68"/>
        <w:spacing w:line="440" w:lineRule="exact"/>
        <w:rPr>
          <w:rFonts w:hAnsi="Times New Roman" w:cs="Times New Roman" w:eastAsiaTheme="minorEastAsia"/>
        </w:rPr>
      </w:pPr>
      <w:r>
        <w:rPr>
          <w:rFonts w:hAnsi="Times New Roman" w:cs="Times New Roman" w:eastAsiaTheme="minorEastAsia"/>
        </w:rPr>
        <w:t>4、评价标准</w:t>
      </w:r>
    </w:p>
    <w:p>
      <w:pPr>
        <w:pStyle w:val="68"/>
        <w:spacing w:line="440" w:lineRule="exact"/>
        <w:rPr>
          <w:rFonts w:hAnsi="Times New Roman" w:cs="Times New Roman" w:eastAsiaTheme="minorEastAsia"/>
        </w:rPr>
      </w:pPr>
      <w:r>
        <w:rPr>
          <w:rFonts w:hAnsi="Times New Roman" w:cs="Times New Roman" w:eastAsiaTheme="minorEastAsia"/>
        </w:rPr>
        <w:t>本次评价采用《地下水质量标准》（GB/T14848-2017）</w:t>
      </w:r>
      <w:r>
        <w:rPr>
          <w:rFonts w:hint="eastAsia" w:ascii="宋体"/>
        </w:rPr>
        <w:t>Ⅲ</w:t>
      </w:r>
      <w:r>
        <w:rPr>
          <w:rFonts w:hAnsi="Times New Roman" w:cs="Times New Roman" w:eastAsiaTheme="minorEastAsia"/>
        </w:rPr>
        <w:t>类标准，NH</w:t>
      </w:r>
      <w:r>
        <w:rPr>
          <w:rFonts w:hAnsi="Times New Roman" w:cs="Times New Roman" w:eastAsiaTheme="minorEastAsia"/>
          <w:vertAlign w:val="subscript"/>
        </w:rPr>
        <w:t>3</w:t>
      </w:r>
      <w:r>
        <w:rPr>
          <w:rFonts w:hAnsi="Times New Roman" w:cs="Times New Roman" w:eastAsiaTheme="minorEastAsia"/>
        </w:rPr>
        <w:t>-N标准限值0.5mg/L，根据现状监测报告，</w:t>
      </w:r>
      <w:r>
        <w:rPr>
          <w:rFonts w:hint="eastAsia" w:hAnsi="Times New Roman" w:cs="Times New Roman" w:eastAsiaTheme="minorEastAsia"/>
        </w:rPr>
        <w:t>主工业场地周围</w:t>
      </w:r>
      <w:r>
        <w:rPr>
          <w:rFonts w:hAnsi="Times New Roman" w:cs="Times New Roman" w:eastAsiaTheme="minorEastAsia"/>
        </w:rPr>
        <w:t>地下水环境本底值NH</w:t>
      </w:r>
      <w:r>
        <w:rPr>
          <w:rFonts w:hAnsi="Times New Roman" w:cs="Times New Roman" w:eastAsiaTheme="minorEastAsia"/>
          <w:vertAlign w:val="subscript"/>
        </w:rPr>
        <w:t>3</w:t>
      </w:r>
      <w:r>
        <w:rPr>
          <w:rFonts w:hAnsi="Times New Roman" w:cs="Times New Roman" w:eastAsiaTheme="minorEastAsia"/>
        </w:rPr>
        <w:t>-N取监测平均值0.0</w:t>
      </w:r>
      <w:r>
        <w:rPr>
          <w:rFonts w:hint="eastAsia" w:hAnsi="Times New Roman" w:cs="Times New Roman" w:eastAsiaTheme="minorEastAsia"/>
        </w:rPr>
        <w:t>4</w:t>
      </w:r>
      <w:r>
        <w:rPr>
          <w:rFonts w:hAnsi="Times New Roman" w:cs="Times New Roman" w:eastAsiaTheme="minorEastAsia"/>
        </w:rPr>
        <w:t>mg/L，当预测值小于0.4</w:t>
      </w:r>
      <w:r>
        <w:rPr>
          <w:rFonts w:hint="eastAsia" w:hAnsi="Times New Roman" w:cs="Times New Roman" w:eastAsiaTheme="minorEastAsia"/>
        </w:rPr>
        <w:t>6</w:t>
      </w:r>
      <w:r>
        <w:rPr>
          <w:rFonts w:hAnsi="Times New Roman" w:cs="Times New Roman" w:eastAsiaTheme="minorEastAsia"/>
        </w:rPr>
        <w:t xml:space="preserve"> mg/L时，认为对地下水环境的影响在可接受范围。</w:t>
      </w:r>
    </w:p>
    <w:p>
      <w:pPr>
        <w:pStyle w:val="68"/>
        <w:spacing w:line="440" w:lineRule="exact"/>
        <w:rPr>
          <w:rFonts w:hAnsi="Times New Roman" w:cs="Times New Roman" w:eastAsiaTheme="minorEastAsia"/>
        </w:rPr>
      </w:pPr>
      <w:r>
        <w:rPr>
          <w:rFonts w:hAnsi="Times New Roman" w:cs="Times New Roman" w:eastAsiaTheme="minorEastAsia"/>
        </w:rPr>
        <w:t>5、预测结果</w:t>
      </w:r>
    </w:p>
    <w:p>
      <w:pPr>
        <w:pStyle w:val="68"/>
        <w:spacing w:line="440" w:lineRule="exact"/>
        <w:rPr>
          <w:rFonts w:hAnsi="Times New Roman" w:cs="Times New Roman" w:eastAsiaTheme="minorEastAsia"/>
        </w:rPr>
      </w:pPr>
      <w:r>
        <w:rPr>
          <w:rFonts w:hAnsi="Times New Roman" w:cs="Times New Roman" w:eastAsiaTheme="minorEastAsia"/>
        </w:rPr>
        <w:t>按照计算，预测结果见表5.4-1至5.4-3。</w:t>
      </w:r>
    </w:p>
    <w:p>
      <w:pPr>
        <w:pStyle w:val="68"/>
        <w:spacing w:line="440" w:lineRule="exact"/>
        <w:rPr>
          <w:rFonts w:hAnsi="Times New Roman" w:cs="Times New Roman" w:eastAsiaTheme="minorEastAsia"/>
        </w:rPr>
      </w:pPr>
      <w:r>
        <w:rPr>
          <w:rFonts w:hAnsi="Times New Roman" w:cs="Times New Roman" w:eastAsiaTheme="minorEastAsia"/>
        </w:rPr>
        <w:t>在非正常工况下，</w:t>
      </w:r>
      <w:r>
        <w:rPr>
          <w:rFonts w:hint="eastAsia" w:hAnsi="Times New Roman" w:cs="Times New Roman" w:eastAsiaTheme="minorEastAsia"/>
        </w:rPr>
        <w:t>矿井水</w:t>
      </w:r>
      <w:r>
        <w:rPr>
          <w:rFonts w:hAnsi="Times New Roman" w:cs="Times New Roman" w:eastAsiaTheme="minorEastAsia"/>
        </w:rPr>
        <w:t>处理站未经处理的</w:t>
      </w:r>
      <w:r>
        <w:rPr>
          <w:rFonts w:hint="eastAsia" w:hAnsi="Times New Roman" w:cs="Times New Roman" w:eastAsiaTheme="minorEastAsia"/>
        </w:rPr>
        <w:t>矿井涌水</w:t>
      </w:r>
      <w:r>
        <w:rPr>
          <w:rFonts w:hAnsi="Times New Roman" w:cs="Times New Roman" w:eastAsiaTheme="minorEastAsia"/>
        </w:rPr>
        <w:t>直接进入地下水含水层。渗漏100天下游</w:t>
      </w:r>
      <w:r>
        <w:rPr>
          <w:rFonts w:hint="eastAsia" w:hAnsi="Times New Roman" w:cs="Times New Roman" w:eastAsiaTheme="minorEastAsia"/>
        </w:rPr>
        <w:t>4</w:t>
      </w:r>
      <w:r>
        <w:rPr>
          <w:rFonts w:hAnsi="Times New Roman" w:cs="Times New Roman" w:eastAsiaTheme="minorEastAsia"/>
        </w:rPr>
        <w:t>0m处NH</w:t>
      </w:r>
      <w:r>
        <w:rPr>
          <w:rFonts w:hAnsi="Times New Roman" w:cs="Times New Roman" w:eastAsiaTheme="minorEastAsia"/>
          <w:vertAlign w:val="subscript"/>
        </w:rPr>
        <w:t>3</w:t>
      </w:r>
      <w:r>
        <w:rPr>
          <w:rFonts w:hAnsi="Times New Roman" w:cs="Times New Roman" w:eastAsiaTheme="minorEastAsia"/>
        </w:rPr>
        <w:t>-N浓度能够达到标准限值，渗漏1000天下游</w:t>
      </w:r>
      <w:r>
        <w:rPr>
          <w:rFonts w:hint="eastAsia" w:hAnsi="Times New Roman" w:cs="Times New Roman" w:eastAsiaTheme="minorEastAsia"/>
        </w:rPr>
        <w:t>80</w:t>
      </w:r>
      <w:r>
        <w:rPr>
          <w:rFonts w:hAnsi="Times New Roman" w:cs="Times New Roman" w:eastAsiaTheme="minorEastAsia"/>
        </w:rPr>
        <w:t>m处NH</w:t>
      </w:r>
      <w:r>
        <w:rPr>
          <w:rFonts w:hAnsi="Times New Roman" w:cs="Times New Roman" w:eastAsiaTheme="minorEastAsia"/>
          <w:vertAlign w:val="subscript"/>
        </w:rPr>
        <w:t>3</w:t>
      </w:r>
      <w:r>
        <w:rPr>
          <w:rFonts w:hAnsi="Times New Roman" w:cs="Times New Roman" w:eastAsiaTheme="minorEastAsia"/>
        </w:rPr>
        <w:t>-N浓度能够达到标准限值，渗漏10年下游</w:t>
      </w:r>
      <w:r>
        <w:rPr>
          <w:rFonts w:hint="eastAsia" w:hAnsi="Times New Roman" w:cs="Times New Roman" w:eastAsiaTheme="minorEastAsia"/>
        </w:rPr>
        <w:t>80</w:t>
      </w:r>
      <w:r>
        <w:rPr>
          <w:rFonts w:hAnsi="Times New Roman" w:cs="Times New Roman" w:eastAsiaTheme="minorEastAsia"/>
        </w:rPr>
        <w:t>m处NH</w:t>
      </w:r>
      <w:r>
        <w:rPr>
          <w:rFonts w:hAnsi="Times New Roman" w:cs="Times New Roman" w:eastAsiaTheme="minorEastAsia"/>
          <w:vertAlign w:val="subscript"/>
        </w:rPr>
        <w:t>3</w:t>
      </w:r>
      <w:r>
        <w:rPr>
          <w:rFonts w:hAnsi="Times New Roman" w:cs="Times New Roman" w:eastAsiaTheme="minorEastAsia"/>
        </w:rPr>
        <w:t>-N浓度能够达到标准限值</w:t>
      </w:r>
      <w:r>
        <w:rPr>
          <w:rFonts w:hint="eastAsia" w:hAnsi="Times New Roman" w:cs="Times New Roman" w:eastAsiaTheme="minorEastAsia"/>
        </w:rPr>
        <w:t>，</w:t>
      </w:r>
      <w:r>
        <w:rPr>
          <w:rFonts w:hAnsi="Times New Roman" w:cs="Times New Roman" w:eastAsiaTheme="minorEastAsia"/>
        </w:rPr>
        <w:t>对区域地下水环境影响较小。</w:t>
      </w:r>
    </w:p>
    <w:p>
      <w:pPr>
        <w:rPr>
          <w:rFonts w:eastAsiaTheme="minorEastAsia"/>
        </w:rPr>
        <w:sectPr>
          <w:pgSz w:w="11907" w:h="16840"/>
          <w:pgMar w:top="1701" w:right="1418" w:bottom="1701" w:left="1418" w:header="1134" w:footer="1134" w:gutter="0"/>
          <w:cols w:space="425" w:num="1"/>
          <w:docGrid w:linePitch="328" w:charSpace="0"/>
        </w:sectPr>
      </w:pPr>
    </w:p>
    <w:p>
      <w:pPr>
        <w:rPr>
          <w:rFonts w:eastAsiaTheme="minorEastAsia"/>
        </w:rPr>
      </w:pPr>
    </w:p>
    <w:p>
      <w:pPr>
        <w:pStyle w:val="96"/>
        <w:spacing w:beforeLines="0"/>
        <w:rPr>
          <w:rFonts w:ascii="Times New Roman" w:hAnsi="Times New Roman" w:cs="Times New Roman"/>
        </w:rPr>
      </w:pPr>
      <w:r>
        <w:rPr>
          <w:rFonts w:ascii="Times New Roman" w:hAnsi="Times New Roman" w:cs="Times New Roman"/>
        </w:rPr>
        <w:t>表5.4-1 污水泄漏后100天NH</w:t>
      </w:r>
      <w:r>
        <w:rPr>
          <w:rFonts w:ascii="Times New Roman" w:hAnsi="Times New Roman" w:cs="Times New Roman"/>
          <w:vertAlign w:val="subscript"/>
        </w:rPr>
        <w:t>3</w:t>
      </w:r>
      <w:r>
        <w:rPr>
          <w:rFonts w:ascii="Times New Roman" w:hAnsi="Times New Roman" w:cs="Times New Roman"/>
        </w:rPr>
        <w:t>-N迁移距离及浓度（mg/L）</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6"/>
        <w:gridCol w:w="983"/>
        <w:gridCol w:w="983"/>
        <w:gridCol w:w="999"/>
        <w:gridCol w:w="1002"/>
        <w:gridCol w:w="1002"/>
        <w:gridCol w:w="1065"/>
        <w:gridCol w:w="1002"/>
        <w:gridCol w:w="1054"/>
        <w:gridCol w:w="1005"/>
        <w:gridCol w:w="1005"/>
        <w:gridCol w:w="994"/>
        <w:gridCol w:w="9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577" w:type="pct"/>
            <w:tcBorders>
              <w:tl2br w:val="single" w:color="auto" w:sz="12" w:space="0"/>
            </w:tcBorders>
            <w:noWrap/>
            <w:vAlign w:val="center"/>
          </w:tcPr>
          <w:p>
            <w:pPr>
              <w:pStyle w:val="90"/>
              <w:rPr>
                <w:rFonts w:ascii="Times New Roman" w:hAnsi="Times New Roman" w:cs="Times New Roman"/>
              </w:rPr>
            </w:pPr>
            <w:r>
              <w:rPr>
                <w:rFonts w:ascii="Times New Roman" w:hAnsi="Times New Roman" w:cs="Times New Roman"/>
              </w:rPr>
              <w:t xml:space="preserve">      X/ m</w:t>
            </w:r>
          </w:p>
          <w:p>
            <w:pPr>
              <w:pStyle w:val="90"/>
              <w:jc w:val="both"/>
              <w:rPr>
                <w:rFonts w:ascii="Times New Roman" w:hAnsi="Times New Roman" w:cs="Times New Roman"/>
              </w:rPr>
            </w:pPr>
            <w:r>
              <w:rPr>
                <w:rFonts w:ascii="Times New Roman" w:hAnsi="Times New Roman" w:cs="Times New Roman"/>
              </w:rPr>
              <w:t>Y /m</w:t>
            </w:r>
          </w:p>
        </w:tc>
        <w:tc>
          <w:tcPr>
            <w:tcW w:w="360" w:type="pct"/>
            <w:noWrap/>
            <w:vAlign w:val="center"/>
          </w:tcPr>
          <w:p>
            <w:pPr>
              <w:pStyle w:val="90"/>
              <w:rPr>
                <w:rFonts w:ascii="Times New Roman" w:hAnsi="Times New Roman" w:cs="Times New Roman"/>
              </w:rPr>
            </w:pPr>
            <w:r>
              <w:rPr>
                <w:rFonts w:ascii="Times New Roman" w:hAnsi="Times New Roman" w:cs="Times New Roman"/>
              </w:rPr>
              <w:t>-10</w:t>
            </w:r>
          </w:p>
        </w:tc>
        <w:tc>
          <w:tcPr>
            <w:tcW w:w="360" w:type="pct"/>
            <w:noWrap/>
            <w:vAlign w:val="center"/>
          </w:tcPr>
          <w:p>
            <w:pPr>
              <w:pStyle w:val="90"/>
              <w:rPr>
                <w:rFonts w:ascii="Times New Roman" w:hAnsi="Times New Roman" w:cs="Times New Roman"/>
              </w:rPr>
            </w:pPr>
            <w:r>
              <w:rPr>
                <w:rFonts w:ascii="Times New Roman" w:hAnsi="Times New Roman" w:cs="Times New Roman"/>
              </w:rPr>
              <w:t>0</w:t>
            </w:r>
          </w:p>
        </w:tc>
        <w:tc>
          <w:tcPr>
            <w:tcW w:w="366" w:type="pct"/>
            <w:noWrap/>
            <w:vAlign w:val="center"/>
          </w:tcPr>
          <w:p>
            <w:pPr>
              <w:pStyle w:val="90"/>
              <w:rPr>
                <w:rFonts w:ascii="Times New Roman" w:hAnsi="Times New Roman" w:cs="Times New Roman"/>
              </w:rPr>
            </w:pPr>
            <w:r>
              <w:rPr>
                <w:rFonts w:ascii="Times New Roman" w:hAnsi="Times New Roman" w:cs="Times New Roman"/>
              </w:rPr>
              <w:t>10</w:t>
            </w:r>
          </w:p>
        </w:tc>
        <w:tc>
          <w:tcPr>
            <w:tcW w:w="367" w:type="pct"/>
            <w:noWrap/>
            <w:vAlign w:val="center"/>
          </w:tcPr>
          <w:p>
            <w:pPr>
              <w:pStyle w:val="90"/>
              <w:rPr>
                <w:rFonts w:ascii="Times New Roman" w:hAnsi="Times New Roman" w:cs="Times New Roman"/>
              </w:rPr>
            </w:pPr>
            <w:r>
              <w:rPr>
                <w:rFonts w:ascii="Times New Roman" w:hAnsi="Times New Roman" w:cs="Times New Roman"/>
              </w:rPr>
              <w:t>20</w:t>
            </w:r>
          </w:p>
        </w:tc>
        <w:tc>
          <w:tcPr>
            <w:tcW w:w="367" w:type="pct"/>
            <w:noWrap/>
            <w:vAlign w:val="center"/>
          </w:tcPr>
          <w:p>
            <w:pPr>
              <w:pStyle w:val="90"/>
              <w:rPr>
                <w:rFonts w:ascii="Times New Roman" w:hAnsi="Times New Roman" w:cs="Times New Roman"/>
              </w:rPr>
            </w:pPr>
            <w:r>
              <w:rPr>
                <w:rFonts w:ascii="Times New Roman" w:hAnsi="Times New Roman" w:cs="Times New Roman"/>
              </w:rPr>
              <w:t>30</w:t>
            </w:r>
          </w:p>
        </w:tc>
        <w:tc>
          <w:tcPr>
            <w:tcW w:w="390" w:type="pct"/>
            <w:noWrap/>
            <w:vAlign w:val="center"/>
          </w:tcPr>
          <w:p>
            <w:pPr>
              <w:pStyle w:val="90"/>
              <w:rPr>
                <w:rFonts w:ascii="Times New Roman" w:hAnsi="Times New Roman" w:cs="Times New Roman"/>
              </w:rPr>
            </w:pPr>
            <w:r>
              <w:rPr>
                <w:rFonts w:ascii="Times New Roman" w:hAnsi="Times New Roman" w:cs="Times New Roman"/>
              </w:rPr>
              <w:t>40</w:t>
            </w:r>
          </w:p>
        </w:tc>
        <w:tc>
          <w:tcPr>
            <w:tcW w:w="367" w:type="pct"/>
            <w:vAlign w:val="center"/>
          </w:tcPr>
          <w:p>
            <w:pPr>
              <w:pStyle w:val="90"/>
              <w:rPr>
                <w:rFonts w:ascii="Times New Roman" w:hAnsi="Times New Roman" w:cs="Times New Roman"/>
              </w:rPr>
            </w:pPr>
            <w:r>
              <w:rPr>
                <w:rFonts w:ascii="Times New Roman" w:hAnsi="Times New Roman" w:cs="Times New Roman"/>
              </w:rPr>
              <w:t>50</w:t>
            </w:r>
          </w:p>
        </w:tc>
        <w:tc>
          <w:tcPr>
            <w:tcW w:w="386" w:type="pct"/>
            <w:vAlign w:val="center"/>
          </w:tcPr>
          <w:p>
            <w:pPr>
              <w:pStyle w:val="90"/>
              <w:rPr>
                <w:rFonts w:ascii="Times New Roman" w:hAnsi="Times New Roman" w:cs="Times New Roman"/>
              </w:rPr>
            </w:pPr>
            <w:r>
              <w:rPr>
                <w:rFonts w:ascii="Times New Roman" w:hAnsi="Times New Roman" w:cs="Times New Roman"/>
              </w:rPr>
              <w:t>60</w:t>
            </w:r>
          </w:p>
        </w:tc>
        <w:tc>
          <w:tcPr>
            <w:tcW w:w="368" w:type="pct"/>
            <w:vAlign w:val="center"/>
          </w:tcPr>
          <w:p>
            <w:pPr>
              <w:pStyle w:val="90"/>
              <w:rPr>
                <w:rFonts w:ascii="Times New Roman" w:hAnsi="Times New Roman" w:cs="Times New Roman"/>
              </w:rPr>
            </w:pPr>
            <w:r>
              <w:rPr>
                <w:rFonts w:ascii="Times New Roman" w:hAnsi="Times New Roman" w:cs="Times New Roman"/>
              </w:rPr>
              <w:t>70</w:t>
            </w:r>
          </w:p>
        </w:tc>
        <w:tc>
          <w:tcPr>
            <w:tcW w:w="368" w:type="pct"/>
            <w:vAlign w:val="center"/>
          </w:tcPr>
          <w:p>
            <w:pPr>
              <w:pStyle w:val="90"/>
              <w:rPr>
                <w:rFonts w:ascii="Times New Roman" w:hAnsi="Times New Roman" w:cs="Times New Roman"/>
              </w:rPr>
            </w:pPr>
            <w:r>
              <w:rPr>
                <w:rFonts w:ascii="Times New Roman" w:hAnsi="Times New Roman" w:cs="Times New Roman"/>
              </w:rPr>
              <w:t>80</w:t>
            </w:r>
          </w:p>
        </w:tc>
        <w:tc>
          <w:tcPr>
            <w:tcW w:w="364" w:type="pct"/>
            <w:vAlign w:val="center"/>
          </w:tcPr>
          <w:p>
            <w:pPr>
              <w:pStyle w:val="90"/>
              <w:rPr>
                <w:rFonts w:ascii="Times New Roman" w:hAnsi="Times New Roman" w:cs="Times New Roman"/>
              </w:rPr>
            </w:pPr>
            <w:r>
              <w:rPr>
                <w:rFonts w:ascii="Times New Roman" w:hAnsi="Times New Roman" w:cs="Times New Roman"/>
              </w:rPr>
              <w:t>90</w:t>
            </w:r>
          </w:p>
        </w:tc>
        <w:tc>
          <w:tcPr>
            <w:tcW w:w="360" w:type="pct"/>
            <w:vAlign w:val="center"/>
          </w:tcPr>
          <w:p>
            <w:pPr>
              <w:pStyle w:val="90"/>
              <w:rPr>
                <w:rFonts w:ascii="Times New Roman" w:hAnsi="Times New Roman" w:cs="Times New Roman"/>
              </w:rPr>
            </w:pPr>
            <w:r>
              <w:rPr>
                <w:rFonts w:ascii="Times New Roman" w:hAnsi="Times New Roman" w:cs="Times New Roma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577" w:type="pct"/>
            <w:noWrap/>
            <w:vAlign w:val="center"/>
          </w:tcPr>
          <w:p>
            <w:pPr>
              <w:pStyle w:val="90"/>
              <w:rPr>
                <w:rFonts w:ascii="Times New Roman" w:hAnsi="Times New Roman" w:cs="Times New Roman"/>
              </w:rPr>
            </w:pPr>
            <w:r>
              <w:rPr>
                <w:rFonts w:ascii="Times New Roman" w:hAnsi="Times New Roman" w:cs="Times New Roman"/>
              </w:rPr>
              <w:t>-20</w:t>
            </w:r>
          </w:p>
        </w:tc>
        <w:tc>
          <w:tcPr>
            <w:tcW w:w="360" w:type="pct"/>
            <w:noWrap/>
            <w:vAlign w:val="center"/>
          </w:tcPr>
          <w:p>
            <w:pPr>
              <w:pStyle w:val="90"/>
              <w:rPr>
                <w:rFonts w:ascii="Times New Roman" w:hAnsi="Times New Roman" w:cs="Times New Roman"/>
              </w:rPr>
            </w:pPr>
            <w:r>
              <w:rPr>
                <w:rFonts w:ascii="Times New Roman" w:hAnsi="Times New Roman" w:cs="Times New Roman"/>
              </w:rPr>
              <w:t>0.0001</w:t>
            </w:r>
          </w:p>
        </w:tc>
        <w:tc>
          <w:tcPr>
            <w:tcW w:w="360" w:type="pct"/>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11</w:t>
            </w:r>
          </w:p>
        </w:tc>
        <w:tc>
          <w:tcPr>
            <w:tcW w:w="366" w:type="pct"/>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062</w:t>
            </w:r>
          </w:p>
        </w:tc>
        <w:tc>
          <w:tcPr>
            <w:tcW w:w="367" w:type="pct"/>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174</w:t>
            </w:r>
          </w:p>
        </w:tc>
        <w:tc>
          <w:tcPr>
            <w:tcW w:w="367" w:type="pct"/>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291</w:t>
            </w:r>
          </w:p>
        </w:tc>
        <w:tc>
          <w:tcPr>
            <w:tcW w:w="390" w:type="pct"/>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324</w:t>
            </w:r>
          </w:p>
        </w:tc>
        <w:tc>
          <w:tcPr>
            <w:tcW w:w="367"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253</w:t>
            </w:r>
          </w:p>
        </w:tc>
        <w:tc>
          <w:tcPr>
            <w:tcW w:w="386"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183</w:t>
            </w:r>
          </w:p>
        </w:tc>
        <w:tc>
          <w:tcPr>
            <w:tcW w:w="368" w:type="pct"/>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53</w:t>
            </w:r>
          </w:p>
        </w:tc>
        <w:tc>
          <w:tcPr>
            <w:tcW w:w="368" w:type="pct"/>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14</w:t>
            </w:r>
          </w:p>
        </w:tc>
        <w:tc>
          <w:tcPr>
            <w:tcW w:w="364" w:type="pct"/>
            <w:vAlign w:val="center"/>
          </w:tcPr>
          <w:p>
            <w:pPr>
              <w:pStyle w:val="90"/>
              <w:rPr>
                <w:rFonts w:ascii="Times New Roman" w:hAnsi="Times New Roman" w:cs="Times New Roman"/>
              </w:rPr>
            </w:pPr>
            <w:r>
              <w:rPr>
                <w:rFonts w:ascii="Times New Roman" w:hAnsi="Times New Roman" w:cs="Times New Roman"/>
              </w:rPr>
              <w:t>0.0002</w:t>
            </w:r>
          </w:p>
        </w:tc>
        <w:tc>
          <w:tcPr>
            <w:tcW w:w="360" w:type="pct"/>
            <w:vAlign w:val="center"/>
          </w:tcPr>
          <w:p>
            <w:pPr>
              <w:pStyle w:val="90"/>
              <w:rPr>
                <w:rFonts w:ascii="Times New Roman" w:hAnsi="Times New Roman" w:cs="Times New Roman"/>
              </w:rPr>
            </w:pPr>
            <w:r>
              <w:rPr>
                <w:rFonts w:ascii="Times New Roman" w:hAnsi="Times New Roman" w:cs="Times New Roman"/>
              </w:rPr>
              <w:t>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577" w:type="pct"/>
            <w:noWrap/>
            <w:vAlign w:val="center"/>
          </w:tcPr>
          <w:p>
            <w:pPr>
              <w:pStyle w:val="90"/>
              <w:rPr>
                <w:rFonts w:ascii="Times New Roman" w:hAnsi="Times New Roman" w:cs="Times New Roman"/>
              </w:rPr>
            </w:pPr>
            <w:r>
              <w:rPr>
                <w:rFonts w:ascii="Times New Roman" w:hAnsi="Times New Roman" w:cs="Times New Roman"/>
              </w:rPr>
              <w:t>-10</w:t>
            </w:r>
          </w:p>
        </w:tc>
        <w:tc>
          <w:tcPr>
            <w:tcW w:w="360" w:type="pct"/>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2</w:t>
            </w:r>
            <w:r>
              <w:rPr>
                <w:rFonts w:ascii="Times New Roman" w:hAnsi="Times New Roman" w:cs="Times New Roman"/>
              </w:rPr>
              <w:t>5</w:t>
            </w:r>
          </w:p>
        </w:tc>
        <w:tc>
          <w:tcPr>
            <w:tcW w:w="360" w:type="pct"/>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411</w:t>
            </w:r>
          </w:p>
        </w:tc>
        <w:tc>
          <w:tcPr>
            <w:tcW w:w="366"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1612</w:t>
            </w:r>
          </w:p>
        </w:tc>
        <w:tc>
          <w:tcPr>
            <w:tcW w:w="367"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2533</w:t>
            </w:r>
          </w:p>
        </w:tc>
        <w:tc>
          <w:tcPr>
            <w:tcW w:w="367"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2713</w:t>
            </w:r>
          </w:p>
        </w:tc>
        <w:tc>
          <w:tcPr>
            <w:tcW w:w="390"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2282</w:t>
            </w:r>
          </w:p>
        </w:tc>
        <w:tc>
          <w:tcPr>
            <w:tcW w:w="367" w:type="pct"/>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1497</w:t>
            </w:r>
          </w:p>
        </w:tc>
        <w:tc>
          <w:tcPr>
            <w:tcW w:w="386"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738</w:t>
            </w:r>
          </w:p>
        </w:tc>
        <w:tc>
          <w:tcPr>
            <w:tcW w:w="368"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264</w:t>
            </w:r>
          </w:p>
        </w:tc>
        <w:tc>
          <w:tcPr>
            <w:tcW w:w="368" w:type="pct"/>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67</w:t>
            </w:r>
          </w:p>
        </w:tc>
        <w:tc>
          <w:tcPr>
            <w:tcW w:w="364" w:type="pct"/>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12</w:t>
            </w:r>
          </w:p>
        </w:tc>
        <w:tc>
          <w:tcPr>
            <w:tcW w:w="360" w:type="pct"/>
            <w:vAlign w:val="center"/>
          </w:tcPr>
          <w:p>
            <w:pPr>
              <w:pStyle w:val="90"/>
              <w:rPr>
                <w:rFonts w:ascii="Times New Roman" w:hAnsi="Times New Roman" w:cs="Times New Roman"/>
              </w:rPr>
            </w:pPr>
            <w:r>
              <w:rPr>
                <w:rFonts w:ascii="Times New Roman" w:hAnsi="Times New Roman" w:cs="Times New Roman"/>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577" w:type="pct"/>
            <w:noWrap/>
            <w:vAlign w:val="center"/>
          </w:tcPr>
          <w:p>
            <w:pPr>
              <w:pStyle w:val="90"/>
              <w:rPr>
                <w:rFonts w:ascii="Times New Roman" w:hAnsi="Times New Roman" w:cs="Times New Roman"/>
              </w:rPr>
            </w:pPr>
            <w:r>
              <w:rPr>
                <w:rFonts w:ascii="Times New Roman" w:hAnsi="Times New Roman" w:cs="Times New Roman"/>
              </w:rPr>
              <w:t>0</w:t>
            </w:r>
          </w:p>
        </w:tc>
        <w:tc>
          <w:tcPr>
            <w:tcW w:w="360" w:type="pct"/>
            <w:noWrap/>
            <w:vAlign w:val="center"/>
          </w:tcPr>
          <w:p>
            <w:pPr>
              <w:pStyle w:val="90"/>
              <w:rPr>
                <w:rFonts w:ascii="Times New Roman" w:hAnsi="Times New Roman" w:cs="Times New Roman"/>
              </w:rPr>
            </w:pPr>
            <w:r>
              <w:rPr>
                <w:rFonts w:ascii="Times New Roman" w:hAnsi="Times New Roman" w:cs="Times New Roman"/>
              </w:rPr>
              <w:t>0.01</w:t>
            </w:r>
            <w:r>
              <w:rPr>
                <w:rFonts w:hint="eastAsia" w:ascii="Times New Roman" w:hAnsi="Times New Roman" w:cs="Times New Roman"/>
              </w:rPr>
              <w:t>84</w:t>
            </w:r>
          </w:p>
        </w:tc>
        <w:tc>
          <w:tcPr>
            <w:tcW w:w="360" w:type="pct"/>
            <w:noWrap/>
            <w:vAlign w:val="center"/>
          </w:tcPr>
          <w:p>
            <w:pPr>
              <w:pStyle w:val="90"/>
              <w:rPr>
                <w:rFonts w:ascii="Times New Roman" w:hAnsi="Times New Roman" w:cs="Times New Roman"/>
              </w:rPr>
            </w:pPr>
            <w:r>
              <w:rPr>
                <w:rFonts w:ascii="Times New Roman" w:hAnsi="Times New Roman" w:cs="Times New Roman"/>
              </w:rPr>
              <w:t>/</w:t>
            </w:r>
          </w:p>
        </w:tc>
        <w:tc>
          <w:tcPr>
            <w:tcW w:w="366" w:type="pct"/>
            <w:noWrap/>
            <w:vAlign w:val="center"/>
          </w:tcPr>
          <w:p>
            <w:pPr>
              <w:pStyle w:val="90"/>
              <w:rPr>
                <w:rFonts w:ascii="Times New Roman" w:hAnsi="Times New Roman" w:cs="Times New Roman"/>
              </w:rPr>
            </w:pPr>
            <w:r>
              <w:rPr>
                <w:rFonts w:hint="eastAsia" w:ascii="Times New Roman" w:hAnsi="Times New Roman" w:cs="Times New Roman"/>
              </w:rPr>
              <w:t>1.1890</w:t>
            </w:r>
          </w:p>
        </w:tc>
        <w:tc>
          <w:tcPr>
            <w:tcW w:w="367" w:type="pct"/>
            <w:noWrap/>
            <w:vAlign w:val="center"/>
          </w:tcPr>
          <w:p>
            <w:pPr>
              <w:pStyle w:val="90"/>
              <w:rPr>
                <w:rFonts w:ascii="Times New Roman" w:hAnsi="Times New Roman" w:cs="Times New Roman"/>
              </w:rPr>
            </w:pPr>
            <w:r>
              <w:rPr>
                <w:rFonts w:hint="eastAsia" w:ascii="Times New Roman" w:hAnsi="Times New Roman" w:cs="Times New Roman"/>
              </w:rPr>
              <w:t>0.8430</w:t>
            </w:r>
          </w:p>
        </w:tc>
        <w:tc>
          <w:tcPr>
            <w:tcW w:w="367"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6438</w:t>
            </w:r>
          </w:p>
        </w:tc>
        <w:tc>
          <w:tcPr>
            <w:tcW w:w="390"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4599</w:t>
            </w:r>
          </w:p>
        </w:tc>
        <w:tc>
          <w:tcPr>
            <w:tcW w:w="367" w:type="pct"/>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2773</w:t>
            </w:r>
          </w:p>
        </w:tc>
        <w:tc>
          <w:tcPr>
            <w:tcW w:w="386" w:type="pct"/>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1305</w:t>
            </w:r>
          </w:p>
        </w:tc>
        <w:tc>
          <w:tcPr>
            <w:tcW w:w="368"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454</w:t>
            </w:r>
          </w:p>
        </w:tc>
        <w:tc>
          <w:tcPr>
            <w:tcW w:w="368"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113</w:t>
            </w:r>
          </w:p>
        </w:tc>
        <w:tc>
          <w:tcPr>
            <w:tcW w:w="364" w:type="pct"/>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19</w:t>
            </w:r>
          </w:p>
        </w:tc>
        <w:tc>
          <w:tcPr>
            <w:tcW w:w="360" w:type="pct"/>
            <w:vAlign w:val="center"/>
          </w:tcPr>
          <w:p>
            <w:pPr>
              <w:pStyle w:val="90"/>
              <w:rPr>
                <w:rFonts w:ascii="Times New Roman" w:hAnsi="Times New Roman" w:cs="Times New Roman"/>
              </w:rPr>
            </w:pPr>
            <w:r>
              <w:rPr>
                <w:rFonts w:ascii="Times New Roman" w:hAnsi="Times New Roman" w:cs="Times New Roman"/>
              </w:rPr>
              <w:t>0.000</w:t>
            </w:r>
            <w:r>
              <w:rPr>
                <w:rFonts w:hint="eastAsia" w:ascii="Times New Roman" w:hAnsi="Times New Roman" w:cs="Times New Roma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577" w:type="pct"/>
            <w:noWrap/>
            <w:vAlign w:val="center"/>
          </w:tcPr>
          <w:p>
            <w:pPr>
              <w:pStyle w:val="90"/>
              <w:rPr>
                <w:rFonts w:ascii="Times New Roman" w:hAnsi="Times New Roman" w:cs="Times New Roman"/>
              </w:rPr>
            </w:pPr>
            <w:r>
              <w:rPr>
                <w:rFonts w:ascii="Times New Roman" w:hAnsi="Times New Roman" w:cs="Times New Roman"/>
              </w:rPr>
              <w:t>10</w:t>
            </w:r>
          </w:p>
        </w:tc>
        <w:tc>
          <w:tcPr>
            <w:tcW w:w="360" w:type="pct"/>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2</w:t>
            </w:r>
            <w:r>
              <w:rPr>
                <w:rFonts w:ascii="Times New Roman" w:hAnsi="Times New Roman" w:cs="Times New Roman"/>
              </w:rPr>
              <w:t>5</w:t>
            </w:r>
          </w:p>
        </w:tc>
        <w:tc>
          <w:tcPr>
            <w:tcW w:w="360" w:type="pct"/>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411</w:t>
            </w:r>
          </w:p>
        </w:tc>
        <w:tc>
          <w:tcPr>
            <w:tcW w:w="366" w:type="pct"/>
            <w:noWrap/>
            <w:vAlign w:val="center"/>
          </w:tcPr>
          <w:p>
            <w:pPr>
              <w:pStyle w:val="90"/>
              <w:rPr>
                <w:rFonts w:ascii="Times New Roman" w:hAnsi="Times New Roman" w:cs="Times New Roman"/>
              </w:rPr>
            </w:pPr>
            <w:r>
              <w:rPr>
                <w:rFonts w:ascii="Times New Roman" w:hAnsi="Times New Roman" w:cs="Times New Roman"/>
              </w:rPr>
              <w:t>0.1</w:t>
            </w:r>
            <w:r>
              <w:rPr>
                <w:rFonts w:hint="eastAsia" w:ascii="Times New Roman" w:hAnsi="Times New Roman" w:cs="Times New Roman"/>
              </w:rPr>
              <w:t>612</w:t>
            </w:r>
          </w:p>
        </w:tc>
        <w:tc>
          <w:tcPr>
            <w:tcW w:w="367"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2533</w:t>
            </w:r>
          </w:p>
        </w:tc>
        <w:tc>
          <w:tcPr>
            <w:tcW w:w="367"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2713</w:t>
            </w:r>
          </w:p>
        </w:tc>
        <w:tc>
          <w:tcPr>
            <w:tcW w:w="390"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2282</w:t>
            </w:r>
          </w:p>
        </w:tc>
        <w:tc>
          <w:tcPr>
            <w:tcW w:w="367" w:type="pct"/>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1497</w:t>
            </w:r>
          </w:p>
        </w:tc>
        <w:tc>
          <w:tcPr>
            <w:tcW w:w="386"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738</w:t>
            </w:r>
          </w:p>
        </w:tc>
        <w:tc>
          <w:tcPr>
            <w:tcW w:w="368"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264</w:t>
            </w:r>
          </w:p>
        </w:tc>
        <w:tc>
          <w:tcPr>
            <w:tcW w:w="368" w:type="pct"/>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67</w:t>
            </w:r>
          </w:p>
        </w:tc>
        <w:tc>
          <w:tcPr>
            <w:tcW w:w="364" w:type="pct"/>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12</w:t>
            </w:r>
          </w:p>
        </w:tc>
        <w:tc>
          <w:tcPr>
            <w:tcW w:w="360" w:type="pct"/>
            <w:vAlign w:val="center"/>
          </w:tcPr>
          <w:p>
            <w:pPr>
              <w:pStyle w:val="90"/>
              <w:rPr>
                <w:rFonts w:ascii="Times New Roman" w:hAnsi="Times New Roman" w:cs="Times New Roman"/>
              </w:rPr>
            </w:pPr>
            <w:r>
              <w:rPr>
                <w:rFonts w:ascii="Times New Roman" w:hAnsi="Times New Roman" w:cs="Times New Roman"/>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577" w:type="pct"/>
            <w:noWrap/>
            <w:vAlign w:val="center"/>
          </w:tcPr>
          <w:p>
            <w:pPr>
              <w:pStyle w:val="90"/>
              <w:rPr>
                <w:rFonts w:ascii="Times New Roman" w:hAnsi="Times New Roman" w:cs="Times New Roman"/>
              </w:rPr>
            </w:pPr>
            <w:r>
              <w:rPr>
                <w:rFonts w:ascii="Times New Roman" w:hAnsi="Times New Roman" w:cs="Times New Roman"/>
              </w:rPr>
              <w:t>20</w:t>
            </w:r>
          </w:p>
        </w:tc>
        <w:tc>
          <w:tcPr>
            <w:tcW w:w="360" w:type="pct"/>
            <w:noWrap/>
            <w:vAlign w:val="center"/>
          </w:tcPr>
          <w:p>
            <w:pPr>
              <w:pStyle w:val="90"/>
              <w:rPr>
                <w:rFonts w:ascii="Times New Roman" w:hAnsi="Times New Roman" w:cs="Times New Roman"/>
              </w:rPr>
            </w:pPr>
            <w:r>
              <w:rPr>
                <w:rFonts w:ascii="Times New Roman" w:hAnsi="Times New Roman" w:cs="Times New Roman"/>
              </w:rPr>
              <w:t>0.0001</w:t>
            </w:r>
          </w:p>
        </w:tc>
        <w:tc>
          <w:tcPr>
            <w:tcW w:w="360" w:type="pct"/>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11</w:t>
            </w:r>
          </w:p>
        </w:tc>
        <w:tc>
          <w:tcPr>
            <w:tcW w:w="366" w:type="pct"/>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062</w:t>
            </w:r>
          </w:p>
        </w:tc>
        <w:tc>
          <w:tcPr>
            <w:tcW w:w="367"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0174</w:t>
            </w:r>
          </w:p>
        </w:tc>
        <w:tc>
          <w:tcPr>
            <w:tcW w:w="367" w:type="pct"/>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291</w:t>
            </w:r>
          </w:p>
        </w:tc>
        <w:tc>
          <w:tcPr>
            <w:tcW w:w="390" w:type="pct"/>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0324</w:t>
            </w:r>
          </w:p>
        </w:tc>
        <w:tc>
          <w:tcPr>
            <w:tcW w:w="367"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w:t>
            </w:r>
            <w:r>
              <w:rPr>
                <w:rFonts w:ascii="Times New Roman" w:hAnsi="Times New Roman" w:cs="Times New Roman"/>
              </w:rPr>
              <w:t>53</w:t>
            </w:r>
          </w:p>
        </w:tc>
        <w:tc>
          <w:tcPr>
            <w:tcW w:w="386" w:type="pct"/>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183</w:t>
            </w:r>
          </w:p>
        </w:tc>
        <w:tc>
          <w:tcPr>
            <w:tcW w:w="368" w:type="pct"/>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53</w:t>
            </w:r>
          </w:p>
        </w:tc>
        <w:tc>
          <w:tcPr>
            <w:tcW w:w="368" w:type="pct"/>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14</w:t>
            </w:r>
          </w:p>
        </w:tc>
        <w:tc>
          <w:tcPr>
            <w:tcW w:w="364" w:type="pct"/>
            <w:vAlign w:val="center"/>
          </w:tcPr>
          <w:p>
            <w:pPr>
              <w:pStyle w:val="90"/>
              <w:rPr>
                <w:rFonts w:ascii="Times New Roman" w:hAnsi="Times New Roman" w:cs="Times New Roman"/>
              </w:rPr>
            </w:pPr>
            <w:r>
              <w:rPr>
                <w:rFonts w:ascii="Times New Roman" w:hAnsi="Times New Roman" w:cs="Times New Roman"/>
              </w:rPr>
              <w:t>0.0002</w:t>
            </w:r>
          </w:p>
        </w:tc>
        <w:tc>
          <w:tcPr>
            <w:tcW w:w="360" w:type="pct"/>
            <w:vAlign w:val="center"/>
          </w:tcPr>
          <w:p>
            <w:pPr>
              <w:pStyle w:val="90"/>
              <w:rPr>
                <w:rFonts w:ascii="Times New Roman" w:hAnsi="Times New Roman" w:cs="Times New Roman"/>
              </w:rPr>
            </w:pPr>
            <w:r>
              <w:rPr>
                <w:rFonts w:ascii="Times New Roman" w:hAnsi="Times New Roman" w:cs="Times New Roman"/>
              </w:rPr>
              <w:t>0.0000</w:t>
            </w:r>
          </w:p>
        </w:tc>
      </w:tr>
    </w:tbl>
    <w:p>
      <w:pPr>
        <w:pStyle w:val="96"/>
        <w:spacing w:beforeLines="0"/>
        <w:rPr>
          <w:rFonts w:ascii="Times New Roman" w:hAnsi="Times New Roman" w:cs="Times New Roman"/>
          <w:kern w:val="0"/>
          <w:sz w:val="20"/>
        </w:rPr>
      </w:pPr>
      <w:r>
        <w:rPr>
          <w:rFonts w:ascii="Times New Roman" w:hAnsi="Times New Roman" w:cs="Times New Roman"/>
        </w:rPr>
        <w:t>表5.4-2污水泄漏后1000天NH</w:t>
      </w:r>
      <w:r>
        <w:rPr>
          <w:rFonts w:ascii="Times New Roman" w:hAnsi="Times New Roman" w:cs="Times New Roman"/>
          <w:vertAlign w:val="subscript"/>
        </w:rPr>
        <w:t>3</w:t>
      </w:r>
      <w:r>
        <w:rPr>
          <w:rFonts w:ascii="Times New Roman" w:hAnsi="Times New Roman" w:cs="Times New Roman"/>
        </w:rPr>
        <w:t>-N迁移距离及浓度（mg/L）</w:t>
      </w:r>
    </w:p>
    <w:tbl>
      <w:tblPr>
        <w:tblStyle w:val="24"/>
        <w:tblW w:w="501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92"/>
        <w:gridCol w:w="805"/>
        <w:gridCol w:w="805"/>
        <w:gridCol w:w="824"/>
        <w:gridCol w:w="824"/>
        <w:gridCol w:w="824"/>
        <w:gridCol w:w="873"/>
        <w:gridCol w:w="824"/>
        <w:gridCol w:w="865"/>
        <w:gridCol w:w="824"/>
        <w:gridCol w:w="824"/>
        <w:gridCol w:w="816"/>
        <w:gridCol w:w="813"/>
        <w:gridCol w:w="805"/>
        <w:gridCol w:w="814"/>
        <w:gridCol w:w="8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2" w:type="pct"/>
            <w:tcBorders>
              <w:top w:val="single" w:color="auto" w:sz="12" w:space="0"/>
              <w:left w:val="single" w:color="auto" w:sz="12" w:space="0"/>
              <w:bottom w:val="single" w:color="auto" w:sz="6" w:space="0"/>
              <w:right w:val="single" w:color="auto" w:sz="6" w:space="0"/>
              <w:tl2br w:val="single" w:color="auto" w:sz="12" w:space="0"/>
            </w:tcBorders>
            <w:noWrap/>
            <w:vAlign w:val="center"/>
          </w:tcPr>
          <w:p>
            <w:pPr>
              <w:pStyle w:val="90"/>
              <w:rPr>
                <w:rFonts w:ascii="Times New Roman" w:hAnsi="Times New Roman" w:cs="Times New Roman"/>
              </w:rPr>
            </w:pPr>
            <w:r>
              <w:rPr>
                <w:rFonts w:ascii="Times New Roman" w:hAnsi="Times New Roman" w:cs="Times New Roman"/>
              </w:rPr>
              <w:t xml:space="preserve">      X/ m</w:t>
            </w:r>
          </w:p>
          <w:p>
            <w:pPr>
              <w:pStyle w:val="90"/>
              <w:jc w:val="both"/>
              <w:rPr>
                <w:rFonts w:ascii="Times New Roman" w:hAnsi="Times New Roman" w:cs="Times New Roman"/>
              </w:rPr>
            </w:pPr>
            <w:r>
              <w:rPr>
                <w:rFonts w:ascii="Times New Roman" w:hAnsi="Times New Roman" w:cs="Times New Roman"/>
              </w:rPr>
              <w:t>Y /m</w:t>
            </w:r>
          </w:p>
        </w:tc>
        <w:tc>
          <w:tcPr>
            <w:tcW w:w="294"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-10</w:t>
            </w:r>
          </w:p>
        </w:tc>
        <w:tc>
          <w:tcPr>
            <w:tcW w:w="294"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p>
        </w:tc>
        <w:tc>
          <w:tcPr>
            <w:tcW w:w="301"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10</w:t>
            </w:r>
          </w:p>
        </w:tc>
        <w:tc>
          <w:tcPr>
            <w:tcW w:w="301"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20</w:t>
            </w:r>
          </w:p>
        </w:tc>
        <w:tc>
          <w:tcPr>
            <w:tcW w:w="301"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30</w:t>
            </w:r>
          </w:p>
        </w:tc>
        <w:tc>
          <w:tcPr>
            <w:tcW w:w="319"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40</w:t>
            </w:r>
          </w:p>
        </w:tc>
        <w:tc>
          <w:tcPr>
            <w:tcW w:w="301"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50</w:t>
            </w:r>
          </w:p>
        </w:tc>
        <w:tc>
          <w:tcPr>
            <w:tcW w:w="316"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60</w:t>
            </w:r>
          </w:p>
        </w:tc>
        <w:tc>
          <w:tcPr>
            <w:tcW w:w="301"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70</w:t>
            </w:r>
          </w:p>
        </w:tc>
        <w:tc>
          <w:tcPr>
            <w:tcW w:w="301"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80</w:t>
            </w:r>
          </w:p>
        </w:tc>
        <w:tc>
          <w:tcPr>
            <w:tcW w:w="298"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90</w:t>
            </w:r>
          </w:p>
        </w:tc>
        <w:tc>
          <w:tcPr>
            <w:tcW w:w="297"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100</w:t>
            </w:r>
          </w:p>
        </w:tc>
        <w:tc>
          <w:tcPr>
            <w:tcW w:w="294"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110</w:t>
            </w:r>
          </w:p>
        </w:tc>
        <w:tc>
          <w:tcPr>
            <w:tcW w:w="297"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120</w:t>
            </w:r>
          </w:p>
        </w:tc>
        <w:tc>
          <w:tcPr>
            <w:tcW w:w="312" w:type="pct"/>
            <w:tcBorders>
              <w:top w:val="single" w:color="auto" w:sz="12"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2"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-30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0.0000</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w:t>
            </w:r>
            <w:r>
              <w:rPr>
                <w:rFonts w:hint="eastAsia" w:ascii="Times New Roman" w:hAnsi="Times New Roman" w:cs="Times New Roman"/>
              </w:rPr>
              <w:t>3</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11</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32</w:t>
            </w:r>
          </w:p>
        </w:tc>
        <w:tc>
          <w:tcPr>
            <w:tcW w:w="319"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68</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121</w:t>
            </w:r>
          </w:p>
        </w:tc>
        <w:tc>
          <w:tcPr>
            <w:tcW w:w="31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185</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257</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0332</w:t>
            </w:r>
          </w:p>
        </w:tc>
        <w:tc>
          <w:tcPr>
            <w:tcW w:w="298"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407</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479</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0547</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610</w:t>
            </w:r>
          </w:p>
        </w:tc>
        <w:tc>
          <w:tcPr>
            <w:tcW w:w="31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0669</w:t>
            </w:r>
            <w:r>
              <w:rPr>
                <w:rFonts w:ascii="Times New Roman" w:hAnsi="Times New Roman" w:cs="Times New Roma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2"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-20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0.0001</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13</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71</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214</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425</w:t>
            </w:r>
          </w:p>
        </w:tc>
        <w:tc>
          <w:tcPr>
            <w:tcW w:w="319"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657</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873</w:t>
            </w:r>
          </w:p>
        </w:tc>
        <w:tc>
          <w:tcPr>
            <w:tcW w:w="31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1058</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1211</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1333</w:t>
            </w:r>
          </w:p>
        </w:tc>
        <w:tc>
          <w:tcPr>
            <w:tcW w:w="298"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1430</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1507</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1566</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1612</w:t>
            </w:r>
          </w:p>
        </w:tc>
        <w:tc>
          <w:tcPr>
            <w:tcW w:w="31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2"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-10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2</w:t>
            </w:r>
            <w:r>
              <w:rPr>
                <w:rFonts w:ascii="Times New Roman" w:hAnsi="Times New Roman" w:cs="Times New Roman"/>
              </w:rPr>
              <w:t>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415</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1641</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2668</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3160</w:t>
            </w:r>
          </w:p>
        </w:tc>
        <w:tc>
          <w:tcPr>
            <w:tcW w:w="319"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3348</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3392</w:t>
            </w:r>
          </w:p>
        </w:tc>
        <w:tc>
          <w:tcPr>
            <w:tcW w:w="31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3367</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3311</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3240</w:t>
            </w:r>
          </w:p>
        </w:tc>
        <w:tc>
          <w:tcPr>
            <w:tcW w:w="298"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3165</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3088</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3013</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2940</w:t>
            </w:r>
          </w:p>
        </w:tc>
        <w:tc>
          <w:tcPr>
            <w:tcW w:w="31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2871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2"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0.01</w:t>
            </w:r>
            <w:r>
              <w:rPr>
                <w:rFonts w:hint="eastAsia" w:ascii="Times New Roman" w:hAnsi="Times New Roman" w:cs="Times New Roman"/>
              </w:rPr>
              <w:t>85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1933</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8633</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7109</w:t>
            </w:r>
          </w:p>
        </w:tc>
        <w:tc>
          <w:tcPr>
            <w:tcW w:w="319"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6184</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5546</w:t>
            </w:r>
          </w:p>
        </w:tc>
        <w:tc>
          <w:tcPr>
            <w:tcW w:w="31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5072</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4702</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hint="eastAsia" w:ascii="Times New Roman" w:hAnsi="Times New Roman" w:cs="Times New Roman"/>
              </w:rPr>
              <w:t>0.4403</w:t>
            </w:r>
          </w:p>
        </w:tc>
        <w:tc>
          <w:tcPr>
            <w:tcW w:w="298"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4154</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3944</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3762</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3604</w:t>
            </w:r>
          </w:p>
        </w:tc>
        <w:tc>
          <w:tcPr>
            <w:tcW w:w="31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3463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2"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10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2</w:t>
            </w:r>
            <w:r>
              <w:rPr>
                <w:rFonts w:ascii="Times New Roman" w:hAnsi="Times New Roman" w:cs="Times New Roman"/>
              </w:rPr>
              <w:t>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hint="eastAsia" w:ascii="Times New Roman" w:hAnsi="Times New Roman" w:cs="Times New Roman"/>
              </w:rPr>
              <w:t>0.0415</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1641</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2668</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3160</w:t>
            </w:r>
          </w:p>
        </w:tc>
        <w:tc>
          <w:tcPr>
            <w:tcW w:w="319"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3348</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3392</w:t>
            </w:r>
          </w:p>
        </w:tc>
        <w:tc>
          <w:tcPr>
            <w:tcW w:w="31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3367</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3111</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3240</w:t>
            </w:r>
          </w:p>
        </w:tc>
        <w:tc>
          <w:tcPr>
            <w:tcW w:w="298"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3165</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3088</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3013</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2940</w:t>
            </w:r>
          </w:p>
        </w:tc>
        <w:tc>
          <w:tcPr>
            <w:tcW w:w="31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2871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2"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20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0.0001</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13</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71</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214</w:t>
            </w:r>
          </w:p>
        </w:tc>
        <w:tc>
          <w:tcPr>
            <w:tcW w:w="30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425</w:t>
            </w:r>
          </w:p>
        </w:tc>
        <w:tc>
          <w:tcPr>
            <w:tcW w:w="319"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657</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0873</w:t>
            </w:r>
          </w:p>
        </w:tc>
        <w:tc>
          <w:tcPr>
            <w:tcW w:w="31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1058</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1211</w:t>
            </w:r>
          </w:p>
        </w:tc>
        <w:tc>
          <w:tcPr>
            <w:tcW w:w="30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1333</w:t>
            </w:r>
          </w:p>
        </w:tc>
        <w:tc>
          <w:tcPr>
            <w:tcW w:w="298"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1430</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1507</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1566</w:t>
            </w:r>
          </w:p>
        </w:tc>
        <w:tc>
          <w:tcPr>
            <w:tcW w:w="297"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1612</w:t>
            </w:r>
          </w:p>
        </w:tc>
        <w:tc>
          <w:tcPr>
            <w:tcW w:w="31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2" w:type="pct"/>
            <w:tcBorders>
              <w:top w:val="single" w:color="auto" w:sz="6" w:space="0"/>
              <w:left w:val="single" w:color="auto" w:sz="12"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30</w:t>
            </w:r>
          </w:p>
        </w:tc>
        <w:tc>
          <w:tcPr>
            <w:tcW w:w="294"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0.0000</w:t>
            </w:r>
          </w:p>
        </w:tc>
        <w:tc>
          <w:tcPr>
            <w:tcW w:w="294"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0.0000</w:t>
            </w:r>
          </w:p>
        </w:tc>
        <w:tc>
          <w:tcPr>
            <w:tcW w:w="301"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w:t>
            </w:r>
            <w:r>
              <w:rPr>
                <w:rFonts w:hint="eastAsia" w:ascii="Times New Roman" w:hAnsi="Times New Roman" w:cs="Times New Roman"/>
              </w:rPr>
              <w:t>3</w:t>
            </w:r>
          </w:p>
        </w:tc>
        <w:tc>
          <w:tcPr>
            <w:tcW w:w="301"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11</w:t>
            </w:r>
          </w:p>
        </w:tc>
        <w:tc>
          <w:tcPr>
            <w:tcW w:w="301"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32</w:t>
            </w:r>
          </w:p>
        </w:tc>
        <w:tc>
          <w:tcPr>
            <w:tcW w:w="319"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68</w:t>
            </w:r>
          </w:p>
        </w:tc>
        <w:tc>
          <w:tcPr>
            <w:tcW w:w="301"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121</w:t>
            </w:r>
          </w:p>
        </w:tc>
        <w:tc>
          <w:tcPr>
            <w:tcW w:w="316"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185</w:t>
            </w:r>
          </w:p>
        </w:tc>
        <w:tc>
          <w:tcPr>
            <w:tcW w:w="301"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257</w:t>
            </w:r>
          </w:p>
        </w:tc>
        <w:tc>
          <w:tcPr>
            <w:tcW w:w="301"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332</w:t>
            </w:r>
          </w:p>
        </w:tc>
        <w:tc>
          <w:tcPr>
            <w:tcW w:w="298"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407</w:t>
            </w:r>
          </w:p>
        </w:tc>
        <w:tc>
          <w:tcPr>
            <w:tcW w:w="297"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0479</w:t>
            </w:r>
          </w:p>
        </w:tc>
        <w:tc>
          <w:tcPr>
            <w:tcW w:w="294"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547</w:t>
            </w:r>
          </w:p>
        </w:tc>
        <w:tc>
          <w:tcPr>
            <w:tcW w:w="297"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0610</w:t>
            </w:r>
          </w:p>
        </w:tc>
        <w:tc>
          <w:tcPr>
            <w:tcW w:w="312" w:type="pct"/>
            <w:tcBorders>
              <w:top w:val="single" w:color="auto" w:sz="6" w:space="0"/>
              <w:left w:val="single" w:color="auto" w:sz="6" w:space="0"/>
              <w:bottom w:val="single" w:color="auto" w:sz="12"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669</w:t>
            </w:r>
          </w:p>
        </w:tc>
      </w:tr>
    </w:tbl>
    <w:p>
      <w:pPr>
        <w:pStyle w:val="96"/>
        <w:spacing w:beforeLines="0"/>
        <w:rPr>
          <w:rFonts w:ascii="Times New Roman" w:hAnsi="Times New Roman" w:cs="Times New Roman"/>
          <w:kern w:val="0"/>
          <w:sz w:val="20"/>
        </w:rPr>
      </w:pPr>
      <w:r>
        <w:rPr>
          <w:rFonts w:ascii="Times New Roman" w:hAnsi="Times New Roman" w:cs="Times New Roman"/>
        </w:rPr>
        <w:t>表5.4-3 污水泄漏后3650天NH</w:t>
      </w:r>
      <w:r>
        <w:rPr>
          <w:rFonts w:ascii="Times New Roman" w:hAnsi="Times New Roman" w:cs="Times New Roman"/>
          <w:vertAlign w:val="subscript"/>
        </w:rPr>
        <w:t>3</w:t>
      </w:r>
      <w:r>
        <w:rPr>
          <w:rFonts w:ascii="Times New Roman" w:hAnsi="Times New Roman" w:cs="Times New Roman"/>
        </w:rPr>
        <w:t>-N迁移距离及浓度（mg/L）</w:t>
      </w:r>
    </w:p>
    <w:tbl>
      <w:tblPr>
        <w:tblStyle w:val="24"/>
        <w:tblW w:w="501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87"/>
        <w:gridCol w:w="806"/>
        <w:gridCol w:w="806"/>
        <w:gridCol w:w="806"/>
        <w:gridCol w:w="806"/>
        <w:gridCol w:w="880"/>
        <w:gridCol w:w="883"/>
        <w:gridCol w:w="806"/>
        <w:gridCol w:w="883"/>
        <w:gridCol w:w="806"/>
        <w:gridCol w:w="880"/>
        <w:gridCol w:w="806"/>
        <w:gridCol w:w="806"/>
        <w:gridCol w:w="806"/>
        <w:gridCol w:w="811"/>
        <w:gridCol w:w="8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470" w:type="pct"/>
            <w:tcBorders>
              <w:top w:val="single" w:color="auto" w:sz="12" w:space="0"/>
              <w:left w:val="single" w:color="auto" w:sz="12" w:space="0"/>
              <w:bottom w:val="single" w:color="auto" w:sz="6" w:space="0"/>
              <w:right w:val="single" w:color="auto" w:sz="6" w:space="0"/>
              <w:tl2br w:val="single" w:color="auto" w:sz="12" w:space="0"/>
            </w:tcBorders>
            <w:noWrap/>
            <w:vAlign w:val="center"/>
          </w:tcPr>
          <w:p>
            <w:pPr>
              <w:pStyle w:val="90"/>
              <w:rPr>
                <w:rFonts w:ascii="Times New Roman" w:hAnsi="Times New Roman" w:cs="Times New Roman"/>
              </w:rPr>
            </w:pPr>
            <w:r>
              <w:rPr>
                <w:rFonts w:ascii="Times New Roman" w:hAnsi="Times New Roman" w:cs="Times New Roman"/>
              </w:rPr>
              <w:t xml:space="preserve">      X/ m</w:t>
            </w:r>
          </w:p>
          <w:p>
            <w:pPr>
              <w:pStyle w:val="90"/>
              <w:jc w:val="both"/>
              <w:rPr>
                <w:rFonts w:ascii="Times New Roman" w:hAnsi="Times New Roman" w:cs="Times New Roman"/>
              </w:rPr>
            </w:pPr>
            <w:r>
              <w:rPr>
                <w:rFonts w:ascii="Times New Roman" w:hAnsi="Times New Roman" w:cs="Times New Roman"/>
              </w:rPr>
              <w:t>Y /m</w:t>
            </w:r>
          </w:p>
        </w:tc>
        <w:tc>
          <w:tcPr>
            <w:tcW w:w="294"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-10</w:t>
            </w:r>
          </w:p>
        </w:tc>
        <w:tc>
          <w:tcPr>
            <w:tcW w:w="294"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p>
        </w:tc>
        <w:tc>
          <w:tcPr>
            <w:tcW w:w="294"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10</w:t>
            </w:r>
          </w:p>
        </w:tc>
        <w:tc>
          <w:tcPr>
            <w:tcW w:w="294"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20</w:t>
            </w:r>
          </w:p>
        </w:tc>
        <w:tc>
          <w:tcPr>
            <w:tcW w:w="321"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30</w:t>
            </w:r>
          </w:p>
        </w:tc>
        <w:tc>
          <w:tcPr>
            <w:tcW w:w="322"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40</w:t>
            </w:r>
          </w:p>
        </w:tc>
        <w:tc>
          <w:tcPr>
            <w:tcW w:w="294"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50</w:t>
            </w:r>
          </w:p>
        </w:tc>
        <w:tc>
          <w:tcPr>
            <w:tcW w:w="322"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60</w:t>
            </w:r>
          </w:p>
        </w:tc>
        <w:tc>
          <w:tcPr>
            <w:tcW w:w="294"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70</w:t>
            </w:r>
          </w:p>
        </w:tc>
        <w:tc>
          <w:tcPr>
            <w:tcW w:w="321"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80</w:t>
            </w:r>
          </w:p>
        </w:tc>
        <w:tc>
          <w:tcPr>
            <w:tcW w:w="294"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90</w:t>
            </w:r>
          </w:p>
        </w:tc>
        <w:tc>
          <w:tcPr>
            <w:tcW w:w="294" w:type="pct"/>
            <w:tcBorders>
              <w:top w:val="single" w:color="auto" w:sz="12"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100</w:t>
            </w:r>
          </w:p>
        </w:tc>
        <w:tc>
          <w:tcPr>
            <w:tcW w:w="294"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110</w:t>
            </w:r>
          </w:p>
        </w:tc>
        <w:tc>
          <w:tcPr>
            <w:tcW w:w="296" w:type="pct"/>
            <w:tcBorders>
              <w:top w:val="single" w:color="auto" w:sz="12"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120</w:t>
            </w:r>
          </w:p>
        </w:tc>
        <w:tc>
          <w:tcPr>
            <w:tcW w:w="302" w:type="pct"/>
            <w:tcBorders>
              <w:top w:val="single" w:color="auto" w:sz="12"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470"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-30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w:t>
            </w:r>
            <w:r>
              <w:rPr>
                <w:rFonts w:hint="eastAsia" w:ascii="Times New Roman" w:hAnsi="Times New Roman" w:cs="Times New Roman"/>
              </w:rPr>
              <w:t>3</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11</w:t>
            </w:r>
          </w:p>
        </w:tc>
        <w:tc>
          <w:tcPr>
            <w:tcW w:w="32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32</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68</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121</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185</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257</w:t>
            </w:r>
          </w:p>
        </w:tc>
        <w:tc>
          <w:tcPr>
            <w:tcW w:w="32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0332</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407</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479</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0547</w:t>
            </w:r>
          </w:p>
        </w:tc>
        <w:tc>
          <w:tcPr>
            <w:tcW w:w="29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610</w:t>
            </w:r>
          </w:p>
        </w:tc>
        <w:tc>
          <w:tcPr>
            <w:tcW w:w="30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0669</w:t>
            </w:r>
            <w:r>
              <w:rPr>
                <w:rFonts w:ascii="Times New Roman" w:hAnsi="Times New Roman" w:cs="Times New Roma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470"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-20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0.0001</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13</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71</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214</w:t>
            </w:r>
          </w:p>
        </w:tc>
        <w:tc>
          <w:tcPr>
            <w:tcW w:w="32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425</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657</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873</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1058</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1211</w:t>
            </w:r>
          </w:p>
        </w:tc>
        <w:tc>
          <w:tcPr>
            <w:tcW w:w="32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1333</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1430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1507</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1566</w:t>
            </w:r>
          </w:p>
        </w:tc>
        <w:tc>
          <w:tcPr>
            <w:tcW w:w="29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1612</w:t>
            </w:r>
          </w:p>
        </w:tc>
        <w:tc>
          <w:tcPr>
            <w:tcW w:w="30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470"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-10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2</w:t>
            </w:r>
            <w:r>
              <w:rPr>
                <w:rFonts w:ascii="Times New Roman" w:hAnsi="Times New Roman" w:cs="Times New Roman"/>
              </w:rPr>
              <w:t>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415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1641</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2668</w:t>
            </w:r>
          </w:p>
        </w:tc>
        <w:tc>
          <w:tcPr>
            <w:tcW w:w="32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3160</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3348</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3392</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3367</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3311</w:t>
            </w:r>
          </w:p>
        </w:tc>
        <w:tc>
          <w:tcPr>
            <w:tcW w:w="32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3240</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3165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3088</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3013</w:t>
            </w:r>
          </w:p>
        </w:tc>
        <w:tc>
          <w:tcPr>
            <w:tcW w:w="29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2940</w:t>
            </w:r>
          </w:p>
        </w:tc>
        <w:tc>
          <w:tcPr>
            <w:tcW w:w="30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2871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470"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185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1933</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8633</w:t>
            </w:r>
          </w:p>
        </w:tc>
        <w:tc>
          <w:tcPr>
            <w:tcW w:w="32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7109</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6184</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5546</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5072</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4702</w:t>
            </w:r>
          </w:p>
        </w:tc>
        <w:tc>
          <w:tcPr>
            <w:tcW w:w="32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hint="eastAsia" w:ascii="Times New Roman" w:hAnsi="Times New Roman" w:cs="Times New Roman"/>
              </w:rPr>
              <w:t>0.4403</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4154</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3944</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3762</w:t>
            </w:r>
          </w:p>
        </w:tc>
        <w:tc>
          <w:tcPr>
            <w:tcW w:w="29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3604</w:t>
            </w:r>
          </w:p>
        </w:tc>
        <w:tc>
          <w:tcPr>
            <w:tcW w:w="30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3463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470"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10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2</w:t>
            </w:r>
            <w:r>
              <w:rPr>
                <w:rFonts w:ascii="Times New Roman" w:hAnsi="Times New Roman" w:cs="Times New Roman"/>
              </w:rPr>
              <w:t>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415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1641</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2668</w:t>
            </w:r>
          </w:p>
        </w:tc>
        <w:tc>
          <w:tcPr>
            <w:tcW w:w="32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3160</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3348</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3392</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3367</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3111</w:t>
            </w:r>
          </w:p>
        </w:tc>
        <w:tc>
          <w:tcPr>
            <w:tcW w:w="32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3240</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3165</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3088</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3013</w:t>
            </w:r>
          </w:p>
        </w:tc>
        <w:tc>
          <w:tcPr>
            <w:tcW w:w="29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2940</w:t>
            </w:r>
          </w:p>
        </w:tc>
        <w:tc>
          <w:tcPr>
            <w:tcW w:w="30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2871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470" w:type="pct"/>
            <w:tcBorders>
              <w:top w:val="single" w:color="auto" w:sz="6" w:space="0"/>
              <w:left w:val="single" w:color="auto" w:sz="12"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20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0.0001</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13</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71</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214</w:t>
            </w:r>
          </w:p>
        </w:tc>
        <w:tc>
          <w:tcPr>
            <w:tcW w:w="321"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425</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657</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0873</w:t>
            </w:r>
          </w:p>
        </w:tc>
        <w:tc>
          <w:tcPr>
            <w:tcW w:w="322"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1058</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1211</w:t>
            </w:r>
          </w:p>
        </w:tc>
        <w:tc>
          <w:tcPr>
            <w:tcW w:w="321"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1333</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1430</w:t>
            </w:r>
          </w:p>
        </w:tc>
        <w:tc>
          <w:tcPr>
            <w:tcW w:w="294" w:type="pct"/>
            <w:tcBorders>
              <w:top w:val="single" w:color="auto" w:sz="6" w:space="0"/>
              <w:left w:val="single" w:color="auto" w:sz="6" w:space="0"/>
              <w:bottom w:val="single" w:color="auto" w:sz="6"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1507</w:t>
            </w:r>
          </w:p>
        </w:tc>
        <w:tc>
          <w:tcPr>
            <w:tcW w:w="294"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1566</w:t>
            </w:r>
          </w:p>
        </w:tc>
        <w:tc>
          <w:tcPr>
            <w:tcW w:w="296" w:type="pct"/>
            <w:tcBorders>
              <w:top w:val="single" w:color="auto" w:sz="6" w:space="0"/>
              <w:left w:val="single" w:color="auto" w:sz="6" w:space="0"/>
              <w:bottom w:val="single" w:color="auto" w:sz="6"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1612</w:t>
            </w:r>
          </w:p>
        </w:tc>
        <w:tc>
          <w:tcPr>
            <w:tcW w:w="302" w:type="pct"/>
            <w:tcBorders>
              <w:top w:val="single" w:color="auto" w:sz="6" w:space="0"/>
              <w:left w:val="single" w:color="auto" w:sz="6" w:space="0"/>
              <w:bottom w:val="single" w:color="auto" w:sz="6"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1647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470" w:type="pct"/>
            <w:tcBorders>
              <w:top w:val="single" w:color="auto" w:sz="6" w:space="0"/>
              <w:left w:val="single" w:color="auto" w:sz="12"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30</w:t>
            </w:r>
          </w:p>
        </w:tc>
        <w:tc>
          <w:tcPr>
            <w:tcW w:w="294"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0.0000</w:t>
            </w:r>
          </w:p>
        </w:tc>
        <w:tc>
          <w:tcPr>
            <w:tcW w:w="294"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0.0000</w:t>
            </w:r>
          </w:p>
        </w:tc>
        <w:tc>
          <w:tcPr>
            <w:tcW w:w="294"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0.000</w:t>
            </w:r>
            <w:r>
              <w:rPr>
                <w:rFonts w:hint="eastAsia" w:ascii="Times New Roman" w:hAnsi="Times New Roman" w:cs="Times New Roman"/>
              </w:rPr>
              <w:t>3</w:t>
            </w:r>
          </w:p>
        </w:tc>
        <w:tc>
          <w:tcPr>
            <w:tcW w:w="294"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11</w:t>
            </w:r>
          </w:p>
        </w:tc>
        <w:tc>
          <w:tcPr>
            <w:tcW w:w="321"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32</w:t>
            </w:r>
          </w:p>
        </w:tc>
        <w:tc>
          <w:tcPr>
            <w:tcW w:w="322"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68</w:t>
            </w:r>
          </w:p>
        </w:tc>
        <w:tc>
          <w:tcPr>
            <w:tcW w:w="294"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121</w:t>
            </w:r>
          </w:p>
        </w:tc>
        <w:tc>
          <w:tcPr>
            <w:tcW w:w="322"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185</w:t>
            </w:r>
          </w:p>
        </w:tc>
        <w:tc>
          <w:tcPr>
            <w:tcW w:w="294"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257</w:t>
            </w:r>
          </w:p>
        </w:tc>
        <w:tc>
          <w:tcPr>
            <w:tcW w:w="321"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332</w:t>
            </w:r>
          </w:p>
        </w:tc>
        <w:tc>
          <w:tcPr>
            <w:tcW w:w="294"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407</w:t>
            </w:r>
          </w:p>
        </w:tc>
        <w:tc>
          <w:tcPr>
            <w:tcW w:w="294" w:type="pct"/>
            <w:tcBorders>
              <w:top w:val="single" w:color="auto" w:sz="6" w:space="0"/>
              <w:left w:val="single" w:color="auto" w:sz="6" w:space="0"/>
              <w:bottom w:val="single" w:color="auto" w:sz="12" w:space="0"/>
              <w:right w:val="single" w:color="auto" w:sz="6" w:space="0"/>
            </w:tcBorders>
            <w:noWrap/>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0479</w:t>
            </w:r>
          </w:p>
        </w:tc>
        <w:tc>
          <w:tcPr>
            <w:tcW w:w="294"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547</w:t>
            </w:r>
          </w:p>
        </w:tc>
        <w:tc>
          <w:tcPr>
            <w:tcW w:w="296" w:type="pct"/>
            <w:tcBorders>
              <w:top w:val="single" w:color="auto" w:sz="6" w:space="0"/>
              <w:left w:val="single" w:color="auto" w:sz="6" w:space="0"/>
              <w:bottom w:val="single" w:color="auto" w:sz="12" w:space="0"/>
              <w:right w:val="single" w:color="auto" w:sz="6" w:space="0"/>
            </w:tcBorders>
            <w:vAlign w:val="center"/>
          </w:tcPr>
          <w:p>
            <w:pPr>
              <w:pStyle w:val="90"/>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0610</w:t>
            </w:r>
          </w:p>
        </w:tc>
        <w:tc>
          <w:tcPr>
            <w:tcW w:w="302" w:type="pct"/>
            <w:tcBorders>
              <w:top w:val="single" w:color="auto" w:sz="6" w:space="0"/>
              <w:left w:val="single" w:color="auto" w:sz="6" w:space="0"/>
              <w:bottom w:val="single" w:color="auto" w:sz="12" w:space="0"/>
              <w:right w:val="single" w:color="auto" w:sz="12" w:space="0"/>
            </w:tcBorders>
            <w:vAlign w:val="center"/>
          </w:tcPr>
          <w:p>
            <w:pPr>
              <w:pStyle w:val="90"/>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669</w:t>
            </w:r>
          </w:p>
        </w:tc>
      </w:tr>
    </w:tbl>
    <w:p>
      <w:pPr>
        <w:rPr>
          <w:rFonts w:eastAsiaTheme="minorEastAsia"/>
        </w:rPr>
        <w:sectPr>
          <w:headerReference r:id="rId30" w:type="default"/>
          <w:footerReference r:id="rId31" w:type="default"/>
          <w:pgSz w:w="16840" w:h="11907" w:orient="landscape"/>
          <w:pgMar w:top="1418" w:right="1701" w:bottom="1418" w:left="1701" w:header="1134" w:footer="1134" w:gutter="0"/>
          <w:cols w:space="425" w:num="1"/>
          <w:docGrid w:linePitch="328" w:charSpace="0"/>
        </w:sectPr>
      </w:pPr>
    </w:p>
    <w:p>
      <w:pPr>
        <w:spacing w:line="360" w:lineRule="auto"/>
        <w:outlineLvl w:val="2"/>
        <w:rPr>
          <w:rFonts w:eastAsiaTheme="minorEastAsia"/>
          <w:b/>
          <w:sz w:val="24"/>
        </w:rPr>
      </w:pPr>
      <w:r>
        <w:rPr>
          <w:rFonts w:eastAsiaTheme="minorEastAsia"/>
          <w:b/>
          <w:sz w:val="24"/>
        </w:rPr>
        <w:t>5.4.5地下水环境影响评价</w:t>
      </w:r>
    </w:p>
    <w:p>
      <w:pPr>
        <w:spacing w:line="360" w:lineRule="auto"/>
        <w:outlineLvl w:val="3"/>
        <w:rPr>
          <w:rFonts w:eastAsiaTheme="minorEastAsia"/>
          <w:b/>
          <w:sz w:val="24"/>
        </w:rPr>
      </w:pPr>
      <w:r>
        <w:rPr>
          <w:rFonts w:eastAsiaTheme="minorEastAsia"/>
          <w:b/>
          <w:sz w:val="24"/>
        </w:rPr>
        <w:t>5.4.5.1冒落带、裂隙带最大高度预测</w:t>
      </w:r>
    </w:p>
    <w:p>
      <w:pPr>
        <w:spacing w:line="360" w:lineRule="auto"/>
        <w:ind w:firstLine="480" w:firstLineChars="200"/>
        <w:rPr>
          <w:rFonts w:eastAsiaTheme="minorEastAsia"/>
          <w:bCs/>
          <w:sz w:val="24"/>
        </w:rPr>
      </w:pPr>
      <w:r>
        <w:rPr>
          <w:rFonts w:eastAsiaTheme="minorEastAsia"/>
          <w:bCs/>
          <w:sz w:val="24"/>
        </w:rPr>
        <w:t>煤层开采后，由于存在矿山压力，煤层上覆岩层形成冒落带、裂隙带和缓慢下沉带“三带”。通过对冒落带、裂隙带最大高度预计，可以预测井下采煤对地下含水层、地表水体等产生的影响。</w:t>
      </w:r>
    </w:p>
    <w:p>
      <w:pPr>
        <w:spacing w:line="360" w:lineRule="auto"/>
        <w:ind w:firstLine="480" w:firstLineChars="200"/>
        <w:rPr>
          <w:rFonts w:eastAsiaTheme="minorEastAsia"/>
          <w:bCs/>
          <w:sz w:val="24"/>
        </w:rPr>
      </w:pPr>
      <w:r>
        <w:rPr>
          <w:rFonts w:eastAsiaTheme="minorEastAsia"/>
          <w:bCs/>
          <w:sz w:val="24"/>
        </w:rPr>
        <w:t>本矿井煤层为缓倾煤层，</w:t>
      </w:r>
      <w:r>
        <w:rPr>
          <w:rFonts w:eastAsiaTheme="minorEastAsia"/>
          <w:sz w:val="24"/>
        </w:rPr>
        <w:t>采用一次采全高走向长壁综采采煤法，</w:t>
      </w:r>
      <w:r>
        <w:rPr>
          <w:rFonts w:eastAsiaTheme="minorEastAsia"/>
          <w:bCs/>
          <w:sz w:val="24"/>
        </w:rPr>
        <w:t>全部垮落式管理顶板，煤层上覆岩层</w:t>
      </w:r>
      <w:r>
        <w:rPr>
          <w:rFonts w:eastAsiaTheme="minorEastAsia"/>
          <w:sz w:val="24"/>
        </w:rPr>
        <w:t>综</w:t>
      </w:r>
      <w:r>
        <w:rPr>
          <w:rFonts w:eastAsiaTheme="minorEastAsia"/>
          <w:bCs/>
          <w:sz w:val="24"/>
        </w:rPr>
        <w:t>合考虑为中硬岩层，冒落带、裂隙带高度预测选用《建筑物、水体、铁路及主要井巷煤柱留设与压煤开采规程》中推荐的模式。</w:t>
      </w:r>
    </w:p>
    <w:p>
      <w:pPr>
        <w:spacing w:line="360" w:lineRule="auto"/>
        <w:ind w:firstLine="480" w:firstLineChars="200"/>
        <w:rPr>
          <w:rFonts w:eastAsiaTheme="minorEastAsia"/>
          <w:bCs/>
          <w:sz w:val="24"/>
        </w:rPr>
      </w:pPr>
      <w:r>
        <w:rPr>
          <w:rFonts w:eastAsiaTheme="minorEastAsia"/>
          <w:bCs/>
          <w:sz w:val="24"/>
        </w:rPr>
        <w:t>冒落带和裂隙带的计算公式：</w:t>
      </w:r>
    </w:p>
    <w:p>
      <w:pPr>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冒落带</w:t>
      </w:r>
      <w:r>
        <w:rPr>
          <w:rFonts w:eastAsiaTheme="minorEastAsia"/>
          <w:sz w:val="24"/>
        </w:rPr>
        <w:t>最大高度</w:t>
      </w:r>
      <w:r>
        <w:rPr>
          <w:rFonts w:eastAsiaTheme="minorEastAsia"/>
          <w:bCs/>
          <w:sz w:val="24"/>
        </w:rPr>
        <w:t>计算公式：</w:t>
      </w:r>
    </w:p>
    <w:p>
      <w:pPr>
        <w:spacing w:line="360" w:lineRule="auto"/>
        <w:ind w:firstLine="480" w:firstLineChars="200"/>
        <w:rPr>
          <w:rFonts w:eastAsiaTheme="minorEastAsia"/>
          <w:bCs/>
          <w:sz w:val="24"/>
        </w:rPr>
      </w:pPr>
      <w:r>
        <w:rPr>
          <w:rFonts w:eastAsiaTheme="minorEastAsia"/>
          <w:bCs/>
          <w:sz w:val="24"/>
        </w:rPr>
        <w:t>中硬：</w:t>
      </w:r>
      <w:r>
        <w:rPr>
          <w:rFonts w:eastAsiaTheme="minorEastAsia"/>
          <w:sz w:val="24"/>
        </w:rPr>
        <w:t xml:space="preserve"> </w:t>
      </w:r>
      <w:r>
        <w:rPr>
          <w:rFonts w:eastAsiaTheme="minorEastAsia"/>
          <w:sz w:val="24"/>
        </w:rPr>
        <w:object>
          <v:shape id="_x0000_i1035" o:spt="75" type="#_x0000_t75" style="height:28.5pt;width:121.5pt;" o:ole="t" filled="f" o:preferrelative="t" stroked="f" coordsize="21600,21600">
            <v:path/>
            <v:fill on="f" focussize="0,0"/>
            <v:stroke on="f" joinstyle="miter"/>
            <v:imagedata r:id="rId105" o:title=""/>
            <o:lock v:ext="edit" aspectratio="t"/>
            <w10:wrap type="none"/>
            <w10:anchorlock/>
          </v:shape>
          <o:OLEObject Type="Embed" ProgID="Equation.DSMT4" ShapeID="_x0000_i1035" DrawAspect="Content" ObjectID="_1468075749" r:id="rId104">
            <o:LockedField>false</o:LockedField>
          </o:OLEObject>
        </w:object>
      </w:r>
      <w:r>
        <w:rPr>
          <w:rFonts w:eastAsiaTheme="minorEastAsia"/>
          <w:bCs/>
          <w:sz w:val="24"/>
        </w:rPr>
        <w:t xml:space="preserve"> (m)</w:t>
      </w:r>
    </w:p>
    <w:p>
      <w:pPr>
        <w:spacing w:line="360" w:lineRule="auto"/>
        <w:ind w:firstLine="480" w:firstLineChars="200"/>
        <w:rPr>
          <w:rFonts w:eastAsiaTheme="minorEastAsia"/>
          <w:bCs/>
          <w:sz w:val="24"/>
        </w:rPr>
      </w:pPr>
      <w:r>
        <w:rPr>
          <w:rFonts w:hint="eastAsia" w:ascii="宋体" w:hAnsi="宋体" w:cs="宋体"/>
          <w:sz w:val="24"/>
        </w:rPr>
        <w:t>②</w:t>
      </w:r>
      <w:r>
        <w:rPr>
          <w:rFonts w:eastAsiaTheme="minorEastAsia"/>
          <w:sz w:val="24"/>
        </w:rPr>
        <w:t>裂隙带</w:t>
      </w:r>
      <w:r>
        <w:rPr>
          <w:rFonts w:eastAsiaTheme="minorEastAsia"/>
          <w:bCs/>
          <w:sz w:val="24"/>
        </w:rPr>
        <w:t>最大高度计算公式：</w:t>
      </w:r>
    </w:p>
    <w:p>
      <w:pPr>
        <w:spacing w:line="360" w:lineRule="auto"/>
        <w:ind w:firstLine="480" w:firstLineChars="200"/>
        <w:rPr>
          <w:rFonts w:eastAsiaTheme="minorEastAsia"/>
          <w:bCs/>
          <w:sz w:val="24"/>
        </w:rPr>
      </w:pPr>
      <w:r>
        <w:rPr>
          <w:rFonts w:eastAsiaTheme="minorEastAsia"/>
          <w:bCs/>
          <w:sz w:val="24"/>
        </w:rPr>
        <w:t>中硬：</w:t>
      </w:r>
    </w:p>
    <w:p>
      <w:pPr>
        <w:spacing w:line="360" w:lineRule="auto"/>
        <w:ind w:firstLine="480" w:firstLineChars="200"/>
        <w:rPr>
          <w:rFonts w:eastAsiaTheme="minorEastAsia"/>
          <w:bCs/>
          <w:sz w:val="24"/>
        </w:rPr>
      </w:pPr>
      <w:r>
        <w:rPr>
          <w:rFonts w:eastAsiaTheme="minorEastAsia"/>
          <w:sz w:val="24"/>
        </w:rPr>
        <w:t>公式</w:t>
      </w:r>
      <w:r>
        <w:rPr>
          <w:rFonts w:eastAsiaTheme="minorEastAsia"/>
          <w:bCs/>
          <w:sz w:val="24"/>
        </w:rPr>
        <w:t xml:space="preserve">1： </w:t>
      </w:r>
      <w:r>
        <w:rPr>
          <w:rFonts w:eastAsiaTheme="minorEastAsia"/>
          <w:position w:val="-32"/>
          <w:szCs w:val="21"/>
        </w:rPr>
        <w:object>
          <v:shape id="_x0000_i1036" o:spt="75" type="#_x0000_t75" style="height:22.5pt;width:94.5pt;" o:ole="t" filled="f" o:preferrelative="t" stroked="f" coordsize="21600,21600">
            <v:path/>
            <v:fill on="f" focussize="0,0"/>
            <v:stroke on="f" joinstyle="miter"/>
            <v:imagedata r:id="rId107" o:title=""/>
            <o:lock v:ext="edit" aspectratio="t"/>
            <w10:wrap type="none"/>
            <w10:anchorlock/>
          </v:shape>
          <o:OLEObject Type="Embed" ProgID="Equation.3" ShapeID="_x0000_i1036" DrawAspect="Content" ObjectID="_1468075750" r:id="rId106">
            <o:LockedField>false</o:LockedField>
          </o:OLEObject>
        </w:object>
      </w:r>
    </w:p>
    <w:p>
      <w:pPr>
        <w:spacing w:line="360" w:lineRule="auto"/>
        <w:ind w:firstLine="480" w:firstLineChars="200"/>
        <w:rPr>
          <w:rFonts w:eastAsiaTheme="minorEastAsia"/>
          <w:bCs/>
          <w:sz w:val="24"/>
        </w:rPr>
      </w:pPr>
      <w:r>
        <w:rPr>
          <w:rFonts w:eastAsiaTheme="minorEastAsia"/>
          <w:sz w:val="24"/>
        </w:rPr>
        <w:t>公式</w:t>
      </w:r>
      <w:r>
        <w:rPr>
          <w:rFonts w:eastAsiaTheme="minorEastAsia"/>
          <w:bCs/>
          <w:sz w:val="24"/>
        </w:rPr>
        <w:t>2：</w:t>
      </w:r>
      <w:r>
        <w:rPr>
          <w:rFonts w:eastAsiaTheme="minorEastAsia"/>
          <w:position w:val="-10"/>
          <w:sz w:val="24"/>
        </w:rPr>
        <w:t xml:space="preserve"> </w:t>
      </w:r>
      <w:r>
        <w:rPr>
          <w:rFonts w:eastAsiaTheme="minorEastAsia"/>
          <w:position w:val="-16"/>
          <w:szCs w:val="21"/>
        </w:rPr>
        <w:object>
          <v:shape id="_x0000_i1037" o:spt="75" type="#_x0000_t75" style="height:13.5pt;width:79.5pt;" o:ole="t" filled="f" o:preferrelative="t" stroked="f" coordsize="21600,21600">
            <v:path/>
            <v:fill on="f" focussize="0,0"/>
            <v:stroke on="f" joinstyle="miter"/>
            <v:imagedata r:id="rId109" o:title=""/>
            <o:lock v:ext="edit" aspectratio="t"/>
            <w10:wrap type="none"/>
            <w10:anchorlock/>
          </v:shape>
          <o:OLEObject Type="Embed" ProgID="Equation.3" ShapeID="_x0000_i1037" DrawAspect="Content" ObjectID="_1468075751" r:id="rId108">
            <o:LockedField>false</o:LockedField>
          </o:OLEObject>
        </w:object>
      </w:r>
    </w:p>
    <w:p>
      <w:pPr>
        <w:spacing w:line="360" w:lineRule="auto"/>
        <w:ind w:firstLine="480" w:firstLineChars="200"/>
        <w:rPr>
          <w:rFonts w:eastAsiaTheme="minorEastAsia"/>
          <w:bCs/>
          <w:sz w:val="24"/>
        </w:rPr>
      </w:pPr>
      <w:r>
        <w:rPr>
          <w:rFonts w:eastAsiaTheme="minorEastAsia"/>
          <w:bCs/>
          <w:sz w:val="24"/>
        </w:rPr>
        <w:t>式中，M为</w:t>
      </w:r>
      <w:r>
        <w:rPr>
          <w:rFonts w:eastAsiaTheme="minorEastAsia"/>
          <w:sz w:val="24"/>
        </w:rPr>
        <w:t>煤层</w:t>
      </w:r>
      <w:r>
        <w:rPr>
          <w:rFonts w:eastAsiaTheme="minorEastAsia"/>
          <w:bCs/>
          <w:sz w:val="24"/>
        </w:rPr>
        <w:t>开采厚度。</w:t>
      </w:r>
    </w:p>
    <w:p>
      <w:pPr>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保护层高度：</w:t>
      </w:r>
      <w:r>
        <w:rPr>
          <w:rFonts w:eastAsiaTheme="minorEastAsia"/>
          <w:bCs/>
          <w:position w:val="-24"/>
          <w:szCs w:val="21"/>
        </w:rPr>
        <w:object>
          <v:shape id="_x0000_i1038" o:spt="75" type="#_x0000_t75" style="height:36pt;width:72pt;" o:ole="t" filled="f" o:preferrelative="t" stroked="f" coordsize="21600,21600">
            <v:path/>
            <v:fill on="f" focussize="0,0"/>
            <v:stroke on="f" joinstyle="miter"/>
            <v:imagedata r:id="rId111" o:title=""/>
            <o:lock v:ext="edit" aspectratio="t"/>
            <w10:wrap type="none"/>
            <w10:anchorlock/>
          </v:shape>
          <o:OLEObject Type="Embed" ProgID="Equation.3" ShapeID="_x0000_i1038" DrawAspect="Content" ObjectID="_1468075752" r:id="rId110">
            <o:LockedField>false</o:LockedField>
          </o:OLEObject>
        </w:object>
      </w:r>
    </w:p>
    <w:p>
      <w:pPr>
        <w:spacing w:line="360" w:lineRule="auto"/>
        <w:ind w:firstLine="480" w:firstLineChars="200"/>
        <w:rPr>
          <w:rFonts w:eastAsiaTheme="minorEastAsia"/>
          <w:sz w:val="24"/>
        </w:rPr>
      </w:pPr>
      <w:r>
        <w:rPr>
          <w:rFonts w:hAnsiTheme="minorEastAsia" w:eastAsiaTheme="minorEastAsia"/>
          <w:sz w:val="24"/>
        </w:rPr>
        <w:t>近距离煤层导水裂隙带计算：下层煤的垮落带（冒落带）接触到或完全进入上层煤范围内时，上层煤的导水裂隙带最大高度采用本层煤的开采厚度计算，下层煤的导水裂隙带最大高度，则应采用上、下层煤的综合开采厚度计算，取其中标高最高者为两层煤的导水裂隙带最大高度。上下两层煤的综合开采厚度按以下公式计算。</w:t>
      </w:r>
    </w:p>
    <w:p>
      <w:pPr>
        <w:spacing w:line="360" w:lineRule="auto"/>
        <w:ind w:firstLine="480" w:firstLineChars="200"/>
        <w:rPr>
          <w:rFonts w:hAnsiTheme="minorEastAsia" w:eastAsiaTheme="minorEastAsia"/>
          <w:sz w:val="24"/>
        </w:rPr>
      </w:pPr>
      <w:r>
        <w:rPr>
          <w:rFonts w:hAnsiTheme="minorEastAsia" w:eastAsiaTheme="minorEastAsia"/>
          <w:sz w:val="24"/>
        </w:rPr>
        <w:t>公式</w:t>
      </w:r>
      <w:r>
        <w:rPr>
          <w:rFonts w:eastAsiaTheme="minorEastAsia"/>
          <w:sz w:val="24"/>
        </w:rPr>
        <w:t>3</w:t>
      </w:r>
      <w:r>
        <w:rPr>
          <w:rFonts w:hint="eastAsia" w:eastAsiaTheme="minorEastAsia"/>
          <w:sz w:val="24"/>
        </w:rPr>
        <w:t>：</w:t>
      </w:r>
      <w:r>
        <w:rPr>
          <w:rFonts w:eastAsiaTheme="minorEastAsia"/>
          <w:sz w:val="24"/>
        </w:rPr>
        <w:t>M</w:t>
      </w:r>
      <w:r>
        <w:rPr>
          <w:rFonts w:hAnsiTheme="minorEastAsia" w:eastAsiaTheme="minorEastAsia"/>
          <w:sz w:val="24"/>
          <w:vertAlign w:val="subscript"/>
        </w:rPr>
        <w:t>综合</w:t>
      </w:r>
      <w:r>
        <w:rPr>
          <w:rFonts w:eastAsiaTheme="minorEastAsia"/>
          <w:sz w:val="24"/>
        </w:rPr>
        <w:t>=M</w:t>
      </w:r>
      <w:r>
        <w:rPr>
          <w:rFonts w:eastAsiaTheme="minorEastAsia"/>
          <w:sz w:val="24"/>
          <w:vertAlign w:val="subscript"/>
        </w:rPr>
        <w:t>2</w:t>
      </w:r>
      <w:r>
        <w:rPr>
          <w:rFonts w:eastAsiaTheme="minorEastAsia"/>
          <w:sz w:val="24"/>
        </w:rPr>
        <w:t>+(M</w:t>
      </w:r>
      <w:r>
        <w:rPr>
          <w:rFonts w:eastAsiaTheme="minorEastAsia"/>
          <w:sz w:val="24"/>
          <w:vertAlign w:val="subscript"/>
        </w:rPr>
        <w:t>1</w:t>
      </w:r>
      <w:r>
        <w:rPr>
          <w:rFonts w:eastAsiaTheme="minorEastAsia"/>
          <w:sz w:val="24"/>
        </w:rPr>
        <w:t>-h</w:t>
      </w:r>
      <w:r>
        <w:rPr>
          <w:rFonts w:eastAsiaTheme="minorEastAsia"/>
          <w:sz w:val="24"/>
          <w:vertAlign w:val="subscript"/>
        </w:rPr>
        <w:t>1-2</w:t>
      </w:r>
      <w:r>
        <w:rPr>
          <w:rFonts w:eastAsiaTheme="minorEastAsia"/>
          <w:sz w:val="24"/>
        </w:rPr>
        <w:t>/y</w:t>
      </w:r>
      <w:r>
        <w:rPr>
          <w:rFonts w:eastAsiaTheme="minorEastAsia"/>
          <w:sz w:val="24"/>
          <w:vertAlign w:val="subscript"/>
        </w:rPr>
        <w:t>2</w:t>
      </w:r>
      <w:r>
        <w:rPr>
          <w:rFonts w:eastAsiaTheme="minorEastAsia"/>
          <w:sz w:val="24"/>
        </w:rPr>
        <w:t xml:space="preserve">)              </w:t>
      </w:r>
    </w:p>
    <w:p>
      <w:pPr>
        <w:spacing w:line="360" w:lineRule="auto"/>
        <w:ind w:firstLine="480" w:firstLineChars="200"/>
        <w:rPr>
          <w:rFonts w:eastAsiaTheme="minorEastAsia"/>
          <w:sz w:val="24"/>
        </w:rPr>
      </w:pPr>
      <w:r>
        <w:rPr>
          <w:rFonts w:eastAsiaTheme="minorEastAsia"/>
          <w:sz w:val="24"/>
        </w:rPr>
        <w:t>M</w:t>
      </w:r>
      <w:r>
        <w:rPr>
          <w:rFonts w:eastAsiaTheme="minorEastAsia"/>
          <w:sz w:val="24"/>
          <w:vertAlign w:val="subscript"/>
        </w:rPr>
        <w:t>1</w:t>
      </w:r>
      <w:r>
        <w:rPr>
          <w:rFonts w:eastAsiaTheme="minorEastAsia"/>
          <w:sz w:val="24"/>
        </w:rPr>
        <w:t>—</w:t>
      </w:r>
      <w:r>
        <w:rPr>
          <w:rFonts w:hAnsiTheme="minorEastAsia" w:eastAsiaTheme="minorEastAsia"/>
          <w:sz w:val="24"/>
        </w:rPr>
        <w:t>上层煤开采厚度；</w:t>
      </w:r>
    </w:p>
    <w:p>
      <w:pPr>
        <w:spacing w:line="360" w:lineRule="auto"/>
        <w:ind w:firstLine="480" w:firstLineChars="200"/>
        <w:rPr>
          <w:rFonts w:eastAsiaTheme="minorEastAsia"/>
          <w:sz w:val="24"/>
        </w:rPr>
      </w:pPr>
      <w:r>
        <w:rPr>
          <w:rFonts w:eastAsiaTheme="minorEastAsia"/>
          <w:sz w:val="24"/>
        </w:rPr>
        <w:t>M</w:t>
      </w:r>
      <w:r>
        <w:rPr>
          <w:rFonts w:eastAsiaTheme="minorEastAsia"/>
          <w:sz w:val="24"/>
          <w:vertAlign w:val="subscript"/>
        </w:rPr>
        <w:t>2</w:t>
      </w:r>
      <w:r>
        <w:rPr>
          <w:rFonts w:eastAsiaTheme="minorEastAsia"/>
          <w:sz w:val="24"/>
        </w:rPr>
        <w:t>—</w:t>
      </w:r>
      <w:r>
        <w:rPr>
          <w:rFonts w:hAnsiTheme="minorEastAsia" w:eastAsiaTheme="minorEastAsia"/>
          <w:sz w:val="24"/>
        </w:rPr>
        <w:t>下层煤开采厚度；</w:t>
      </w:r>
    </w:p>
    <w:p>
      <w:pPr>
        <w:spacing w:line="360" w:lineRule="auto"/>
        <w:ind w:firstLine="480" w:firstLineChars="200"/>
        <w:rPr>
          <w:rFonts w:eastAsiaTheme="minorEastAsia"/>
          <w:sz w:val="24"/>
        </w:rPr>
      </w:pPr>
      <w:r>
        <w:rPr>
          <w:rFonts w:eastAsiaTheme="minorEastAsia"/>
          <w:sz w:val="24"/>
        </w:rPr>
        <w:t>h</w:t>
      </w:r>
      <w:r>
        <w:rPr>
          <w:rFonts w:eastAsiaTheme="minorEastAsia"/>
          <w:sz w:val="24"/>
          <w:vertAlign w:val="subscript"/>
        </w:rPr>
        <w:t>1-2</w:t>
      </w:r>
      <w:r>
        <w:rPr>
          <w:rFonts w:eastAsiaTheme="minorEastAsia"/>
          <w:sz w:val="24"/>
        </w:rPr>
        <w:t>—</w:t>
      </w:r>
      <w:r>
        <w:rPr>
          <w:rFonts w:hAnsiTheme="minorEastAsia" w:eastAsiaTheme="minorEastAsia"/>
          <w:sz w:val="24"/>
        </w:rPr>
        <w:t>上下煤层间的法线距离；</w:t>
      </w:r>
    </w:p>
    <w:p>
      <w:pPr>
        <w:spacing w:line="360" w:lineRule="auto"/>
        <w:ind w:firstLine="480" w:firstLineChars="200"/>
        <w:rPr>
          <w:rFonts w:eastAsiaTheme="minorEastAsia"/>
          <w:sz w:val="24"/>
        </w:rPr>
      </w:pPr>
      <w:r>
        <w:rPr>
          <w:rFonts w:eastAsiaTheme="minorEastAsia"/>
          <w:sz w:val="24"/>
        </w:rPr>
        <w:t>y</w:t>
      </w:r>
      <w:r>
        <w:rPr>
          <w:rFonts w:eastAsiaTheme="minorEastAsia"/>
          <w:sz w:val="24"/>
          <w:vertAlign w:val="subscript"/>
        </w:rPr>
        <w:t>2</w:t>
      </w:r>
      <w:r>
        <w:rPr>
          <w:rFonts w:eastAsiaTheme="minorEastAsia"/>
          <w:sz w:val="24"/>
        </w:rPr>
        <w:t>—</w:t>
      </w:r>
      <w:r>
        <w:rPr>
          <w:rFonts w:hAnsiTheme="minorEastAsia" w:eastAsiaTheme="minorEastAsia"/>
          <w:sz w:val="24"/>
        </w:rPr>
        <w:t>下层煤的冒高与采厚比。</w:t>
      </w:r>
    </w:p>
    <w:p>
      <w:pPr>
        <w:spacing w:line="360" w:lineRule="auto"/>
        <w:ind w:firstLine="480" w:firstLineChars="200"/>
        <w:rPr>
          <w:rFonts w:eastAsiaTheme="minorEastAsia"/>
          <w:bCs/>
          <w:sz w:val="24"/>
        </w:rPr>
      </w:pPr>
      <w:r>
        <w:rPr>
          <w:rFonts w:eastAsiaTheme="minorEastAsia"/>
          <w:sz w:val="24"/>
        </w:rPr>
        <w:t>4</w:t>
      </w:r>
      <w:r>
        <w:rPr>
          <w:rFonts w:hAnsiTheme="minorEastAsia" w:eastAsiaTheme="minorEastAsia"/>
          <w:sz w:val="24"/>
        </w:rPr>
        <w:t>号和</w:t>
      </w:r>
      <w:r>
        <w:rPr>
          <w:rFonts w:eastAsiaTheme="minorEastAsia"/>
          <w:sz w:val="24"/>
        </w:rPr>
        <w:t>5</w:t>
      </w:r>
      <w:r>
        <w:rPr>
          <w:rFonts w:hAnsiTheme="minorEastAsia" w:eastAsiaTheme="minorEastAsia"/>
          <w:sz w:val="24"/>
        </w:rPr>
        <w:t>号煤层煤层间距为</w:t>
      </w:r>
      <w:r>
        <w:rPr>
          <w:rFonts w:eastAsiaTheme="minorEastAsia"/>
          <w:sz w:val="24"/>
        </w:rPr>
        <w:t>1.66m</w:t>
      </w:r>
      <w:r>
        <w:rPr>
          <w:rFonts w:hAnsiTheme="minorEastAsia" w:eastAsiaTheme="minorEastAsia"/>
          <w:sz w:val="24"/>
        </w:rPr>
        <w:t>，</w:t>
      </w:r>
      <w:r>
        <w:rPr>
          <w:rFonts w:eastAsiaTheme="minorEastAsia"/>
          <w:sz w:val="24"/>
        </w:rPr>
        <w:t>5</w:t>
      </w:r>
      <w:r>
        <w:rPr>
          <w:rFonts w:hAnsiTheme="minorEastAsia" w:eastAsiaTheme="minorEastAsia"/>
          <w:sz w:val="24"/>
        </w:rPr>
        <w:t>号煤层的冒落带高度</w:t>
      </w:r>
      <w:r>
        <w:rPr>
          <w:rFonts w:eastAsiaTheme="minorEastAsia"/>
          <w:sz w:val="24"/>
        </w:rPr>
        <w:t>15.24m</w:t>
      </w:r>
      <w:r>
        <w:rPr>
          <w:rFonts w:hAnsiTheme="minorEastAsia" w:eastAsiaTheme="minorEastAsia"/>
          <w:sz w:val="24"/>
        </w:rPr>
        <w:t>，完全进入了</w:t>
      </w:r>
      <w:r>
        <w:rPr>
          <w:rFonts w:eastAsiaTheme="minorEastAsia"/>
          <w:sz w:val="24"/>
        </w:rPr>
        <w:t>4</w:t>
      </w:r>
      <w:r>
        <w:rPr>
          <w:rFonts w:hAnsiTheme="minorEastAsia" w:eastAsiaTheme="minorEastAsia"/>
          <w:sz w:val="24"/>
        </w:rPr>
        <w:t>号煤层范围，因此，</w:t>
      </w:r>
      <w:r>
        <w:rPr>
          <w:rFonts w:eastAsiaTheme="minorEastAsia"/>
          <w:sz w:val="24"/>
        </w:rPr>
        <w:t>4</w:t>
      </w:r>
      <w:r>
        <w:rPr>
          <w:rFonts w:hAnsiTheme="minorEastAsia" w:eastAsiaTheme="minorEastAsia"/>
          <w:sz w:val="24"/>
        </w:rPr>
        <w:t>、</w:t>
      </w:r>
      <w:r>
        <w:rPr>
          <w:rFonts w:eastAsiaTheme="minorEastAsia"/>
          <w:sz w:val="24"/>
        </w:rPr>
        <w:t>5</w:t>
      </w:r>
      <w:r>
        <w:rPr>
          <w:rFonts w:hAnsiTheme="minorEastAsia" w:eastAsiaTheme="minorEastAsia"/>
          <w:sz w:val="24"/>
        </w:rPr>
        <w:t>号煤层采用近距离煤层导水裂隙带公式进行计算，其中</w:t>
      </w:r>
      <w:r>
        <w:rPr>
          <w:rFonts w:eastAsiaTheme="minorEastAsia"/>
          <w:sz w:val="24"/>
        </w:rPr>
        <w:t>5</w:t>
      </w:r>
      <w:r>
        <w:rPr>
          <w:rFonts w:hAnsiTheme="minorEastAsia" w:eastAsiaTheme="minorEastAsia"/>
          <w:sz w:val="24"/>
        </w:rPr>
        <w:t>号煤层采用综合采厚进行导水裂隙带的计算，由于</w:t>
      </w:r>
      <w:r>
        <w:rPr>
          <w:rFonts w:eastAsiaTheme="minorEastAsia"/>
          <w:sz w:val="24"/>
        </w:rPr>
        <w:t>4</w:t>
      </w:r>
      <w:r>
        <w:rPr>
          <w:rFonts w:hAnsiTheme="minorEastAsia" w:eastAsiaTheme="minorEastAsia"/>
          <w:sz w:val="24"/>
        </w:rPr>
        <w:t>、</w:t>
      </w:r>
      <w:r>
        <w:rPr>
          <w:rFonts w:eastAsiaTheme="minorEastAsia"/>
          <w:sz w:val="24"/>
        </w:rPr>
        <w:t>5</w:t>
      </w:r>
      <w:r>
        <w:rPr>
          <w:rFonts w:hAnsiTheme="minorEastAsia" w:eastAsiaTheme="minorEastAsia"/>
          <w:sz w:val="24"/>
        </w:rPr>
        <w:t>号煤层间距最小距离为</w:t>
      </w:r>
      <w:r>
        <w:rPr>
          <w:rFonts w:eastAsiaTheme="minorEastAsia"/>
          <w:sz w:val="24"/>
        </w:rPr>
        <w:t>0m</w:t>
      </w:r>
      <w:r>
        <w:rPr>
          <w:rFonts w:hAnsiTheme="minorEastAsia" w:eastAsiaTheme="minorEastAsia"/>
          <w:sz w:val="24"/>
        </w:rPr>
        <w:t>，即在北侧及西侧为合并煤层，因此近距离煤层计算公式可简化为两层煤厚度直接相加；</w:t>
      </w:r>
      <w:r>
        <w:rPr>
          <w:rFonts w:eastAsiaTheme="minorEastAsia"/>
          <w:sz w:val="24"/>
        </w:rPr>
        <w:t>8</w:t>
      </w:r>
      <w:r>
        <w:rPr>
          <w:rFonts w:hAnsiTheme="minorEastAsia" w:eastAsiaTheme="minorEastAsia"/>
          <w:sz w:val="24"/>
        </w:rPr>
        <w:t>、</w:t>
      </w:r>
      <w:r>
        <w:rPr>
          <w:rFonts w:eastAsiaTheme="minorEastAsia"/>
          <w:sz w:val="24"/>
        </w:rPr>
        <w:t>9</w:t>
      </w:r>
      <w:r>
        <w:rPr>
          <w:rFonts w:hAnsiTheme="minorEastAsia" w:eastAsiaTheme="minorEastAsia"/>
          <w:sz w:val="24"/>
        </w:rPr>
        <w:t>号煤层计算方法同上。</w:t>
      </w:r>
    </w:p>
    <w:p>
      <w:pPr>
        <w:spacing w:line="360" w:lineRule="auto"/>
        <w:ind w:firstLine="480" w:firstLineChars="200"/>
        <w:rPr>
          <w:rFonts w:eastAsiaTheme="minorEastAsia"/>
          <w:sz w:val="24"/>
        </w:rPr>
      </w:pPr>
      <w:r>
        <w:rPr>
          <w:rFonts w:eastAsiaTheme="minorEastAsia"/>
          <w:sz w:val="24"/>
        </w:rPr>
        <w:t>按上面计算公式计算的煤层开采后，最大导水裂隙带高度和冒落带高度如表5.4-</w:t>
      </w:r>
      <w:r>
        <w:rPr>
          <w:rFonts w:hint="eastAsia" w:eastAsiaTheme="minorEastAsia"/>
          <w:sz w:val="24"/>
        </w:rPr>
        <w:t>13</w:t>
      </w:r>
      <w:r>
        <w:rPr>
          <w:rFonts w:eastAsiaTheme="minorEastAsia"/>
          <w:sz w:val="24"/>
        </w:rPr>
        <w:t>所示。导水裂隙带高度发育示意图，详见图5.4-1。</w:t>
      </w:r>
    </w:p>
    <w:p>
      <w:pPr>
        <w:spacing w:line="360" w:lineRule="auto"/>
        <w:ind w:firstLine="422" w:firstLineChars="200"/>
        <w:jc w:val="center"/>
        <w:rPr>
          <w:rFonts w:eastAsiaTheme="minorEastAsia"/>
          <w:b/>
          <w:snapToGrid w:val="0"/>
          <w:kern w:val="0"/>
          <w:szCs w:val="21"/>
        </w:rPr>
      </w:pPr>
      <w:r>
        <w:rPr>
          <w:rFonts w:eastAsiaTheme="minorEastAsia"/>
          <w:b/>
          <w:snapToGrid w:val="0"/>
          <w:kern w:val="0"/>
          <w:szCs w:val="21"/>
        </w:rPr>
        <w:t>表5.4-</w:t>
      </w:r>
      <w:r>
        <w:rPr>
          <w:rFonts w:hint="eastAsia" w:eastAsiaTheme="minorEastAsia"/>
          <w:b/>
          <w:snapToGrid w:val="0"/>
          <w:kern w:val="0"/>
          <w:szCs w:val="21"/>
        </w:rPr>
        <w:t>13</w:t>
      </w:r>
      <w:r>
        <w:rPr>
          <w:rFonts w:eastAsiaTheme="minorEastAsia"/>
          <w:b/>
          <w:snapToGrid w:val="0"/>
          <w:kern w:val="0"/>
          <w:szCs w:val="21"/>
        </w:rPr>
        <w:t xml:space="preserve"> 煤层开采后冒落带和裂隙带高度预测结果</w:t>
      </w:r>
      <w:r>
        <w:rPr>
          <w:rFonts w:hint="eastAsia" w:ascii="MingLiU_HKSCS" w:hAnsi="MingLiU_HKSCS" w:eastAsia="MingLiU_HKSCS" w:cs="MingLiU_HKSCS"/>
          <w:b/>
          <w:snapToGrid w:val="0"/>
          <w:kern w:val="0"/>
          <w:szCs w:val="21"/>
        </w:rPr>
        <w:t></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8"/>
        <w:gridCol w:w="1679"/>
        <w:gridCol w:w="1150"/>
        <w:gridCol w:w="1194"/>
        <w:gridCol w:w="1250"/>
        <w:gridCol w:w="1946"/>
        <w:gridCol w:w="10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548" w:type="pct"/>
            <w:vMerge w:val="restart"/>
            <w:noWrap/>
            <w:vAlign w:val="center"/>
          </w:tcPr>
          <w:p>
            <w:pPr>
              <w:pStyle w:val="90"/>
              <w:spacing w:line="240" w:lineRule="auto"/>
              <w:rPr>
                <w:rFonts w:ascii="Times New Roman" w:hAnsi="Times New Roman" w:cs="Times New Roman"/>
              </w:rPr>
            </w:pPr>
            <w:r>
              <w:rPr>
                <w:rFonts w:ascii="Times New Roman" w:hAnsi="Times New Roman" w:cs="Times New Roman"/>
              </w:rPr>
              <w:t>煤层</w:t>
            </w:r>
          </w:p>
        </w:tc>
        <w:tc>
          <w:tcPr>
            <w:tcW w:w="904" w:type="pct"/>
            <w:vMerge w:val="restart"/>
            <w:noWrap/>
            <w:vAlign w:val="center"/>
          </w:tcPr>
          <w:p>
            <w:pPr>
              <w:jc w:val="center"/>
              <w:rPr>
                <w:rFonts w:eastAsiaTheme="minorEastAsia"/>
                <w:szCs w:val="21"/>
              </w:rPr>
            </w:pPr>
            <w:r>
              <w:rPr>
                <w:rFonts w:eastAsiaTheme="minorEastAsia"/>
                <w:szCs w:val="21"/>
              </w:rPr>
              <w:t>煤层厚度(m)</w:t>
            </w:r>
          </w:p>
          <w:p>
            <w:pPr>
              <w:jc w:val="center"/>
              <w:rPr>
                <w:rFonts w:eastAsiaTheme="minorEastAsia"/>
                <w:szCs w:val="21"/>
                <w:u w:val="single"/>
              </w:rPr>
            </w:pPr>
            <w:r>
              <w:rPr>
                <w:rFonts w:eastAsiaTheme="minorEastAsia"/>
                <w:szCs w:val="21"/>
                <w:u w:val="single"/>
              </w:rPr>
              <w:t>最小-最大</w:t>
            </w:r>
          </w:p>
          <w:p>
            <w:pPr>
              <w:jc w:val="center"/>
              <w:rPr>
                <w:rFonts w:eastAsiaTheme="minorEastAsia"/>
                <w:szCs w:val="21"/>
              </w:rPr>
            </w:pPr>
            <w:r>
              <w:rPr>
                <w:rFonts w:eastAsiaTheme="minorEastAsia"/>
                <w:szCs w:val="21"/>
              </w:rPr>
              <w:t>平均</w:t>
            </w:r>
          </w:p>
        </w:tc>
        <w:tc>
          <w:tcPr>
            <w:tcW w:w="619" w:type="pct"/>
            <w:vMerge w:val="restart"/>
            <w:noWrap/>
            <w:vAlign w:val="center"/>
          </w:tcPr>
          <w:p>
            <w:pPr>
              <w:pStyle w:val="90"/>
              <w:spacing w:line="240" w:lineRule="auto"/>
              <w:rPr>
                <w:rFonts w:ascii="Times New Roman" w:hAnsi="Times New Roman" w:cs="Times New Roman"/>
              </w:rPr>
            </w:pPr>
            <w:r>
              <w:rPr>
                <w:rFonts w:ascii="Times New Roman" w:hAnsi="Times New Roman" w:cs="Times New Roman"/>
              </w:rPr>
              <w:t>冒落带</w:t>
            </w:r>
          </w:p>
          <w:p>
            <w:pPr>
              <w:pStyle w:val="90"/>
              <w:spacing w:line="240" w:lineRule="auto"/>
              <w:rPr>
                <w:rFonts w:ascii="Times New Roman" w:hAnsi="Times New Roman" w:cs="Times New Roman"/>
              </w:rPr>
            </w:pPr>
            <w:r>
              <w:rPr>
                <w:rFonts w:ascii="Times New Roman" w:hAnsi="Times New Roman" w:cs="Times New Roman"/>
              </w:rPr>
              <w:t>高度(m)</w:t>
            </w:r>
          </w:p>
        </w:tc>
        <w:tc>
          <w:tcPr>
            <w:tcW w:w="1316" w:type="pct"/>
            <w:gridSpan w:val="2"/>
            <w:tcBorders>
              <w:right w:val="single" w:color="auto" w:sz="4" w:space="0"/>
            </w:tcBorders>
            <w:noWrap/>
            <w:vAlign w:val="center"/>
          </w:tcPr>
          <w:p>
            <w:pPr>
              <w:pStyle w:val="90"/>
              <w:spacing w:line="240" w:lineRule="auto"/>
              <w:rPr>
                <w:rFonts w:ascii="Times New Roman" w:hAnsi="Times New Roman" w:cs="Times New Roman"/>
              </w:rPr>
            </w:pPr>
            <w:r>
              <w:rPr>
                <w:rFonts w:ascii="Times New Roman" w:hAnsi="Times New Roman" w:cs="Times New Roman"/>
              </w:rPr>
              <w:t>导水裂隙带高度(m)</w:t>
            </w:r>
          </w:p>
        </w:tc>
        <w:tc>
          <w:tcPr>
            <w:tcW w:w="1048" w:type="pct"/>
            <w:vMerge w:val="restart"/>
            <w:noWrap/>
            <w:vAlign w:val="center"/>
          </w:tcPr>
          <w:p>
            <w:pPr>
              <w:pStyle w:val="90"/>
              <w:spacing w:line="240" w:lineRule="auto"/>
              <w:rPr>
                <w:rFonts w:ascii="Times New Roman" w:hAnsi="Times New Roman" w:cs="Times New Roman"/>
              </w:rPr>
            </w:pPr>
            <w:r>
              <w:rPr>
                <w:rFonts w:hint="eastAsia" w:ascii="Times New Roman" w:hAnsi="Times New Roman" w:cs="Times New Roman"/>
              </w:rPr>
              <w:t>最大影响高</w:t>
            </w:r>
            <w:r>
              <w:rPr>
                <w:rFonts w:ascii="Times New Roman" w:hAnsi="Times New Roman" w:cs="Times New Roman"/>
              </w:rPr>
              <w:t>度(m)</w:t>
            </w:r>
          </w:p>
        </w:tc>
        <w:tc>
          <w:tcPr>
            <w:tcW w:w="565" w:type="pct"/>
            <w:vAlign w:val="center"/>
          </w:tcPr>
          <w:p>
            <w:pPr>
              <w:pStyle w:val="90"/>
              <w:spacing w:line="240" w:lineRule="auto"/>
              <w:rPr>
                <w:rFonts w:ascii="Times New Roman" w:hAnsi="Times New Roman" w:cs="Times New Roman"/>
              </w:rPr>
            </w:pPr>
            <w:r>
              <w:rPr>
                <w:rFonts w:hint="eastAsia" w:ascii="Times New Roman" w:hAnsi="Times New Roman" w:cs="Times New Roman"/>
              </w:rPr>
              <w:t>备注</w:t>
            </w:r>
            <w:r>
              <w:rPr>
                <w:rFonts w:ascii="Times New Roman" w:hAnsi="Times New Roman" w:cs="Times New Roma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8" w:hRule="exact"/>
          <w:jc w:val="center"/>
        </w:trPr>
        <w:tc>
          <w:tcPr>
            <w:tcW w:w="548" w:type="pct"/>
            <w:vMerge w:val="continue"/>
            <w:vAlign w:val="center"/>
          </w:tcPr>
          <w:p>
            <w:pPr>
              <w:widowControl/>
              <w:jc w:val="left"/>
              <w:rPr>
                <w:rFonts w:eastAsiaTheme="minorEastAsia"/>
              </w:rPr>
            </w:pPr>
          </w:p>
        </w:tc>
        <w:tc>
          <w:tcPr>
            <w:tcW w:w="904" w:type="pct"/>
            <w:vMerge w:val="continue"/>
            <w:vAlign w:val="center"/>
          </w:tcPr>
          <w:p>
            <w:pPr>
              <w:widowControl/>
              <w:jc w:val="left"/>
              <w:rPr>
                <w:rFonts w:eastAsiaTheme="minorEastAsia"/>
              </w:rPr>
            </w:pPr>
          </w:p>
        </w:tc>
        <w:tc>
          <w:tcPr>
            <w:tcW w:w="619" w:type="pct"/>
            <w:vMerge w:val="continue"/>
            <w:vAlign w:val="center"/>
          </w:tcPr>
          <w:p>
            <w:pPr>
              <w:widowControl/>
              <w:jc w:val="left"/>
              <w:rPr>
                <w:rFonts w:eastAsiaTheme="minorEastAsia"/>
              </w:rPr>
            </w:pPr>
          </w:p>
        </w:tc>
        <w:tc>
          <w:tcPr>
            <w:tcW w:w="643" w:type="pct"/>
            <w:noWrap/>
            <w:vAlign w:val="center"/>
          </w:tcPr>
          <w:p>
            <w:pPr>
              <w:pStyle w:val="90"/>
              <w:spacing w:line="240" w:lineRule="auto"/>
              <w:rPr>
                <w:rFonts w:ascii="Times New Roman" w:hAnsi="Times New Roman" w:cs="Times New Roman"/>
              </w:rPr>
            </w:pPr>
            <w:r>
              <w:rPr>
                <w:rFonts w:ascii="Times New Roman" w:hAnsi="Times New Roman" w:cs="Times New Roman"/>
              </w:rPr>
              <w:t>公式1</w:t>
            </w:r>
          </w:p>
        </w:tc>
        <w:tc>
          <w:tcPr>
            <w:tcW w:w="673" w:type="pct"/>
            <w:tcBorders>
              <w:right w:val="single" w:color="auto" w:sz="4" w:space="0"/>
            </w:tcBorders>
            <w:noWrap/>
            <w:vAlign w:val="center"/>
          </w:tcPr>
          <w:p>
            <w:pPr>
              <w:pStyle w:val="90"/>
              <w:spacing w:line="240" w:lineRule="auto"/>
              <w:rPr>
                <w:rFonts w:ascii="Times New Roman" w:hAnsi="Times New Roman" w:cs="Times New Roman"/>
              </w:rPr>
            </w:pPr>
            <w:r>
              <w:rPr>
                <w:rFonts w:ascii="Times New Roman" w:hAnsi="Times New Roman" w:cs="Times New Roman"/>
              </w:rPr>
              <w:t>公式2</w:t>
            </w:r>
          </w:p>
        </w:tc>
        <w:tc>
          <w:tcPr>
            <w:tcW w:w="1048" w:type="pct"/>
            <w:vMerge w:val="continue"/>
            <w:vAlign w:val="center"/>
          </w:tcPr>
          <w:p>
            <w:pPr>
              <w:widowControl/>
              <w:jc w:val="left"/>
              <w:rPr>
                <w:rFonts w:eastAsiaTheme="minorEastAsia"/>
              </w:rPr>
            </w:pPr>
          </w:p>
        </w:tc>
        <w:tc>
          <w:tcPr>
            <w:tcW w:w="565" w:type="pct"/>
            <w:vMerge w:val="restart"/>
            <w:vAlign w:val="center"/>
          </w:tcPr>
          <w:p>
            <w:pPr>
              <w:widowControl/>
              <w:jc w:val="left"/>
              <w:rPr>
                <w:rFonts w:eastAsiaTheme="minorEastAsia"/>
              </w:rPr>
            </w:pPr>
            <w:r>
              <w:rPr>
                <w:rFonts w:ascii="宋体"/>
              </w:rPr>
              <w:t>导水裂隙带高度选取公式2计算结果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exact"/>
          <w:jc w:val="center"/>
        </w:trPr>
        <w:tc>
          <w:tcPr>
            <w:tcW w:w="548" w:type="pct"/>
            <w:noWrap/>
            <w:vAlign w:val="center"/>
          </w:tcPr>
          <w:p>
            <w:pPr>
              <w:pStyle w:val="90"/>
              <w:spacing w:line="240" w:lineRule="auto"/>
              <w:rPr>
                <w:rFonts w:ascii="Times New Roman" w:hAnsi="Times New Roman" w:cs="Times New Roman"/>
              </w:rPr>
            </w:pPr>
            <w:r>
              <w:rPr>
                <w:rFonts w:hint="eastAsia" w:ascii="Times New Roman" w:hAnsi="Times New Roman" w:cs="Times New Roman"/>
              </w:rPr>
              <w:t>4</w:t>
            </w:r>
          </w:p>
        </w:tc>
        <w:tc>
          <w:tcPr>
            <w:tcW w:w="904" w:type="pct"/>
            <w:noWrap/>
            <w:vAlign w:val="center"/>
          </w:tcPr>
          <w:p>
            <w:pPr>
              <w:jc w:val="center"/>
              <w:rPr>
                <w:rFonts w:eastAsiaTheme="minorEastAsia"/>
                <w:color w:val="000000"/>
                <w:szCs w:val="21"/>
                <w:u w:val="single"/>
              </w:rPr>
            </w:pPr>
            <w:r>
              <w:rPr>
                <w:rFonts w:eastAsiaTheme="minorEastAsia"/>
                <w:color w:val="000000"/>
                <w:szCs w:val="21"/>
                <w:u w:val="single"/>
              </w:rPr>
              <w:t>1.50</w:t>
            </w:r>
            <w:r>
              <w:rPr>
                <w:rFonts w:hAnsiTheme="minorEastAsia" w:eastAsiaTheme="minorEastAsia"/>
                <w:color w:val="000000"/>
                <w:szCs w:val="21"/>
                <w:u w:val="single"/>
              </w:rPr>
              <w:t>～</w:t>
            </w:r>
            <w:r>
              <w:rPr>
                <w:rFonts w:eastAsiaTheme="minorEastAsia"/>
                <w:color w:val="000000"/>
                <w:szCs w:val="21"/>
                <w:u w:val="single"/>
              </w:rPr>
              <w:t>1.88</w:t>
            </w:r>
          </w:p>
          <w:p>
            <w:pPr>
              <w:jc w:val="center"/>
              <w:rPr>
                <w:rFonts w:eastAsiaTheme="minorEastAsia"/>
                <w:color w:val="000000"/>
                <w:szCs w:val="21"/>
              </w:rPr>
            </w:pPr>
            <w:r>
              <w:rPr>
                <w:rFonts w:eastAsiaTheme="minorEastAsia"/>
                <w:color w:val="000000"/>
                <w:szCs w:val="21"/>
              </w:rPr>
              <w:t>1.64</w:t>
            </w:r>
          </w:p>
        </w:tc>
        <w:tc>
          <w:tcPr>
            <w:tcW w:w="619" w:type="pct"/>
            <w:noWrap/>
            <w:vAlign w:val="center"/>
          </w:tcPr>
          <w:p>
            <w:pPr>
              <w:jc w:val="center"/>
              <w:rPr>
                <w:sz w:val="24"/>
              </w:rPr>
            </w:pPr>
            <w:r>
              <w:t>8.95</w:t>
            </w:r>
          </w:p>
        </w:tc>
        <w:tc>
          <w:tcPr>
            <w:tcW w:w="643" w:type="pct"/>
            <w:noWrap/>
            <w:vAlign w:val="center"/>
          </w:tcPr>
          <w:p>
            <w:pPr>
              <w:jc w:val="center"/>
              <w:rPr>
                <w:sz w:val="24"/>
              </w:rPr>
            </w:pPr>
            <w:r>
              <w:t>34.05</w:t>
            </w:r>
          </w:p>
        </w:tc>
        <w:tc>
          <w:tcPr>
            <w:tcW w:w="673" w:type="pct"/>
            <w:noWrap/>
            <w:vAlign w:val="center"/>
          </w:tcPr>
          <w:p>
            <w:pPr>
              <w:jc w:val="center"/>
            </w:pPr>
            <w:r>
              <w:t>37.42</w:t>
            </w:r>
          </w:p>
        </w:tc>
        <w:tc>
          <w:tcPr>
            <w:tcW w:w="1048" w:type="pct"/>
            <w:noWrap/>
            <w:vAlign w:val="center"/>
          </w:tcPr>
          <w:p>
            <w:pPr>
              <w:jc w:val="center"/>
              <w:rPr>
                <w:rFonts w:ascii="宋体"/>
              </w:rPr>
            </w:pPr>
            <w:r>
              <w:rPr>
                <w:rFonts w:hint="eastAsia" w:ascii="宋体"/>
              </w:rPr>
              <w:t>37.42</w:t>
            </w:r>
          </w:p>
        </w:tc>
        <w:tc>
          <w:tcPr>
            <w:tcW w:w="565" w:type="pct"/>
            <w:vMerge w:val="continue"/>
            <w:vAlign w:val="center"/>
          </w:tcPr>
          <w:p>
            <w:pPr>
              <w:pStyle w:val="90"/>
              <w:spacing w:line="240" w:lineRule="auto"/>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exact"/>
          <w:jc w:val="center"/>
        </w:trPr>
        <w:tc>
          <w:tcPr>
            <w:tcW w:w="548" w:type="pct"/>
            <w:noWrap/>
            <w:vAlign w:val="center"/>
          </w:tcPr>
          <w:p>
            <w:pPr>
              <w:pStyle w:val="90"/>
              <w:spacing w:line="240" w:lineRule="auto"/>
              <w:rPr>
                <w:rFonts w:ascii="Times New Roman" w:hAnsi="Times New Roman" w:cs="Times New Roman"/>
              </w:rPr>
            </w:pPr>
            <w:r>
              <w:rPr>
                <w:rFonts w:hint="eastAsia" w:ascii="Times New Roman" w:hAnsi="Times New Roman" w:cs="Times New Roman"/>
              </w:rPr>
              <w:t>5</w:t>
            </w:r>
          </w:p>
        </w:tc>
        <w:tc>
          <w:tcPr>
            <w:tcW w:w="904" w:type="pct"/>
            <w:noWrap/>
            <w:vAlign w:val="center"/>
          </w:tcPr>
          <w:p>
            <w:pPr>
              <w:jc w:val="center"/>
              <w:rPr>
                <w:rFonts w:eastAsiaTheme="minorEastAsia"/>
                <w:color w:val="000000"/>
                <w:szCs w:val="21"/>
                <w:u w:val="single"/>
              </w:rPr>
            </w:pPr>
            <w:r>
              <w:rPr>
                <w:rFonts w:eastAsiaTheme="minorEastAsia"/>
                <w:color w:val="000000"/>
                <w:szCs w:val="21"/>
                <w:u w:val="single"/>
              </w:rPr>
              <w:t>2.66</w:t>
            </w:r>
            <w:r>
              <w:rPr>
                <w:rFonts w:hAnsiTheme="minorEastAsia" w:eastAsiaTheme="minorEastAsia"/>
                <w:color w:val="000000"/>
                <w:szCs w:val="21"/>
                <w:u w:val="single"/>
              </w:rPr>
              <w:t>～</w:t>
            </w:r>
            <w:r>
              <w:rPr>
                <w:rFonts w:eastAsiaTheme="minorEastAsia"/>
                <w:color w:val="000000"/>
                <w:szCs w:val="21"/>
                <w:u w:val="single"/>
              </w:rPr>
              <w:t>6.40</w:t>
            </w:r>
          </w:p>
          <w:p>
            <w:pPr>
              <w:jc w:val="center"/>
              <w:rPr>
                <w:rFonts w:eastAsiaTheme="minorEastAsia"/>
                <w:szCs w:val="21"/>
              </w:rPr>
            </w:pPr>
            <w:r>
              <w:rPr>
                <w:rFonts w:eastAsiaTheme="minorEastAsia"/>
                <w:color w:val="000000"/>
                <w:szCs w:val="21"/>
              </w:rPr>
              <w:t>3.62</w:t>
            </w:r>
          </w:p>
        </w:tc>
        <w:tc>
          <w:tcPr>
            <w:tcW w:w="619" w:type="pct"/>
            <w:noWrap/>
            <w:vAlign w:val="center"/>
          </w:tcPr>
          <w:p>
            <w:pPr>
              <w:jc w:val="center"/>
              <w:rPr>
                <w:sz w:val="24"/>
              </w:rPr>
            </w:pPr>
            <w:r>
              <w:t>15.24</w:t>
            </w:r>
          </w:p>
        </w:tc>
        <w:tc>
          <w:tcPr>
            <w:tcW w:w="643" w:type="pct"/>
            <w:noWrap/>
            <w:vAlign w:val="center"/>
          </w:tcPr>
          <w:p>
            <w:pPr>
              <w:jc w:val="center"/>
              <w:rPr>
                <w:sz w:val="24"/>
              </w:rPr>
            </w:pPr>
            <w:r>
              <w:t>51.84</w:t>
            </w:r>
          </w:p>
        </w:tc>
        <w:tc>
          <w:tcPr>
            <w:tcW w:w="673" w:type="pct"/>
            <w:noWrap/>
            <w:vAlign w:val="center"/>
          </w:tcPr>
          <w:p>
            <w:pPr>
              <w:jc w:val="center"/>
            </w:pPr>
            <w:r>
              <w:t>60.6</w:t>
            </w:r>
          </w:p>
        </w:tc>
        <w:tc>
          <w:tcPr>
            <w:tcW w:w="1048" w:type="pct"/>
            <w:noWrap/>
            <w:vAlign w:val="center"/>
          </w:tcPr>
          <w:p>
            <w:pPr>
              <w:jc w:val="center"/>
              <w:rPr>
                <w:rFonts w:ascii="宋体"/>
              </w:rPr>
            </w:pPr>
            <w:r>
              <w:rPr>
                <w:rFonts w:hint="eastAsia" w:ascii="宋体"/>
              </w:rPr>
              <w:t>60.6</w:t>
            </w:r>
          </w:p>
        </w:tc>
        <w:tc>
          <w:tcPr>
            <w:tcW w:w="565" w:type="pct"/>
            <w:vMerge w:val="continue"/>
            <w:vAlign w:val="center"/>
          </w:tcPr>
          <w:p>
            <w:pPr>
              <w:pStyle w:val="90"/>
              <w:spacing w:line="240" w:lineRule="auto"/>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exact"/>
          <w:jc w:val="center"/>
        </w:trPr>
        <w:tc>
          <w:tcPr>
            <w:tcW w:w="548" w:type="pct"/>
            <w:noWrap/>
            <w:vAlign w:val="center"/>
          </w:tcPr>
          <w:p>
            <w:pPr>
              <w:jc w:val="center"/>
            </w:pPr>
            <w:r>
              <w:t>4+5综合</w:t>
            </w:r>
          </w:p>
        </w:tc>
        <w:tc>
          <w:tcPr>
            <w:tcW w:w="904" w:type="pct"/>
            <w:noWrap/>
            <w:vAlign w:val="center"/>
          </w:tcPr>
          <w:p>
            <w:pPr>
              <w:jc w:val="center"/>
            </w:pPr>
            <w:r>
              <w:t>8.28</w:t>
            </w:r>
          </w:p>
        </w:tc>
        <w:tc>
          <w:tcPr>
            <w:tcW w:w="619" w:type="pct"/>
            <w:noWrap/>
            <w:vAlign w:val="center"/>
          </w:tcPr>
          <w:p>
            <w:pPr>
              <w:jc w:val="center"/>
            </w:pPr>
            <w:r>
              <w:rPr>
                <w:rFonts w:hint="eastAsia"/>
              </w:rPr>
              <w:t>-</w:t>
            </w:r>
          </w:p>
        </w:tc>
        <w:tc>
          <w:tcPr>
            <w:tcW w:w="643" w:type="pct"/>
            <w:noWrap/>
            <w:vAlign w:val="center"/>
          </w:tcPr>
          <w:p>
            <w:pPr>
              <w:jc w:val="center"/>
              <w:rPr>
                <w:rFonts w:ascii="宋体" w:hAnsi="宋体" w:cs="宋体"/>
                <w:sz w:val="24"/>
              </w:rPr>
            </w:pPr>
            <w:r>
              <w:rPr>
                <w:rFonts w:hint="eastAsia"/>
              </w:rPr>
              <w:t>54.75</w:t>
            </w:r>
          </w:p>
        </w:tc>
        <w:tc>
          <w:tcPr>
            <w:tcW w:w="673" w:type="pct"/>
            <w:noWrap/>
            <w:vAlign w:val="center"/>
          </w:tcPr>
          <w:p>
            <w:pPr>
              <w:jc w:val="center"/>
              <w:rPr>
                <w:rFonts w:ascii="宋体"/>
              </w:rPr>
            </w:pPr>
            <w:r>
              <w:rPr>
                <w:rFonts w:hint="eastAsia" w:ascii="宋体"/>
              </w:rPr>
              <w:t>67.55</w:t>
            </w:r>
          </w:p>
        </w:tc>
        <w:tc>
          <w:tcPr>
            <w:tcW w:w="1048" w:type="pct"/>
            <w:noWrap/>
            <w:vAlign w:val="center"/>
          </w:tcPr>
          <w:p>
            <w:pPr>
              <w:jc w:val="center"/>
              <w:rPr>
                <w:rFonts w:ascii="宋体"/>
              </w:rPr>
            </w:pPr>
            <w:r>
              <w:rPr>
                <w:rFonts w:hint="eastAsia" w:ascii="宋体"/>
              </w:rPr>
              <w:t>67.55</w:t>
            </w:r>
          </w:p>
        </w:tc>
        <w:tc>
          <w:tcPr>
            <w:tcW w:w="565" w:type="pct"/>
            <w:vMerge w:val="continue"/>
            <w:vAlign w:val="center"/>
          </w:tcPr>
          <w:p>
            <w:pPr>
              <w:pStyle w:val="90"/>
              <w:spacing w:line="240" w:lineRule="auto"/>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exact"/>
          <w:jc w:val="center"/>
        </w:trPr>
        <w:tc>
          <w:tcPr>
            <w:tcW w:w="548" w:type="pct"/>
            <w:noWrap/>
            <w:vAlign w:val="center"/>
          </w:tcPr>
          <w:p>
            <w:pPr>
              <w:pStyle w:val="90"/>
              <w:spacing w:line="240" w:lineRule="auto"/>
              <w:rPr>
                <w:rFonts w:ascii="Times New Roman" w:hAnsi="Times New Roman" w:cs="Times New Roman"/>
              </w:rPr>
            </w:pPr>
            <w:r>
              <w:rPr>
                <w:rFonts w:hint="eastAsia" w:ascii="Times New Roman" w:hAnsi="Times New Roman" w:cs="Times New Roman"/>
              </w:rPr>
              <w:t>8</w:t>
            </w:r>
          </w:p>
        </w:tc>
        <w:tc>
          <w:tcPr>
            <w:tcW w:w="904" w:type="pct"/>
            <w:noWrap/>
            <w:vAlign w:val="center"/>
          </w:tcPr>
          <w:p>
            <w:pPr>
              <w:jc w:val="center"/>
              <w:rPr>
                <w:rFonts w:eastAsiaTheme="minorEastAsia"/>
                <w:color w:val="000000"/>
                <w:szCs w:val="21"/>
                <w:u w:val="single"/>
              </w:rPr>
            </w:pPr>
            <w:r>
              <w:rPr>
                <w:rFonts w:eastAsiaTheme="minorEastAsia"/>
                <w:color w:val="000000"/>
                <w:szCs w:val="21"/>
                <w:u w:val="single"/>
              </w:rPr>
              <w:t>2.48</w:t>
            </w:r>
            <w:r>
              <w:rPr>
                <w:rFonts w:hAnsiTheme="minorEastAsia" w:eastAsiaTheme="minorEastAsia"/>
                <w:color w:val="000000"/>
                <w:szCs w:val="21"/>
                <w:u w:val="single"/>
              </w:rPr>
              <w:t>～</w:t>
            </w:r>
            <w:r>
              <w:rPr>
                <w:rFonts w:eastAsiaTheme="minorEastAsia"/>
                <w:color w:val="000000"/>
                <w:szCs w:val="21"/>
                <w:u w:val="single"/>
              </w:rPr>
              <w:t>3.10</w:t>
            </w:r>
          </w:p>
          <w:p>
            <w:pPr>
              <w:jc w:val="center"/>
              <w:rPr>
                <w:rFonts w:eastAsiaTheme="minorEastAsia"/>
                <w:color w:val="000000"/>
                <w:szCs w:val="21"/>
              </w:rPr>
            </w:pPr>
            <w:r>
              <w:rPr>
                <w:rFonts w:eastAsiaTheme="minorEastAsia"/>
                <w:color w:val="000000"/>
                <w:szCs w:val="21"/>
              </w:rPr>
              <w:t>2.72</w:t>
            </w:r>
          </w:p>
        </w:tc>
        <w:tc>
          <w:tcPr>
            <w:tcW w:w="619" w:type="pct"/>
            <w:noWrap/>
            <w:vAlign w:val="center"/>
          </w:tcPr>
          <w:p>
            <w:pPr>
              <w:jc w:val="center"/>
            </w:pPr>
            <w:r>
              <w:t>-</w:t>
            </w:r>
          </w:p>
        </w:tc>
        <w:tc>
          <w:tcPr>
            <w:tcW w:w="643" w:type="pct"/>
            <w:noWrap/>
            <w:vAlign w:val="center"/>
          </w:tcPr>
          <w:p>
            <w:pPr>
              <w:jc w:val="center"/>
              <w:rPr>
                <w:sz w:val="24"/>
              </w:rPr>
            </w:pPr>
            <w:r>
              <w:t>54.75</w:t>
            </w:r>
          </w:p>
        </w:tc>
        <w:tc>
          <w:tcPr>
            <w:tcW w:w="673" w:type="pct"/>
            <w:noWrap/>
            <w:vAlign w:val="center"/>
          </w:tcPr>
          <w:p>
            <w:pPr>
              <w:jc w:val="center"/>
            </w:pPr>
            <w:r>
              <w:t>67.55</w:t>
            </w:r>
          </w:p>
        </w:tc>
        <w:tc>
          <w:tcPr>
            <w:tcW w:w="1048" w:type="pct"/>
            <w:noWrap/>
            <w:vAlign w:val="center"/>
          </w:tcPr>
          <w:p>
            <w:pPr>
              <w:jc w:val="center"/>
              <w:rPr>
                <w:rFonts w:ascii="宋体"/>
              </w:rPr>
            </w:pPr>
            <w:r>
              <w:rPr>
                <w:rFonts w:hint="eastAsia" w:ascii="宋体"/>
              </w:rPr>
              <w:t>45.21</w:t>
            </w:r>
          </w:p>
        </w:tc>
        <w:tc>
          <w:tcPr>
            <w:tcW w:w="565" w:type="pct"/>
            <w:vMerge w:val="continue"/>
            <w:vAlign w:val="center"/>
          </w:tcPr>
          <w:p>
            <w:pPr>
              <w:pStyle w:val="90"/>
              <w:spacing w:line="240" w:lineRule="auto"/>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exact"/>
          <w:jc w:val="center"/>
        </w:trPr>
        <w:tc>
          <w:tcPr>
            <w:tcW w:w="548" w:type="pct"/>
            <w:noWrap/>
            <w:vAlign w:val="center"/>
          </w:tcPr>
          <w:p>
            <w:pPr>
              <w:pStyle w:val="90"/>
              <w:spacing w:line="240" w:lineRule="auto"/>
              <w:rPr>
                <w:rFonts w:ascii="Times New Roman" w:hAnsi="Times New Roman" w:cs="Times New Roman"/>
              </w:rPr>
            </w:pPr>
            <w:r>
              <w:rPr>
                <w:rFonts w:hint="eastAsia" w:ascii="Times New Roman" w:hAnsi="Times New Roman" w:cs="Times New Roman"/>
              </w:rPr>
              <w:t>9</w:t>
            </w:r>
          </w:p>
        </w:tc>
        <w:tc>
          <w:tcPr>
            <w:tcW w:w="904" w:type="pct"/>
            <w:noWrap/>
            <w:vAlign w:val="center"/>
          </w:tcPr>
          <w:p>
            <w:pPr>
              <w:jc w:val="center"/>
              <w:rPr>
                <w:rFonts w:eastAsiaTheme="minorEastAsia"/>
                <w:color w:val="000000"/>
                <w:szCs w:val="21"/>
                <w:u w:val="single"/>
              </w:rPr>
            </w:pPr>
            <w:r>
              <w:rPr>
                <w:rFonts w:eastAsiaTheme="minorEastAsia"/>
                <w:color w:val="000000"/>
                <w:szCs w:val="21"/>
                <w:u w:val="single"/>
              </w:rPr>
              <w:t>1.50</w:t>
            </w:r>
            <w:r>
              <w:rPr>
                <w:rFonts w:hAnsiTheme="minorEastAsia" w:eastAsiaTheme="minorEastAsia"/>
                <w:color w:val="000000"/>
                <w:szCs w:val="21"/>
                <w:u w:val="single"/>
              </w:rPr>
              <w:t>～</w:t>
            </w:r>
            <w:r>
              <w:rPr>
                <w:rFonts w:eastAsiaTheme="minorEastAsia"/>
                <w:color w:val="000000"/>
                <w:szCs w:val="21"/>
                <w:u w:val="single"/>
              </w:rPr>
              <w:t>1.88</w:t>
            </w:r>
          </w:p>
          <w:p>
            <w:pPr>
              <w:jc w:val="center"/>
              <w:rPr>
                <w:rFonts w:eastAsiaTheme="minorEastAsia"/>
                <w:color w:val="000000"/>
                <w:szCs w:val="21"/>
              </w:rPr>
            </w:pPr>
            <w:r>
              <w:rPr>
                <w:rFonts w:eastAsiaTheme="minorEastAsia"/>
                <w:color w:val="000000"/>
                <w:szCs w:val="21"/>
              </w:rPr>
              <w:t>1.64</w:t>
            </w:r>
          </w:p>
        </w:tc>
        <w:tc>
          <w:tcPr>
            <w:tcW w:w="619" w:type="pct"/>
            <w:noWrap/>
            <w:vAlign w:val="center"/>
          </w:tcPr>
          <w:p>
            <w:pPr>
              <w:jc w:val="center"/>
              <w:rPr>
                <w:sz w:val="24"/>
              </w:rPr>
            </w:pPr>
            <w:r>
              <w:t>11.43</w:t>
            </w:r>
          </w:p>
        </w:tc>
        <w:tc>
          <w:tcPr>
            <w:tcW w:w="643" w:type="pct"/>
            <w:noWrap/>
            <w:vAlign w:val="center"/>
          </w:tcPr>
          <w:p>
            <w:pPr>
              <w:jc w:val="center"/>
              <w:rPr>
                <w:sz w:val="24"/>
              </w:rPr>
            </w:pPr>
            <w:r>
              <w:t>41.81</w:t>
            </w:r>
          </w:p>
        </w:tc>
        <w:tc>
          <w:tcPr>
            <w:tcW w:w="673" w:type="pct"/>
            <w:noWrap/>
            <w:vAlign w:val="center"/>
          </w:tcPr>
          <w:p>
            <w:pPr>
              <w:jc w:val="center"/>
            </w:pPr>
            <w:r>
              <w:t>45.21</w:t>
            </w:r>
          </w:p>
        </w:tc>
        <w:tc>
          <w:tcPr>
            <w:tcW w:w="1048" w:type="pct"/>
            <w:noWrap/>
            <w:vAlign w:val="center"/>
          </w:tcPr>
          <w:p>
            <w:pPr>
              <w:jc w:val="center"/>
              <w:rPr>
                <w:rFonts w:ascii="宋体"/>
              </w:rPr>
            </w:pPr>
            <w:r>
              <w:rPr>
                <w:rFonts w:hint="eastAsia" w:ascii="宋体"/>
              </w:rPr>
              <w:t>49.50</w:t>
            </w:r>
          </w:p>
        </w:tc>
        <w:tc>
          <w:tcPr>
            <w:tcW w:w="565" w:type="pct"/>
            <w:vMerge w:val="continue"/>
            <w:vAlign w:val="center"/>
          </w:tcPr>
          <w:p>
            <w:pPr>
              <w:pStyle w:val="90"/>
              <w:spacing w:line="240" w:lineRule="auto"/>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exact"/>
          <w:jc w:val="center"/>
        </w:trPr>
        <w:tc>
          <w:tcPr>
            <w:tcW w:w="548" w:type="pct"/>
            <w:noWrap/>
            <w:vAlign w:val="center"/>
          </w:tcPr>
          <w:p>
            <w:pPr>
              <w:jc w:val="center"/>
            </w:pPr>
            <w:r>
              <w:t>8+9综合</w:t>
            </w:r>
          </w:p>
        </w:tc>
        <w:tc>
          <w:tcPr>
            <w:tcW w:w="904" w:type="pct"/>
            <w:noWrap/>
            <w:vAlign w:val="center"/>
          </w:tcPr>
          <w:p>
            <w:pPr>
              <w:jc w:val="center"/>
            </w:pPr>
            <w:r>
              <w:t>3.54</w:t>
            </w:r>
          </w:p>
        </w:tc>
        <w:tc>
          <w:tcPr>
            <w:tcW w:w="619" w:type="pct"/>
            <w:noWrap/>
            <w:vAlign w:val="center"/>
          </w:tcPr>
          <w:p>
            <w:pPr>
              <w:jc w:val="center"/>
            </w:pPr>
            <w:r>
              <w:rPr>
                <w:rFonts w:hint="eastAsia"/>
              </w:rPr>
              <w:t>-</w:t>
            </w:r>
          </w:p>
        </w:tc>
        <w:tc>
          <w:tcPr>
            <w:tcW w:w="643" w:type="pct"/>
            <w:noWrap/>
            <w:vAlign w:val="center"/>
          </w:tcPr>
          <w:p>
            <w:pPr>
              <w:jc w:val="center"/>
            </w:pPr>
            <w:r>
              <w:rPr>
                <w:rFonts w:hint="eastAsia"/>
              </w:rPr>
              <w:t>43.83</w:t>
            </w:r>
          </w:p>
        </w:tc>
        <w:tc>
          <w:tcPr>
            <w:tcW w:w="673" w:type="pct"/>
            <w:noWrap/>
            <w:vAlign w:val="center"/>
          </w:tcPr>
          <w:p>
            <w:pPr>
              <w:jc w:val="center"/>
              <w:rPr>
                <w:rFonts w:ascii="宋体"/>
              </w:rPr>
            </w:pPr>
            <w:r>
              <w:rPr>
                <w:rFonts w:hint="eastAsia" w:ascii="宋体"/>
              </w:rPr>
              <w:t>47.65</w:t>
            </w:r>
          </w:p>
        </w:tc>
        <w:tc>
          <w:tcPr>
            <w:tcW w:w="1048" w:type="pct"/>
            <w:noWrap/>
            <w:vAlign w:val="center"/>
          </w:tcPr>
          <w:p>
            <w:pPr>
              <w:jc w:val="center"/>
              <w:rPr>
                <w:rFonts w:ascii="宋体"/>
              </w:rPr>
            </w:pPr>
            <w:r>
              <w:rPr>
                <w:rFonts w:hint="eastAsia" w:ascii="宋体"/>
              </w:rPr>
              <w:t>47.65</w:t>
            </w:r>
          </w:p>
        </w:tc>
        <w:tc>
          <w:tcPr>
            <w:tcW w:w="565" w:type="pct"/>
            <w:vMerge w:val="continue"/>
            <w:vAlign w:val="center"/>
          </w:tcPr>
          <w:p>
            <w:pPr>
              <w:pStyle w:val="90"/>
              <w:spacing w:line="240" w:lineRule="auto"/>
              <w:rPr>
                <w:rFonts w:ascii="Times New Roman" w:hAnsi="Times New Roman" w:cs="Times New Roman"/>
              </w:rPr>
            </w:pPr>
          </w:p>
        </w:tc>
      </w:tr>
    </w:tbl>
    <w:p>
      <w:pPr>
        <w:spacing w:line="460" w:lineRule="exact"/>
        <w:ind w:firstLine="480" w:firstLineChars="200"/>
        <w:rPr>
          <w:rFonts w:eastAsiaTheme="minorEastAsia"/>
          <w:sz w:val="24"/>
        </w:rPr>
      </w:pPr>
      <w:r>
        <w:rPr>
          <w:rFonts w:hAnsiTheme="minorEastAsia" w:eastAsiaTheme="minorEastAsia"/>
          <w:sz w:val="24"/>
        </w:rPr>
        <w:t>根据导水裂隙带计算结果，上组煤</w:t>
      </w:r>
      <w:r>
        <w:rPr>
          <w:rFonts w:eastAsiaTheme="minorEastAsia"/>
          <w:sz w:val="24"/>
        </w:rPr>
        <w:t>4</w:t>
      </w:r>
      <w:r>
        <w:rPr>
          <w:rFonts w:hAnsiTheme="minorEastAsia" w:eastAsiaTheme="minorEastAsia"/>
          <w:sz w:val="24"/>
        </w:rPr>
        <w:t>、</w:t>
      </w:r>
      <w:r>
        <w:rPr>
          <w:rFonts w:eastAsiaTheme="minorEastAsia"/>
          <w:sz w:val="24"/>
        </w:rPr>
        <w:t>5</w:t>
      </w:r>
      <w:r>
        <w:rPr>
          <w:rFonts w:hAnsiTheme="minorEastAsia" w:eastAsiaTheme="minorEastAsia"/>
          <w:sz w:val="24"/>
        </w:rPr>
        <w:t>号煤层采空后，导水裂隙带最大导通高度可达上覆二叠系下统下石盒子组</w:t>
      </w:r>
      <w:r>
        <w:rPr>
          <w:rFonts w:eastAsiaTheme="minorEastAsia"/>
          <w:sz w:val="24"/>
        </w:rPr>
        <w:t>K</w:t>
      </w:r>
      <w:r>
        <w:rPr>
          <w:rFonts w:eastAsiaTheme="minorEastAsia"/>
          <w:sz w:val="24"/>
          <w:vertAlign w:val="subscript"/>
        </w:rPr>
        <w:t>4</w:t>
      </w:r>
      <w:r>
        <w:rPr>
          <w:rFonts w:hAnsiTheme="minorEastAsia" w:eastAsiaTheme="minorEastAsia"/>
          <w:sz w:val="24"/>
        </w:rPr>
        <w:t>砂岩含水层。下组煤</w:t>
      </w:r>
      <w:r>
        <w:rPr>
          <w:rFonts w:eastAsiaTheme="minorEastAsia"/>
          <w:sz w:val="24"/>
        </w:rPr>
        <w:t>8</w:t>
      </w:r>
      <w:r>
        <w:rPr>
          <w:rFonts w:hAnsiTheme="minorEastAsia" w:eastAsiaTheme="minorEastAsia"/>
          <w:sz w:val="24"/>
        </w:rPr>
        <w:t>、</w:t>
      </w:r>
      <w:r>
        <w:rPr>
          <w:rFonts w:eastAsiaTheme="minorEastAsia"/>
          <w:sz w:val="24"/>
        </w:rPr>
        <w:t>9</w:t>
      </w:r>
      <w:r>
        <w:rPr>
          <w:rFonts w:hAnsiTheme="minorEastAsia" w:eastAsiaTheme="minorEastAsia"/>
          <w:sz w:val="24"/>
        </w:rPr>
        <w:t>号煤采空后，导水裂隙带最大导通高度可达上覆二叠系下统山西组</w:t>
      </w:r>
      <w:r>
        <w:rPr>
          <w:rFonts w:eastAsiaTheme="minorEastAsia"/>
          <w:sz w:val="24"/>
        </w:rPr>
        <w:t>K</w:t>
      </w:r>
      <w:r>
        <w:rPr>
          <w:rFonts w:eastAsiaTheme="minorEastAsia"/>
          <w:sz w:val="24"/>
          <w:vertAlign w:val="subscript"/>
        </w:rPr>
        <w:t>3</w:t>
      </w:r>
      <w:r>
        <w:rPr>
          <w:rFonts w:hAnsiTheme="minorEastAsia" w:eastAsiaTheme="minorEastAsia"/>
          <w:sz w:val="24"/>
        </w:rPr>
        <w:t>砂岩含水层。</w:t>
      </w:r>
    </w:p>
    <w:p>
      <w:pPr>
        <w:spacing w:line="460" w:lineRule="exact"/>
        <w:ind w:firstLine="480" w:firstLineChars="200"/>
        <w:rPr>
          <w:rFonts w:eastAsiaTheme="minorEastAsia"/>
          <w:sz w:val="24"/>
        </w:rPr>
      </w:pPr>
      <w:r>
        <w:rPr>
          <w:rFonts w:hAnsiTheme="minorEastAsia" w:eastAsiaTheme="minorEastAsia"/>
          <w:sz w:val="24"/>
        </w:rPr>
        <w:t>综上所述，新工煤矿上、下组煤全部开采后，最高导水裂隙带高度可达二叠系下统下石盒子组</w:t>
      </w:r>
      <w:r>
        <w:rPr>
          <w:rFonts w:eastAsiaTheme="minorEastAsia"/>
          <w:sz w:val="24"/>
        </w:rPr>
        <w:t>K</w:t>
      </w:r>
      <w:r>
        <w:rPr>
          <w:rFonts w:eastAsiaTheme="minorEastAsia"/>
          <w:sz w:val="24"/>
          <w:vertAlign w:val="subscript"/>
        </w:rPr>
        <w:t>4</w:t>
      </w:r>
      <w:r>
        <w:rPr>
          <w:rFonts w:hAnsiTheme="minorEastAsia" w:eastAsiaTheme="minorEastAsia"/>
          <w:sz w:val="24"/>
        </w:rPr>
        <w:t>砂岩裂隙含水层。</w:t>
      </w:r>
      <w:r>
        <w:rPr>
          <w:rFonts w:hAnsiTheme="minorEastAsia" w:eastAsiaTheme="minorEastAsia"/>
          <w:kern w:val="24"/>
          <w:sz w:val="24"/>
        </w:rPr>
        <w:t>煤系上覆</w:t>
      </w:r>
      <w:r>
        <w:rPr>
          <w:rFonts w:hAnsiTheme="minorEastAsia" w:eastAsiaTheme="minorEastAsia"/>
          <w:sz w:val="24"/>
        </w:rPr>
        <w:t>二叠系下统</w:t>
      </w:r>
      <w:r>
        <w:rPr>
          <w:rFonts w:eastAsiaTheme="minorEastAsia"/>
          <w:kern w:val="24"/>
          <w:sz w:val="24"/>
        </w:rPr>
        <w:t>K</w:t>
      </w:r>
      <w:r>
        <w:rPr>
          <w:rFonts w:eastAsiaTheme="minorEastAsia"/>
          <w:kern w:val="24"/>
          <w:sz w:val="24"/>
          <w:vertAlign w:val="subscript"/>
        </w:rPr>
        <w:t>3</w:t>
      </w:r>
      <w:r>
        <w:rPr>
          <w:rFonts w:hAnsiTheme="minorEastAsia" w:eastAsiaTheme="minorEastAsia"/>
          <w:kern w:val="24"/>
          <w:sz w:val="24"/>
        </w:rPr>
        <w:t>、</w:t>
      </w:r>
      <w:r>
        <w:rPr>
          <w:rFonts w:eastAsiaTheme="minorEastAsia"/>
          <w:sz w:val="24"/>
        </w:rPr>
        <w:t>K</w:t>
      </w:r>
      <w:r>
        <w:rPr>
          <w:rFonts w:eastAsiaTheme="minorEastAsia"/>
          <w:sz w:val="24"/>
          <w:vertAlign w:val="subscript"/>
        </w:rPr>
        <w:t>4</w:t>
      </w:r>
      <w:r>
        <w:rPr>
          <w:rFonts w:hAnsiTheme="minorEastAsia" w:eastAsiaTheme="minorEastAsia"/>
          <w:sz w:val="24"/>
        </w:rPr>
        <w:t>砂岩裂隙</w:t>
      </w:r>
      <w:r>
        <w:rPr>
          <w:rFonts w:hAnsiTheme="minorEastAsia" w:eastAsiaTheme="minorEastAsia"/>
          <w:kern w:val="24"/>
          <w:sz w:val="24"/>
        </w:rPr>
        <w:t>含水层和</w:t>
      </w:r>
      <w:r>
        <w:rPr>
          <w:rFonts w:hAnsiTheme="minorEastAsia" w:eastAsiaTheme="minorEastAsia"/>
          <w:sz w:val="24"/>
        </w:rPr>
        <w:t>石炭系太原组</w:t>
      </w:r>
      <w:r>
        <w:rPr>
          <w:rFonts w:eastAsiaTheme="minorEastAsia"/>
          <w:sz w:val="24"/>
        </w:rPr>
        <w:t>L</w:t>
      </w:r>
      <w:r>
        <w:rPr>
          <w:rFonts w:eastAsiaTheme="minorEastAsia"/>
          <w:sz w:val="24"/>
          <w:vertAlign w:val="subscript"/>
        </w:rPr>
        <w:t>5</w:t>
      </w:r>
      <w:r>
        <w:rPr>
          <w:rFonts w:hAnsiTheme="minorEastAsia" w:eastAsiaTheme="minorEastAsia"/>
          <w:sz w:val="24"/>
        </w:rPr>
        <w:t>、</w:t>
      </w:r>
      <w:r>
        <w:rPr>
          <w:rFonts w:eastAsiaTheme="minorEastAsia"/>
          <w:sz w:val="24"/>
        </w:rPr>
        <w:t>L</w:t>
      </w:r>
      <w:r>
        <w:rPr>
          <w:rFonts w:eastAsiaTheme="minorEastAsia"/>
          <w:sz w:val="24"/>
          <w:vertAlign w:val="subscript"/>
        </w:rPr>
        <w:t>4</w:t>
      </w:r>
      <w:r>
        <w:rPr>
          <w:rFonts w:hAnsiTheme="minorEastAsia" w:eastAsiaTheme="minorEastAsia"/>
          <w:sz w:val="24"/>
        </w:rPr>
        <w:t>、</w:t>
      </w:r>
      <w:r>
        <w:rPr>
          <w:rFonts w:eastAsiaTheme="minorEastAsia"/>
          <w:sz w:val="24"/>
        </w:rPr>
        <w:t>L</w:t>
      </w:r>
      <w:r>
        <w:rPr>
          <w:rFonts w:eastAsiaTheme="minorEastAsia"/>
          <w:sz w:val="24"/>
          <w:vertAlign w:val="subscript"/>
        </w:rPr>
        <w:t>3</w:t>
      </w:r>
      <w:r>
        <w:rPr>
          <w:rFonts w:eastAsiaTheme="minorEastAsia"/>
          <w:sz w:val="24"/>
        </w:rPr>
        <w:t>+L</w:t>
      </w:r>
      <w:r>
        <w:rPr>
          <w:rFonts w:eastAsiaTheme="minorEastAsia"/>
          <w:sz w:val="24"/>
          <w:vertAlign w:val="subscript"/>
        </w:rPr>
        <w:t>2</w:t>
      </w:r>
      <w:r>
        <w:rPr>
          <w:rFonts w:eastAsiaTheme="minorEastAsia"/>
          <w:sz w:val="24"/>
        </w:rPr>
        <w:t>+L</w:t>
      </w:r>
      <w:r>
        <w:rPr>
          <w:rFonts w:eastAsiaTheme="minorEastAsia"/>
          <w:sz w:val="24"/>
          <w:vertAlign w:val="subscript"/>
        </w:rPr>
        <w:t>1</w:t>
      </w:r>
      <w:r>
        <w:rPr>
          <w:rFonts w:hAnsiTheme="minorEastAsia" w:eastAsiaTheme="minorEastAsia"/>
          <w:sz w:val="24"/>
        </w:rPr>
        <w:t>五层石灰岩岩溶裂隙含水层</w:t>
      </w:r>
      <w:r>
        <w:rPr>
          <w:rFonts w:hAnsiTheme="minorEastAsia" w:eastAsiaTheme="minorEastAsia"/>
          <w:kern w:val="24"/>
          <w:sz w:val="24"/>
        </w:rPr>
        <w:t>会被导水裂隙带直接导通，</w:t>
      </w:r>
      <w:r>
        <w:rPr>
          <w:rFonts w:hAnsiTheme="minorEastAsia" w:eastAsiaTheme="minorEastAsia"/>
          <w:sz w:val="24"/>
        </w:rPr>
        <w:t>虽然中间夹杂连续稳定的砂质泥岩、泥岩，渗透系数小、隔水性能良好，减小了煤系地层与含水层间的水力联系，但由于导水裂隙带将导通泥岩隔水层，使含水层通过导水裂隙带与煤系地层发生水力联系，使含水层地下水转化为矿井水，通过矿井排水方式排出，对二叠系下统</w:t>
      </w:r>
      <w:r>
        <w:rPr>
          <w:rFonts w:eastAsiaTheme="minorEastAsia"/>
          <w:kern w:val="24"/>
          <w:sz w:val="24"/>
        </w:rPr>
        <w:t>K</w:t>
      </w:r>
      <w:r>
        <w:rPr>
          <w:rFonts w:eastAsiaTheme="minorEastAsia"/>
          <w:kern w:val="24"/>
          <w:sz w:val="24"/>
          <w:vertAlign w:val="subscript"/>
        </w:rPr>
        <w:t>3</w:t>
      </w:r>
      <w:r>
        <w:rPr>
          <w:rFonts w:hAnsiTheme="minorEastAsia" w:eastAsiaTheme="minorEastAsia"/>
          <w:kern w:val="24"/>
          <w:sz w:val="24"/>
        </w:rPr>
        <w:t>、</w:t>
      </w:r>
      <w:r>
        <w:rPr>
          <w:rFonts w:eastAsiaTheme="minorEastAsia"/>
          <w:sz w:val="24"/>
        </w:rPr>
        <w:t>K</w:t>
      </w:r>
      <w:r>
        <w:rPr>
          <w:rFonts w:eastAsiaTheme="minorEastAsia"/>
          <w:sz w:val="24"/>
          <w:vertAlign w:val="subscript"/>
        </w:rPr>
        <w:t>4</w:t>
      </w:r>
      <w:r>
        <w:rPr>
          <w:rFonts w:hAnsiTheme="minorEastAsia" w:eastAsiaTheme="minorEastAsia"/>
          <w:sz w:val="24"/>
        </w:rPr>
        <w:t>砂岩裂隙含水层和石炭系太原组</w:t>
      </w:r>
      <w:r>
        <w:rPr>
          <w:rFonts w:eastAsiaTheme="minorEastAsia"/>
          <w:sz w:val="24"/>
        </w:rPr>
        <w:t>L</w:t>
      </w:r>
      <w:r>
        <w:rPr>
          <w:rFonts w:eastAsiaTheme="minorEastAsia"/>
          <w:sz w:val="24"/>
          <w:vertAlign w:val="subscript"/>
        </w:rPr>
        <w:t>5</w:t>
      </w:r>
      <w:r>
        <w:rPr>
          <w:rFonts w:hAnsiTheme="minorEastAsia" w:eastAsiaTheme="minorEastAsia"/>
          <w:sz w:val="24"/>
        </w:rPr>
        <w:t>、</w:t>
      </w:r>
      <w:r>
        <w:rPr>
          <w:rFonts w:eastAsiaTheme="minorEastAsia"/>
          <w:sz w:val="24"/>
        </w:rPr>
        <w:t>L</w:t>
      </w:r>
      <w:r>
        <w:rPr>
          <w:rFonts w:eastAsiaTheme="minorEastAsia"/>
          <w:sz w:val="24"/>
          <w:vertAlign w:val="subscript"/>
        </w:rPr>
        <w:t>4</w:t>
      </w:r>
      <w:r>
        <w:rPr>
          <w:rFonts w:hAnsiTheme="minorEastAsia" w:eastAsiaTheme="minorEastAsia"/>
          <w:sz w:val="24"/>
        </w:rPr>
        <w:t>、</w:t>
      </w:r>
      <w:r>
        <w:rPr>
          <w:rFonts w:eastAsiaTheme="minorEastAsia"/>
          <w:sz w:val="24"/>
        </w:rPr>
        <w:t>L</w:t>
      </w:r>
      <w:r>
        <w:rPr>
          <w:rFonts w:eastAsiaTheme="minorEastAsia"/>
          <w:sz w:val="24"/>
          <w:vertAlign w:val="subscript"/>
        </w:rPr>
        <w:t>3</w:t>
      </w:r>
      <w:r>
        <w:rPr>
          <w:rFonts w:eastAsiaTheme="minorEastAsia"/>
          <w:sz w:val="24"/>
        </w:rPr>
        <w:t>+L</w:t>
      </w:r>
      <w:r>
        <w:rPr>
          <w:rFonts w:eastAsiaTheme="minorEastAsia"/>
          <w:sz w:val="24"/>
          <w:vertAlign w:val="subscript"/>
        </w:rPr>
        <w:t>2</w:t>
      </w:r>
      <w:r>
        <w:rPr>
          <w:rFonts w:eastAsiaTheme="minorEastAsia"/>
          <w:sz w:val="24"/>
        </w:rPr>
        <w:t>+L</w:t>
      </w:r>
      <w:r>
        <w:rPr>
          <w:rFonts w:eastAsiaTheme="minorEastAsia"/>
          <w:sz w:val="24"/>
          <w:vertAlign w:val="subscript"/>
        </w:rPr>
        <w:t>1</w:t>
      </w:r>
      <w:r>
        <w:rPr>
          <w:rFonts w:hAnsiTheme="minorEastAsia" w:eastAsiaTheme="minorEastAsia"/>
          <w:sz w:val="24"/>
        </w:rPr>
        <w:t>五层石灰岩岩溶裂隙含水层</w:t>
      </w:r>
      <w:r>
        <w:rPr>
          <w:rFonts w:hAnsiTheme="minorEastAsia" w:eastAsiaTheme="minorEastAsia"/>
          <w:kern w:val="24"/>
          <w:sz w:val="24"/>
        </w:rPr>
        <w:t>破坏严重。</w:t>
      </w:r>
    </w:p>
    <w:p>
      <w:pPr>
        <w:spacing w:line="460" w:lineRule="exact"/>
        <w:ind w:firstLine="480" w:firstLineChars="200"/>
        <w:rPr>
          <w:rFonts w:eastAsiaTheme="minorEastAsia"/>
          <w:sz w:val="24"/>
        </w:rPr>
      </w:pPr>
      <w:r>
        <w:rPr>
          <w:rFonts w:hAnsiTheme="minorEastAsia" w:eastAsiaTheme="minorEastAsia"/>
          <w:kern w:val="24"/>
          <w:sz w:val="24"/>
        </w:rPr>
        <w:t>虽然最大导水裂隙带高度不会直接导通第四系</w:t>
      </w:r>
      <w:r>
        <w:rPr>
          <w:rFonts w:hAnsiTheme="minorEastAsia" w:eastAsiaTheme="minorEastAsia"/>
          <w:sz w:val="24"/>
        </w:rPr>
        <w:t>松散岩类孔隙含水层</w:t>
      </w:r>
      <w:r>
        <w:rPr>
          <w:rFonts w:hAnsiTheme="minorEastAsia" w:eastAsiaTheme="minorEastAsia"/>
          <w:kern w:val="24"/>
          <w:sz w:val="24"/>
        </w:rPr>
        <w:t>和</w:t>
      </w:r>
      <w:r>
        <w:rPr>
          <w:rFonts w:hAnsiTheme="minorEastAsia" w:eastAsiaTheme="minorEastAsia"/>
          <w:sz w:val="24"/>
        </w:rPr>
        <w:t>二叠系上石盒子组</w:t>
      </w:r>
      <w:r>
        <w:rPr>
          <w:rFonts w:eastAsiaTheme="minorEastAsia"/>
          <w:kern w:val="24"/>
          <w:sz w:val="24"/>
        </w:rPr>
        <w:t>K</w:t>
      </w:r>
      <w:r>
        <w:rPr>
          <w:rFonts w:eastAsiaTheme="minorEastAsia"/>
          <w:kern w:val="24"/>
          <w:sz w:val="24"/>
          <w:vertAlign w:val="subscript"/>
        </w:rPr>
        <w:t>6</w:t>
      </w:r>
      <w:r>
        <w:rPr>
          <w:rFonts w:hAnsiTheme="minorEastAsia" w:eastAsiaTheme="minorEastAsia"/>
          <w:kern w:val="24"/>
          <w:sz w:val="24"/>
        </w:rPr>
        <w:t>含水层</w:t>
      </w:r>
      <w:r>
        <w:rPr>
          <w:rFonts w:hAnsiTheme="minorEastAsia" w:eastAsiaTheme="minorEastAsia"/>
          <w:sz w:val="24"/>
        </w:rPr>
        <w:t>，但是当这些含水层的下部含水层遭到破坏后，将增大上、下两含水层之间的水头差，上部含水层的水通过下面的弱透水层往下渗漏，最终以矿坑排水的形式排出。再者，地表存在原生裂隙，煤层采空后形成的下沉带可能会造成地面塌陷，塌陷区边缘可能发育裂缝并影响到地表，通过这些裂缝，</w:t>
      </w:r>
      <w:r>
        <w:rPr>
          <w:rFonts w:hAnsiTheme="minorEastAsia" w:eastAsiaTheme="minorEastAsia"/>
          <w:kern w:val="24"/>
          <w:sz w:val="24"/>
        </w:rPr>
        <w:t>第四系</w:t>
      </w:r>
      <w:r>
        <w:rPr>
          <w:rFonts w:hAnsiTheme="minorEastAsia" w:eastAsiaTheme="minorEastAsia"/>
          <w:sz w:val="24"/>
        </w:rPr>
        <w:t>松散岩类孔隙含水层</w:t>
      </w:r>
      <w:r>
        <w:rPr>
          <w:rFonts w:hAnsiTheme="minorEastAsia" w:eastAsiaTheme="minorEastAsia"/>
          <w:kern w:val="24"/>
          <w:sz w:val="24"/>
        </w:rPr>
        <w:t>和</w:t>
      </w:r>
      <w:r>
        <w:rPr>
          <w:rFonts w:hAnsiTheme="minorEastAsia" w:eastAsiaTheme="minorEastAsia"/>
          <w:sz w:val="24"/>
        </w:rPr>
        <w:t>二叠系上石盒子组</w:t>
      </w:r>
      <w:r>
        <w:rPr>
          <w:rFonts w:eastAsiaTheme="minorEastAsia"/>
          <w:kern w:val="24"/>
          <w:sz w:val="24"/>
        </w:rPr>
        <w:t>K</w:t>
      </w:r>
      <w:r>
        <w:rPr>
          <w:rFonts w:eastAsiaTheme="minorEastAsia"/>
          <w:kern w:val="24"/>
          <w:sz w:val="24"/>
          <w:vertAlign w:val="subscript"/>
        </w:rPr>
        <w:t>6</w:t>
      </w:r>
      <w:r>
        <w:rPr>
          <w:rFonts w:hAnsiTheme="minorEastAsia" w:eastAsiaTheme="minorEastAsia"/>
          <w:kern w:val="24"/>
          <w:sz w:val="24"/>
        </w:rPr>
        <w:t>含水层</w:t>
      </w:r>
      <w:r>
        <w:rPr>
          <w:rFonts w:hAnsiTheme="minorEastAsia" w:eastAsiaTheme="minorEastAsia"/>
          <w:sz w:val="24"/>
        </w:rPr>
        <w:t>有可能被贯通，并最终受到影响。</w:t>
      </w:r>
    </w:p>
    <w:p>
      <w:pPr>
        <w:spacing w:line="360" w:lineRule="auto"/>
        <w:outlineLvl w:val="3"/>
        <w:rPr>
          <w:rFonts w:eastAsiaTheme="minorEastAsia"/>
          <w:b/>
          <w:sz w:val="24"/>
        </w:rPr>
      </w:pPr>
      <w:r>
        <w:rPr>
          <w:rFonts w:eastAsiaTheme="minorEastAsia"/>
          <w:b/>
          <w:sz w:val="24"/>
        </w:rPr>
        <w:t>5.4.5.</w:t>
      </w:r>
      <w:r>
        <w:rPr>
          <w:rFonts w:hint="eastAsia" w:eastAsiaTheme="minorEastAsia"/>
          <w:b/>
          <w:sz w:val="24"/>
        </w:rPr>
        <w:t>2</w:t>
      </w:r>
      <w:r>
        <w:rPr>
          <w:rFonts w:eastAsiaTheme="minorEastAsia"/>
          <w:b/>
          <w:sz w:val="24"/>
        </w:rPr>
        <w:t>对</w:t>
      </w:r>
      <w:r>
        <w:rPr>
          <w:rFonts w:hint="eastAsia" w:eastAsiaTheme="minorEastAsia"/>
          <w:b/>
          <w:sz w:val="24"/>
        </w:rPr>
        <w:t>下伏</w:t>
      </w:r>
      <w:r>
        <w:rPr>
          <w:rFonts w:eastAsiaTheme="minorEastAsia"/>
          <w:b/>
          <w:sz w:val="24"/>
        </w:rPr>
        <w:t>奥灰岩溶水含水层的影响</w:t>
      </w:r>
    </w:p>
    <w:p>
      <w:pPr>
        <w:pStyle w:val="68"/>
        <w:rPr>
          <w:rFonts w:hAnsi="Times New Roman" w:cs="Times New Roman" w:eastAsiaTheme="minorEastAsia"/>
          <w:lang w:val="de-DE"/>
        </w:rPr>
      </w:pPr>
      <w:r>
        <w:rPr>
          <w:rFonts w:hAnsi="Times New Roman" w:cs="Times New Roman" w:eastAsiaTheme="minorEastAsia"/>
          <w:lang w:val="de-DE"/>
        </w:rPr>
        <w:t>在矿压和水压作用下，当底板有效隔水层厚度小于破坏厚度时，如果水位高于煤层底板，则可能会发生矿井突水，造成淹井事故；如果水位低于煤层底板，则煤矿开采的积水就会渗入下伏含水层，可能对岩溶水造成污染。</w:t>
      </w:r>
    </w:p>
    <w:p>
      <w:pPr>
        <w:pStyle w:val="68"/>
        <w:rPr>
          <w:rFonts w:hAnsi="Times New Roman" w:cs="Times New Roman" w:eastAsiaTheme="minorEastAsia"/>
          <w:lang w:val="de-DE"/>
        </w:rPr>
      </w:pPr>
      <w:r>
        <w:rPr>
          <w:rFonts w:hAnsi="Times New Roman" w:cs="Times New Roman" w:eastAsiaTheme="minorEastAsia"/>
          <w:lang w:val="de-DE"/>
        </w:rPr>
        <w:t>根据地质报告，</w:t>
      </w:r>
      <w:r>
        <w:rPr>
          <w:rFonts w:hAnsi="Times New Roman" w:cs="Times New Roman" w:eastAsiaTheme="minorEastAsia"/>
        </w:rPr>
        <w:t>煤层底板标高低于奥陶系岩溶水水位标高</w:t>
      </w:r>
      <w:r>
        <w:rPr>
          <w:rFonts w:hAnsi="Times New Roman" w:cs="Times New Roman" w:eastAsiaTheme="minorEastAsia"/>
          <w:lang w:val="de-DE"/>
        </w:rPr>
        <w:t>，根据突水系数来计算奥灰岩溶水对各可采煤层的影响。</w:t>
      </w:r>
    </w:p>
    <w:p>
      <w:pPr>
        <w:pStyle w:val="68"/>
        <w:rPr>
          <w:rFonts w:hAnsi="Times New Roman" w:cs="Times New Roman" w:eastAsiaTheme="minorEastAsia"/>
          <w:lang w:val="de-DE"/>
        </w:rPr>
      </w:pPr>
      <w:r>
        <w:rPr>
          <w:rFonts w:hAnsi="Times New Roman" w:cs="Times New Roman" w:eastAsiaTheme="minorEastAsia"/>
          <w:lang w:val="de-DE"/>
        </w:rPr>
        <w:t>突水系数计算公式：T= P/M     P=（H</w:t>
      </w:r>
      <w:r>
        <w:rPr>
          <w:rFonts w:hAnsi="Times New Roman" w:cs="Times New Roman" w:eastAsiaTheme="minorEastAsia"/>
          <w:vertAlign w:val="subscript"/>
          <w:lang w:val="de-DE"/>
        </w:rPr>
        <w:t>0</w:t>
      </w:r>
      <w:r>
        <w:rPr>
          <w:rFonts w:hAnsi="Times New Roman" w:cs="Times New Roman" w:eastAsiaTheme="minorEastAsia"/>
          <w:lang w:val="de-DE"/>
        </w:rPr>
        <w:t>-H</w:t>
      </w:r>
      <w:r>
        <w:rPr>
          <w:rFonts w:hAnsi="Times New Roman" w:cs="Times New Roman" w:eastAsiaTheme="minorEastAsia"/>
          <w:vertAlign w:val="subscript"/>
          <w:lang w:val="de-DE"/>
        </w:rPr>
        <w:t>1</w:t>
      </w:r>
      <w:r>
        <w:rPr>
          <w:rFonts w:hAnsi="Times New Roman" w:cs="Times New Roman" w:eastAsiaTheme="minorEastAsia"/>
          <w:lang w:val="de-DE"/>
        </w:rPr>
        <w:t>+M）×0.0098</w:t>
      </w:r>
    </w:p>
    <w:p>
      <w:pPr>
        <w:pStyle w:val="68"/>
        <w:rPr>
          <w:rFonts w:hAnsi="Times New Roman" w:cs="Times New Roman" w:eastAsiaTheme="minorEastAsia"/>
          <w:lang w:val="de-DE"/>
        </w:rPr>
      </w:pPr>
      <w:r>
        <w:rPr>
          <w:rFonts w:hAnsi="Times New Roman" w:cs="Times New Roman" w:eastAsiaTheme="minorEastAsia"/>
          <w:lang w:val="de-DE"/>
        </w:rPr>
        <w:t>式中： T—突水系数，MPa/m；</w:t>
      </w:r>
    </w:p>
    <w:p>
      <w:pPr>
        <w:pStyle w:val="68"/>
        <w:ind w:firstLine="1320" w:firstLineChars="550"/>
        <w:rPr>
          <w:rFonts w:hAnsi="Times New Roman" w:cs="Times New Roman" w:eastAsiaTheme="minorEastAsia"/>
          <w:lang w:val="de-DE"/>
        </w:rPr>
      </w:pPr>
      <w:r>
        <w:rPr>
          <w:rFonts w:hAnsi="Times New Roman" w:cs="Times New Roman" w:eastAsiaTheme="minorEastAsia"/>
          <w:lang w:val="de-DE"/>
        </w:rPr>
        <w:t>P—底板隔水层承受的水头压力，MPa；</w:t>
      </w:r>
    </w:p>
    <w:p>
      <w:pPr>
        <w:pStyle w:val="68"/>
        <w:ind w:firstLine="1320" w:firstLineChars="550"/>
        <w:rPr>
          <w:rFonts w:hAnsi="Times New Roman" w:cs="Times New Roman" w:eastAsiaTheme="minorEastAsia"/>
          <w:lang w:val="de-DE"/>
        </w:rPr>
      </w:pPr>
      <w:r>
        <w:rPr>
          <w:rFonts w:hAnsi="Times New Roman" w:cs="Times New Roman" w:eastAsiaTheme="minorEastAsia"/>
          <w:lang w:val="de-DE"/>
        </w:rPr>
        <w:t>M—底板隔水层厚度，m；</w:t>
      </w:r>
    </w:p>
    <w:p>
      <w:pPr>
        <w:pStyle w:val="68"/>
        <w:ind w:firstLine="1320" w:firstLineChars="550"/>
        <w:rPr>
          <w:rFonts w:hAnsi="Times New Roman" w:cs="Times New Roman" w:eastAsiaTheme="minorEastAsia"/>
          <w:lang w:val="de-DE"/>
        </w:rPr>
      </w:pPr>
      <w:r>
        <w:rPr>
          <w:rFonts w:hAnsi="Times New Roman" w:cs="Times New Roman" w:eastAsiaTheme="minorEastAsia"/>
          <w:lang w:val="de-DE"/>
        </w:rPr>
        <w:t>H</w:t>
      </w:r>
      <w:r>
        <w:rPr>
          <w:rFonts w:hAnsi="Times New Roman" w:cs="Times New Roman" w:eastAsiaTheme="minorEastAsia"/>
          <w:vertAlign w:val="subscript"/>
          <w:lang w:val="de-DE"/>
        </w:rPr>
        <w:t>1</w:t>
      </w:r>
      <w:r>
        <w:rPr>
          <w:rFonts w:hAnsi="Times New Roman" w:cs="Times New Roman" w:eastAsiaTheme="minorEastAsia"/>
          <w:lang w:val="de-DE"/>
        </w:rPr>
        <w:t>—煤层底板最低标高</w:t>
      </w:r>
    </w:p>
    <w:p>
      <w:pPr>
        <w:pStyle w:val="68"/>
        <w:ind w:firstLine="1320" w:firstLineChars="550"/>
        <w:rPr>
          <w:rFonts w:hAnsi="Times New Roman" w:cs="Times New Roman" w:eastAsiaTheme="minorEastAsia"/>
          <w:lang w:val="de-DE"/>
        </w:rPr>
      </w:pPr>
      <w:r>
        <w:rPr>
          <w:rFonts w:hAnsi="Times New Roman" w:cs="Times New Roman" w:eastAsiaTheme="minorEastAsia"/>
          <w:lang w:val="de-DE"/>
        </w:rPr>
        <w:t>H</w:t>
      </w:r>
      <w:r>
        <w:rPr>
          <w:rFonts w:hAnsi="Times New Roman" w:cs="Times New Roman" w:eastAsiaTheme="minorEastAsia"/>
          <w:vertAlign w:val="subscript"/>
          <w:lang w:val="de-DE"/>
        </w:rPr>
        <w:t>0</w:t>
      </w:r>
      <w:r>
        <w:rPr>
          <w:rFonts w:hAnsi="Times New Roman" w:cs="Times New Roman" w:eastAsiaTheme="minorEastAsia"/>
          <w:lang w:val="de-DE"/>
        </w:rPr>
        <w:t>—奥灰岩溶水水位标高</w:t>
      </w:r>
    </w:p>
    <w:p>
      <w:pPr>
        <w:pStyle w:val="11"/>
        <w:rPr>
          <w:b w:val="0"/>
          <w:szCs w:val="28"/>
        </w:rPr>
      </w:pPr>
      <w:r>
        <w:rPr>
          <w:rFonts w:hint="eastAsia"/>
          <w:b w:val="0"/>
          <w:szCs w:val="28"/>
        </w:rPr>
        <w:t>井田奥灰水位为804.0-806.5m之间，地下水流向整体为由北向南。9号煤层西北部最低底板标高为500m，距奥灰顶面距离约为56.42m；8号煤层西北部最低底板标高为510m，距奥灰顶面距离约为71.70m；5号煤层西北部最低底板标高为560m，距奥灰顶面距离约为119.20m；4号煤层西部最低底板标高为610m，距奥灰顶面距离约为124.43m。因此，各可采煤层在井田中、西部均低于奥灰岩溶水位标高，开采煤层将受到奥灰岩溶水的不同程度威胁，属于带压开采煤层。</w:t>
      </w:r>
    </w:p>
    <w:p>
      <w:pPr>
        <w:spacing w:line="360" w:lineRule="auto"/>
        <w:jc w:val="center"/>
      </w:pPr>
      <w:r>
        <w:rPr>
          <w:bCs/>
        </w:rPr>
        <w:t>表5</w:t>
      </w:r>
      <w:r>
        <w:rPr>
          <w:rFonts w:hint="eastAsia"/>
          <w:bCs/>
        </w:rPr>
        <w:t>-5</w:t>
      </w:r>
      <w:r>
        <w:rPr>
          <w:bCs/>
        </w:rPr>
        <w:t>-5</w:t>
      </w:r>
      <w:r>
        <w:rPr>
          <w:rFonts w:hint="eastAsia"/>
          <w:bCs/>
        </w:rPr>
        <w:t xml:space="preserve">    </w:t>
      </w:r>
      <w:r>
        <w:rPr>
          <w:bCs/>
        </w:rPr>
        <w:t>4号煤层突水系数估算成果表</w:t>
      </w:r>
    </w:p>
    <w:tbl>
      <w:tblPr>
        <w:tblStyle w:val="24"/>
        <w:tblW w:w="89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1080"/>
        <w:gridCol w:w="1080"/>
        <w:gridCol w:w="1080"/>
        <w:gridCol w:w="118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restart"/>
            <w:shd w:val="clear" w:color="auto" w:fill="auto"/>
            <w:vAlign w:val="center"/>
          </w:tcPr>
          <w:p>
            <w:pPr>
              <w:widowControl/>
              <w:jc w:val="center"/>
              <w:rPr>
                <w:kern w:val="0"/>
                <w:szCs w:val="21"/>
              </w:rPr>
            </w:pPr>
            <w:r>
              <w:rPr>
                <w:kern w:val="0"/>
                <w:szCs w:val="21"/>
              </w:rPr>
              <w:t>统一编号</w:t>
            </w:r>
          </w:p>
        </w:tc>
        <w:tc>
          <w:tcPr>
            <w:tcW w:w="1080" w:type="dxa"/>
            <w:vMerge w:val="restart"/>
            <w:shd w:val="clear" w:color="auto" w:fill="auto"/>
            <w:vAlign w:val="center"/>
          </w:tcPr>
          <w:p>
            <w:pPr>
              <w:widowControl/>
              <w:jc w:val="center"/>
              <w:rPr>
                <w:kern w:val="0"/>
                <w:szCs w:val="21"/>
              </w:rPr>
            </w:pPr>
            <w:r>
              <w:rPr>
                <w:kern w:val="0"/>
                <w:szCs w:val="21"/>
              </w:rPr>
              <w:t>原孔号</w:t>
            </w:r>
          </w:p>
        </w:tc>
        <w:tc>
          <w:tcPr>
            <w:tcW w:w="2160" w:type="dxa"/>
            <w:gridSpan w:val="2"/>
            <w:vMerge w:val="restart"/>
            <w:shd w:val="clear" w:color="auto" w:fill="auto"/>
            <w:vAlign w:val="center"/>
          </w:tcPr>
          <w:p>
            <w:pPr>
              <w:widowControl/>
              <w:jc w:val="center"/>
              <w:rPr>
                <w:kern w:val="0"/>
                <w:szCs w:val="21"/>
              </w:rPr>
            </w:pPr>
            <w:r>
              <w:rPr>
                <w:kern w:val="0"/>
                <w:szCs w:val="21"/>
              </w:rPr>
              <w:t>奥灰含水层</w:t>
            </w:r>
          </w:p>
        </w:tc>
        <w:tc>
          <w:tcPr>
            <w:tcW w:w="2160" w:type="dxa"/>
            <w:gridSpan w:val="2"/>
            <w:vMerge w:val="restart"/>
            <w:shd w:val="clear" w:color="auto" w:fill="auto"/>
            <w:vAlign w:val="center"/>
          </w:tcPr>
          <w:p>
            <w:pPr>
              <w:widowControl/>
              <w:jc w:val="center"/>
              <w:rPr>
                <w:kern w:val="0"/>
                <w:szCs w:val="21"/>
              </w:rPr>
            </w:pPr>
            <w:r>
              <w:rPr>
                <w:kern w:val="0"/>
                <w:szCs w:val="21"/>
              </w:rPr>
              <w:t>4</w:t>
            </w:r>
            <w:r>
              <w:rPr>
                <w:kern w:val="0"/>
                <w:szCs w:val="21"/>
                <w:vertAlign w:val="superscript"/>
              </w:rPr>
              <w:t>#</w:t>
            </w:r>
            <w:r>
              <w:rPr>
                <w:kern w:val="0"/>
                <w:szCs w:val="21"/>
              </w:rPr>
              <w:t>煤层</w:t>
            </w:r>
          </w:p>
        </w:tc>
        <w:tc>
          <w:tcPr>
            <w:tcW w:w="1180" w:type="dxa"/>
            <w:shd w:val="clear" w:color="auto" w:fill="auto"/>
            <w:vAlign w:val="center"/>
          </w:tcPr>
          <w:p>
            <w:pPr>
              <w:widowControl/>
              <w:jc w:val="center"/>
              <w:rPr>
                <w:kern w:val="0"/>
                <w:szCs w:val="21"/>
              </w:rPr>
            </w:pPr>
            <w:r>
              <w:rPr>
                <w:kern w:val="0"/>
                <w:szCs w:val="21"/>
              </w:rPr>
              <w:t>承  受</w:t>
            </w:r>
          </w:p>
        </w:tc>
        <w:tc>
          <w:tcPr>
            <w:tcW w:w="1300" w:type="dxa"/>
            <w:shd w:val="clear" w:color="auto" w:fill="auto"/>
            <w:vAlign w:val="center"/>
          </w:tcPr>
          <w:p>
            <w:pPr>
              <w:widowControl/>
              <w:jc w:val="center"/>
              <w:rPr>
                <w:kern w:val="0"/>
                <w:szCs w:val="21"/>
              </w:rPr>
            </w:pPr>
            <w:r>
              <w:rPr>
                <w:kern w:val="0"/>
                <w:szCs w:val="21"/>
              </w:rPr>
              <w:t>突水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0" w:type="dxa"/>
            <w:vMerge w:val="continue"/>
            <w:vAlign w:val="center"/>
          </w:tcPr>
          <w:p>
            <w:pPr>
              <w:widowControl/>
              <w:jc w:val="center"/>
              <w:rPr>
                <w:kern w:val="0"/>
                <w:szCs w:val="21"/>
              </w:rPr>
            </w:pPr>
          </w:p>
        </w:tc>
        <w:tc>
          <w:tcPr>
            <w:tcW w:w="1080" w:type="dxa"/>
            <w:vMerge w:val="continue"/>
            <w:vAlign w:val="center"/>
          </w:tcPr>
          <w:p>
            <w:pPr>
              <w:widowControl/>
              <w:jc w:val="center"/>
              <w:rPr>
                <w:kern w:val="0"/>
                <w:szCs w:val="21"/>
              </w:rPr>
            </w:pPr>
          </w:p>
        </w:tc>
        <w:tc>
          <w:tcPr>
            <w:tcW w:w="2160" w:type="dxa"/>
            <w:gridSpan w:val="2"/>
            <w:vMerge w:val="continue"/>
            <w:vAlign w:val="center"/>
          </w:tcPr>
          <w:p>
            <w:pPr>
              <w:widowControl/>
              <w:jc w:val="center"/>
              <w:rPr>
                <w:kern w:val="0"/>
                <w:szCs w:val="21"/>
              </w:rPr>
            </w:pPr>
          </w:p>
        </w:tc>
        <w:tc>
          <w:tcPr>
            <w:tcW w:w="2160" w:type="dxa"/>
            <w:gridSpan w:val="2"/>
            <w:vMerge w:val="continue"/>
            <w:vAlign w:val="center"/>
          </w:tcPr>
          <w:p>
            <w:pPr>
              <w:widowControl/>
              <w:jc w:val="center"/>
              <w:rPr>
                <w:kern w:val="0"/>
                <w:szCs w:val="21"/>
              </w:rPr>
            </w:pPr>
          </w:p>
        </w:tc>
        <w:tc>
          <w:tcPr>
            <w:tcW w:w="1180" w:type="dxa"/>
            <w:shd w:val="clear" w:color="auto" w:fill="auto"/>
            <w:vAlign w:val="center"/>
          </w:tcPr>
          <w:p>
            <w:pPr>
              <w:widowControl/>
              <w:jc w:val="center"/>
              <w:rPr>
                <w:kern w:val="0"/>
                <w:szCs w:val="21"/>
              </w:rPr>
            </w:pPr>
            <w:r>
              <w:rPr>
                <w:kern w:val="0"/>
                <w:szCs w:val="21"/>
              </w:rPr>
              <w:t>水压值</w:t>
            </w:r>
          </w:p>
        </w:tc>
        <w:tc>
          <w:tcPr>
            <w:tcW w:w="1300" w:type="dxa"/>
            <w:shd w:val="clear" w:color="auto" w:fill="auto"/>
            <w:vAlign w:val="center"/>
          </w:tcPr>
          <w:p>
            <w:pPr>
              <w:widowControl/>
              <w:jc w:val="center"/>
              <w:rPr>
                <w:kern w:val="0"/>
                <w:szCs w:val="21"/>
              </w:rPr>
            </w:pPr>
            <w:r>
              <w:rPr>
                <w:kern w:val="0"/>
                <w:szCs w:val="21"/>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vMerge w:val="continue"/>
            <w:vAlign w:val="center"/>
          </w:tcPr>
          <w:p>
            <w:pPr>
              <w:widowControl/>
              <w:jc w:val="center"/>
              <w:rPr>
                <w:kern w:val="0"/>
                <w:szCs w:val="21"/>
              </w:rPr>
            </w:pPr>
          </w:p>
        </w:tc>
        <w:tc>
          <w:tcPr>
            <w:tcW w:w="1080" w:type="dxa"/>
            <w:vMerge w:val="continue"/>
            <w:vAlign w:val="center"/>
          </w:tcPr>
          <w:p>
            <w:pPr>
              <w:widowControl/>
              <w:jc w:val="center"/>
              <w:rPr>
                <w:kern w:val="0"/>
                <w:szCs w:val="21"/>
              </w:rPr>
            </w:pPr>
          </w:p>
        </w:tc>
        <w:tc>
          <w:tcPr>
            <w:tcW w:w="1080" w:type="dxa"/>
            <w:shd w:val="clear" w:color="auto" w:fill="auto"/>
            <w:vAlign w:val="center"/>
          </w:tcPr>
          <w:p>
            <w:pPr>
              <w:widowControl/>
              <w:jc w:val="center"/>
              <w:rPr>
                <w:kern w:val="0"/>
                <w:szCs w:val="21"/>
              </w:rPr>
            </w:pPr>
            <w:r>
              <w:rPr>
                <w:kern w:val="0"/>
                <w:szCs w:val="21"/>
              </w:rPr>
              <w:t>水位标高</w:t>
            </w:r>
          </w:p>
        </w:tc>
        <w:tc>
          <w:tcPr>
            <w:tcW w:w="1080" w:type="dxa"/>
            <w:shd w:val="clear" w:color="auto" w:fill="auto"/>
            <w:vAlign w:val="center"/>
          </w:tcPr>
          <w:p>
            <w:pPr>
              <w:widowControl/>
              <w:jc w:val="center"/>
              <w:rPr>
                <w:kern w:val="0"/>
                <w:szCs w:val="21"/>
              </w:rPr>
            </w:pPr>
            <w:r>
              <w:rPr>
                <w:kern w:val="0"/>
                <w:szCs w:val="21"/>
              </w:rPr>
              <w:t>顶面标高</w:t>
            </w:r>
          </w:p>
        </w:tc>
        <w:tc>
          <w:tcPr>
            <w:tcW w:w="1080" w:type="dxa"/>
            <w:shd w:val="clear" w:color="auto" w:fill="auto"/>
            <w:vAlign w:val="center"/>
          </w:tcPr>
          <w:p>
            <w:pPr>
              <w:widowControl/>
              <w:jc w:val="center"/>
              <w:rPr>
                <w:kern w:val="0"/>
                <w:szCs w:val="21"/>
              </w:rPr>
            </w:pPr>
            <w:r>
              <w:rPr>
                <w:kern w:val="0"/>
                <w:szCs w:val="21"/>
              </w:rPr>
              <w:t>底板标高</w:t>
            </w:r>
          </w:p>
        </w:tc>
        <w:tc>
          <w:tcPr>
            <w:tcW w:w="1080" w:type="dxa"/>
            <w:shd w:val="clear" w:color="auto" w:fill="auto"/>
            <w:vAlign w:val="center"/>
          </w:tcPr>
          <w:p>
            <w:pPr>
              <w:widowControl/>
              <w:jc w:val="center"/>
              <w:rPr>
                <w:kern w:val="0"/>
                <w:szCs w:val="21"/>
              </w:rPr>
            </w:pPr>
            <w:r>
              <w:rPr>
                <w:kern w:val="0"/>
                <w:szCs w:val="21"/>
              </w:rPr>
              <w:t>隔水层厚度</w:t>
            </w:r>
          </w:p>
        </w:tc>
        <w:tc>
          <w:tcPr>
            <w:tcW w:w="1180" w:type="dxa"/>
            <w:shd w:val="clear" w:color="auto" w:fill="auto"/>
            <w:vAlign w:val="center"/>
          </w:tcPr>
          <w:p>
            <w:pPr>
              <w:widowControl/>
              <w:jc w:val="center"/>
              <w:rPr>
                <w:kern w:val="0"/>
                <w:szCs w:val="21"/>
              </w:rPr>
            </w:pPr>
            <w:r>
              <w:rPr>
                <w:kern w:val="0"/>
                <w:szCs w:val="21"/>
              </w:rPr>
              <w:t>（MPa）</w:t>
            </w:r>
          </w:p>
        </w:tc>
        <w:tc>
          <w:tcPr>
            <w:tcW w:w="1300" w:type="dxa"/>
            <w:shd w:val="clear" w:color="auto" w:fill="auto"/>
            <w:vAlign w:val="center"/>
          </w:tcPr>
          <w:p>
            <w:pPr>
              <w:widowControl/>
              <w:jc w:val="center"/>
              <w:rPr>
                <w:kern w:val="0"/>
                <w:szCs w:val="21"/>
              </w:rPr>
            </w:pPr>
            <w:r>
              <w:rPr>
                <w:kern w:val="0"/>
                <w:szCs w:val="21"/>
              </w:rPr>
              <w:t>（MPa/m）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continue"/>
            <w:vAlign w:val="center"/>
          </w:tcPr>
          <w:p>
            <w:pPr>
              <w:widowControl/>
              <w:jc w:val="center"/>
              <w:rPr>
                <w:kern w:val="0"/>
                <w:szCs w:val="21"/>
              </w:rPr>
            </w:pPr>
          </w:p>
        </w:tc>
        <w:tc>
          <w:tcPr>
            <w:tcW w:w="1080" w:type="dxa"/>
            <w:vMerge w:val="continue"/>
            <w:vAlign w:val="center"/>
          </w:tcPr>
          <w:p>
            <w:pPr>
              <w:widowControl/>
              <w:jc w:val="center"/>
              <w:rPr>
                <w:kern w:val="0"/>
                <w:szCs w:val="21"/>
              </w:rPr>
            </w:pPr>
          </w:p>
        </w:tc>
        <w:tc>
          <w:tcPr>
            <w:tcW w:w="1080" w:type="dxa"/>
            <w:shd w:val="clear" w:color="auto" w:fill="auto"/>
            <w:vAlign w:val="center"/>
          </w:tcPr>
          <w:p>
            <w:pPr>
              <w:widowControl/>
              <w:jc w:val="center"/>
              <w:rPr>
                <w:kern w:val="0"/>
                <w:szCs w:val="21"/>
              </w:rPr>
            </w:pPr>
            <w:r>
              <w:rPr>
                <w:kern w:val="0"/>
                <w:szCs w:val="21"/>
              </w:rPr>
              <w:t>（m）</w:t>
            </w:r>
          </w:p>
        </w:tc>
        <w:tc>
          <w:tcPr>
            <w:tcW w:w="1080" w:type="dxa"/>
            <w:shd w:val="clear" w:color="auto" w:fill="auto"/>
            <w:vAlign w:val="center"/>
          </w:tcPr>
          <w:p>
            <w:pPr>
              <w:widowControl/>
              <w:jc w:val="center"/>
              <w:rPr>
                <w:kern w:val="0"/>
                <w:szCs w:val="21"/>
              </w:rPr>
            </w:pPr>
            <w:r>
              <w:rPr>
                <w:kern w:val="0"/>
                <w:szCs w:val="21"/>
              </w:rPr>
              <w:t>(m)</w:t>
            </w:r>
          </w:p>
        </w:tc>
        <w:tc>
          <w:tcPr>
            <w:tcW w:w="1080" w:type="dxa"/>
            <w:shd w:val="clear" w:color="auto" w:fill="auto"/>
            <w:vAlign w:val="center"/>
          </w:tcPr>
          <w:p>
            <w:pPr>
              <w:widowControl/>
              <w:jc w:val="center"/>
              <w:rPr>
                <w:kern w:val="0"/>
                <w:szCs w:val="21"/>
              </w:rPr>
            </w:pPr>
            <w:r>
              <w:rPr>
                <w:kern w:val="0"/>
                <w:szCs w:val="21"/>
              </w:rPr>
              <w:t>（m）</w:t>
            </w:r>
          </w:p>
        </w:tc>
        <w:tc>
          <w:tcPr>
            <w:tcW w:w="1080" w:type="dxa"/>
            <w:shd w:val="clear" w:color="auto" w:fill="auto"/>
            <w:vAlign w:val="center"/>
          </w:tcPr>
          <w:p>
            <w:pPr>
              <w:widowControl/>
              <w:jc w:val="center"/>
              <w:rPr>
                <w:kern w:val="0"/>
                <w:szCs w:val="21"/>
              </w:rPr>
            </w:pPr>
            <w:r>
              <w:rPr>
                <w:kern w:val="0"/>
                <w:szCs w:val="21"/>
              </w:rPr>
              <w:t>（m）</w:t>
            </w:r>
          </w:p>
        </w:tc>
        <w:tc>
          <w:tcPr>
            <w:tcW w:w="1180" w:type="dxa"/>
            <w:shd w:val="clear" w:color="auto" w:fill="auto"/>
            <w:vAlign w:val="center"/>
          </w:tcPr>
          <w:p>
            <w:pPr>
              <w:widowControl/>
              <w:jc w:val="center"/>
              <w:rPr>
                <w:kern w:val="0"/>
                <w:szCs w:val="21"/>
              </w:rPr>
            </w:pPr>
          </w:p>
        </w:tc>
        <w:tc>
          <w:tcPr>
            <w:tcW w:w="1300"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shd w:val="clear" w:color="auto" w:fill="auto"/>
            <w:vAlign w:val="center"/>
          </w:tcPr>
          <w:p>
            <w:pPr>
              <w:widowControl/>
              <w:jc w:val="center"/>
              <w:rPr>
                <w:kern w:val="0"/>
                <w:szCs w:val="21"/>
              </w:rPr>
            </w:pPr>
            <w:r>
              <w:rPr>
                <w:kern w:val="0"/>
                <w:szCs w:val="21"/>
              </w:rPr>
              <w:t>ZK4</w:t>
            </w:r>
          </w:p>
        </w:tc>
        <w:tc>
          <w:tcPr>
            <w:tcW w:w="1080" w:type="dxa"/>
            <w:shd w:val="clear" w:color="auto" w:fill="auto"/>
            <w:noWrap/>
            <w:vAlign w:val="center"/>
          </w:tcPr>
          <w:p>
            <w:pPr>
              <w:widowControl/>
              <w:jc w:val="center"/>
              <w:rPr>
                <w:kern w:val="0"/>
                <w:szCs w:val="21"/>
              </w:rPr>
            </w:pPr>
            <w:r>
              <w:rPr>
                <w:kern w:val="0"/>
                <w:szCs w:val="21"/>
              </w:rPr>
              <w:t>82</w:t>
            </w:r>
          </w:p>
        </w:tc>
        <w:tc>
          <w:tcPr>
            <w:tcW w:w="1080" w:type="dxa"/>
            <w:shd w:val="clear" w:color="auto" w:fill="auto"/>
            <w:vAlign w:val="center"/>
          </w:tcPr>
          <w:p>
            <w:pPr>
              <w:widowControl/>
              <w:jc w:val="center"/>
              <w:rPr>
                <w:kern w:val="0"/>
                <w:szCs w:val="21"/>
              </w:rPr>
            </w:pPr>
            <w:r>
              <w:rPr>
                <w:kern w:val="0"/>
                <w:szCs w:val="21"/>
              </w:rPr>
              <w:t>805.280</w:t>
            </w:r>
          </w:p>
        </w:tc>
        <w:tc>
          <w:tcPr>
            <w:tcW w:w="1080" w:type="dxa"/>
            <w:shd w:val="clear" w:color="auto" w:fill="auto"/>
            <w:vAlign w:val="center"/>
          </w:tcPr>
          <w:p>
            <w:pPr>
              <w:widowControl/>
              <w:jc w:val="center"/>
              <w:rPr>
                <w:kern w:val="0"/>
                <w:szCs w:val="21"/>
              </w:rPr>
            </w:pPr>
            <w:r>
              <w:rPr>
                <w:kern w:val="0"/>
                <w:szCs w:val="21"/>
              </w:rPr>
              <w:t>699.962</w:t>
            </w:r>
          </w:p>
        </w:tc>
        <w:tc>
          <w:tcPr>
            <w:tcW w:w="1080" w:type="dxa"/>
            <w:shd w:val="clear" w:color="auto" w:fill="auto"/>
            <w:vAlign w:val="center"/>
          </w:tcPr>
          <w:p>
            <w:pPr>
              <w:widowControl/>
              <w:jc w:val="center"/>
              <w:rPr>
                <w:kern w:val="0"/>
                <w:szCs w:val="21"/>
              </w:rPr>
            </w:pPr>
            <w:r>
              <w:rPr>
                <w:kern w:val="0"/>
                <w:szCs w:val="21"/>
              </w:rPr>
              <w:t>820.262</w:t>
            </w:r>
          </w:p>
        </w:tc>
        <w:tc>
          <w:tcPr>
            <w:tcW w:w="1080" w:type="dxa"/>
            <w:shd w:val="clear" w:color="auto" w:fill="auto"/>
            <w:vAlign w:val="center"/>
          </w:tcPr>
          <w:p>
            <w:pPr>
              <w:widowControl/>
              <w:jc w:val="center"/>
              <w:rPr>
                <w:kern w:val="0"/>
                <w:szCs w:val="21"/>
              </w:rPr>
            </w:pPr>
            <w:r>
              <w:rPr>
                <w:kern w:val="0"/>
                <w:szCs w:val="21"/>
              </w:rPr>
              <w:t>120.300</w:t>
            </w:r>
          </w:p>
        </w:tc>
        <w:tc>
          <w:tcPr>
            <w:tcW w:w="1180" w:type="dxa"/>
            <w:shd w:val="clear" w:color="auto" w:fill="auto"/>
            <w:vAlign w:val="center"/>
          </w:tcPr>
          <w:p>
            <w:pPr>
              <w:widowControl/>
              <w:jc w:val="center"/>
              <w:rPr>
                <w:kern w:val="0"/>
                <w:szCs w:val="21"/>
              </w:rPr>
            </w:pPr>
            <w:r>
              <w:rPr>
                <w:kern w:val="0"/>
                <w:szCs w:val="21"/>
              </w:rPr>
              <w:t>不带压</w:t>
            </w:r>
          </w:p>
        </w:tc>
        <w:tc>
          <w:tcPr>
            <w:tcW w:w="1300"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shd w:val="clear" w:color="auto" w:fill="auto"/>
            <w:vAlign w:val="center"/>
          </w:tcPr>
          <w:p>
            <w:pPr>
              <w:widowControl/>
              <w:jc w:val="center"/>
              <w:rPr>
                <w:kern w:val="0"/>
                <w:szCs w:val="21"/>
              </w:rPr>
            </w:pPr>
            <w:r>
              <w:rPr>
                <w:kern w:val="0"/>
                <w:szCs w:val="21"/>
              </w:rPr>
              <w:t>ZK5</w:t>
            </w:r>
          </w:p>
        </w:tc>
        <w:tc>
          <w:tcPr>
            <w:tcW w:w="1080" w:type="dxa"/>
            <w:shd w:val="clear" w:color="auto" w:fill="auto"/>
            <w:noWrap/>
            <w:vAlign w:val="center"/>
          </w:tcPr>
          <w:p>
            <w:pPr>
              <w:widowControl/>
              <w:jc w:val="center"/>
              <w:rPr>
                <w:kern w:val="0"/>
                <w:szCs w:val="21"/>
              </w:rPr>
            </w:pPr>
            <w:r>
              <w:rPr>
                <w:kern w:val="0"/>
                <w:szCs w:val="21"/>
              </w:rPr>
              <w:t>87</w:t>
            </w:r>
          </w:p>
        </w:tc>
        <w:tc>
          <w:tcPr>
            <w:tcW w:w="1080" w:type="dxa"/>
            <w:shd w:val="clear" w:color="auto" w:fill="auto"/>
            <w:vAlign w:val="center"/>
          </w:tcPr>
          <w:p>
            <w:pPr>
              <w:widowControl/>
              <w:jc w:val="center"/>
              <w:rPr>
                <w:kern w:val="0"/>
                <w:szCs w:val="21"/>
              </w:rPr>
            </w:pPr>
            <w:r>
              <w:rPr>
                <w:kern w:val="0"/>
                <w:szCs w:val="21"/>
              </w:rPr>
              <w:t>804.350</w:t>
            </w:r>
          </w:p>
        </w:tc>
        <w:tc>
          <w:tcPr>
            <w:tcW w:w="1080" w:type="dxa"/>
            <w:shd w:val="clear" w:color="auto" w:fill="auto"/>
            <w:vAlign w:val="center"/>
          </w:tcPr>
          <w:p>
            <w:pPr>
              <w:widowControl/>
              <w:jc w:val="center"/>
              <w:rPr>
                <w:kern w:val="0"/>
                <w:szCs w:val="21"/>
              </w:rPr>
            </w:pPr>
            <w:r>
              <w:rPr>
                <w:kern w:val="0"/>
                <w:szCs w:val="21"/>
              </w:rPr>
              <w:t>645.100</w:t>
            </w:r>
          </w:p>
        </w:tc>
        <w:tc>
          <w:tcPr>
            <w:tcW w:w="1080" w:type="dxa"/>
            <w:shd w:val="clear" w:color="auto" w:fill="auto"/>
            <w:vAlign w:val="center"/>
          </w:tcPr>
          <w:p>
            <w:pPr>
              <w:widowControl/>
              <w:jc w:val="center"/>
              <w:rPr>
                <w:kern w:val="0"/>
                <w:szCs w:val="21"/>
              </w:rPr>
            </w:pPr>
            <w:r>
              <w:rPr>
                <w:kern w:val="0"/>
                <w:szCs w:val="21"/>
              </w:rPr>
              <w:t>766.160</w:t>
            </w:r>
          </w:p>
        </w:tc>
        <w:tc>
          <w:tcPr>
            <w:tcW w:w="1080" w:type="dxa"/>
            <w:shd w:val="clear" w:color="auto" w:fill="auto"/>
            <w:vAlign w:val="center"/>
          </w:tcPr>
          <w:p>
            <w:pPr>
              <w:widowControl/>
              <w:jc w:val="center"/>
              <w:rPr>
                <w:kern w:val="0"/>
                <w:szCs w:val="21"/>
              </w:rPr>
            </w:pPr>
            <w:r>
              <w:rPr>
                <w:kern w:val="0"/>
                <w:szCs w:val="21"/>
              </w:rPr>
              <w:t>121.060</w:t>
            </w:r>
          </w:p>
        </w:tc>
        <w:tc>
          <w:tcPr>
            <w:tcW w:w="1180" w:type="dxa"/>
            <w:shd w:val="clear" w:color="auto" w:fill="auto"/>
            <w:vAlign w:val="center"/>
          </w:tcPr>
          <w:p>
            <w:pPr>
              <w:widowControl/>
              <w:jc w:val="center"/>
              <w:rPr>
                <w:kern w:val="0"/>
                <w:szCs w:val="21"/>
              </w:rPr>
            </w:pPr>
            <w:r>
              <w:rPr>
                <w:kern w:val="0"/>
                <w:szCs w:val="21"/>
              </w:rPr>
              <w:t>1.446</w:t>
            </w:r>
          </w:p>
        </w:tc>
        <w:tc>
          <w:tcPr>
            <w:tcW w:w="1300" w:type="dxa"/>
            <w:shd w:val="clear" w:color="auto" w:fill="auto"/>
            <w:vAlign w:val="center"/>
          </w:tcPr>
          <w:p>
            <w:pPr>
              <w:widowControl/>
              <w:jc w:val="center"/>
              <w:rPr>
                <w:kern w:val="0"/>
                <w:szCs w:val="21"/>
              </w:rPr>
            </w:pPr>
            <w:r>
              <w:rPr>
                <w:kern w:val="0"/>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shd w:val="clear" w:color="auto" w:fill="auto"/>
            <w:vAlign w:val="center"/>
          </w:tcPr>
          <w:p>
            <w:pPr>
              <w:widowControl/>
              <w:jc w:val="center"/>
              <w:rPr>
                <w:kern w:val="0"/>
                <w:szCs w:val="21"/>
              </w:rPr>
            </w:pPr>
            <w:r>
              <w:rPr>
                <w:kern w:val="0"/>
                <w:szCs w:val="21"/>
              </w:rPr>
              <w:t>SZK1</w:t>
            </w:r>
          </w:p>
        </w:tc>
        <w:tc>
          <w:tcPr>
            <w:tcW w:w="1080" w:type="dxa"/>
            <w:shd w:val="clear" w:color="auto" w:fill="auto"/>
            <w:noWrap/>
            <w:vAlign w:val="center"/>
          </w:tcPr>
          <w:p>
            <w:pPr>
              <w:widowControl/>
              <w:jc w:val="center"/>
              <w:rPr>
                <w:kern w:val="0"/>
                <w:szCs w:val="21"/>
              </w:rPr>
            </w:pPr>
            <w:r>
              <w:rPr>
                <w:kern w:val="0"/>
                <w:szCs w:val="21"/>
              </w:rPr>
              <w:t>补1</w:t>
            </w:r>
          </w:p>
        </w:tc>
        <w:tc>
          <w:tcPr>
            <w:tcW w:w="1080" w:type="dxa"/>
            <w:shd w:val="clear" w:color="auto" w:fill="auto"/>
            <w:vAlign w:val="center"/>
          </w:tcPr>
          <w:p>
            <w:pPr>
              <w:widowControl/>
              <w:jc w:val="center"/>
              <w:rPr>
                <w:kern w:val="0"/>
                <w:szCs w:val="21"/>
              </w:rPr>
            </w:pPr>
            <w:r>
              <w:rPr>
                <w:kern w:val="0"/>
                <w:szCs w:val="21"/>
              </w:rPr>
              <w:t>806.200</w:t>
            </w:r>
          </w:p>
        </w:tc>
        <w:tc>
          <w:tcPr>
            <w:tcW w:w="1080" w:type="dxa"/>
            <w:shd w:val="clear" w:color="auto" w:fill="auto"/>
            <w:vAlign w:val="center"/>
          </w:tcPr>
          <w:p>
            <w:pPr>
              <w:widowControl/>
              <w:jc w:val="center"/>
              <w:rPr>
                <w:kern w:val="0"/>
                <w:szCs w:val="21"/>
              </w:rPr>
            </w:pPr>
            <w:r>
              <w:rPr>
                <w:kern w:val="0"/>
                <w:szCs w:val="21"/>
              </w:rPr>
              <w:t>317.702</w:t>
            </w:r>
          </w:p>
        </w:tc>
        <w:tc>
          <w:tcPr>
            <w:tcW w:w="1080" w:type="dxa"/>
            <w:shd w:val="clear" w:color="auto" w:fill="auto"/>
            <w:vAlign w:val="center"/>
          </w:tcPr>
          <w:p>
            <w:pPr>
              <w:widowControl/>
              <w:jc w:val="center"/>
              <w:rPr>
                <w:kern w:val="0"/>
                <w:szCs w:val="21"/>
              </w:rPr>
            </w:pPr>
            <w:r>
              <w:rPr>
                <w:kern w:val="0"/>
                <w:szCs w:val="21"/>
              </w:rPr>
              <w:t>694.332</w:t>
            </w:r>
          </w:p>
        </w:tc>
        <w:tc>
          <w:tcPr>
            <w:tcW w:w="1080" w:type="dxa"/>
            <w:shd w:val="clear" w:color="auto" w:fill="auto"/>
            <w:vAlign w:val="center"/>
          </w:tcPr>
          <w:p>
            <w:pPr>
              <w:widowControl/>
              <w:jc w:val="center"/>
              <w:rPr>
                <w:kern w:val="0"/>
                <w:szCs w:val="21"/>
              </w:rPr>
            </w:pPr>
            <w:r>
              <w:rPr>
                <w:kern w:val="0"/>
                <w:szCs w:val="21"/>
              </w:rPr>
              <w:t>376.630</w:t>
            </w:r>
          </w:p>
        </w:tc>
        <w:tc>
          <w:tcPr>
            <w:tcW w:w="1180" w:type="dxa"/>
            <w:shd w:val="clear" w:color="auto" w:fill="auto"/>
            <w:vAlign w:val="center"/>
          </w:tcPr>
          <w:p>
            <w:pPr>
              <w:widowControl/>
              <w:jc w:val="center"/>
              <w:rPr>
                <w:kern w:val="0"/>
                <w:szCs w:val="21"/>
              </w:rPr>
            </w:pPr>
            <w:r>
              <w:rPr>
                <w:kern w:val="0"/>
                <w:szCs w:val="21"/>
              </w:rPr>
              <w:t>4.436</w:t>
            </w:r>
          </w:p>
        </w:tc>
        <w:tc>
          <w:tcPr>
            <w:tcW w:w="1300" w:type="dxa"/>
            <w:shd w:val="clear" w:color="auto" w:fill="auto"/>
            <w:vAlign w:val="center"/>
          </w:tcPr>
          <w:p>
            <w:pPr>
              <w:widowControl/>
              <w:jc w:val="center"/>
              <w:rPr>
                <w:kern w:val="0"/>
                <w:szCs w:val="21"/>
              </w:rPr>
            </w:pPr>
            <w:r>
              <w:rPr>
                <w:kern w:val="0"/>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shd w:val="clear" w:color="auto" w:fill="auto"/>
            <w:vAlign w:val="center"/>
          </w:tcPr>
          <w:p>
            <w:pPr>
              <w:widowControl/>
              <w:jc w:val="center"/>
              <w:rPr>
                <w:kern w:val="0"/>
                <w:szCs w:val="21"/>
              </w:rPr>
            </w:pPr>
            <w:r>
              <w:rPr>
                <w:kern w:val="0"/>
                <w:szCs w:val="21"/>
              </w:rPr>
              <w:t>ZK6</w:t>
            </w:r>
          </w:p>
        </w:tc>
        <w:tc>
          <w:tcPr>
            <w:tcW w:w="1080" w:type="dxa"/>
            <w:shd w:val="clear" w:color="auto" w:fill="auto"/>
            <w:noWrap/>
            <w:vAlign w:val="center"/>
          </w:tcPr>
          <w:p>
            <w:pPr>
              <w:widowControl/>
              <w:jc w:val="center"/>
              <w:rPr>
                <w:kern w:val="0"/>
                <w:szCs w:val="21"/>
              </w:rPr>
            </w:pPr>
            <w:r>
              <w:rPr>
                <w:kern w:val="0"/>
                <w:szCs w:val="21"/>
              </w:rPr>
              <w:t>补2</w:t>
            </w:r>
          </w:p>
        </w:tc>
        <w:tc>
          <w:tcPr>
            <w:tcW w:w="1080" w:type="dxa"/>
            <w:shd w:val="clear" w:color="auto" w:fill="auto"/>
            <w:vAlign w:val="center"/>
          </w:tcPr>
          <w:p>
            <w:pPr>
              <w:widowControl/>
              <w:jc w:val="center"/>
              <w:rPr>
                <w:kern w:val="0"/>
                <w:szCs w:val="21"/>
              </w:rPr>
            </w:pPr>
            <w:r>
              <w:rPr>
                <w:kern w:val="0"/>
                <w:szCs w:val="21"/>
              </w:rPr>
              <w:t>805.580</w:t>
            </w:r>
          </w:p>
        </w:tc>
        <w:tc>
          <w:tcPr>
            <w:tcW w:w="1080" w:type="dxa"/>
            <w:shd w:val="clear" w:color="auto" w:fill="auto"/>
            <w:vAlign w:val="center"/>
          </w:tcPr>
          <w:p>
            <w:pPr>
              <w:widowControl/>
              <w:jc w:val="center"/>
              <w:rPr>
                <w:kern w:val="0"/>
                <w:szCs w:val="21"/>
              </w:rPr>
            </w:pPr>
            <w:r>
              <w:rPr>
                <w:kern w:val="0"/>
                <w:szCs w:val="21"/>
              </w:rPr>
              <w:t>724.652</w:t>
            </w:r>
          </w:p>
        </w:tc>
        <w:tc>
          <w:tcPr>
            <w:tcW w:w="1080" w:type="dxa"/>
            <w:shd w:val="clear" w:color="auto" w:fill="auto"/>
            <w:vAlign w:val="center"/>
          </w:tcPr>
          <w:p>
            <w:pPr>
              <w:widowControl/>
              <w:jc w:val="center"/>
              <w:rPr>
                <w:kern w:val="0"/>
                <w:szCs w:val="21"/>
              </w:rPr>
            </w:pPr>
            <w:r>
              <w:rPr>
                <w:kern w:val="0"/>
                <w:szCs w:val="21"/>
              </w:rPr>
              <w:t>855.122</w:t>
            </w:r>
          </w:p>
        </w:tc>
        <w:tc>
          <w:tcPr>
            <w:tcW w:w="1080" w:type="dxa"/>
            <w:shd w:val="clear" w:color="auto" w:fill="auto"/>
            <w:vAlign w:val="center"/>
          </w:tcPr>
          <w:p>
            <w:pPr>
              <w:widowControl/>
              <w:jc w:val="center"/>
              <w:rPr>
                <w:kern w:val="0"/>
                <w:szCs w:val="21"/>
              </w:rPr>
            </w:pPr>
            <w:r>
              <w:rPr>
                <w:kern w:val="0"/>
                <w:szCs w:val="21"/>
              </w:rPr>
              <w:t>130.470</w:t>
            </w:r>
          </w:p>
        </w:tc>
        <w:tc>
          <w:tcPr>
            <w:tcW w:w="1180" w:type="dxa"/>
            <w:shd w:val="clear" w:color="auto" w:fill="auto"/>
            <w:vAlign w:val="center"/>
          </w:tcPr>
          <w:p>
            <w:pPr>
              <w:widowControl/>
              <w:jc w:val="center"/>
              <w:rPr>
                <w:kern w:val="0"/>
                <w:szCs w:val="21"/>
              </w:rPr>
            </w:pPr>
            <w:r>
              <w:rPr>
                <w:kern w:val="0"/>
                <w:szCs w:val="21"/>
              </w:rPr>
              <w:t>不带压</w:t>
            </w:r>
          </w:p>
        </w:tc>
        <w:tc>
          <w:tcPr>
            <w:tcW w:w="1300"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080" w:type="dxa"/>
            <w:shd w:val="clear" w:color="auto" w:fill="auto"/>
            <w:vAlign w:val="center"/>
          </w:tcPr>
          <w:p>
            <w:pPr>
              <w:widowControl/>
              <w:jc w:val="center"/>
              <w:rPr>
                <w:kern w:val="0"/>
                <w:szCs w:val="21"/>
              </w:rPr>
            </w:pPr>
            <w:r>
              <w:rPr>
                <w:kern w:val="0"/>
                <w:szCs w:val="21"/>
              </w:rPr>
              <w:t>ZK7</w:t>
            </w:r>
          </w:p>
        </w:tc>
        <w:tc>
          <w:tcPr>
            <w:tcW w:w="1080" w:type="dxa"/>
            <w:shd w:val="clear" w:color="auto" w:fill="auto"/>
            <w:noWrap/>
            <w:vAlign w:val="center"/>
          </w:tcPr>
          <w:p>
            <w:pPr>
              <w:widowControl/>
              <w:jc w:val="center"/>
              <w:rPr>
                <w:kern w:val="0"/>
                <w:szCs w:val="21"/>
              </w:rPr>
            </w:pPr>
            <w:r>
              <w:rPr>
                <w:kern w:val="0"/>
                <w:szCs w:val="21"/>
              </w:rPr>
              <w:t>补3</w:t>
            </w:r>
          </w:p>
        </w:tc>
        <w:tc>
          <w:tcPr>
            <w:tcW w:w="1080" w:type="dxa"/>
            <w:shd w:val="clear" w:color="auto" w:fill="auto"/>
            <w:vAlign w:val="center"/>
          </w:tcPr>
          <w:p>
            <w:pPr>
              <w:widowControl/>
              <w:jc w:val="center"/>
              <w:rPr>
                <w:kern w:val="0"/>
                <w:szCs w:val="21"/>
              </w:rPr>
            </w:pPr>
            <w:r>
              <w:rPr>
                <w:kern w:val="0"/>
                <w:szCs w:val="21"/>
              </w:rPr>
              <w:t>805.700</w:t>
            </w:r>
          </w:p>
        </w:tc>
        <w:tc>
          <w:tcPr>
            <w:tcW w:w="1080" w:type="dxa"/>
            <w:shd w:val="clear" w:color="auto" w:fill="auto"/>
            <w:vAlign w:val="center"/>
          </w:tcPr>
          <w:p>
            <w:pPr>
              <w:widowControl/>
              <w:jc w:val="center"/>
              <w:rPr>
                <w:kern w:val="0"/>
                <w:szCs w:val="21"/>
              </w:rPr>
            </w:pPr>
            <w:r>
              <w:rPr>
                <w:kern w:val="0"/>
                <w:szCs w:val="21"/>
              </w:rPr>
              <w:t>596.410</w:t>
            </w:r>
          </w:p>
        </w:tc>
        <w:tc>
          <w:tcPr>
            <w:tcW w:w="1080" w:type="dxa"/>
            <w:shd w:val="clear" w:color="auto" w:fill="auto"/>
            <w:vAlign w:val="center"/>
          </w:tcPr>
          <w:p>
            <w:pPr>
              <w:widowControl/>
              <w:jc w:val="center"/>
              <w:rPr>
                <w:kern w:val="0"/>
                <w:szCs w:val="21"/>
              </w:rPr>
            </w:pPr>
            <w:r>
              <w:rPr>
                <w:kern w:val="0"/>
                <w:szCs w:val="21"/>
              </w:rPr>
              <w:t>718.930</w:t>
            </w:r>
          </w:p>
        </w:tc>
        <w:tc>
          <w:tcPr>
            <w:tcW w:w="1080" w:type="dxa"/>
            <w:shd w:val="clear" w:color="auto" w:fill="auto"/>
            <w:vAlign w:val="center"/>
          </w:tcPr>
          <w:p>
            <w:pPr>
              <w:widowControl/>
              <w:jc w:val="center"/>
              <w:rPr>
                <w:kern w:val="0"/>
                <w:szCs w:val="21"/>
              </w:rPr>
            </w:pPr>
            <w:r>
              <w:rPr>
                <w:kern w:val="0"/>
                <w:szCs w:val="21"/>
              </w:rPr>
              <w:t>122.520</w:t>
            </w:r>
          </w:p>
        </w:tc>
        <w:tc>
          <w:tcPr>
            <w:tcW w:w="1180" w:type="dxa"/>
            <w:shd w:val="clear" w:color="auto" w:fill="auto"/>
            <w:vAlign w:val="center"/>
          </w:tcPr>
          <w:p>
            <w:pPr>
              <w:widowControl/>
              <w:jc w:val="center"/>
              <w:rPr>
                <w:kern w:val="0"/>
                <w:szCs w:val="21"/>
              </w:rPr>
            </w:pPr>
            <w:r>
              <w:rPr>
                <w:kern w:val="0"/>
                <w:szCs w:val="21"/>
              </w:rPr>
              <w:t>1.900</w:t>
            </w:r>
          </w:p>
        </w:tc>
        <w:tc>
          <w:tcPr>
            <w:tcW w:w="1300" w:type="dxa"/>
            <w:shd w:val="clear" w:color="auto" w:fill="auto"/>
            <w:vAlign w:val="center"/>
          </w:tcPr>
          <w:p>
            <w:pPr>
              <w:widowControl/>
              <w:jc w:val="center"/>
              <w:rPr>
                <w:kern w:val="0"/>
                <w:szCs w:val="21"/>
              </w:rPr>
            </w:pPr>
            <w:r>
              <w:rPr>
                <w:kern w:val="0"/>
                <w:szCs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shd w:val="clear" w:color="auto" w:fill="auto"/>
            <w:vAlign w:val="center"/>
          </w:tcPr>
          <w:p>
            <w:pPr>
              <w:widowControl/>
              <w:jc w:val="center"/>
              <w:rPr>
                <w:kern w:val="0"/>
                <w:szCs w:val="21"/>
              </w:rPr>
            </w:pPr>
            <w:r>
              <w:rPr>
                <w:kern w:val="0"/>
                <w:szCs w:val="21"/>
              </w:rPr>
              <w:t>ZK8</w:t>
            </w:r>
          </w:p>
        </w:tc>
        <w:tc>
          <w:tcPr>
            <w:tcW w:w="1080" w:type="dxa"/>
            <w:shd w:val="clear" w:color="auto" w:fill="auto"/>
            <w:noWrap/>
            <w:vAlign w:val="center"/>
          </w:tcPr>
          <w:p>
            <w:pPr>
              <w:widowControl/>
              <w:jc w:val="center"/>
              <w:rPr>
                <w:kern w:val="0"/>
                <w:szCs w:val="21"/>
              </w:rPr>
            </w:pPr>
            <w:r>
              <w:rPr>
                <w:kern w:val="0"/>
                <w:szCs w:val="21"/>
              </w:rPr>
              <w:t>补4</w:t>
            </w:r>
          </w:p>
        </w:tc>
        <w:tc>
          <w:tcPr>
            <w:tcW w:w="1080" w:type="dxa"/>
            <w:shd w:val="clear" w:color="auto" w:fill="auto"/>
            <w:vAlign w:val="center"/>
          </w:tcPr>
          <w:p>
            <w:pPr>
              <w:widowControl/>
              <w:jc w:val="center"/>
              <w:rPr>
                <w:kern w:val="0"/>
                <w:szCs w:val="21"/>
              </w:rPr>
            </w:pPr>
            <w:r>
              <w:rPr>
                <w:kern w:val="0"/>
                <w:szCs w:val="21"/>
              </w:rPr>
              <w:t>804.700</w:t>
            </w:r>
          </w:p>
        </w:tc>
        <w:tc>
          <w:tcPr>
            <w:tcW w:w="1080" w:type="dxa"/>
            <w:shd w:val="clear" w:color="auto" w:fill="auto"/>
            <w:vAlign w:val="center"/>
          </w:tcPr>
          <w:p>
            <w:pPr>
              <w:widowControl/>
              <w:jc w:val="center"/>
              <w:rPr>
                <w:kern w:val="0"/>
                <w:szCs w:val="21"/>
              </w:rPr>
            </w:pPr>
            <w:r>
              <w:rPr>
                <w:kern w:val="0"/>
                <w:szCs w:val="21"/>
              </w:rPr>
              <w:t>650.280</w:t>
            </w:r>
          </w:p>
        </w:tc>
        <w:tc>
          <w:tcPr>
            <w:tcW w:w="1080" w:type="dxa"/>
            <w:shd w:val="clear" w:color="auto" w:fill="auto"/>
            <w:vAlign w:val="center"/>
          </w:tcPr>
          <w:p>
            <w:pPr>
              <w:widowControl/>
              <w:jc w:val="center"/>
              <w:rPr>
                <w:kern w:val="0"/>
                <w:szCs w:val="21"/>
              </w:rPr>
            </w:pPr>
            <w:r>
              <w:rPr>
                <w:kern w:val="0"/>
                <w:szCs w:val="21"/>
              </w:rPr>
              <w:t>787.110</w:t>
            </w:r>
          </w:p>
        </w:tc>
        <w:tc>
          <w:tcPr>
            <w:tcW w:w="1080" w:type="dxa"/>
            <w:shd w:val="clear" w:color="auto" w:fill="auto"/>
            <w:vAlign w:val="center"/>
          </w:tcPr>
          <w:p>
            <w:pPr>
              <w:widowControl/>
              <w:jc w:val="center"/>
              <w:rPr>
                <w:kern w:val="0"/>
                <w:szCs w:val="21"/>
              </w:rPr>
            </w:pPr>
            <w:r>
              <w:rPr>
                <w:kern w:val="0"/>
                <w:szCs w:val="21"/>
              </w:rPr>
              <w:t>136.830</w:t>
            </w:r>
          </w:p>
        </w:tc>
        <w:tc>
          <w:tcPr>
            <w:tcW w:w="1180" w:type="dxa"/>
            <w:shd w:val="clear" w:color="auto" w:fill="auto"/>
            <w:vAlign w:val="center"/>
          </w:tcPr>
          <w:p>
            <w:pPr>
              <w:widowControl/>
              <w:jc w:val="center"/>
              <w:rPr>
                <w:kern w:val="0"/>
                <w:szCs w:val="21"/>
              </w:rPr>
            </w:pPr>
            <w:r>
              <w:rPr>
                <w:kern w:val="0"/>
                <w:szCs w:val="21"/>
              </w:rPr>
              <w:t>1.402</w:t>
            </w:r>
          </w:p>
        </w:tc>
        <w:tc>
          <w:tcPr>
            <w:tcW w:w="1300" w:type="dxa"/>
            <w:shd w:val="clear" w:color="auto" w:fill="auto"/>
            <w:vAlign w:val="center"/>
          </w:tcPr>
          <w:p>
            <w:pPr>
              <w:widowControl/>
              <w:jc w:val="center"/>
              <w:rPr>
                <w:kern w:val="0"/>
                <w:szCs w:val="21"/>
              </w:rPr>
            </w:pPr>
            <w:r>
              <w:rPr>
                <w:kern w:val="0"/>
                <w:szCs w:val="21"/>
              </w:rPr>
              <w:t>0.010</w:t>
            </w:r>
          </w:p>
        </w:tc>
      </w:tr>
    </w:tbl>
    <w:p>
      <w:pPr>
        <w:spacing w:beforeLines="50"/>
        <w:jc w:val="center"/>
        <w:rPr>
          <w:bCs/>
        </w:rPr>
      </w:pPr>
      <w:r>
        <w:rPr>
          <w:bCs/>
        </w:rPr>
        <w:t>表5</w:t>
      </w:r>
      <w:r>
        <w:rPr>
          <w:rFonts w:hint="eastAsia"/>
          <w:bCs/>
        </w:rPr>
        <w:t>-5</w:t>
      </w:r>
      <w:r>
        <w:rPr>
          <w:bCs/>
        </w:rPr>
        <w:t>-6</w:t>
      </w:r>
      <w:r>
        <w:rPr>
          <w:rFonts w:hint="eastAsia"/>
          <w:bCs/>
        </w:rPr>
        <w:t xml:space="preserve">    </w:t>
      </w:r>
      <w:r>
        <w:rPr>
          <w:bCs/>
        </w:rPr>
        <w:t>5号煤层突水系数估算成果表</w:t>
      </w:r>
    </w:p>
    <w:tbl>
      <w:tblPr>
        <w:tblStyle w:val="24"/>
        <w:tblW w:w="8960" w:type="dxa"/>
        <w:tblInd w:w="93" w:type="dxa"/>
        <w:tblLayout w:type="autofit"/>
        <w:tblCellMar>
          <w:top w:w="0" w:type="dxa"/>
          <w:left w:w="108" w:type="dxa"/>
          <w:bottom w:w="0" w:type="dxa"/>
          <w:right w:w="108" w:type="dxa"/>
        </w:tblCellMar>
      </w:tblPr>
      <w:tblGrid>
        <w:gridCol w:w="1080"/>
        <w:gridCol w:w="1080"/>
        <w:gridCol w:w="1080"/>
        <w:gridCol w:w="1080"/>
        <w:gridCol w:w="1080"/>
        <w:gridCol w:w="1080"/>
        <w:gridCol w:w="1180"/>
        <w:gridCol w:w="1300"/>
      </w:tblGrid>
      <w:tr>
        <w:tblPrEx>
          <w:tblCellMar>
            <w:top w:w="0" w:type="dxa"/>
            <w:left w:w="108" w:type="dxa"/>
            <w:bottom w:w="0" w:type="dxa"/>
            <w:right w:w="108" w:type="dxa"/>
          </w:tblCellMar>
        </w:tblPrEx>
        <w:trPr>
          <w:trHeight w:val="300"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统一编号</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原孔号</w:t>
            </w:r>
          </w:p>
        </w:tc>
        <w:tc>
          <w:tcPr>
            <w:tcW w:w="21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奥灰含水层</w:t>
            </w:r>
          </w:p>
        </w:tc>
        <w:tc>
          <w:tcPr>
            <w:tcW w:w="21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5</w:t>
            </w:r>
            <w:r>
              <w:rPr>
                <w:rFonts w:ascii="宋体" w:hAnsi="宋体"/>
                <w:kern w:val="0"/>
                <w:szCs w:val="21"/>
                <w:vertAlign w:val="superscript"/>
              </w:rPr>
              <w:t>#</w:t>
            </w:r>
            <w:r>
              <w:rPr>
                <w:rFonts w:ascii="宋体" w:hAnsi="宋体"/>
                <w:kern w:val="0"/>
                <w:szCs w:val="21"/>
              </w:rPr>
              <w:t>煤层</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承  受</w:t>
            </w:r>
          </w:p>
        </w:tc>
        <w:tc>
          <w:tcPr>
            <w:tcW w:w="13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突水</w:t>
            </w:r>
          </w:p>
        </w:tc>
      </w:tr>
      <w:tr>
        <w:tblPrEx>
          <w:tblCellMar>
            <w:top w:w="0" w:type="dxa"/>
            <w:left w:w="108" w:type="dxa"/>
            <w:bottom w:w="0" w:type="dxa"/>
            <w:right w:w="108" w:type="dxa"/>
          </w:tblCellMar>
        </w:tblPrEx>
        <w:trPr>
          <w:trHeight w:val="285"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21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21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水压值</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系数</w:t>
            </w:r>
          </w:p>
        </w:tc>
      </w:tr>
      <w:tr>
        <w:tblPrEx>
          <w:tblCellMar>
            <w:top w:w="0" w:type="dxa"/>
            <w:left w:w="108" w:type="dxa"/>
            <w:bottom w:w="0" w:type="dxa"/>
            <w:right w:w="108" w:type="dxa"/>
          </w:tblCellMar>
        </w:tblPrEx>
        <w:trPr>
          <w:trHeight w:val="525"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水位标高</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顶面标高</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底板标高</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隔水层厚度</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（MPa）</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（MPa/m）</w:t>
            </w:r>
          </w:p>
        </w:tc>
      </w:tr>
      <w:tr>
        <w:tblPrEx>
          <w:tblCellMar>
            <w:top w:w="0" w:type="dxa"/>
            <w:left w:w="108" w:type="dxa"/>
            <w:bottom w:w="0" w:type="dxa"/>
            <w:right w:w="108" w:type="dxa"/>
          </w:tblCellMar>
        </w:tblPrEx>
        <w:trPr>
          <w:trHeight w:val="300"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（m）</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(m)</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（m）</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（m）</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ZK1</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7</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806.300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632.900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747.750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114.850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1.574</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0.014</w:t>
            </w: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ZK2</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Cs w:val="21"/>
              </w:rPr>
            </w:pPr>
            <w:r>
              <w:rPr>
                <w:rFonts w:ascii="宋体" w:hAnsi="宋体"/>
                <w:kern w:val="0"/>
                <w:szCs w:val="21"/>
              </w:rPr>
              <w:t>76</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806.750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652.970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763.360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110.390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1.396</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0.013</w:t>
            </w: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ZK3</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Cs w:val="21"/>
              </w:rPr>
            </w:pPr>
            <w:r>
              <w:rPr>
                <w:rFonts w:ascii="宋体" w:hAnsi="宋体"/>
                <w:kern w:val="0"/>
                <w:szCs w:val="21"/>
              </w:rPr>
              <w:t>81</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806.200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488.890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605.090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116.200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2.881</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0.025</w:t>
            </w: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ZK4</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Cs w:val="21"/>
              </w:rPr>
            </w:pPr>
            <w:r>
              <w:rPr>
                <w:rFonts w:ascii="宋体" w:hAnsi="宋体"/>
                <w:kern w:val="0"/>
                <w:szCs w:val="21"/>
              </w:rPr>
              <w:t>82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805.280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699.962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815.472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115.510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不带压</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ZK5</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Cs w:val="21"/>
              </w:rPr>
            </w:pPr>
            <w:r>
              <w:rPr>
                <w:rFonts w:ascii="宋体" w:hAnsi="宋体"/>
                <w:kern w:val="0"/>
                <w:szCs w:val="21"/>
              </w:rPr>
              <w:t>87</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804.350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645.100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760.710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115.610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1.446</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0.013</w:t>
            </w: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SZK1</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Cs w:val="21"/>
              </w:rPr>
            </w:pPr>
            <w:r>
              <w:rPr>
                <w:rFonts w:ascii="宋体" w:hAnsi="宋体"/>
                <w:kern w:val="0"/>
                <w:szCs w:val="21"/>
              </w:rPr>
              <w:t>补1</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806.200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317.702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689.332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371.630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4.436</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0.012</w:t>
            </w: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ZK6</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Cs w:val="21"/>
              </w:rPr>
            </w:pPr>
            <w:r>
              <w:rPr>
                <w:rFonts w:ascii="宋体" w:hAnsi="宋体"/>
                <w:kern w:val="0"/>
                <w:szCs w:val="21"/>
              </w:rPr>
              <w:t>补2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805.580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724.652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849.722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125.070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不带压</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ZK7</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Cs w:val="21"/>
              </w:rPr>
            </w:pPr>
            <w:r>
              <w:rPr>
                <w:rFonts w:ascii="宋体" w:hAnsi="宋体"/>
                <w:kern w:val="0"/>
                <w:szCs w:val="21"/>
              </w:rPr>
              <w:t>补3</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805.700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596.410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713.600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117.190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1.900</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0.016</w:t>
            </w: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ZK8</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Cs w:val="21"/>
              </w:rPr>
            </w:pPr>
            <w:r>
              <w:rPr>
                <w:rFonts w:ascii="宋体" w:hAnsi="宋体"/>
                <w:kern w:val="0"/>
                <w:szCs w:val="21"/>
              </w:rPr>
              <w:t>补4</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804.700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650.280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782.250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131.970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1.402</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0.011</w:t>
            </w:r>
          </w:p>
        </w:tc>
      </w:tr>
    </w:tbl>
    <w:p>
      <w:pPr>
        <w:spacing w:beforeLines="50"/>
        <w:jc w:val="center"/>
        <w:rPr>
          <w:bCs/>
        </w:rPr>
      </w:pPr>
      <w:r>
        <w:rPr>
          <w:bCs/>
        </w:rPr>
        <w:t>表</w:t>
      </w:r>
      <w:r>
        <w:rPr>
          <w:rFonts w:hint="eastAsia"/>
          <w:bCs/>
        </w:rPr>
        <w:t>5-5</w:t>
      </w:r>
      <w:r>
        <w:rPr>
          <w:bCs/>
        </w:rPr>
        <w:t>-7</w:t>
      </w:r>
      <w:r>
        <w:rPr>
          <w:rFonts w:hint="eastAsia"/>
          <w:bCs/>
        </w:rPr>
        <w:t xml:space="preserve">    </w:t>
      </w:r>
      <w:r>
        <w:rPr>
          <w:bCs/>
        </w:rPr>
        <w:t>8号煤层突水系数估算成果表</w:t>
      </w:r>
    </w:p>
    <w:tbl>
      <w:tblPr>
        <w:tblStyle w:val="24"/>
        <w:tblW w:w="89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1080"/>
        <w:gridCol w:w="1080"/>
        <w:gridCol w:w="1080"/>
        <w:gridCol w:w="118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restart"/>
            <w:shd w:val="clear" w:color="auto" w:fill="auto"/>
            <w:vAlign w:val="center"/>
          </w:tcPr>
          <w:p>
            <w:pPr>
              <w:widowControl/>
              <w:jc w:val="center"/>
              <w:rPr>
                <w:rFonts w:ascii="宋体" w:hAnsi="宋体"/>
                <w:kern w:val="0"/>
                <w:szCs w:val="21"/>
              </w:rPr>
            </w:pPr>
            <w:r>
              <w:rPr>
                <w:rFonts w:ascii="宋体" w:hAnsi="宋体"/>
                <w:kern w:val="0"/>
                <w:szCs w:val="21"/>
              </w:rPr>
              <w:t>统一编号</w:t>
            </w:r>
          </w:p>
        </w:tc>
        <w:tc>
          <w:tcPr>
            <w:tcW w:w="1080" w:type="dxa"/>
            <w:vMerge w:val="restart"/>
            <w:shd w:val="clear" w:color="auto" w:fill="auto"/>
            <w:vAlign w:val="center"/>
          </w:tcPr>
          <w:p>
            <w:pPr>
              <w:widowControl/>
              <w:jc w:val="center"/>
              <w:rPr>
                <w:rFonts w:ascii="宋体" w:hAnsi="宋体"/>
                <w:kern w:val="0"/>
                <w:szCs w:val="21"/>
              </w:rPr>
            </w:pPr>
            <w:r>
              <w:rPr>
                <w:rFonts w:ascii="宋体" w:hAnsi="宋体"/>
                <w:kern w:val="0"/>
                <w:szCs w:val="21"/>
              </w:rPr>
              <w:t>原孔号</w:t>
            </w:r>
          </w:p>
        </w:tc>
        <w:tc>
          <w:tcPr>
            <w:tcW w:w="2160" w:type="dxa"/>
            <w:gridSpan w:val="2"/>
            <w:vMerge w:val="restart"/>
            <w:shd w:val="clear" w:color="auto" w:fill="auto"/>
            <w:vAlign w:val="center"/>
          </w:tcPr>
          <w:p>
            <w:pPr>
              <w:widowControl/>
              <w:jc w:val="center"/>
              <w:rPr>
                <w:rFonts w:ascii="宋体" w:hAnsi="宋体"/>
                <w:kern w:val="0"/>
                <w:szCs w:val="21"/>
              </w:rPr>
            </w:pPr>
            <w:r>
              <w:rPr>
                <w:rFonts w:ascii="宋体" w:hAnsi="宋体"/>
                <w:kern w:val="0"/>
                <w:szCs w:val="21"/>
              </w:rPr>
              <w:t>奥灰含水层</w:t>
            </w:r>
          </w:p>
        </w:tc>
        <w:tc>
          <w:tcPr>
            <w:tcW w:w="2160" w:type="dxa"/>
            <w:gridSpan w:val="2"/>
            <w:vMerge w:val="restart"/>
            <w:shd w:val="clear" w:color="auto" w:fill="auto"/>
            <w:vAlign w:val="center"/>
          </w:tcPr>
          <w:p>
            <w:pPr>
              <w:widowControl/>
              <w:jc w:val="center"/>
              <w:rPr>
                <w:rFonts w:ascii="宋体" w:hAnsi="宋体"/>
                <w:kern w:val="0"/>
                <w:szCs w:val="21"/>
              </w:rPr>
            </w:pPr>
            <w:r>
              <w:rPr>
                <w:rFonts w:ascii="宋体" w:hAnsi="宋体"/>
                <w:kern w:val="0"/>
                <w:szCs w:val="21"/>
              </w:rPr>
              <w:t>8</w:t>
            </w:r>
            <w:r>
              <w:rPr>
                <w:rFonts w:ascii="宋体" w:hAnsi="宋体"/>
                <w:kern w:val="0"/>
                <w:szCs w:val="21"/>
                <w:vertAlign w:val="superscript"/>
              </w:rPr>
              <w:t>#</w:t>
            </w:r>
            <w:r>
              <w:rPr>
                <w:rFonts w:ascii="宋体" w:hAnsi="宋体"/>
                <w:kern w:val="0"/>
                <w:szCs w:val="21"/>
              </w:rPr>
              <w:t>煤层</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承  受</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突水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0" w:type="dxa"/>
            <w:vMerge w:val="continue"/>
            <w:vAlign w:val="center"/>
          </w:tcPr>
          <w:p>
            <w:pPr>
              <w:widowControl/>
              <w:jc w:val="center"/>
              <w:rPr>
                <w:rFonts w:ascii="宋体" w:hAnsi="宋体"/>
                <w:kern w:val="0"/>
                <w:szCs w:val="21"/>
              </w:rPr>
            </w:pPr>
          </w:p>
        </w:tc>
        <w:tc>
          <w:tcPr>
            <w:tcW w:w="1080" w:type="dxa"/>
            <w:vMerge w:val="continue"/>
            <w:vAlign w:val="center"/>
          </w:tcPr>
          <w:p>
            <w:pPr>
              <w:widowControl/>
              <w:jc w:val="center"/>
              <w:rPr>
                <w:rFonts w:ascii="宋体" w:hAnsi="宋体"/>
                <w:kern w:val="0"/>
                <w:szCs w:val="21"/>
              </w:rPr>
            </w:pPr>
          </w:p>
        </w:tc>
        <w:tc>
          <w:tcPr>
            <w:tcW w:w="2160" w:type="dxa"/>
            <w:gridSpan w:val="2"/>
            <w:vMerge w:val="continue"/>
            <w:vAlign w:val="center"/>
          </w:tcPr>
          <w:p>
            <w:pPr>
              <w:widowControl/>
              <w:jc w:val="center"/>
              <w:rPr>
                <w:rFonts w:ascii="宋体" w:hAnsi="宋体"/>
                <w:kern w:val="0"/>
                <w:szCs w:val="21"/>
              </w:rPr>
            </w:pPr>
          </w:p>
        </w:tc>
        <w:tc>
          <w:tcPr>
            <w:tcW w:w="2160" w:type="dxa"/>
            <w:gridSpan w:val="2"/>
            <w:vMerge w:val="continue"/>
            <w:vAlign w:val="center"/>
          </w:tcPr>
          <w:p>
            <w:pPr>
              <w:widowControl/>
              <w:jc w:val="center"/>
              <w:rPr>
                <w:rFonts w:ascii="宋体" w:hAnsi="宋体"/>
                <w:kern w:val="0"/>
                <w:szCs w:val="21"/>
              </w:rPr>
            </w:pP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水压值</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vMerge w:val="continue"/>
            <w:vAlign w:val="center"/>
          </w:tcPr>
          <w:p>
            <w:pPr>
              <w:widowControl/>
              <w:jc w:val="center"/>
              <w:rPr>
                <w:rFonts w:ascii="宋体" w:hAnsi="宋体"/>
                <w:kern w:val="0"/>
                <w:szCs w:val="21"/>
              </w:rPr>
            </w:pPr>
          </w:p>
        </w:tc>
        <w:tc>
          <w:tcPr>
            <w:tcW w:w="1080" w:type="dxa"/>
            <w:vMerge w:val="continue"/>
            <w:vAlign w:val="center"/>
          </w:tcPr>
          <w:p>
            <w:pPr>
              <w:widowControl/>
              <w:jc w:val="center"/>
              <w:rPr>
                <w:rFonts w:ascii="宋体" w:hAnsi="宋体"/>
                <w:kern w:val="0"/>
                <w:szCs w:val="21"/>
              </w:rPr>
            </w:pP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水位标高</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顶面标高</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底板标高</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隔水层厚度</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（MPa）</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（MPa/m）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continue"/>
            <w:vAlign w:val="center"/>
          </w:tcPr>
          <w:p>
            <w:pPr>
              <w:widowControl/>
              <w:jc w:val="center"/>
              <w:rPr>
                <w:rFonts w:ascii="宋体" w:hAnsi="宋体"/>
                <w:kern w:val="0"/>
                <w:szCs w:val="21"/>
              </w:rPr>
            </w:pPr>
          </w:p>
        </w:tc>
        <w:tc>
          <w:tcPr>
            <w:tcW w:w="1080" w:type="dxa"/>
            <w:vMerge w:val="continue"/>
            <w:vAlign w:val="center"/>
          </w:tcPr>
          <w:p>
            <w:pPr>
              <w:widowControl/>
              <w:jc w:val="center"/>
              <w:rPr>
                <w:rFonts w:ascii="宋体" w:hAnsi="宋体"/>
                <w:kern w:val="0"/>
                <w:szCs w:val="21"/>
              </w:rPr>
            </w:pP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（m）</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(m)</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（m）</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（m）</w:t>
            </w:r>
          </w:p>
        </w:tc>
        <w:tc>
          <w:tcPr>
            <w:tcW w:w="1180" w:type="dxa"/>
            <w:shd w:val="clear" w:color="auto" w:fill="auto"/>
            <w:vAlign w:val="center"/>
          </w:tcPr>
          <w:p>
            <w:pPr>
              <w:widowControl/>
              <w:jc w:val="center"/>
              <w:rPr>
                <w:rFonts w:ascii="宋体" w:hAnsi="宋体"/>
                <w:kern w:val="0"/>
                <w:szCs w:val="21"/>
              </w:rPr>
            </w:pPr>
          </w:p>
        </w:tc>
        <w:tc>
          <w:tcPr>
            <w:tcW w:w="1300" w:type="dxa"/>
            <w:shd w:val="clear" w:color="auto" w:fill="auto"/>
            <w:vAlign w:val="center"/>
          </w:tcPr>
          <w:p>
            <w:pPr>
              <w:widowControl/>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rFonts w:ascii="宋体" w:hAnsi="宋体"/>
                <w:kern w:val="0"/>
                <w:szCs w:val="21"/>
              </w:rPr>
            </w:pPr>
            <w:r>
              <w:rPr>
                <w:rFonts w:ascii="宋体" w:hAnsi="宋体"/>
                <w:kern w:val="0"/>
                <w:szCs w:val="21"/>
              </w:rPr>
              <w:t>ZK1</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806.300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632.900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700.810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67.910</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1.574</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rFonts w:ascii="宋体" w:hAnsi="宋体"/>
                <w:kern w:val="0"/>
                <w:szCs w:val="21"/>
              </w:rPr>
            </w:pPr>
            <w:r>
              <w:rPr>
                <w:rFonts w:ascii="宋体" w:hAnsi="宋体"/>
                <w:kern w:val="0"/>
                <w:szCs w:val="21"/>
              </w:rPr>
              <w:t>ZK2</w:t>
            </w:r>
          </w:p>
        </w:tc>
        <w:tc>
          <w:tcPr>
            <w:tcW w:w="1080" w:type="dxa"/>
            <w:shd w:val="clear" w:color="auto" w:fill="auto"/>
            <w:noWrap/>
            <w:vAlign w:val="center"/>
          </w:tcPr>
          <w:p>
            <w:pPr>
              <w:widowControl/>
              <w:jc w:val="center"/>
              <w:rPr>
                <w:rFonts w:ascii="宋体" w:hAnsi="宋体"/>
                <w:kern w:val="0"/>
                <w:szCs w:val="21"/>
              </w:rPr>
            </w:pPr>
            <w:r>
              <w:rPr>
                <w:rFonts w:ascii="宋体" w:hAnsi="宋体"/>
                <w:kern w:val="0"/>
                <w:szCs w:val="21"/>
              </w:rPr>
              <w:t>76</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806.750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652.970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718.690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65.720</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1.396</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rFonts w:ascii="宋体" w:hAnsi="宋体"/>
                <w:kern w:val="0"/>
                <w:szCs w:val="21"/>
              </w:rPr>
            </w:pPr>
            <w:r>
              <w:rPr>
                <w:rFonts w:ascii="宋体" w:hAnsi="宋体"/>
                <w:kern w:val="0"/>
                <w:szCs w:val="21"/>
              </w:rPr>
              <w:t>ZK3</w:t>
            </w:r>
          </w:p>
        </w:tc>
        <w:tc>
          <w:tcPr>
            <w:tcW w:w="1080" w:type="dxa"/>
            <w:shd w:val="clear" w:color="auto" w:fill="auto"/>
            <w:noWrap/>
            <w:vAlign w:val="center"/>
          </w:tcPr>
          <w:p>
            <w:pPr>
              <w:widowControl/>
              <w:jc w:val="center"/>
              <w:rPr>
                <w:rFonts w:ascii="宋体" w:hAnsi="宋体"/>
                <w:kern w:val="0"/>
                <w:szCs w:val="21"/>
              </w:rPr>
            </w:pPr>
            <w:r>
              <w:rPr>
                <w:rFonts w:ascii="宋体" w:hAnsi="宋体"/>
                <w:kern w:val="0"/>
                <w:szCs w:val="21"/>
              </w:rPr>
              <w:t>81</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806.200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488.890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558.360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69.470</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2.881</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1080" w:type="dxa"/>
            <w:shd w:val="clear" w:color="auto" w:fill="auto"/>
            <w:vAlign w:val="center"/>
          </w:tcPr>
          <w:p>
            <w:pPr>
              <w:widowControl/>
              <w:jc w:val="center"/>
              <w:rPr>
                <w:rFonts w:ascii="宋体" w:hAnsi="宋体"/>
                <w:kern w:val="0"/>
                <w:szCs w:val="21"/>
              </w:rPr>
            </w:pPr>
            <w:r>
              <w:rPr>
                <w:rFonts w:ascii="宋体" w:hAnsi="宋体"/>
                <w:kern w:val="0"/>
                <w:szCs w:val="21"/>
              </w:rPr>
              <w:t>ZK4</w:t>
            </w:r>
          </w:p>
        </w:tc>
        <w:tc>
          <w:tcPr>
            <w:tcW w:w="1080" w:type="dxa"/>
            <w:shd w:val="clear" w:color="auto" w:fill="auto"/>
            <w:noWrap/>
            <w:vAlign w:val="center"/>
          </w:tcPr>
          <w:p>
            <w:pPr>
              <w:widowControl/>
              <w:jc w:val="center"/>
              <w:rPr>
                <w:rFonts w:ascii="宋体" w:hAnsi="宋体"/>
                <w:kern w:val="0"/>
                <w:szCs w:val="21"/>
              </w:rPr>
            </w:pPr>
            <w:r>
              <w:rPr>
                <w:rFonts w:ascii="宋体" w:hAnsi="宋体"/>
                <w:kern w:val="0"/>
                <w:szCs w:val="21"/>
              </w:rPr>
              <w:t>82</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805.280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699.962</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769.132</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69.170</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0.956</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rFonts w:ascii="宋体" w:hAnsi="宋体"/>
                <w:kern w:val="0"/>
                <w:szCs w:val="21"/>
              </w:rPr>
            </w:pPr>
            <w:r>
              <w:rPr>
                <w:rFonts w:ascii="宋体" w:hAnsi="宋体"/>
                <w:kern w:val="0"/>
                <w:szCs w:val="21"/>
              </w:rPr>
              <w:t>ZK5</w:t>
            </w:r>
          </w:p>
        </w:tc>
        <w:tc>
          <w:tcPr>
            <w:tcW w:w="1080" w:type="dxa"/>
            <w:shd w:val="clear" w:color="auto" w:fill="auto"/>
            <w:noWrap/>
            <w:vAlign w:val="center"/>
          </w:tcPr>
          <w:p>
            <w:pPr>
              <w:widowControl/>
              <w:jc w:val="center"/>
              <w:rPr>
                <w:rFonts w:ascii="宋体" w:hAnsi="宋体"/>
                <w:kern w:val="0"/>
                <w:szCs w:val="21"/>
              </w:rPr>
            </w:pPr>
            <w:r>
              <w:rPr>
                <w:rFonts w:ascii="宋体" w:hAnsi="宋体"/>
                <w:kern w:val="0"/>
                <w:szCs w:val="21"/>
              </w:rPr>
              <w:t>87</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804.350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645.100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715.540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70.440</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1.446</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1080" w:type="dxa"/>
            <w:shd w:val="clear" w:color="auto" w:fill="auto"/>
            <w:vAlign w:val="center"/>
          </w:tcPr>
          <w:p>
            <w:pPr>
              <w:widowControl/>
              <w:jc w:val="center"/>
              <w:rPr>
                <w:rFonts w:ascii="宋体" w:hAnsi="宋体"/>
                <w:kern w:val="0"/>
                <w:szCs w:val="21"/>
              </w:rPr>
            </w:pPr>
            <w:r>
              <w:rPr>
                <w:rFonts w:ascii="宋体" w:hAnsi="宋体"/>
                <w:kern w:val="0"/>
                <w:szCs w:val="21"/>
              </w:rPr>
              <w:t>SZK1</w:t>
            </w:r>
          </w:p>
        </w:tc>
        <w:tc>
          <w:tcPr>
            <w:tcW w:w="1080" w:type="dxa"/>
            <w:shd w:val="clear" w:color="auto" w:fill="auto"/>
            <w:noWrap/>
            <w:vAlign w:val="center"/>
          </w:tcPr>
          <w:p>
            <w:pPr>
              <w:widowControl/>
              <w:jc w:val="center"/>
              <w:rPr>
                <w:rFonts w:ascii="宋体" w:hAnsi="宋体"/>
                <w:kern w:val="0"/>
                <w:szCs w:val="21"/>
              </w:rPr>
            </w:pPr>
            <w:r>
              <w:rPr>
                <w:rFonts w:ascii="宋体" w:hAnsi="宋体"/>
                <w:kern w:val="0"/>
                <w:szCs w:val="21"/>
              </w:rPr>
              <w:t>补1</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806.200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317.702</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644.232</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326.530</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4.436</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rFonts w:ascii="宋体" w:hAnsi="宋体"/>
                <w:kern w:val="0"/>
                <w:szCs w:val="21"/>
              </w:rPr>
            </w:pPr>
            <w:r>
              <w:rPr>
                <w:rFonts w:ascii="宋体" w:hAnsi="宋体"/>
                <w:kern w:val="0"/>
                <w:szCs w:val="21"/>
              </w:rPr>
              <w:t>ZK6</w:t>
            </w:r>
          </w:p>
        </w:tc>
        <w:tc>
          <w:tcPr>
            <w:tcW w:w="1080" w:type="dxa"/>
            <w:shd w:val="clear" w:color="auto" w:fill="auto"/>
            <w:noWrap/>
            <w:vAlign w:val="center"/>
          </w:tcPr>
          <w:p>
            <w:pPr>
              <w:widowControl/>
              <w:jc w:val="center"/>
              <w:rPr>
                <w:rFonts w:ascii="宋体" w:hAnsi="宋体"/>
                <w:kern w:val="0"/>
                <w:szCs w:val="21"/>
              </w:rPr>
            </w:pPr>
            <w:r>
              <w:rPr>
                <w:rFonts w:ascii="宋体" w:hAnsi="宋体"/>
                <w:kern w:val="0"/>
                <w:szCs w:val="21"/>
              </w:rPr>
              <w:t>补2</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805.580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724.652</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802.222</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77.570</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0.735</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rFonts w:ascii="宋体" w:hAnsi="宋体"/>
                <w:kern w:val="0"/>
                <w:szCs w:val="21"/>
              </w:rPr>
            </w:pPr>
            <w:r>
              <w:rPr>
                <w:rFonts w:ascii="宋体" w:hAnsi="宋体"/>
                <w:kern w:val="0"/>
                <w:szCs w:val="21"/>
              </w:rPr>
              <w:t>ZK7</w:t>
            </w:r>
          </w:p>
        </w:tc>
        <w:tc>
          <w:tcPr>
            <w:tcW w:w="1080" w:type="dxa"/>
            <w:shd w:val="clear" w:color="auto" w:fill="auto"/>
            <w:noWrap/>
            <w:vAlign w:val="center"/>
          </w:tcPr>
          <w:p>
            <w:pPr>
              <w:widowControl/>
              <w:jc w:val="center"/>
              <w:rPr>
                <w:rFonts w:ascii="宋体" w:hAnsi="宋体"/>
                <w:kern w:val="0"/>
                <w:szCs w:val="21"/>
              </w:rPr>
            </w:pPr>
            <w:r>
              <w:rPr>
                <w:rFonts w:ascii="宋体" w:hAnsi="宋体"/>
                <w:kern w:val="0"/>
                <w:szCs w:val="21"/>
              </w:rPr>
              <w:t>补3</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805.700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596.410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667.220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70.810</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1.900</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1080" w:type="dxa"/>
            <w:shd w:val="clear" w:color="auto" w:fill="auto"/>
            <w:vAlign w:val="center"/>
          </w:tcPr>
          <w:p>
            <w:pPr>
              <w:widowControl/>
              <w:jc w:val="center"/>
              <w:rPr>
                <w:rFonts w:ascii="宋体" w:hAnsi="宋体"/>
                <w:kern w:val="0"/>
                <w:szCs w:val="21"/>
              </w:rPr>
            </w:pPr>
            <w:r>
              <w:rPr>
                <w:rFonts w:ascii="宋体" w:hAnsi="宋体"/>
                <w:kern w:val="0"/>
                <w:szCs w:val="21"/>
              </w:rPr>
              <w:t>ZK8</w:t>
            </w:r>
          </w:p>
        </w:tc>
        <w:tc>
          <w:tcPr>
            <w:tcW w:w="1080" w:type="dxa"/>
            <w:shd w:val="clear" w:color="auto" w:fill="auto"/>
            <w:noWrap/>
            <w:vAlign w:val="center"/>
          </w:tcPr>
          <w:p>
            <w:pPr>
              <w:widowControl/>
              <w:jc w:val="center"/>
              <w:rPr>
                <w:rFonts w:ascii="宋体" w:hAnsi="宋体"/>
                <w:kern w:val="0"/>
                <w:szCs w:val="21"/>
              </w:rPr>
            </w:pPr>
            <w:r>
              <w:rPr>
                <w:rFonts w:ascii="宋体" w:hAnsi="宋体"/>
                <w:kern w:val="0"/>
                <w:szCs w:val="21"/>
              </w:rPr>
              <w:t>补4</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804.700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650.280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733.570</w:t>
            </w:r>
          </w:p>
        </w:tc>
        <w:tc>
          <w:tcPr>
            <w:tcW w:w="1080" w:type="dxa"/>
            <w:shd w:val="clear" w:color="auto" w:fill="auto"/>
            <w:vAlign w:val="center"/>
          </w:tcPr>
          <w:p>
            <w:pPr>
              <w:widowControl/>
              <w:jc w:val="center"/>
              <w:rPr>
                <w:rFonts w:ascii="宋体" w:hAnsi="宋体"/>
                <w:kern w:val="0"/>
                <w:szCs w:val="21"/>
              </w:rPr>
            </w:pPr>
            <w:r>
              <w:rPr>
                <w:rFonts w:ascii="宋体" w:hAnsi="宋体"/>
                <w:kern w:val="0"/>
                <w:szCs w:val="21"/>
              </w:rPr>
              <w:t>83.290</w:t>
            </w:r>
          </w:p>
        </w:tc>
        <w:tc>
          <w:tcPr>
            <w:tcW w:w="1180" w:type="dxa"/>
            <w:shd w:val="clear" w:color="auto" w:fill="auto"/>
            <w:vAlign w:val="center"/>
          </w:tcPr>
          <w:p>
            <w:pPr>
              <w:widowControl/>
              <w:jc w:val="center"/>
              <w:rPr>
                <w:rFonts w:ascii="宋体" w:hAnsi="宋体"/>
                <w:kern w:val="0"/>
                <w:szCs w:val="21"/>
              </w:rPr>
            </w:pPr>
            <w:r>
              <w:rPr>
                <w:rFonts w:ascii="宋体" w:hAnsi="宋体"/>
                <w:kern w:val="0"/>
                <w:szCs w:val="21"/>
              </w:rPr>
              <w:t>1.402</w:t>
            </w:r>
          </w:p>
        </w:tc>
        <w:tc>
          <w:tcPr>
            <w:tcW w:w="1300" w:type="dxa"/>
            <w:shd w:val="clear" w:color="auto" w:fill="auto"/>
            <w:vAlign w:val="center"/>
          </w:tcPr>
          <w:p>
            <w:pPr>
              <w:widowControl/>
              <w:jc w:val="center"/>
              <w:rPr>
                <w:rFonts w:ascii="宋体" w:hAnsi="宋体"/>
                <w:kern w:val="0"/>
                <w:szCs w:val="21"/>
              </w:rPr>
            </w:pPr>
            <w:r>
              <w:rPr>
                <w:rFonts w:ascii="宋体" w:hAnsi="宋体"/>
                <w:kern w:val="0"/>
                <w:szCs w:val="21"/>
              </w:rPr>
              <w:t>0.017</w:t>
            </w:r>
          </w:p>
        </w:tc>
      </w:tr>
    </w:tbl>
    <w:p>
      <w:pPr>
        <w:spacing w:line="360" w:lineRule="auto"/>
        <w:jc w:val="center"/>
        <w:rPr>
          <w:bCs/>
        </w:rPr>
      </w:pPr>
      <w:r>
        <w:rPr>
          <w:bCs/>
        </w:rPr>
        <w:t>表</w:t>
      </w:r>
      <w:r>
        <w:rPr>
          <w:rFonts w:hint="eastAsia"/>
          <w:bCs/>
        </w:rPr>
        <w:t>5-5</w:t>
      </w:r>
      <w:r>
        <w:rPr>
          <w:bCs/>
        </w:rPr>
        <w:t xml:space="preserve">-8 </w:t>
      </w:r>
      <w:r>
        <w:rPr>
          <w:rFonts w:hint="eastAsia"/>
          <w:bCs/>
        </w:rPr>
        <w:t xml:space="preserve">    </w:t>
      </w:r>
      <w:r>
        <w:rPr>
          <w:bCs/>
        </w:rPr>
        <w:t>9号煤层突水系数估算成果表</w:t>
      </w:r>
    </w:p>
    <w:tbl>
      <w:tblPr>
        <w:tblStyle w:val="24"/>
        <w:tblW w:w="89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1080"/>
        <w:gridCol w:w="1080"/>
        <w:gridCol w:w="1080"/>
        <w:gridCol w:w="118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restart"/>
            <w:shd w:val="clear" w:color="auto" w:fill="auto"/>
            <w:vAlign w:val="center"/>
          </w:tcPr>
          <w:p>
            <w:pPr>
              <w:widowControl/>
              <w:jc w:val="center"/>
              <w:rPr>
                <w:kern w:val="0"/>
                <w:szCs w:val="21"/>
              </w:rPr>
            </w:pPr>
            <w:r>
              <w:rPr>
                <w:kern w:val="0"/>
                <w:szCs w:val="21"/>
              </w:rPr>
              <w:t>统一编号</w:t>
            </w:r>
          </w:p>
        </w:tc>
        <w:tc>
          <w:tcPr>
            <w:tcW w:w="1080" w:type="dxa"/>
            <w:vMerge w:val="restart"/>
            <w:shd w:val="clear" w:color="auto" w:fill="auto"/>
            <w:vAlign w:val="center"/>
          </w:tcPr>
          <w:p>
            <w:pPr>
              <w:widowControl/>
              <w:jc w:val="center"/>
              <w:rPr>
                <w:kern w:val="0"/>
                <w:szCs w:val="21"/>
              </w:rPr>
            </w:pPr>
            <w:r>
              <w:rPr>
                <w:kern w:val="0"/>
                <w:szCs w:val="21"/>
              </w:rPr>
              <w:t>原孔号</w:t>
            </w:r>
          </w:p>
        </w:tc>
        <w:tc>
          <w:tcPr>
            <w:tcW w:w="2160" w:type="dxa"/>
            <w:gridSpan w:val="2"/>
            <w:vMerge w:val="restart"/>
            <w:shd w:val="clear" w:color="auto" w:fill="auto"/>
            <w:vAlign w:val="center"/>
          </w:tcPr>
          <w:p>
            <w:pPr>
              <w:widowControl/>
              <w:jc w:val="center"/>
              <w:rPr>
                <w:kern w:val="0"/>
                <w:szCs w:val="21"/>
              </w:rPr>
            </w:pPr>
            <w:r>
              <w:rPr>
                <w:kern w:val="0"/>
                <w:szCs w:val="21"/>
              </w:rPr>
              <w:t>奥灰含水层</w:t>
            </w:r>
          </w:p>
        </w:tc>
        <w:tc>
          <w:tcPr>
            <w:tcW w:w="2160" w:type="dxa"/>
            <w:gridSpan w:val="2"/>
            <w:vMerge w:val="restart"/>
            <w:shd w:val="clear" w:color="auto" w:fill="auto"/>
            <w:vAlign w:val="center"/>
          </w:tcPr>
          <w:p>
            <w:pPr>
              <w:widowControl/>
              <w:jc w:val="center"/>
              <w:rPr>
                <w:kern w:val="0"/>
                <w:szCs w:val="21"/>
              </w:rPr>
            </w:pPr>
            <w:r>
              <w:rPr>
                <w:kern w:val="0"/>
                <w:szCs w:val="21"/>
              </w:rPr>
              <w:t>9</w:t>
            </w:r>
            <w:r>
              <w:rPr>
                <w:kern w:val="0"/>
                <w:szCs w:val="21"/>
                <w:vertAlign w:val="superscript"/>
              </w:rPr>
              <w:t>#</w:t>
            </w:r>
            <w:r>
              <w:rPr>
                <w:kern w:val="0"/>
                <w:szCs w:val="21"/>
              </w:rPr>
              <w:t>煤层</w:t>
            </w:r>
          </w:p>
        </w:tc>
        <w:tc>
          <w:tcPr>
            <w:tcW w:w="1180" w:type="dxa"/>
            <w:shd w:val="clear" w:color="auto" w:fill="auto"/>
            <w:vAlign w:val="center"/>
          </w:tcPr>
          <w:p>
            <w:pPr>
              <w:widowControl/>
              <w:jc w:val="center"/>
              <w:rPr>
                <w:kern w:val="0"/>
                <w:szCs w:val="21"/>
              </w:rPr>
            </w:pPr>
            <w:r>
              <w:rPr>
                <w:kern w:val="0"/>
                <w:szCs w:val="21"/>
              </w:rPr>
              <w:t>承  受</w:t>
            </w:r>
          </w:p>
        </w:tc>
        <w:tc>
          <w:tcPr>
            <w:tcW w:w="1300" w:type="dxa"/>
            <w:shd w:val="clear" w:color="auto" w:fill="auto"/>
            <w:vAlign w:val="center"/>
          </w:tcPr>
          <w:p>
            <w:pPr>
              <w:widowControl/>
              <w:jc w:val="center"/>
              <w:rPr>
                <w:kern w:val="0"/>
                <w:szCs w:val="21"/>
              </w:rPr>
            </w:pPr>
            <w:r>
              <w:rPr>
                <w:kern w:val="0"/>
                <w:szCs w:val="21"/>
              </w:rPr>
              <w:t>突水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0" w:type="dxa"/>
            <w:vMerge w:val="continue"/>
            <w:vAlign w:val="center"/>
          </w:tcPr>
          <w:p>
            <w:pPr>
              <w:widowControl/>
              <w:jc w:val="center"/>
              <w:rPr>
                <w:kern w:val="0"/>
                <w:szCs w:val="21"/>
              </w:rPr>
            </w:pPr>
          </w:p>
        </w:tc>
        <w:tc>
          <w:tcPr>
            <w:tcW w:w="1080" w:type="dxa"/>
            <w:vMerge w:val="continue"/>
            <w:vAlign w:val="center"/>
          </w:tcPr>
          <w:p>
            <w:pPr>
              <w:widowControl/>
              <w:jc w:val="center"/>
              <w:rPr>
                <w:kern w:val="0"/>
                <w:szCs w:val="21"/>
              </w:rPr>
            </w:pPr>
          </w:p>
        </w:tc>
        <w:tc>
          <w:tcPr>
            <w:tcW w:w="2160" w:type="dxa"/>
            <w:gridSpan w:val="2"/>
            <w:vMerge w:val="continue"/>
            <w:vAlign w:val="center"/>
          </w:tcPr>
          <w:p>
            <w:pPr>
              <w:widowControl/>
              <w:jc w:val="center"/>
              <w:rPr>
                <w:kern w:val="0"/>
                <w:szCs w:val="21"/>
              </w:rPr>
            </w:pPr>
          </w:p>
        </w:tc>
        <w:tc>
          <w:tcPr>
            <w:tcW w:w="2160" w:type="dxa"/>
            <w:gridSpan w:val="2"/>
            <w:vMerge w:val="continue"/>
            <w:vAlign w:val="center"/>
          </w:tcPr>
          <w:p>
            <w:pPr>
              <w:widowControl/>
              <w:jc w:val="center"/>
              <w:rPr>
                <w:kern w:val="0"/>
                <w:szCs w:val="21"/>
              </w:rPr>
            </w:pPr>
          </w:p>
        </w:tc>
        <w:tc>
          <w:tcPr>
            <w:tcW w:w="1180" w:type="dxa"/>
            <w:shd w:val="clear" w:color="auto" w:fill="auto"/>
            <w:vAlign w:val="center"/>
          </w:tcPr>
          <w:p>
            <w:pPr>
              <w:widowControl/>
              <w:jc w:val="center"/>
              <w:rPr>
                <w:kern w:val="0"/>
                <w:szCs w:val="21"/>
              </w:rPr>
            </w:pPr>
            <w:r>
              <w:rPr>
                <w:kern w:val="0"/>
                <w:szCs w:val="21"/>
              </w:rPr>
              <w:t>水压值</w:t>
            </w:r>
          </w:p>
        </w:tc>
        <w:tc>
          <w:tcPr>
            <w:tcW w:w="1300" w:type="dxa"/>
            <w:shd w:val="clear" w:color="auto" w:fill="auto"/>
            <w:vAlign w:val="center"/>
          </w:tcPr>
          <w:p>
            <w:pPr>
              <w:widowControl/>
              <w:jc w:val="center"/>
              <w:rPr>
                <w:kern w:val="0"/>
                <w:szCs w:val="21"/>
              </w:rPr>
            </w:pPr>
            <w:r>
              <w:rPr>
                <w:kern w:val="0"/>
                <w:szCs w:val="21"/>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vMerge w:val="continue"/>
            <w:vAlign w:val="center"/>
          </w:tcPr>
          <w:p>
            <w:pPr>
              <w:widowControl/>
              <w:jc w:val="center"/>
              <w:rPr>
                <w:kern w:val="0"/>
                <w:szCs w:val="21"/>
              </w:rPr>
            </w:pPr>
          </w:p>
        </w:tc>
        <w:tc>
          <w:tcPr>
            <w:tcW w:w="1080" w:type="dxa"/>
            <w:vMerge w:val="continue"/>
            <w:vAlign w:val="center"/>
          </w:tcPr>
          <w:p>
            <w:pPr>
              <w:widowControl/>
              <w:jc w:val="center"/>
              <w:rPr>
                <w:kern w:val="0"/>
                <w:szCs w:val="21"/>
              </w:rPr>
            </w:pPr>
          </w:p>
        </w:tc>
        <w:tc>
          <w:tcPr>
            <w:tcW w:w="1080" w:type="dxa"/>
            <w:shd w:val="clear" w:color="auto" w:fill="auto"/>
            <w:vAlign w:val="center"/>
          </w:tcPr>
          <w:p>
            <w:pPr>
              <w:widowControl/>
              <w:jc w:val="center"/>
              <w:rPr>
                <w:kern w:val="0"/>
                <w:szCs w:val="21"/>
              </w:rPr>
            </w:pPr>
            <w:r>
              <w:rPr>
                <w:kern w:val="0"/>
                <w:szCs w:val="21"/>
              </w:rPr>
              <w:t>水位标高</w:t>
            </w:r>
          </w:p>
        </w:tc>
        <w:tc>
          <w:tcPr>
            <w:tcW w:w="1080" w:type="dxa"/>
            <w:shd w:val="clear" w:color="auto" w:fill="auto"/>
            <w:vAlign w:val="center"/>
          </w:tcPr>
          <w:p>
            <w:pPr>
              <w:widowControl/>
              <w:jc w:val="center"/>
              <w:rPr>
                <w:kern w:val="0"/>
                <w:szCs w:val="21"/>
              </w:rPr>
            </w:pPr>
            <w:r>
              <w:rPr>
                <w:kern w:val="0"/>
                <w:szCs w:val="21"/>
              </w:rPr>
              <w:t>顶面标高</w:t>
            </w:r>
          </w:p>
        </w:tc>
        <w:tc>
          <w:tcPr>
            <w:tcW w:w="1080" w:type="dxa"/>
            <w:shd w:val="clear" w:color="auto" w:fill="auto"/>
            <w:vAlign w:val="center"/>
          </w:tcPr>
          <w:p>
            <w:pPr>
              <w:widowControl/>
              <w:jc w:val="center"/>
              <w:rPr>
                <w:kern w:val="0"/>
                <w:szCs w:val="21"/>
              </w:rPr>
            </w:pPr>
            <w:r>
              <w:rPr>
                <w:kern w:val="0"/>
                <w:szCs w:val="21"/>
              </w:rPr>
              <w:t>底板标高</w:t>
            </w:r>
          </w:p>
        </w:tc>
        <w:tc>
          <w:tcPr>
            <w:tcW w:w="1080" w:type="dxa"/>
            <w:shd w:val="clear" w:color="auto" w:fill="auto"/>
            <w:vAlign w:val="center"/>
          </w:tcPr>
          <w:p>
            <w:pPr>
              <w:widowControl/>
              <w:jc w:val="center"/>
              <w:rPr>
                <w:kern w:val="0"/>
                <w:szCs w:val="21"/>
              </w:rPr>
            </w:pPr>
            <w:r>
              <w:rPr>
                <w:kern w:val="0"/>
                <w:szCs w:val="21"/>
              </w:rPr>
              <w:t>隔水层厚度</w:t>
            </w:r>
          </w:p>
        </w:tc>
        <w:tc>
          <w:tcPr>
            <w:tcW w:w="1180" w:type="dxa"/>
            <w:shd w:val="clear" w:color="auto" w:fill="auto"/>
            <w:vAlign w:val="center"/>
          </w:tcPr>
          <w:p>
            <w:pPr>
              <w:widowControl/>
              <w:jc w:val="center"/>
              <w:rPr>
                <w:kern w:val="0"/>
                <w:szCs w:val="21"/>
              </w:rPr>
            </w:pPr>
            <w:r>
              <w:rPr>
                <w:kern w:val="0"/>
                <w:szCs w:val="21"/>
              </w:rPr>
              <w:t>（MPa）</w:t>
            </w:r>
          </w:p>
        </w:tc>
        <w:tc>
          <w:tcPr>
            <w:tcW w:w="1300" w:type="dxa"/>
            <w:shd w:val="clear" w:color="auto" w:fill="auto"/>
            <w:vAlign w:val="center"/>
          </w:tcPr>
          <w:p>
            <w:pPr>
              <w:widowControl/>
              <w:jc w:val="center"/>
              <w:rPr>
                <w:kern w:val="0"/>
                <w:szCs w:val="21"/>
              </w:rPr>
            </w:pPr>
            <w:r>
              <w:rPr>
                <w:kern w:val="0"/>
                <w:szCs w:val="21"/>
              </w:rPr>
              <w:t>（MPa/m）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continue"/>
            <w:vAlign w:val="center"/>
          </w:tcPr>
          <w:p>
            <w:pPr>
              <w:widowControl/>
              <w:jc w:val="center"/>
              <w:rPr>
                <w:kern w:val="0"/>
                <w:szCs w:val="21"/>
              </w:rPr>
            </w:pPr>
          </w:p>
        </w:tc>
        <w:tc>
          <w:tcPr>
            <w:tcW w:w="1080" w:type="dxa"/>
            <w:vMerge w:val="continue"/>
            <w:vAlign w:val="center"/>
          </w:tcPr>
          <w:p>
            <w:pPr>
              <w:widowControl/>
              <w:jc w:val="center"/>
              <w:rPr>
                <w:kern w:val="0"/>
                <w:szCs w:val="21"/>
              </w:rPr>
            </w:pPr>
          </w:p>
        </w:tc>
        <w:tc>
          <w:tcPr>
            <w:tcW w:w="1080" w:type="dxa"/>
            <w:shd w:val="clear" w:color="auto" w:fill="auto"/>
            <w:vAlign w:val="center"/>
          </w:tcPr>
          <w:p>
            <w:pPr>
              <w:widowControl/>
              <w:jc w:val="center"/>
              <w:rPr>
                <w:kern w:val="0"/>
                <w:szCs w:val="21"/>
              </w:rPr>
            </w:pPr>
            <w:r>
              <w:rPr>
                <w:kern w:val="0"/>
                <w:szCs w:val="21"/>
              </w:rPr>
              <w:t>（m）</w:t>
            </w:r>
          </w:p>
        </w:tc>
        <w:tc>
          <w:tcPr>
            <w:tcW w:w="1080" w:type="dxa"/>
            <w:shd w:val="clear" w:color="auto" w:fill="auto"/>
            <w:vAlign w:val="center"/>
          </w:tcPr>
          <w:p>
            <w:pPr>
              <w:widowControl/>
              <w:jc w:val="center"/>
              <w:rPr>
                <w:kern w:val="0"/>
                <w:szCs w:val="21"/>
              </w:rPr>
            </w:pPr>
            <w:r>
              <w:rPr>
                <w:kern w:val="0"/>
                <w:szCs w:val="21"/>
              </w:rPr>
              <w:t>(m)</w:t>
            </w:r>
          </w:p>
        </w:tc>
        <w:tc>
          <w:tcPr>
            <w:tcW w:w="1080" w:type="dxa"/>
            <w:shd w:val="clear" w:color="auto" w:fill="auto"/>
            <w:vAlign w:val="center"/>
          </w:tcPr>
          <w:p>
            <w:pPr>
              <w:widowControl/>
              <w:jc w:val="center"/>
              <w:rPr>
                <w:kern w:val="0"/>
                <w:szCs w:val="21"/>
              </w:rPr>
            </w:pPr>
            <w:r>
              <w:rPr>
                <w:kern w:val="0"/>
                <w:szCs w:val="21"/>
              </w:rPr>
              <w:t>（m）</w:t>
            </w:r>
          </w:p>
        </w:tc>
        <w:tc>
          <w:tcPr>
            <w:tcW w:w="1080" w:type="dxa"/>
            <w:shd w:val="clear" w:color="auto" w:fill="auto"/>
            <w:vAlign w:val="center"/>
          </w:tcPr>
          <w:p>
            <w:pPr>
              <w:widowControl/>
              <w:jc w:val="center"/>
              <w:rPr>
                <w:kern w:val="0"/>
                <w:szCs w:val="21"/>
              </w:rPr>
            </w:pPr>
            <w:r>
              <w:rPr>
                <w:kern w:val="0"/>
                <w:szCs w:val="21"/>
              </w:rPr>
              <w:t>（m）</w:t>
            </w:r>
          </w:p>
        </w:tc>
        <w:tc>
          <w:tcPr>
            <w:tcW w:w="1180" w:type="dxa"/>
            <w:shd w:val="clear" w:color="auto" w:fill="auto"/>
            <w:vAlign w:val="center"/>
          </w:tcPr>
          <w:p>
            <w:pPr>
              <w:widowControl/>
              <w:jc w:val="center"/>
              <w:rPr>
                <w:kern w:val="0"/>
                <w:sz w:val="24"/>
              </w:rPr>
            </w:pPr>
          </w:p>
        </w:tc>
        <w:tc>
          <w:tcPr>
            <w:tcW w:w="1300" w:type="dxa"/>
            <w:shd w:val="clear" w:color="auto" w:fill="auto"/>
            <w:vAlign w:val="center"/>
          </w:tcPr>
          <w:p>
            <w:pPr>
              <w:widowControl/>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kern w:val="0"/>
                <w:szCs w:val="21"/>
              </w:rPr>
            </w:pPr>
            <w:r>
              <w:rPr>
                <w:kern w:val="0"/>
                <w:szCs w:val="21"/>
              </w:rPr>
              <w:t>ZK1</w:t>
            </w:r>
          </w:p>
        </w:tc>
        <w:tc>
          <w:tcPr>
            <w:tcW w:w="1080" w:type="dxa"/>
            <w:shd w:val="clear" w:color="auto" w:fill="auto"/>
            <w:vAlign w:val="center"/>
          </w:tcPr>
          <w:p>
            <w:pPr>
              <w:widowControl/>
              <w:jc w:val="center"/>
              <w:rPr>
                <w:kern w:val="0"/>
                <w:sz w:val="20"/>
                <w:szCs w:val="20"/>
              </w:rPr>
            </w:pPr>
            <w:r>
              <w:rPr>
                <w:kern w:val="0"/>
                <w:sz w:val="20"/>
                <w:szCs w:val="20"/>
              </w:rPr>
              <w:t>7</w:t>
            </w:r>
          </w:p>
        </w:tc>
        <w:tc>
          <w:tcPr>
            <w:tcW w:w="1080" w:type="dxa"/>
            <w:shd w:val="clear" w:color="auto" w:fill="auto"/>
            <w:vAlign w:val="center"/>
          </w:tcPr>
          <w:p>
            <w:pPr>
              <w:widowControl/>
              <w:jc w:val="center"/>
              <w:rPr>
                <w:kern w:val="0"/>
                <w:szCs w:val="21"/>
              </w:rPr>
            </w:pPr>
            <w:r>
              <w:rPr>
                <w:kern w:val="0"/>
                <w:szCs w:val="21"/>
              </w:rPr>
              <w:t>806.300</w:t>
            </w:r>
          </w:p>
        </w:tc>
        <w:tc>
          <w:tcPr>
            <w:tcW w:w="1080" w:type="dxa"/>
            <w:shd w:val="clear" w:color="auto" w:fill="auto"/>
            <w:vAlign w:val="center"/>
          </w:tcPr>
          <w:p>
            <w:pPr>
              <w:widowControl/>
              <w:jc w:val="center"/>
              <w:rPr>
                <w:kern w:val="0"/>
                <w:szCs w:val="21"/>
              </w:rPr>
            </w:pPr>
            <w:r>
              <w:rPr>
                <w:kern w:val="0"/>
                <w:szCs w:val="21"/>
              </w:rPr>
              <w:t>632.900</w:t>
            </w:r>
          </w:p>
        </w:tc>
        <w:tc>
          <w:tcPr>
            <w:tcW w:w="1080" w:type="dxa"/>
            <w:shd w:val="clear" w:color="auto" w:fill="auto"/>
            <w:vAlign w:val="center"/>
          </w:tcPr>
          <w:p>
            <w:pPr>
              <w:widowControl/>
              <w:jc w:val="center"/>
              <w:rPr>
                <w:kern w:val="0"/>
                <w:szCs w:val="21"/>
              </w:rPr>
            </w:pPr>
            <w:r>
              <w:rPr>
                <w:kern w:val="0"/>
                <w:szCs w:val="21"/>
              </w:rPr>
              <w:t>685.150</w:t>
            </w:r>
          </w:p>
        </w:tc>
        <w:tc>
          <w:tcPr>
            <w:tcW w:w="1080" w:type="dxa"/>
            <w:shd w:val="clear" w:color="auto" w:fill="auto"/>
            <w:vAlign w:val="center"/>
          </w:tcPr>
          <w:p>
            <w:pPr>
              <w:widowControl/>
              <w:jc w:val="center"/>
              <w:rPr>
                <w:kern w:val="0"/>
                <w:sz w:val="22"/>
                <w:szCs w:val="22"/>
              </w:rPr>
            </w:pPr>
            <w:r>
              <w:rPr>
                <w:kern w:val="0"/>
                <w:sz w:val="22"/>
                <w:szCs w:val="22"/>
              </w:rPr>
              <w:t>52.250</w:t>
            </w:r>
          </w:p>
        </w:tc>
        <w:tc>
          <w:tcPr>
            <w:tcW w:w="1180" w:type="dxa"/>
            <w:shd w:val="clear" w:color="auto" w:fill="auto"/>
            <w:vAlign w:val="center"/>
          </w:tcPr>
          <w:p>
            <w:pPr>
              <w:widowControl/>
              <w:jc w:val="center"/>
              <w:rPr>
                <w:kern w:val="0"/>
                <w:szCs w:val="21"/>
              </w:rPr>
            </w:pPr>
            <w:r>
              <w:rPr>
                <w:kern w:val="0"/>
                <w:szCs w:val="21"/>
              </w:rPr>
              <w:t>1.574</w:t>
            </w:r>
          </w:p>
        </w:tc>
        <w:tc>
          <w:tcPr>
            <w:tcW w:w="1300" w:type="dxa"/>
            <w:shd w:val="clear" w:color="auto" w:fill="auto"/>
            <w:vAlign w:val="center"/>
          </w:tcPr>
          <w:p>
            <w:pPr>
              <w:widowControl/>
              <w:jc w:val="center"/>
              <w:rPr>
                <w:kern w:val="0"/>
                <w:szCs w:val="21"/>
              </w:rPr>
            </w:pPr>
            <w:r>
              <w:rPr>
                <w:kern w:val="0"/>
                <w:szCs w:val="21"/>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kern w:val="0"/>
                <w:szCs w:val="21"/>
              </w:rPr>
            </w:pPr>
            <w:r>
              <w:rPr>
                <w:kern w:val="0"/>
                <w:szCs w:val="21"/>
              </w:rPr>
              <w:t>ZK2</w:t>
            </w:r>
          </w:p>
        </w:tc>
        <w:tc>
          <w:tcPr>
            <w:tcW w:w="1080" w:type="dxa"/>
            <w:shd w:val="clear" w:color="auto" w:fill="auto"/>
            <w:noWrap/>
            <w:vAlign w:val="center"/>
          </w:tcPr>
          <w:p>
            <w:pPr>
              <w:widowControl/>
              <w:jc w:val="center"/>
              <w:rPr>
                <w:kern w:val="0"/>
                <w:sz w:val="18"/>
                <w:szCs w:val="18"/>
              </w:rPr>
            </w:pPr>
            <w:r>
              <w:rPr>
                <w:kern w:val="0"/>
                <w:sz w:val="18"/>
                <w:szCs w:val="18"/>
              </w:rPr>
              <w:t>76</w:t>
            </w:r>
          </w:p>
        </w:tc>
        <w:tc>
          <w:tcPr>
            <w:tcW w:w="1080" w:type="dxa"/>
            <w:shd w:val="clear" w:color="auto" w:fill="auto"/>
            <w:vAlign w:val="center"/>
          </w:tcPr>
          <w:p>
            <w:pPr>
              <w:widowControl/>
              <w:jc w:val="center"/>
              <w:rPr>
                <w:kern w:val="0"/>
                <w:szCs w:val="21"/>
              </w:rPr>
            </w:pPr>
            <w:r>
              <w:rPr>
                <w:kern w:val="0"/>
                <w:szCs w:val="21"/>
              </w:rPr>
              <w:t>806.750</w:t>
            </w:r>
          </w:p>
        </w:tc>
        <w:tc>
          <w:tcPr>
            <w:tcW w:w="1080" w:type="dxa"/>
            <w:shd w:val="clear" w:color="auto" w:fill="auto"/>
            <w:vAlign w:val="center"/>
          </w:tcPr>
          <w:p>
            <w:pPr>
              <w:widowControl/>
              <w:jc w:val="center"/>
              <w:rPr>
                <w:kern w:val="0"/>
                <w:szCs w:val="21"/>
              </w:rPr>
            </w:pPr>
            <w:r>
              <w:rPr>
                <w:kern w:val="0"/>
                <w:szCs w:val="21"/>
              </w:rPr>
              <w:t>652.970</w:t>
            </w:r>
          </w:p>
        </w:tc>
        <w:tc>
          <w:tcPr>
            <w:tcW w:w="1080" w:type="dxa"/>
            <w:shd w:val="clear" w:color="auto" w:fill="auto"/>
            <w:vAlign w:val="center"/>
          </w:tcPr>
          <w:p>
            <w:pPr>
              <w:widowControl/>
              <w:jc w:val="center"/>
              <w:rPr>
                <w:kern w:val="0"/>
                <w:szCs w:val="21"/>
              </w:rPr>
            </w:pPr>
            <w:r>
              <w:rPr>
                <w:kern w:val="0"/>
                <w:szCs w:val="21"/>
              </w:rPr>
              <w:t>703.510</w:t>
            </w:r>
          </w:p>
        </w:tc>
        <w:tc>
          <w:tcPr>
            <w:tcW w:w="1080" w:type="dxa"/>
            <w:shd w:val="clear" w:color="auto" w:fill="auto"/>
            <w:vAlign w:val="center"/>
          </w:tcPr>
          <w:p>
            <w:pPr>
              <w:widowControl/>
              <w:jc w:val="center"/>
              <w:rPr>
                <w:kern w:val="0"/>
                <w:sz w:val="22"/>
                <w:szCs w:val="22"/>
              </w:rPr>
            </w:pPr>
            <w:r>
              <w:rPr>
                <w:kern w:val="0"/>
                <w:sz w:val="22"/>
                <w:szCs w:val="22"/>
              </w:rPr>
              <w:t>50.540</w:t>
            </w:r>
          </w:p>
        </w:tc>
        <w:tc>
          <w:tcPr>
            <w:tcW w:w="1180" w:type="dxa"/>
            <w:shd w:val="clear" w:color="auto" w:fill="auto"/>
            <w:vAlign w:val="center"/>
          </w:tcPr>
          <w:p>
            <w:pPr>
              <w:widowControl/>
              <w:jc w:val="center"/>
              <w:rPr>
                <w:kern w:val="0"/>
                <w:szCs w:val="21"/>
              </w:rPr>
            </w:pPr>
            <w:r>
              <w:rPr>
                <w:kern w:val="0"/>
                <w:szCs w:val="21"/>
              </w:rPr>
              <w:t>1.396</w:t>
            </w:r>
          </w:p>
        </w:tc>
        <w:tc>
          <w:tcPr>
            <w:tcW w:w="1300" w:type="dxa"/>
            <w:shd w:val="clear" w:color="auto" w:fill="auto"/>
            <w:vAlign w:val="center"/>
          </w:tcPr>
          <w:p>
            <w:pPr>
              <w:widowControl/>
              <w:jc w:val="center"/>
              <w:rPr>
                <w:kern w:val="0"/>
                <w:szCs w:val="21"/>
              </w:rPr>
            </w:pPr>
            <w:r>
              <w:rPr>
                <w:kern w:val="0"/>
                <w:szCs w:val="21"/>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kern w:val="0"/>
                <w:szCs w:val="21"/>
              </w:rPr>
            </w:pPr>
            <w:r>
              <w:rPr>
                <w:kern w:val="0"/>
                <w:szCs w:val="21"/>
              </w:rPr>
              <w:t>ZK3</w:t>
            </w:r>
          </w:p>
        </w:tc>
        <w:tc>
          <w:tcPr>
            <w:tcW w:w="1080" w:type="dxa"/>
            <w:shd w:val="clear" w:color="auto" w:fill="auto"/>
            <w:noWrap/>
            <w:vAlign w:val="center"/>
          </w:tcPr>
          <w:p>
            <w:pPr>
              <w:widowControl/>
              <w:jc w:val="center"/>
              <w:rPr>
                <w:kern w:val="0"/>
                <w:sz w:val="18"/>
                <w:szCs w:val="18"/>
              </w:rPr>
            </w:pPr>
            <w:r>
              <w:rPr>
                <w:kern w:val="0"/>
                <w:sz w:val="18"/>
                <w:szCs w:val="18"/>
              </w:rPr>
              <w:t>81</w:t>
            </w:r>
          </w:p>
        </w:tc>
        <w:tc>
          <w:tcPr>
            <w:tcW w:w="1080" w:type="dxa"/>
            <w:shd w:val="clear" w:color="auto" w:fill="auto"/>
            <w:vAlign w:val="center"/>
          </w:tcPr>
          <w:p>
            <w:pPr>
              <w:widowControl/>
              <w:jc w:val="center"/>
              <w:rPr>
                <w:kern w:val="0"/>
                <w:szCs w:val="21"/>
              </w:rPr>
            </w:pPr>
            <w:r>
              <w:rPr>
                <w:kern w:val="0"/>
                <w:szCs w:val="21"/>
              </w:rPr>
              <w:t>806.200</w:t>
            </w:r>
          </w:p>
        </w:tc>
        <w:tc>
          <w:tcPr>
            <w:tcW w:w="1080" w:type="dxa"/>
            <w:shd w:val="clear" w:color="auto" w:fill="auto"/>
            <w:vAlign w:val="center"/>
          </w:tcPr>
          <w:p>
            <w:pPr>
              <w:widowControl/>
              <w:jc w:val="center"/>
              <w:rPr>
                <w:kern w:val="0"/>
                <w:szCs w:val="21"/>
              </w:rPr>
            </w:pPr>
            <w:r>
              <w:rPr>
                <w:kern w:val="0"/>
                <w:szCs w:val="21"/>
              </w:rPr>
              <w:t>488.890</w:t>
            </w:r>
          </w:p>
        </w:tc>
        <w:tc>
          <w:tcPr>
            <w:tcW w:w="1080" w:type="dxa"/>
            <w:shd w:val="clear" w:color="auto" w:fill="auto"/>
            <w:vAlign w:val="center"/>
          </w:tcPr>
          <w:p>
            <w:pPr>
              <w:widowControl/>
              <w:jc w:val="center"/>
              <w:rPr>
                <w:kern w:val="0"/>
                <w:szCs w:val="21"/>
              </w:rPr>
            </w:pPr>
            <w:r>
              <w:rPr>
                <w:kern w:val="0"/>
                <w:szCs w:val="21"/>
              </w:rPr>
              <w:t>543.760</w:t>
            </w:r>
          </w:p>
        </w:tc>
        <w:tc>
          <w:tcPr>
            <w:tcW w:w="1080" w:type="dxa"/>
            <w:shd w:val="clear" w:color="auto" w:fill="auto"/>
            <w:vAlign w:val="center"/>
          </w:tcPr>
          <w:p>
            <w:pPr>
              <w:widowControl/>
              <w:jc w:val="center"/>
              <w:rPr>
                <w:kern w:val="0"/>
                <w:sz w:val="22"/>
                <w:szCs w:val="22"/>
              </w:rPr>
            </w:pPr>
            <w:r>
              <w:rPr>
                <w:kern w:val="0"/>
                <w:sz w:val="22"/>
                <w:szCs w:val="22"/>
              </w:rPr>
              <w:t>54.870</w:t>
            </w:r>
          </w:p>
        </w:tc>
        <w:tc>
          <w:tcPr>
            <w:tcW w:w="1180" w:type="dxa"/>
            <w:shd w:val="clear" w:color="auto" w:fill="auto"/>
            <w:vAlign w:val="center"/>
          </w:tcPr>
          <w:p>
            <w:pPr>
              <w:widowControl/>
              <w:jc w:val="center"/>
              <w:rPr>
                <w:kern w:val="0"/>
                <w:szCs w:val="21"/>
              </w:rPr>
            </w:pPr>
            <w:r>
              <w:rPr>
                <w:kern w:val="0"/>
                <w:szCs w:val="21"/>
              </w:rPr>
              <w:t>2.881</w:t>
            </w:r>
          </w:p>
        </w:tc>
        <w:tc>
          <w:tcPr>
            <w:tcW w:w="1300" w:type="dxa"/>
            <w:shd w:val="clear" w:color="auto" w:fill="auto"/>
            <w:vAlign w:val="center"/>
          </w:tcPr>
          <w:p>
            <w:pPr>
              <w:widowControl/>
              <w:jc w:val="center"/>
              <w:rPr>
                <w:kern w:val="0"/>
                <w:szCs w:val="21"/>
              </w:rPr>
            </w:pPr>
            <w:r>
              <w:rPr>
                <w:kern w:val="0"/>
                <w:szCs w:val="21"/>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kern w:val="0"/>
                <w:szCs w:val="21"/>
              </w:rPr>
            </w:pPr>
            <w:r>
              <w:rPr>
                <w:kern w:val="0"/>
                <w:szCs w:val="21"/>
              </w:rPr>
              <w:t>ZK4</w:t>
            </w:r>
          </w:p>
        </w:tc>
        <w:tc>
          <w:tcPr>
            <w:tcW w:w="1080" w:type="dxa"/>
            <w:shd w:val="clear" w:color="auto" w:fill="auto"/>
            <w:noWrap/>
            <w:vAlign w:val="center"/>
          </w:tcPr>
          <w:p>
            <w:pPr>
              <w:widowControl/>
              <w:jc w:val="center"/>
              <w:rPr>
                <w:kern w:val="0"/>
                <w:sz w:val="18"/>
                <w:szCs w:val="18"/>
              </w:rPr>
            </w:pPr>
            <w:r>
              <w:rPr>
                <w:kern w:val="0"/>
                <w:sz w:val="18"/>
                <w:szCs w:val="18"/>
              </w:rPr>
              <w:t>82</w:t>
            </w:r>
          </w:p>
        </w:tc>
        <w:tc>
          <w:tcPr>
            <w:tcW w:w="1080" w:type="dxa"/>
            <w:shd w:val="clear" w:color="auto" w:fill="auto"/>
            <w:vAlign w:val="center"/>
          </w:tcPr>
          <w:p>
            <w:pPr>
              <w:widowControl/>
              <w:jc w:val="center"/>
              <w:rPr>
                <w:kern w:val="0"/>
                <w:szCs w:val="21"/>
              </w:rPr>
            </w:pPr>
            <w:r>
              <w:rPr>
                <w:kern w:val="0"/>
                <w:szCs w:val="21"/>
              </w:rPr>
              <w:t>805.280</w:t>
            </w:r>
          </w:p>
        </w:tc>
        <w:tc>
          <w:tcPr>
            <w:tcW w:w="1080" w:type="dxa"/>
            <w:shd w:val="clear" w:color="auto" w:fill="auto"/>
            <w:vAlign w:val="center"/>
          </w:tcPr>
          <w:p>
            <w:pPr>
              <w:widowControl/>
              <w:jc w:val="center"/>
              <w:rPr>
                <w:kern w:val="0"/>
                <w:szCs w:val="21"/>
              </w:rPr>
            </w:pPr>
            <w:r>
              <w:rPr>
                <w:kern w:val="0"/>
                <w:szCs w:val="21"/>
              </w:rPr>
              <w:t>699.962</w:t>
            </w:r>
          </w:p>
        </w:tc>
        <w:tc>
          <w:tcPr>
            <w:tcW w:w="1080" w:type="dxa"/>
            <w:shd w:val="clear" w:color="auto" w:fill="auto"/>
            <w:vAlign w:val="center"/>
          </w:tcPr>
          <w:p>
            <w:pPr>
              <w:widowControl/>
              <w:jc w:val="center"/>
              <w:rPr>
                <w:kern w:val="0"/>
                <w:szCs w:val="21"/>
              </w:rPr>
            </w:pPr>
            <w:r>
              <w:rPr>
                <w:kern w:val="0"/>
                <w:szCs w:val="21"/>
              </w:rPr>
              <w:t>754.682</w:t>
            </w:r>
          </w:p>
        </w:tc>
        <w:tc>
          <w:tcPr>
            <w:tcW w:w="1080" w:type="dxa"/>
            <w:shd w:val="clear" w:color="auto" w:fill="auto"/>
            <w:vAlign w:val="center"/>
          </w:tcPr>
          <w:p>
            <w:pPr>
              <w:widowControl/>
              <w:jc w:val="center"/>
              <w:rPr>
                <w:kern w:val="0"/>
                <w:sz w:val="22"/>
                <w:szCs w:val="22"/>
              </w:rPr>
            </w:pPr>
            <w:r>
              <w:rPr>
                <w:kern w:val="0"/>
                <w:sz w:val="22"/>
                <w:szCs w:val="22"/>
              </w:rPr>
              <w:t>54.720</w:t>
            </w:r>
          </w:p>
        </w:tc>
        <w:tc>
          <w:tcPr>
            <w:tcW w:w="1180" w:type="dxa"/>
            <w:shd w:val="clear" w:color="auto" w:fill="auto"/>
            <w:vAlign w:val="center"/>
          </w:tcPr>
          <w:p>
            <w:pPr>
              <w:widowControl/>
              <w:jc w:val="center"/>
              <w:rPr>
                <w:kern w:val="0"/>
                <w:szCs w:val="21"/>
              </w:rPr>
            </w:pPr>
            <w:r>
              <w:rPr>
                <w:kern w:val="0"/>
                <w:szCs w:val="21"/>
              </w:rPr>
              <w:t>0.956</w:t>
            </w:r>
          </w:p>
        </w:tc>
        <w:tc>
          <w:tcPr>
            <w:tcW w:w="1300" w:type="dxa"/>
            <w:shd w:val="clear" w:color="auto" w:fill="auto"/>
            <w:vAlign w:val="center"/>
          </w:tcPr>
          <w:p>
            <w:pPr>
              <w:widowControl/>
              <w:jc w:val="center"/>
              <w:rPr>
                <w:kern w:val="0"/>
                <w:szCs w:val="21"/>
              </w:rPr>
            </w:pPr>
            <w:r>
              <w:rPr>
                <w:kern w:val="0"/>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kern w:val="0"/>
                <w:szCs w:val="21"/>
              </w:rPr>
            </w:pPr>
            <w:r>
              <w:rPr>
                <w:kern w:val="0"/>
                <w:szCs w:val="21"/>
              </w:rPr>
              <w:t>ZK5</w:t>
            </w:r>
          </w:p>
        </w:tc>
        <w:tc>
          <w:tcPr>
            <w:tcW w:w="1080" w:type="dxa"/>
            <w:shd w:val="clear" w:color="auto" w:fill="auto"/>
            <w:noWrap/>
            <w:vAlign w:val="center"/>
          </w:tcPr>
          <w:p>
            <w:pPr>
              <w:widowControl/>
              <w:jc w:val="center"/>
              <w:rPr>
                <w:kern w:val="0"/>
                <w:sz w:val="18"/>
                <w:szCs w:val="18"/>
              </w:rPr>
            </w:pPr>
            <w:r>
              <w:rPr>
                <w:kern w:val="0"/>
                <w:sz w:val="18"/>
                <w:szCs w:val="18"/>
              </w:rPr>
              <w:t>87</w:t>
            </w:r>
          </w:p>
        </w:tc>
        <w:tc>
          <w:tcPr>
            <w:tcW w:w="1080" w:type="dxa"/>
            <w:shd w:val="clear" w:color="auto" w:fill="auto"/>
            <w:vAlign w:val="center"/>
          </w:tcPr>
          <w:p>
            <w:pPr>
              <w:widowControl/>
              <w:jc w:val="center"/>
              <w:rPr>
                <w:kern w:val="0"/>
                <w:szCs w:val="21"/>
              </w:rPr>
            </w:pPr>
            <w:r>
              <w:rPr>
                <w:kern w:val="0"/>
                <w:szCs w:val="21"/>
              </w:rPr>
              <w:t>804.350</w:t>
            </w:r>
          </w:p>
        </w:tc>
        <w:tc>
          <w:tcPr>
            <w:tcW w:w="1080" w:type="dxa"/>
            <w:shd w:val="clear" w:color="auto" w:fill="auto"/>
            <w:vAlign w:val="center"/>
          </w:tcPr>
          <w:p>
            <w:pPr>
              <w:widowControl/>
              <w:jc w:val="center"/>
              <w:rPr>
                <w:kern w:val="0"/>
                <w:szCs w:val="21"/>
              </w:rPr>
            </w:pPr>
            <w:r>
              <w:rPr>
                <w:kern w:val="0"/>
                <w:szCs w:val="21"/>
              </w:rPr>
              <w:t>645.100</w:t>
            </w:r>
          </w:p>
        </w:tc>
        <w:tc>
          <w:tcPr>
            <w:tcW w:w="1080" w:type="dxa"/>
            <w:shd w:val="clear" w:color="auto" w:fill="auto"/>
            <w:vAlign w:val="center"/>
          </w:tcPr>
          <w:p>
            <w:pPr>
              <w:widowControl/>
              <w:jc w:val="center"/>
              <w:rPr>
                <w:kern w:val="0"/>
                <w:szCs w:val="21"/>
              </w:rPr>
            </w:pPr>
            <w:r>
              <w:rPr>
                <w:kern w:val="0"/>
                <w:szCs w:val="21"/>
              </w:rPr>
              <w:t>698.330</w:t>
            </w:r>
          </w:p>
        </w:tc>
        <w:tc>
          <w:tcPr>
            <w:tcW w:w="1080" w:type="dxa"/>
            <w:shd w:val="clear" w:color="auto" w:fill="auto"/>
            <w:vAlign w:val="center"/>
          </w:tcPr>
          <w:p>
            <w:pPr>
              <w:widowControl/>
              <w:jc w:val="center"/>
              <w:rPr>
                <w:kern w:val="0"/>
                <w:sz w:val="22"/>
                <w:szCs w:val="22"/>
              </w:rPr>
            </w:pPr>
            <w:r>
              <w:rPr>
                <w:kern w:val="0"/>
                <w:sz w:val="22"/>
                <w:szCs w:val="22"/>
              </w:rPr>
              <w:t>53.230</w:t>
            </w:r>
          </w:p>
        </w:tc>
        <w:tc>
          <w:tcPr>
            <w:tcW w:w="1180" w:type="dxa"/>
            <w:shd w:val="clear" w:color="auto" w:fill="auto"/>
            <w:vAlign w:val="center"/>
          </w:tcPr>
          <w:p>
            <w:pPr>
              <w:widowControl/>
              <w:jc w:val="center"/>
              <w:rPr>
                <w:kern w:val="0"/>
                <w:szCs w:val="21"/>
              </w:rPr>
            </w:pPr>
            <w:r>
              <w:rPr>
                <w:kern w:val="0"/>
                <w:szCs w:val="21"/>
              </w:rPr>
              <w:t>1.446</w:t>
            </w:r>
          </w:p>
        </w:tc>
        <w:tc>
          <w:tcPr>
            <w:tcW w:w="1300" w:type="dxa"/>
            <w:shd w:val="clear" w:color="auto" w:fill="auto"/>
            <w:vAlign w:val="center"/>
          </w:tcPr>
          <w:p>
            <w:pPr>
              <w:widowControl/>
              <w:jc w:val="center"/>
              <w:rPr>
                <w:kern w:val="0"/>
                <w:szCs w:val="21"/>
              </w:rPr>
            </w:pPr>
            <w:r>
              <w:rPr>
                <w:kern w:val="0"/>
                <w:szCs w:val="21"/>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kern w:val="0"/>
                <w:szCs w:val="21"/>
              </w:rPr>
            </w:pPr>
            <w:r>
              <w:rPr>
                <w:kern w:val="0"/>
                <w:szCs w:val="21"/>
              </w:rPr>
              <w:t>SZK1</w:t>
            </w:r>
          </w:p>
        </w:tc>
        <w:tc>
          <w:tcPr>
            <w:tcW w:w="1080" w:type="dxa"/>
            <w:shd w:val="clear" w:color="auto" w:fill="auto"/>
            <w:noWrap/>
            <w:vAlign w:val="center"/>
          </w:tcPr>
          <w:p>
            <w:pPr>
              <w:widowControl/>
              <w:jc w:val="center"/>
              <w:rPr>
                <w:kern w:val="0"/>
                <w:sz w:val="18"/>
                <w:szCs w:val="18"/>
              </w:rPr>
            </w:pPr>
            <w:r>
              <w:rPr>
                <w:kern w:val="0"/>
                <w:sz w:val="18"/>
                <w:szCs w:val="18"/>
              </w:rPr>
              <w:t>补1</w:t>
            </w:r>
          </w:p>
        </w:tc>
        <w:tc>
          <w:tcPr>
            <w:tcW w:w="1080" w:type="dxa"/>
            <w:shd w:val="clear" w:color="auto" w:fill="auto"/>
            <w:vAlign w:val="center"/>
          </w:tcPr>
          <w:p>
            <w:pPr>
              <w:widowControl/>
              <w:jc w:val="center"/>
              <w:rPr>
                <w:kern w:val="0"/>
                <w:szCs w:val="21"/>
              </w:rPr>
            </w:pPr>
            <w:r>
              <w:rPr>
                <w:kern w:val="0"/>
                <w:szCs w:val="21"/>
              </w:rPr>
              <w:t>806.200</w:t>
            </w:r>
          </w:p>
        </w:tc>
        <w:tc>
          <w:tcPr>
            <w:tcW w:w="1080" w:type="dxa"/>
            <w:shd w:val="clear" w:color="auto" w:fill="auto"/>
            <w:vAlign w:val="center"/>
          </w:tcPr>
          <w:p>
            <w:pPr>
              <w:widowControl/>
              <w:jc w:val="center"/>
              <w:rPr>
                <w:kern w:val="0"/>
                <w:szCs w:val="21"/>
              </w:rPr>
            </w:pPr>
            <w:r>
              <w:rPr>
                <w:kern w:val="0"/>
                <w:szCs w:val="21"/>
              </w:rPr>
              <w:t>317.702</w:t>
            </w:r>
          </w:p>
        </w:tc>
        <w:tc>
          <w:tcPr>
            <w:tcW w:w="1080" w:type="dxa"/>
            <w:shd w:val="clear" w:color="auto" w:fill="auto"/>
            <w:vAlign w:val="center"/>
          </w:tcPr>
          <w:p>
            <w:pPr>
              <w:widowControl/>
              <w:jc w:val="center"/>
              <w:rPr>
                <w:kern w:val="0"/>
                <w:szCs w:val="21"/>
              </w:rPr>
            </w:pPr>
            <w:r>
              <w:rPr>
                <w:kern w:val="0"/>
                <w:szCs w:val="21"/>
              </w:rPr>
              <w:t>630.632</w:t>
            </w:r>
          </w:p>
        </w:tc>
        <w:tc>
          <w:tcPr>
            <w:tcW w:w="1080" w:type="dxa"/>
            <w:shd w:val="clear" w:color="auto" w:fill="auto"/>
            <w:vAlign w:val="center"/>
          </w:tcPr>
          <w:p>
            <w:pPr>
              <w:widowControl/>
              <w:jc w:val="center"/>
              <w:rPr>
                <w:kern w:val="0"/>
                <w:sz w:val="22"/>
                <w:szCs w:val="22"/>
              </w:rPr>
            </w:pPr>
            <w:r>
              <w:rPr>
                <w:kern w:val="0"/>
                <w:sz w:val="22"/>
                <w:szCs w:val="22"/>
              </w:rPr>
              <w:t>312.930</w:t>
            </w:r>
          </w:p>
        </w:tc>
        <w:tc>
          <w:tcPr>
            <w:tcW w:w="1180" w:type="dxa"/>
            <w:shd w:val="clear" w:color="auto" w:fill="auto"/>
            <w:vAlign w:val="center"/>
          </w:tcPr>
          <w:p>
            <w:pPr>
              <w:widowControl/>
              <w:jc w:val="center"/>
              <w:rPr>
                <w:kern w:val="0"/>
                <w:szCs w:val="21"/>
              </w:rPr>
            </w:pPr>
            <w:r>
              <w:rPr>
                <w:kern w:val="0"/>
                <w:szCs w:val="21"/>
              </w:rPr>
              <w:t>4.436</w:t>
            </w:r>
          </w:p>
        </w:tc>
        <w:tc>
          <w:tcPr>
            <w:tcW w:w="1300" w:type="dxa"/>
            <w:shd w:val="clear" w:color="auto" w:fill="auto"/>
            <w:vAlign w:val="center"/>
          </w:tcPr>
          <w:p>
            <w:pPr>
              <w:widowControl/>
              <w:jc w:val="center"/>
              <w:rPr>
                <w:kern w:val="0"/>
                <w:szCs w:val="21"/>
              </w:rPr>
            </w:pPr>
            <w:r>
              <w:rPr>
                <w:kern w:val="0"/>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kern w:val="0"/>
                <w:szCs w:val="21"/>
              </w:rPr>
            </w:pPr>
            <w:r>
              <w:rPr>
                <w:kern w:val="0"/>
                <w:szCs w:val="21"/>
              </w:rPr>
              <w:t>ZK6</w:t>
            </w:r>
          </w:p>
        </w:tc>
        <w:tc>
          <w:tcPr>
            <w:tcW w:w="1080" w:type="dxa"/>
            <w:shd w:val="clear" w:color="auto" w:fill="auto"/>
            <w:noWrap/>
            <w:vAlign w:val="center"/>
          </w:tcPr>
          <w:p>
            <w:pPr>
              <w:widowControl/>
              <w:jc w:val="center"/>
              <w:rPr>
                <w:kern w:val="0"/>
                <w:sz w:val="18"/>
                <w:szCs w:val="18"/>
              </w:rPr>
            </w:pPr>
            <w:r>
              <w:rPr>
                <w:kern w:val="0"/>
                <w:sz w:val="18"/>
                <w:szCs w:val="18"/>
              </w:rPr>
              <w:t>补2</w:t>
            </w:r>
          </w:p>
        </w:tc>
        <w:tc>
          <w:tcPr>
            <w:tcW w:w="1080" w:type="dxa"/>
            <w:shd w:val="clear" w:color="auto" w:fill="auto"/>
            <w:vAlign w:val="center"/>
          </w:tcPr>
          <w:p>
            <w:pPr>
              <w:widowControl/>
              <w:jc w:val="center"/>
              <w:rPr>
                <w:kern w:val="0"/>
                <w:szCs w:val="21"/>
              </w:rPr>
            </w:pPr>
            <w:r>
              <w:rPr>
                <w:kern w:val="0"/>
                <w:szCs w:val="21"/>
              </w:rPr>
              <w:t>805.580</w:t>
            </w:r>
          </w:p>
        </w:tc>
        <w:tc>
          <w:tcPr>
            <w:tcW w:w="1080" w:type="dxa"/>
            <w:shd w:val="clear" w:color="auto" w:fill="auto"/>
            <w:vAlign w:val="center"/>
          </w:tcPr>
          <w:p>
            <w:pPr>
              <w:widowControl/>
              <w:jc w:val="center"/>
              <w:rPr>
                <w:kern w:val="0"/>
                <w:szCs w:val="21"/>
              </w:rPr>
            </w:pPr>
            <w:r>
              <w:rPr>
                <w:kern w:val="0"/>
                <w:szCs w:val="21"/>
              </w:rPr>
              <w:t>724.652</w:t>
            </w:r>
          </w:p>
        </w:tc>
        <w:tc>
          <w:tcPr>
            <w:tcW w:w="1080" w:type="dxa"/>
            <w:shd w:val="clear" w:color="auto" w:fill="auto"/>
            <w:vAlign w:val="center"/>
          </w:tcPr>
          <w:p>
            <w:pPr>
              <w:widowControl/>
              <w:jc w:val="center"/>
              <w:rPr>
                <w:kern w:val="0"/>
                <w:szCs w:val="21"/>
              </w:rPr>
            </w:pPr>
            <w:r>
              <w:rPr>
                <w:kern w:val="0"/>
                <w:szCs w:val="21"/>
              </w:rPr>
              <w:t>788.472</w:t>
            </w:r>
          </w:p>
        </w:tc>
        <w:tc>
          <w:tcPr>
            <w:tcW w:w="1080" w:type="dxa"/>
            <w:shd w:val="clear" w:color="auto" w:fill="auto"/>
            <w:vAlign w:val="center"/>
          </w:tcPr>
          <w:p>
            <w:pPr>
              <w:widowControl/>
              <w:jc w:val="center"/>
              <w:rPr>
                <w:kern w:val="0"/>
                <w:sz w:val="22"/>
                <w:szCs w:val="22"/>
              </w:rPr>
            </w:pPr>
            <w:r>
              <w:rPr>
                <w:kern w:val="0"/>
                <w:sz w:val="22"/>
                <w:szCs w:val="22"/>
              </w:rPr>
              <w:t>63.820</w:t>
            </w:r>
          </w:p>
        </w:tc>
        <w:tc>
          <w:tcPr>
            <w:tcW w:w="1180" w:type="dxa"/>
            <w:shd w:val="clear" w:color="auto" w:fill="auto"/>
            <w:vAlign w:val="center"/>
          </w:tcPr>
          <w:p>
            <w:pPr>
              <w:widowControl/>
              <w:jc w:val="center"/>
              <w:rPr>
                <w:kern w:val="0"/>
                <w:szCs w:val="21"/>
              </w:rPr>
            </w:pPr>
            <w:r>
              <w:rPr>
                <w:kern w:val="0"/>
                <w:szCs w:val="21"/>
              </w:rPr>
              <w:t>0.735</w:t>
            </w:r>
          </w:p>
        </w:tc>
        <w:tc>
          <w:tcPr>
            <w:tcW w:w="1300" w:type="dxa"/>
            <w:shd w:val="clear" w:color="auto" w:fill="auto"/>
            <w:vAlign w:val="center"/>
          </w:tcPr>
          <w:p>
            <w:pPr>
              <w:widowControl/>
              <w:jc w:val="center"/>
              <w:rPr>
                <w:kern w:val="0"/>
                <w:szCs w:val="21"/>
              </w:rPr>
            </w:pPr>
            <w:r>
              <w:rPr>
                <w:kern w:val="0"/>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kern w:val="0"/>
                <w:szCs w:val="21"/>
              </w:rPr>
            </w:pPr>
            <w:r>
              <w:rPr>
                <w:kern w:val="0"/>
                <w:szCs w:val="21"/>
              </w:rPr>
              <w:t>ZK7</w:t>
            </w:r>
          </w:p>
        </w:tc>
        <w:tc>
          <w:tcPr>
            <w:tcW w:w="1080" w:type="dxa"/>
            <w:shd w:val="clear" w:color="auto" w:fill="auto"/>
            <w:noWrap/>
            <w:vAlign w:val="center"/>
          </w:tcPr>
          <w:p>
            <w:pPr>
              <w:widowControl/>
              <w:jc w:val="center"/>
              <w:rPr>
                <w:kern w:val="0"/>
                <w:sz w:val="18"/>
                <w:szCs w:val="18"/>
              </w:rPr>
            </w:pPr>
            <w:r>
              <w:rPr>
                <w:kern w:val="0"/>
                <w:sz w:val="18"/>
                <w:szCs w:val="18"/>
              </w:rPr>
              <w:t>补3</w:t>
            </w:r>
          </w:p>
        </w:tc>
        <w:tc>
          <w:tcPr>
            <w:tcW w:w="1080" w:type="dxa"/>
            <w:shd w:val="clear" w:color="auto" w:fill="auto"/>
            <w:vAlign w:val="center"/>
          </w:tcPr>
          <w:p>
            <w:pPr>
              <w:widowControl/>
              <w:jc w:val="center"/>
              <w:rPr>
                <w:kern w:val="0"/>
                <w:szCs w:val="21"/>
              </w:rPr>
            </w:pPr>
            <w:r>
              <w:rPr>
                <w:kern w:val="0"/>
                <w:szCs w:val="21"/>
              </w:rPr>
              <w:t>805.700</w:t>
            </w:r>
          </w:p>
        </w:tc>
        <w:tc>
          <w:tcPr>
            <w:tcW w:w="1080" w:type="dxa"/>
            <w:shd w:val="clear" w:color="auto" w:fill="auto"/>
            <w:vAlign w:val="center"/>
          </w:tcPr>
          <w:p>
            <w:pPr>
              <w:widowControl/>
              <w:jc w:val="center"/>
              <w:rPr>
                <w:kern w:val="0"/>
                <w:szCs w:val="21"/>
              </w:rPr>
            </w:pPr>
            <w:r>
              <w:rPr>
                <w:kern w:val="0"/>
                <w:szCs w:val="21"/>
              </w:rPr>
              <w:t>596.410</w:t>
            </w:r>
          </w:p>
        </w:tc>
        <w:tc>
          <w:tcPr>
            <w:tcW w:w="1080" w:type="dxa"/>
            <w:shd w:val="clear" w:color="auto" w:fill="auto"/>
            <w:vAlign w:val="center"/>
          </w:tcPr>
          <w:p>
            <w:pPr>
              <w:widowControl/>
              <w:jc w:val="center"/>
              <w:rPr>
                <w:kern w:val="0"/>
                <w:szCs w:val="21"/>
              </w:rPr>
            </w:pPr>
            <w:r>
              <w:rPr>
                <w:kern w:val="0"/>
                <w:szCs w:val="21"/>
              </w:rPr>
              <w:t>651.510</w:t>
            </w:r>
          </w:p>
        </w:tc>
        <w:tc>
          <w:tcPr>
            <w:tcW w:w="1080" w:type="dxa"/>
            <w:shd w:val="clear" w:color="auto" w:fill="auto"/>
            <w:vAlign w:val="center"/>
          </w:tcPr>
          <w:p>
            <w:pPr>
              <w:widowControl/>
              <w:jc w:val="center"/>
              <w:rPr>
                <w:kern w:val="0"/>
                <w:sz w:val="22"/>
                <w:szCs w:val="22"/>
              </w:rPr>
            </w:pPr>
            <w:r>
              <w:rPr>
                <w:kern w:val="0"/>
                <w:sz w:val="22"/>
                <w:szCs w:val="22"/>
              </w:rPr>
              <w:t>55.100</w:t>
            </w:r>
          </w:p>
        </w:tc>
        <w:tc>
          <w:tcPr>
            <w:tcW w:w="1180" w:type="dxa"/>
            <w:shd w:val="clear" w:color="auto" w:fill="auto"/>
            <w:vAlign w:val="center"/>
          </w:tcPr>
          <w:p>
            <w:pPr>
              <w:widowControl/>
              <w:jc w:val="center"/>
              <w:rPr>
                <w:kern w:val="0"/>
                <w:szCs w:val="21"/>
              </w:rPr>
            </w:pPr>
            <w:r>
              <w:rPr>
                <w:kern w:val="0"/>
                <w:szCs w:val="21"/>
              </w:rPr>
              <w:t>1.900</w:t>
            </w:r>
          </w:p>
        </w:tc>
        <w:tc>
          <w:tcPr>
            <w:tcW w:w="1300" w:type="dxa"/>
            <w:shd w:val="clear" w:color="auto" w:fill="auto"/>
            <w:vAlign w:val="center"/>
          </w:tcPr>
          <w:p>
            <w:pPr>
              <w:widowControl/>
              <w:jc w:val="center"/>
              <w:rPr>
                <w:kern w:val="0"/>
                <w:szCs w:val="21"/>
              </w:rPr>
            </w:pPr>
            <w:r>
              <w:rPr>
                <w:kern w:val="0"/>
                <w:szCs w:val="21"/>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80" w:type="dxa"/>
            <w:shd w:val="clear" w:color="auto" w:fill="auto"/>
            <w:vAlign w:val="center"/>
          </w:tcPr>
          <w:p>
            <w:pPr>
              <w:widowControl/>
              <w:jc w:val="center"/>
              <w:rPr>
                <w:kern w:val="0"/>
                <w:szCs w:val="21"/>
              </w:rPr>
            </w:pPr>
            <w:r>
              <w:rPr>
                <w:kern w:val="0"/>
                <w:szCs w:val="21"/>
              </w:rPr>
              <w:t>ZK8</w:t>
            </w:r>
          </w:p>
        </w:tc>
        <w:tc>
          <w:tcPr>
            <w:tcW w:w="1080" w:type="dxa"/>
            <w:shd w:val="clear" w:color="auto" w:fill="auto"/>
            <w:noWrap/>
            <w:vAlign w:val="center"/>
          </w:tcPr>
          <w:p>
            <w:pPr>
              <w:widowControl/>
              <w:jc w:val="center"/>
              <w:rPr>
                <w:kern w:val="0"/>
                <w:sz w:val="18"/>
                <w:szCs w:val="18"/>
              </w:rPr>
            </w:pPr>
            <w:r>
              <w:rPr>
                <w:kern w:val="0"/>
                <w:sz w:val="18"/>
                <w:szCs w:val="18"/>
              </w:rPr>
              <w:t>补4</w:t>
            </w:r>
          </w:p>
        </w:tc>
        <w:tc>
          <w:tcPr>
            <w:tcW w:w="1080" w:type="dxa"/>
            <w:shd w:val="clear" w:color="auto" w:fill="auto"/>
            <w:vAlign w:val="center"/>
          </w:tcPr>
          <w:p>
            <w:pPr>
              <w:widowControl/>
              <w:jc w:val="center"/>
              <w:rPr>
                <w:kern w:val="0"/>
                <w:szCs w:val="21"/>
              </w:rPr>
            </w:pPr>
            <w:r>
              <w:rPr>
                <w:kern w:val="0"/>
                <w:szCs w:val="21"/>
              </w:rPr>
              <w:t>804.700</w:t>
            </w:r>
          </w:p>
        </w:tc>
        <w:tc>
          <w:tcPr>
            <w:tcW w:w="1080" w:type="dxa"/>
            <w:shd w:val="clear" w:color="auto" w:fill="auto"/>
            <w:vAlign w:val="center"/>
          </w:tcPr>
          <w:p>
            <w:pPr>
              <w:widowControl/>
              <w:jc w:val="center"/>
              <w:rPr>
                <w:kern w:val="0"/>
                <w:szCs w:val="21"/>
              </w:rPr>
            </w:pPr>
            <w:r>
              <w:rPr>
                <w:kern w:val="0"/>
                <w:szCs w:val="21"/>
              </w:rPr>
              <w:t>650.280</w:t>
            </w:r>
          </w:p>
        </w:tc>
        <w:tc>
          <w:tcPr>
            <w:tcW w:w="1080" w:type="dxa"/>
            <w:shd w:val="clear" w:color="auto" w:fill="auto"/>
            <w:vAlign w:val="center"/>
          </w:tcPr>
          <w:p>
            <w:pPr>
              <w:widowControl/>
              <w:jc w:val="center"/>
              <w:rPr>
                <w:kern w:val="0"/>
                <w:szCs w:val="21"/>
              </w:rPr>
            </w:pPr>
            <w:r>
              <w:rPr>
                <w:kern w:val="0"/>
                <w:szCs w:val="21"/>
              </w:rPr>
              <w:t>715.270</w:t>
            </w:r>
          </w:p>
        </w:tc>
        <w:tc>
          <w:tcPr>
            <w:tcW w:w="1080" w:type="dxa"/>
            <w:shd w:val="clear" w:color="auto" w:fill="auto"/>
            <w:vAlign w:val="center"/>
          </w:tcPr>
          <w:p>
            <w:pPr>
              <w:widowControl/>
              <w:jc w:val="center"/>
              <w:rPr>
                <w:kern w:val="0"/>
                <w:sz w:val="22"/>
                <w:szCs w:val="22"/>
              </w:rPr>
            </w:pPr>
            <w:r>
              <w:rPr>
                <w:kern w:val="0"/>
                <w:sz w:val="22"/>
                <w:szCs w:val="22"/>
              </w:rPr>
              <w:t>64.990</w:t>
            </w:r>
          </w:p>
        </w:tc>
        <w:tc>
          <w:tcPr>
            <w:tcW w:w="1180" w:type="dxa"/>
            <w:shd w:val="clear" w:color="auto" w:fill="auto"/>
            <w:vAlign w:val="center"/>
          </w:tcPr>
          <w:p>
            <w:pPr>
              <w:widowControl/>
              <w:jc w:val="center"/>
              <w:rPr>
                <w:kern w:val="0"/>
                <w:szCs w:val="21"/>
              </w:rPr>
            </w:pPr>
            <w:r>
              <w:rPr>
                <w:kern w:val="0"/>
                <w:szCs w:val="21"/>
              </w:rPr>
              <w:t>1.402</w:t>
            </w:r>
          </w:p>
        </w:tc>
        <w:tc>
          <w:tcPr>
            <w:tcW w:w="1300" w:type="dxa"/>
            <w:shd w:val="clear" w:color="auto" w:fill="auto"/>
            <w:vAlign w:val="center"/>
          </w:tcPr>
          <w:p>
            <w:pPr>
              <w:widowControl/>
              <w:jc w:val="center"/>
              <w:rPr>
                <w:kern w:val="0"/>
                <w:szCs w:val="21"/>
              </w:rPr>
            </w:pPr>
            <w:r>
              <w:rPr>
                <w:kern w:val="0"/>
                <w:szCs w:val="21"/>
              </w:rPr>
              <w:t>0.022</w:t>
            </w:r>
          </w:p>
        </w:tc>
      </w:tr>
    </w:tbl>
    <w:p>
      <w:pPr>
        <w:spacing w:line="460" w:lineRule="exact"/>
        <w:ind w:firstLine="480" w:firstLineChars="200"/>
        <w:rPr>
          <w:rFonts w:eastAsiaTheme="minorEastAsia"/>
          <w:sz w:val="24"/>
        </w:rPr>
      </w:pPr>
      <w:r>
        <w:rPr>
          <w:rFonts w:hAnsiTheme="minorEastAsia" w:eastAsiaTheme="minorEastAsia"/>
          <w:sz w:val="24"/>
        </w:rPr>
        <w:t>根据以上突水系数计算，</w:t>
      </w:r>
      <w:r>
        <w:rPr>
          <w:rFonts w:eastAsiaTheme="minorEastAsia"/>
          <w:sz w:val="24"/>
        </w:rPr>
        <w:t>4</w:t>
      </w:r>
      <w:r>
        <w:rPr>
          <w:rFonts w:hAnsiTheme="minorEastAsia" w:eastAsiaTheme="minorEastAsia"/>
          <w:sz w:val="24"/>
        </w:rPr>
        <w:t>号煤层不带压面积</w:t>
      </w:r>
      <w:r>
        <w:rPr>
          <w:rFonts w:eastAsiaTheme="minorEastAsia"/>
          <w:sz w:val="24"/>
        </w:rPr>
        <w:t>3.114km</w:t>
      </w:r>
      <w:r>
        <w:rPr>
          <w:rFonts w:eastAsiaTheme="minorEastAsia"/>
          <w:sz w:val="24"/>
          <w:vertAlign w:val="superscript"/>
        </w:rPr>
        <w:t>2</w:t>
      </w:r>
      <w:r>
        <w:rPr>
          <w:rFonts w:hAnsiTheme="minorEastAsia" w:eastAsiaTheme="minorEastAsia"/>
          <w:sz w:val="24"/>
        </w:rPr>
        <w:t>，带压区面积</w:t>
      </w:r>
      <w:r>
        <w:rPr>
          <w:rFonts w:eastAsiaTheme="minorEastAsia"/>
          <w:sz w:val="24"/>
        </w:rPr>
        <w:t>2.338km</w:t>
      </w:r>
      <w:r>
        <w:rPr>
          <w:rFonts w:eastAsiaTheme="minorEastAsia"/>
          <w:sz w:val="24"/>
          <w:vertAlign w:val="superscript"/>
        </w:rPr>
        <w:t>2</w:t>
      </w:r>
      <w:r>
        <w:rPr>
          <w:rFonts w:hAnsiTheme="minorEastAsia" w:eastAsiaTheme="minorEastAsia"/>
          <w:sz w:val="24"/>
        </w:rPr>
        <w:t>，最大突水系数为</w:t>
      </w:r>
      <w:r>
        <w:rPr>
          <w:rFonts w:eastAsiaTheme="minorEastAsia"/>
          <w:sz w:val="24"/>
        </w:rPr>
        <w:t>0.025Mpa/m</w:t>
      </w:r>
      <w:r>
        <w:rPr>
          <w:rFonts w:hAnsiTheme="minorEastAsia" w:eastAsiaTheme="minorEastAsia"/>
          <w:sz w:val="24"/>
        </w:rPr>
        <w:t>；</w:t>
      </w:r>
      <w:r>
        <w:rPr>
          <w:rFonts w:eastAsiaTheme="minorEastAsia"/>
          <w:sz w:val="24"/>
        </w:rPr>
        <w:t>5</w:t>
      </w:r>
      <w:r>
        <w:rPr>
          <w:rFonts w:hAnsiTheme="minorEastAsia" w:eastAsiaTheme="minorEastAsia"/>
          <w:sz w:val="24"/>
        </w:rPr>
        <w:t>号煤层不带压面积</w:t>
      </w:r>
      <w:r>
        <w:rPr>
          <w:rFonts w:eastAsiaTheme="minorEastAsia"/>
          <w:sz w:val="24"/>
        </w:rPr>
        <w:t>2.031km</w:t>
      </w:r>
      <w:r>
        <w:rPr>
          <w:rFonts w:eastAsiaTheme="minorEastAsia"/>
          <w:sz w:val="24"/>
          <w:vertAlign w:val="superscript"/>
        </w:rPr>
        <w:t>2</w:t>
      </w:r>
      <w:r>
        <w:rPr>
          <w:rFonts w:hAnsiTheme="minorEastAsia" w:eastAsiaTheme="minorEastAsia"/>
          <w:sz w:val="24"/>
        </w:rPr>
        <w:t>，带压区面积</w:t>
      </w:r>
      <w:r>
        <w:rPr>
          <w:rFonts w:eastAsiaTheme="minorEastAsia"/>
          <w:sz w:val="24"/>
        </w:rPr>
        <w:t>3.421km</w:t>
      </w:r>
      <w:r>
        <w:rPr>
          <w:rFonts w:eastAsiaTheme="minorEastAsia"/>
          <w:sz w:val="24"/>
          <w:vertAlign w:val="superscript"/>
        </w:rPr>
        <w:t>2</w:t>
      </w:r>
      <w:r>
        <w:rPr>
          <w:rFonts w:hAnsiTheme="minorEastAsia" w:eastAsiaTheme="minorEastAsia"/>
          <w:sz w:val="24"/>
        </w:rPr>
        <w:t>，最大突水系数为</w:t>
      </w:r>
      <w:r>
        <w:rPr>
          <w:rFonts w:eastAsiaTheme="minorEastAsia"/>
          <w:sz w:val="24"/>
        </w:rPr>
        <w:t>0.030Mpa/m</w:t>
      </w:r>
      <w:r>
        <w:rPr>
          <w:rFonts w:hAnsiTheme="minorEastAsia" w:eastAsiaTheme="minorEastAsia"/>
          <w:sz w:val="24"/>
        </w:rPr>
        <w:t>；</w:t>
      </w:r>
      <w:r>
        <w:rPr>
          <w:rFonts w:eastAsiaTheme="minorEastAsia"/>
          <w:sz w:val="24"/>
        </w:rPr>
        <w:t>8</w:t>
      </w:r>
      <w:r>
        <w:rPr>
          <w:rFonts w:hAnsiTheme="minorEastAsia" w:eastAsiaTheme="minorEastAsia"/>
          <w:sz w:val="24"/>
        </w:rPr>
        <w:t>号煤层不带压面积</w:t>
      </w:r>
      <w:r>
        <w:rPr>
          <w:rFonts w:eastAsiaTheme="minorEastAsia"/>
          <w:sz w:val="24"/>
        </w:rPr>
        <w:t>1.269km</w:t>
      </w:r>
      <w:r>
        <w:rPr>
          <w:rFonts w:eastAsiaTheme="minorEastAsia"/>
          <w:sz w:val="24"/>
          <w:vertAlign w:val="superscript"/>
        </w:rPr>
        <w:t>2</w:t>
      </w:r>
      <w:r>
        <w:rPr>
          <w:rFonts w:hAnsiTheme="minorEastAsia" w:eastAsiaTheme="minorEastAsia"/>
          <w:sz w:val="24"/>
        </w:rPr>
        <w:t>，带压区面积</w:t>
      </w:r>
      <w:r>
        <w:rPr>
          <w:rFonts w:eastAsiaTheme="minorEastAsia"/>
          <w:sz w:val="24"/>
        </w:rPr>
        <w:t>4.183km</w:t>
      </w:r>
      <w:r>
        <w:rPr>
          <w:rFonts w:eastAsiaTheme="minorEastAsia"/>
          <w:sz w:val="24"/>
          <w:vertAlign w:val="superscript"/>
        </w:rPr>
        <w:t>2</w:t>
      </w:r>
      <w:r>
        <w:rPr>
          <w:rFonts w:hAnsiTheme="minorEastAsia" w:eastAsiaTheme="minorEastAsia"/>
          <w:sz w:val="24"/>
        </w:rPr>
        <w:t>，最大突水系数为</w:t>
      </w:r>
      <w:r>
        <w:rPr>
          <w:rFonts w:eastAsiaTheme="minorEastAsia"/>
          <w:sz w:val="24"/>
        </w:rPr>
        <w:t>0.050Mpa/m</w:t>
      </w:r>
      <w:r>
        <w:rPr>
          <w:rFonts w:hAnsiTheme="minorEastAsia" w:eastAsiaTheme="minorEastAsia"/>
          <w:sz w:val="24"/>
        </w:rPr>
        <w:t>；</w:t>
      </w:r>
      <w:r>
        <w:rPr>
          <w:rFonts w:eastAsiaTheme="minorEastAsia"/>
          <w:sz w:val="24"/>
        </w:rPr>
        <w:t>9</w:t>
      </w:r>
      <w:r>
        <w:rPr>
          <w:rFonts w:hAnsiTheme="minorEastAsia" w:eastAsiaTheme="minorEastAsia"/>
          <w:sz w:val="24"/>
        </w:rPr>
        <w:t>号煤层不带压面积</w:t>
      </w:r>
      <w:r>
        <w:rPr>
          <w:rFonts w:eastAsiaTheme="minorEastAsia"/>
          <w:sz w:val="24"/>
        </w:rPr>
        <w:t>0.986km</w:t>
      </w:r>
      <w:r>
        <w:rPr>
          <w:rFonts w:eastAsiaTheme="minorEastAsia"/>
          <w:sz w:val="24"/>
          <w:vertAlign w:val="superscript"/>
        </w:rPr>
        <w:t>2</w:t>
      </w:r>
      <w:r>
        <w:rPr>
          <w:rFonts w:hAnsiTheme="minorEastAsia" w:eastAsiaTheme="minorEastAsia"/>
          <w:sz w:val="24"/>
        </w:rPr>
        <w:t>，带压区面积</w:t>
      </w:r>
      <w:r>
        <w:rPr>
          <w:rFonts w:eastAsiaTheme="minorEastAsia"/>
          <w:sz w:val="24"/>
        </w:rPr>
        <w:t>4.466km</w:t>
      </w:r>
      <w:r>
        <w:rPr>
          <w:rFonts w:eastAsiaTheme="minorEastAsia"/>
          <w:sz w:val="24"/>
          <w:vertAlign w:val="superscript"/>
        </w:rPr>
        <w:t>2</w:t>
      </w:r>
      <w:r>
        <w:rPr>
          <w:rFonts w:hAnsiTheme="minorEastAsia" w:eastAsiaTheme="minorEastAsia"/>
          <w:sz w:val="24"/>
        </w:rPr>
        <w:t>，最大突水系数为</w:t>
      </w:r>
      <w:r>
        <w:rPr>
          <w:rFonts w:eastAsiaTheme="minorEastAsia"/>
          <w:sz w:val="24"/>
        </w:rPr>
        <w:t>0.063Mpa/m</w:t>
      </w:r>
      <w:r>
        <w:rPr>
          <w:rFonts w:hAnsiTheme="minorEastAsia" w:eastAsiaTheme="minorEastAsia"/>
          <w:sz w:val="24"/>
        </w:rPr>
        <w:t>。详见表</w:t>
      </w:r>
      <w:r>
        <w:rPr>
          <w:rFonts w:eastAsiaTheme="minorEastAsia"/>
          <w:sz w:val="24"/>
        </w:rPr>
        <w:t>5-5-9</w:t>
      </w:r>
      <w:r>
        <w:rPr>
          <w:rFonts w:hAnsiTheme="minorEastAsia" w:eastAsiaTheme="minorEastAsia"/>
          <w:sz w:val="24"/>
        </w:rPr>
        <w:t>。</w:t>
      </w:r>
    </w:p>
    <w:p>
      <w:pPr>
        <w:spacing w:line="360" w:lineRule="auto"/>
        <w:jc w:val="center"/>
        <w:rPr>
          <w:bCs/>
        </w:rPr>
      </w:pPr>
      <w:r>
        <w:rPr>
          <w:bCs/>
        </w:rPr>
        <w:t>表</w:t>
      </w:r>
      <w:r>
        <w:rPr>
          <w:rFonts w:hint="eastAsia"/>
          <w:bCs/>
        </w:rPr>
        <w:t>5-5</w:t>
      </w:r>
      <w:r>
        <w:rPr>
          <w:bCs/>
        </w:rPr>
        <w:t>-9    煤层带压情况统计表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2791"/>
        <w:gridCol w:w="2970"/>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Align w:val="center"/>
          </w:tcPr>
          <w:p>
            <w:pPr>
              <w:autoSpaceDN w:val="0"/>
              <w:jc w:val="center"/>
              <w:textAlignment w:val="center"/>
            </w:pPr>
            <w:r>
              <w:t>煤层</w:t>
            </w:r>
          </w:p>
        </w:tc>
        <w:tc>
          <w:tcPr>
            <w:tcW w:w="1503" w:type="pct"/>
            <w:vAlign w:val="center"/>
          </w:tcPr>
          <w:p>
            <w:pPr>
              <w:autoSpaceDN w:val="0"/>
              <w:jc w:val="center"/>
              <w:textAlignment w:val="center"/>
            </w:pPr>
            <w:r>
              <w:t>突水系数范围（MPa/m）</w:t>
            </w:r>
          </w:p>
        </w:tc>
        <w:tc>
          <w:tcPr>
            <w:tcW w:w="1599" w:type="pct"/>
            <w:vAlign w:val="center"/>
          </w:tcPr>
          <w:p>
            <w:pPr>
              <w:autoSpaceDN w:val="0"/>
              <w:jc w:val="center"/>
              <w:textAlignment w:val="center"/>
            </w:pPr>
            <w:r>
              <w:t>突水系数最大值（MPa/m）</w:t>
            </w:r>
          </w:p>
        </w:tc>
        <w:tc>
          <w:tcPr>
            <w:tcW w:w="925" w:type="pct"/>
            <w:vAlign w:val="center"/>
          </w:tcPr>
          <w:p>
            <w:pPr>
              <w:autoSpaceDN w:val="0"/>
              <w:jc w:val="center"/>
              <w:textAlignment w:val="center"/>
            </w:pPr>
            <w:r>
              <w:t>面积(km</w:t>
            </w:r>
            <w:r>
              <w:rPr>
                <w:vertAlign w:val="superscript"/>
              </w:rPr>
              <w:t>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Merge w:val="restart"/>
            <w:vAlign w:val="center"/>
          </w:tcPr>
          <w:p>
            <w:pPr>
              <w:autoSpaceDN w:val="0"/>
              <w:jc w:val="center"/>
              <w:textAlignment w:val="center"/>
            </w:pPr>
            <w:r>
              <w:t>4</w:t>
            </w:r>
          </w:p>
        </w:tc>
        <w:tc>
          <w:tcPr>
            <w:tcW w:w="1503" w:type="pct"/>
            <w:vAlign w:val="center"/>
          </w:tcPr>
          <w:p>
            <w:pPr>
              <w:autoSpaceDN w:val="0"/>
              <w:jc w:val="center"/>
              <w:textAlignment w:val="center"/>
            </w:pPr>
            <w:r>
              <w:t>不带压</w:t>
            </w:r>
          </w:p>
        </w:tc>
        <w:tc>
          <w:tcPr>
            <w:tcW w:w="1599" w:type="pct"/>
            <w:vAlign w:val="center"/>
          </w:tcPr>
          <w:p>
            <w:pPr>
              <w:autoSpaceDN w:val="0"/>
              <w:jc w:val="center"/>
              <w:textAlignment w:val="center"/>
            </w:pPr>
          </w:p>
        </w:tc>
        <w:tc>
          <w:tcPr>
            <w:tcW w:w="925" w:type="pct"/>
            <w:vAlign w:val="center"/>
          </w:tcPr>
          <w:p>
            <w:pPr>
              <w:autoSpaceDN w:val="0"/>
              <w:jc w:val="center"/>
              <w:textAlignment w:val="center"/>
            </w:pPr>
            <w:r>
              <w:t>3.114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Merge w:val="continue"/>
            <w:vAlign w:val="center"/>
          </w:tcPr>
          <w:p>
            <w:pPr>
              <w:jc w:val="center"/>
            </w:pPr>
          </w:p>
        </w:tc>
        <w:tc>
          <w:tcPr>
            <w:tcW w:w="1503" w:type="pct"/>
            <w:vAlign w:val="center"/>
          </w:tcPr>
          <w:p>
            <w:pPr>
              <w:autoSpaceDN w:val="0"/>
              <w:jc w:val="center"/>
              <w:textAlignment w:val="center"/>
            </w:pPr>
            <w:r>
              <w:t>0—0.025</w:t>
            </w:r>
          </w:p>
        </w:tc>
        <w:tc>
          <w:tcPr>
            <w:tcW w:w="1599" w:type="pct"/>
            <w:vAlign w:val="center"/>
          </w:tcPr>
          <w:p>
            <w:pPr>
              <w:autoSpaceDN w:val="0"/>
              <w:jc w:val="center"/>
              <w:textAlignment w:val="center"/>
            </w:pPr>
            <w:r>
              <w:t>0.025</w:t>
            </w:r>
          </w:p>
        </w:tc>
        <w:tc>
          <w:tcPr>
            <w:tcW w:w="925" w:type="pct"/>
            <w:vAlign w:val="center"/>
          </w:tcPr>
          <w:p>
            <w:pPr>
              <w:autoSpaceDN w:val="0"/>
              <w:jc w:val="center"/>
              <w:textAlignment w:val="center"/>
            </w:pPr>
            <w:r>
              <w:t>2.338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Merge w:val="restart"/>
            <w:vAlign w:val="center"/>
          </w:tcPr>
          <w:p>
            <w:pPr>
              <w:autoSpaceDN w:val="0"/>
              <w:jc w:val="center"/>
              <w:textAlignment w:val="center"/>
            </w:pPr>
            <w:r>
              <w:t>5</w:t>
            </w:r>
          </w:p>
        </w:tc>
        <w:tc>
          <w:tcPr>
            <w:tcW w:w="1503" w:type="pct"/>
            <w:vAlign w:val="center"/>
          </w:tcPr>
          <w:p>
            <w:pPr>
              <w:autoSpaceDN w:val="0"/>
              <w:jc w:val="center"/>
              <w:textAlignment w:val="center"/>
            </w:pPr>
            <w:r>
              <w:t>不带压</w:t>
            </w:r>
          </w:p>
        </w:tc>
        <w:tc>
          <w:tcPr>
            <w:tcW w:w="1599" w:type="pct"/>
            <w:vAlign w:val="center"/>
          </w:tcPr>
          <w:p>
            <w:pPr>
              <w:autoSpaceDN w:val="0"/>
              <w:jc w:val="center"/>
              <w:textAlignment w:val="center"/>
            </w:pPr>
          </w:p>
        </w:tc>
        <w:tc>
          <w:tcPr>
            <w:tcW w:w="925" w:type="pct"/>
            <w:vAlign w:val="center"/>
          </w:tcPr>
          <w:p>
            <w:pPr>
              <w:autoSpaceDN w:val="0"/>
              <w:jc w:val="center"/>
              <w:textAlignment w:val="center"/>
            </w:pPr>
            <w:r>
              <w:t>3.421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Merge w:val="continue"/>
            <w:vAlign w:val="center"/>
          </w:tcPr>
          <w:p>
            <w:pPr>
              <w:jc w:val="center"/>
            </w:pPr>
          </w:p>
        </w:tc>
        <w:tc>
          <w:tcPr>
            <w:tcW w:w="1503" w:type="pct"/>
            <w:vAlign w:val="center"/>
          </w:tcPr>
          <w:p>
            <w:pPr>
              <w:autoSpaceDN w:val="0"/>
              <w:jc w:val="center"/>
              <w:textAlignment w:val="center"/>
            </w:pPr>
            <w:r>
              <w:t>0—0.030</w:t>
            </w:r>
          </w:p>
        </w:tc>
        <w:tc>
          <w:tcPr>
            <w:tcW w:w="1599" w:type="pct"/>
            <w:vAlign w:val="center"/>
          </w:tcPr>
          <w:p>
            <w:pPr>
              <w:autoSpaceDN w:val="0"/>
              <w:jc w:val="center"/>
              <w:textAlignment w:val="center"/>
            </w:pPr>
            <w:r>
              <w:t>0.030</w:t>
            </w:r>
          </w:p>
        </w:tc>
        <w:tc>
          <w:tcPr>
            <w:tcW w:w="925" w:type="pct"/>
            <w:vAlign w:val="center"/>
          </w:tcPr>
          <w:p>
            <w:pPr>
              <w:autoSpaceDN w:val="0"/>
              <w:jc w:val="center"/>
              <w:textAlignment w:val="center"/>
            </w:pPr>
            <w: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Merge w:val="restart"/>
            <w:vAlign w:val="center"/>
          </w:tcPr>
          <w:p>
            <w:pPr>
              <w:autoSpaceDN w:val="0"/>
              <w:jc w:val="center"/>
              <w:textAlignment w:val="center"/>
            </w:pPr>
            <w:r>
              <w:t>8</w:t>
            </w:r>
          </w:p>
        </w:tc>
        <w:tc>
          <w:tcPr>
            <w:tcW w:w="1503" w:type="pct"/>
            <w:vAlign w:val="center"/>
          </w:tcPr>
          <w:p>
            <w:pPr>
              <w:autoSpaceDN w:val="0"/>
              <w:jc w:val="center"/>
              <w:textAlignment w:val="center"/>
            </w:pPr>
            <w:r>
              <w:t>不带压</w:t>
            </w:r>
          </w:p>
        </w:tc>
        <w:tc>
          <w:tcPr>
            <w:tcW w:w="1599" w:type="pct"/>
            <w:vAlign w:val="center"/>
          </w:tcPr>
          <w:p>
            <w:pPr>
              <w:autoSpaceDN w:val="0"/>
              <w:jc w:val="center"/>
              <w:textAlignment w:val="center"/>
            </w:pPr>
          </w:p>
        </w:tc>
        <w:tc>
          <w:tcPr>
            <w:tcW w:w="925" w:type="pct"/>
            <w:vAlign w:val="center"/>
          </w:tcPr>
          <w:p>
            <w:pPr>
              <w:autoSpaceDN w:val="0"/>
              <w:jc w:val="center"/>
              <w:textAlignment w:val="center"/>
            </w:pPr>
            <w:r>
              <w:t>1.269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Merge w:val="continue"/>
            <w:vAlign w:val="center"/>
          </w:tcPr>
          <w:p>
            <w:pPr>
              <w:jc w:val="center"/>
            </w:pPr>
          </w:p>
        </w:tc>
        <w:tc>
          <w:tcPr>
            <w:tcW w:w="1503" w:type="pct"/>
            <w:vAlign w:val="center"/>
          </w:tcPr>
          <w:p>
            <w:pPr>
              <w:autoSpaceDN w:val="0"/>
              <w:jc w:val="center"/>
              <w:textAlignment w:val="center"/>
            </w:pPr>
            <w:r>
              <w:t>0—0.050</w:t>
            </w:r>
          </w:p>
        </w:tc>
        <w:tc>
          <w:tcPr>
            <w:tcW w:w="1599" w:type="pct"/>
            <w:vAlign w:val="center"/>
          </w:tcPr>
          <w:p>
            <w:pPr>
              <w:autoSpaceDN w:val="0"/>
              <w:jc w:val="center"/>
              <w:textAlignment w:val="center"/>
            </w:pPr>
            <w:r>
              <w:t>0.027</w:t>
            </w:r>
          </w:p>
        </w:tc>
        <w:tc>
          <w:tcPr>
            <w:tcW w:w="925" w:type="pct"/>
            <w:vAlign w:val="center"/>
          </w:tcPr>
          <w:p>
            <w:pPr>
              <w:autoSpaceDN w:val="0"/>
              <w:jc w:val="center"/>
              <w:textAlignment w:val="center"/>
            </w:pPr>
            <w:r>
              <w:t>4.183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Merge w:val="restart"/>
            <w:vAlign w:val="center"/>
          </w:tcPr>
          <w:p>
            <w:pPr>
              <w:autoSpaceDN w:val="0"/>
              <w:jc w:val="center"/>
              <w:textAlignment w:val="center"/>
            </w:pPr>
            <w:r>
              <w:t>9</w:t>
            </w:r>
          </w:p>
        </w:tc>
        <w:tc>
          <w:tcPr>
            <w:tcW w:w="1503" w:type="pct"/>
            <w:vAlign w:val="center"/>
          </w:tcPr>
          <w:p>
            <w:pPr>
              <w:autoSpaceDN w:val="0"/>
              <w:jc w:val="center"/>
              <w:textAlignment w:val="center"/>
            </w:pPr>
            <w:r>
              <w:t>不带压</w:t>
            </w:r>
          </w:p>
        </w:tc>
        <w:tc>
          <w:tcPr>
            <w:tcW w:w="1599" w:type="pct"/>
            <w:vAlign w:val="center"/>
          </w:tcPr>
          <w:p>
            <w:pPr>
              <w:autoSpaceDN w:val="0"/>
              <w:jc w:val="center"/>
              <w:textAlignment w:val="center"/>
            </w:pPr>
          </w:p>
        </w:tc>
        <w:tc>
          <w:tcPr>
            <w:tcW w:w="925" w:type="pct"/>
            <w:vAlign w:val="center"/>
          </w:tcPr>
          <w:p>
            <w:pPr>
              <w:autoSpaceDN w:val="0"/>
              <w:jc w:val="center"/>
              <w:textAlignment w:val="center"/>
            </w:pPr>
            <w:r>
              <w:t>0.986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Merge w:val="continue"/>
            <w:vAlign w:val="center"/>
          </w:tcPr>
          <w:p>
            <w:pPr>
              <w:jc w:val="center"/>
            </w:pPr>
          </w:p>
        </w:tc>
        <w:tc>
          <w:tcPr>
            <w:tcW w:w="1503" w:type="pct"/>
            <w:vAlign w:val="center"/>
          </w:tcPr>
          <w:p>
            <w:pPr>
              <w:autoSpaceDN w:val="0"/>
              <w:jc w:val="center"/>
              <w:textAlignment w:val="center"/>
            </w:pPr>
            <w:r>
              <w:t>0—0.06</w:t>
            </w:r>
          </w:p>
        </w:tc>
        <w:tc>
          <w:tcPr>
            <w:tcW w:w="1599" w:type="pct"/>
            <w:vAlign w:val="center"/>
          </w:tcPr>
          <w:p>
            <w:pPr>
              <w:autoSpaceDN w:val="0"/>
              <w:jc w:val="center"/>
              <w:textAlignment w:val="center"/>
            </w:pPr>
            <w:r>
              <w:t>0.06</w:t>
            </w:r>
          </w:p>
        </w:tc>
        <w:tc>
          <w:tcPr>
            <w:tcW w:w="925" w:type="pct"/>
            <w:vAlign w:val="center"/>
          </w:tcPr>
          <w:p>
            <w:pPr>
              <w:autoSpaceDN w:val="0"/>
              <w:jc w:val="center"/>
              <w:textAlignment w:val="center"/>
            </w:pPr>
            <w:r>
              <w:t>4.208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3" w:type="pct"/>
            <w:vMerge w:val="continue"/>
            <w:vAlign w:val="center"/>
          </w:tcPr>
          <w:p>
            <w:pPr>
              <w:jc w:val="center"/>
            </w:pPr>
          </w:p>
        </w:tc>
        <w:tc>
          <w:tcPr>
            <w:tcW w:w="1503" w:type="pct"/>
            <w:vAlign w:val="center"/>
          </w:tcPr>
          <w:p>
            <w:pPr>
              <w:autoSpaceDN w:val="0"/>
              <w:jc w:val="center"/>
              <w:textAlignment w:val="center"/>
            </w:pPr>
            <w:r>
              <w:t>0.06—0.063</w:t>
            </w:r>
          </w:p>
        </w:tc>
        <w:tc>
          <w:tcPr>
            <w:tcW w:w="1599" w:type="pct"/>
            <w:vAlign w:val="center"/>
          </w:tcPr>
          <w:p>
            <w:pPr>
              <w:autoSpaceDN w:val="0"/>
              <w:jc w:val="center"/>
              <w:textAlignment w:val="center"/>
            </w:pPr>
            <w:r>
              <w:t>0.063</w:t>
            </w:r>
          </w:p>
        </w:tc>
        <w:tc>
          <w:tcPr>
            <w:tcW w:w="925" w:type="pct"/>
            <w:vAlign w:val="center"/>
          </w:tcPr>
          <w:p>
            <w:pPr>
              <w:autoSpaceDN w:val="0"/>
              <w:jc w:val="center"/>
              <w:textAlignment w:val="center"/>
            </w:pPr>
            <w:r>
              <w:t>0.258</w:t>
            </w:r>
          </w:p>
        </w:tc>
      </w:tr>
    </w:tbl>
    <w:p>
      <w:pPr>
        <w:pStyle w:val="11"/>
        <w:rPr>
          <w:b w:val="0"/>
          <w:szCs w:val="28"/>
        </w:rPr>
      </w:pPr>
      <w:r>
        <w:rPr>
          <w:rFonts w:hint="eastAsia"/>
          <w:b w:val="0"/>
          <w:szCs w:val="28"/>
        </w:rPr>
        <w:t>由上表可以看出， 4、5、8号西北部突水系数值低于有构造破坏地段临界突水系数0.06MPa/m，煤层开采一般不会对奥陶系岩溶水产生影响。但是当煤层底板与奥陶系岩溶含水层间存在隐伏贯穿型导水构造时，煤层开采到这些部位，有可能造成底板突水，对奥灰水造成影响。9号煤层中西部突水系数为0—0.06MPa/m，一般不会对奥陶系岩溶水产生影响。9号煤层西北部突水系数为0.06—0.063MPa/m，有较大的可能性会诱发底板突水，可能对奥灰水产生较大影响。</w:t>
      </w:r>
    </w:p>
    <w:p>
      <w:pPr>
        <w:pStyle w:val="11"/>
        <w:rPr>
          <w:b w:val="0"/>
          <w:szCs w:val="28"/>
        </w:rPr>
      </w:pPr>
      <w:r>
        <w:rPr>
          <w:rFonts w:hint="eastAsia"/>
          <w:b w:val="0"/>
          <w:szCs w:val="28"/>
        </w:rPr>
        <w:t>评价要求在开采过程中必须坚持“预测预报、有掘必探、先探后掘、先治后采”的原则，采取评价要求的措施后，煤层开采对下伏含水层影响较小。</w:t>
      </w:r>
    </w:p>
    <w:p>
      <w:pPr>
        <w:spacing w:line="360" w:lineRule="auto"/>
        <w:outlineLvl w:val="2"/>
        <w:rPr>
          <w:rFonts w:eastAsiaTheme="minorEastAsia"/>
          <w:b/>
          <w:sz w:val="24"/>
        </w:rPr>
      </w:pPr>
      <w:r>
        <w:rPr>
          <w:rFonts w:eastAsiaTheme="minorEastAsia"/>
          <w:b/>
          <w:sz w:val="24"/>
        </w:rPr>
        <w:t>5.4.6对居民用水的影响</w:t>
      </w:r>
    </w:p>
    <w:p>
      <w:pPr>
        <w:spacing w:line="360" w:lineRule="auto"/>
        <w:ind w:firstLine="480" w:firstLineChars="200"/>
        <w:rPr>
          <w:rFonts w:eastAsiaTheme="minorEastAsia"/>
          <w:sz w:val="24"/>
        </w:rPr>
      </w:pPr>
      <w:r>
        <w:rPr>
          <w:rFonts w:eastAsiaTheme="minorEastAsia"/>
          <w:sz w:val="24"/>
        </w:rPr>
        <w:t>1、居民用水调查</w:t>
      </w:r>
    </w:p>
    <w:p>
      <w:pPr>
        <w:spacing w:line="360" w:lineRule="auto"/>
        <w:ind w:firstLine="480" w:firstLineChars="200"/>
        <w:rPr>
          <w:rFonts w:eastAsiaTheme="minorEastAsia"/>
          <w:sz w:val="24"/>
        </w:rPr>
      </w:pPr>
      <w:r>
        <w:rPr>
          <w:rFonts w:eastAsiaTheme="minorEastAsia"/>
          <w:sz w:val="24"/>
        </w:rPr>
        <w:t>根据现场调查，评价区具有供水意义的主要含水层为第四系砂砾层孔隙潜水含水层。评价范围内居民供水情况见表5.4-</w:t>
      </w:r>
      <w:r>
        <w:rPr>
          <w:rFonts w:hint="eastAsia" w:eastAsiaTheme="minorEastAsia"/>
          <w:sz w:val="24"/>
        </w:rPr>
        <w:t>15</w:t>
      </w:r>
      <w:r>
        <w:rPr>
          <w:rFonts w:eastAsiaTheme="minorEastAsia"/>
          <w:sz w:val="24"/>
        </w:rPr>
        <w:t>。</w:t>
      </w:r>
    </w:p>
    <w:p>
      <w:pPr>
        <w:spacing w:line="360" w:lineRule="auto"/>
        <w:jc w:val="center"/>
        <w:rPr>
          <w:rFonts w:eastAsiaTheme="minorEastAsia"/>
          <w:b/>
          <w:spacing w:val="6"/>
        </w:rPr>
      </w:pPr>
      <w:r>
        <w:rPr>
          <w:rFonts w:eastAsiaTheme="minorEastAsia"/>
          <w:b/>
          <w:spacing w:val="6"/>
        </w:rPr>
        <w:t>表5.4-</w:t>
      </w:r>
      <w:r>
        <w:rPr>
          <w:rFonts w:hint="eastAsia" w:eastAsiaTheme="minorEastAsia"/>
          <w:b/>
          <w:spacing w:val="6"/>
        </w:rPr>
        <w:t>15</w:t>
      </w:r>
      <w:r>
        <w:rPr>
          <w:rFonts w:eastAsiaTheme="minorEastAsia"/>
          <w:b/>
          <w:spacing w:val="6"/>
        </w:rPr>
        <w:t>评价范围内村庄供水基本情况表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86"/>
        <w:gridCol w:w="860"/>
        <w:gridCol w:w="724"/>
        <w:gridCol w:w="3451"/>
        <w:gridCol w:w="810"/>
        <w:gridCol w:w="17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widowControl/>
              <w:jc w:val="center"/>
              <w:rPr>
                <w:rFonts w:eastAsiaTheme="minorEastAsia"/>
                <w:kern w:val="0"/>
                <w:szCs w:val="21"/>
              </w:rPr>
            </w:pPr>
            <w:r>
              <w:rPr>
                <w:rFonts w:hAnsiTheme="minorEastAsia" w:eastAsiaTheme="minorEastAsia"/>
                <w:kern w:val="0"/>
                <w:szCs w:val="21"/>
              </w:rPr>
              <w:t>村庄名称</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类型</w:t>
            </w:r>
          </w:p>
        </w:tc>
        <w:tc>
          <w:tcPr>
            <w:tcW w:w="390" w:type="pct"/>
            <w:noWrap/>
            <w:vAlign w:val="center"/>
          </w:tcPr>
          <w:p>
            <w:pPr>
              <w:widowControl/>
              <w:jc w:val="center"/>
              <w:rPr>
                <w:rFonts w:eastAsiaTheme="minorEastAsia"/>
                <w:kern w:val="0"/>
                <w:szCs w:val="21"/>
              </w:rPr>
            </w:pPr>
            <w:r>
              <w:rPr>
                <w:rFonts w:hAnsiTheme="minorEastAsia" w:eastAsiaTheme="minorEastAsia"/>
                <w:kern w:val="0"/>
                <w:szCs w:val="21"/>
              </w:rPr>
              <w:t>个数</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取水层位</w:t>
            </w:r>
          </w:p>
        </w:tc>
        <w:tc>
          <w:tcPr>
            <w:tcW w:w="436" w:type="pct"/>
            <w:noWrap/>
            <w:vAlign w:val="center"/>
          </w:tcPr>
          <w:p>
            <w:pPr>
              <w:widowControl/>
              <w:jc w:val="center"/>
              <w:rPr>
                <w:rFonts w:eastAsiaTheme="minorEastAsia"/>
                <w:kern w:val="0"/>
                <w:szCs w:val="21"/>
              </w:rPr>
            </w:pPr>
            <w:r>
              <w:rPr>
                <w:rFonts w:hAnsiTheme="minorEastAsia" w:eastAsiaTheme="minorEastAsia"/>
                <w:kern w:val="0"/>
                <w:szCs w:val="21"/>
              </w:rPr>
              <w:t>用途</w:t>
            </w:r>
          </w:p>
        </w:tc>
        <w:tc>
          <w:tcPr>
            <w:tcW w:w="947" w:type="pct"/>
          </w:tcPr>
          <w:p>
            <w:pPr>
              <w:widowControl/>
              <w:jc w:val="center"/>
              <w:rPr>
                <w:rFonts w:eastAsiaTheme="minorEastAsia"/>
                <w:kern w:val="0"/>
                <w:szCs w:val="21"/>
              </w:rPr>
            </w:pPr>
            <w:r>
              <w:rPr>
                <w:rFonts w:hAnsiTheme="minorEastAsia" w:eastAsiaTheme="minorEastAsia"/>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红崖村</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2</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vAlign w:val="center"/>
          </w:tcPr>
          <w:p>
            <w:pPr>
              <w:widowControl/>
              <w:jc w:val="center"/>
              <w:rPr>
                <w:rFonts w:eastAsiaTheme="minorEastAsia"/>
                <w:kern w:val="0"/>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后庄</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前庄</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trPr>
        <w:tc>
          <w:tcPr>
            <w:tcW w:w="908" w:type="pct"/>
            <w:noWrap/>
            <w:vAlign w:val="center"/>
          </w:tcPr>
          <w:p>
            <w:pPr>
              <w:jc w:val="center"/>
              <w:rPr>
                <w:rFonts w:eastAsiaTheme="minorEastAsia"/>
                <w:szCs w:val="21"/>
              </w:rPr>
            </w:pPr>
            <w:r>
              <w:rPr>
                <w:rFonts w:hAnsiTheme="minorEastAsia" w:eastAsiaTheme="minorEastAsia"/>
                <w:szCs w:val="21"/>
              </w:rPr>
              <w:t>大长</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新窑上、工农庄</w:t>
            </w:r>
          </w:p>
        </w:tc>
        <w:tc>
          <w:tcPr>
            <w:tcW w:w="463" w:type="pct"/>
            <w:noWrap/>
            <w:vAlign w:val="center"/>
          </w:tcPr>
          <w:p>
            <w:pPr>
              <w:widowControl/>
              <w:jc w:val="center"/>
              <w:rPr>
                <w:rFonts w:eastAsiaTheme="minorEastAsia"/>
                <w:color w:val="FF0000"/>
                <w:kern w:val="0"/>
                <w:szCs w:val="21"/>
              </w:rPr>
            </w:pPr>
            <w:r>
              <w:rPr>
                <w:rFonts w:hAnsiTheme="minorEastAsia" w:eastAsiaTheme="minorEastAsia"/>
                <w:color w:val="FF0000"/>
                <w:kern w:val="0"/>
                <w:szCs w:val="21"/>
              </w:rPr>
              <w:t>浅水井</w:t>
            </w:r>
          </w:p>
        </w:tc>
        <w:tc>
          <w:tcPr>
            <w:tcW w:w="390" w:type="pct"/>
            <w:noWrap/>
            <w:vAlign w:val="center"/>
          </w:tcPr>
          <w:p>
            <w:pPr>
              <w:widowControl/>
              <w:jc w:val="center"/>
              <w:rPr>
                <w:rFonts w:eastAsiaTheme="minorEastAsia"/>
                <w:color w:val="FF0000"/>
                <w:kern w:val="0"/>
                <w:szCs w:val="21"/>
              </w:rPr>
            </w:pPr>
            <w:r>
              <w:rPr>
                <w:rFonts w:eastAsiaTheme="minorEastAsia"/>
                <w:color w:val="FF0000"/>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招贤镇</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深水井</w:t>
            </w:r>
          </w:p>
        </w:tc>
        <w:tc>
          <w:tcPr>
            <w:tcW w:w="390" w:type="pct"/>
            <w:noWrap/>
            <w:vAlign w:val="center"/>
          </w:tcPr>
          <w:p>
            <w:pPr>
              <w:widowControl/>
              <w:jc w:val="center"/>
              <w:rPr>
                <w:rFonts w:eastAsiaTheme="minorEastAsia"/>
                <w:kern w:val="0"/>
                <w:szCs w:val="21"/>
              </w:rPr>
            </w:pPr>
            <w:r>
              <w:rPr>
                <w:rFonts w:eastAsiaTheme="minorEastAsia"/>
                <w:kern w:val="0"/>
                <w:szCs w:val="21"/>
              </w:rPr>
              <w:t>2</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奥陶系含水层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小塔则</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前塔上</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2</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后塔上</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3</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高家山</w:t>
            </w:r>
          </w:p>
        </w:tc>
        <w:tc>
          <w:tcPr>
            <w:tcW w:w="463" w:type="pct"/>
            <w:noWrap/>
            <w:vAlign w:val="center"/>
          </w:tcPr>
          <w:p>
            <w:pPr>
              <w:widowControl/>
              <w:jc w:val="center"/>
              <w:rPr>
                <w:rFonts w:eastAsiaTheme="minorEastAsia"/>
                <w:kern w:val="0"/>
                <w:szCs w:val="21"/>
              </w:rPr>
            </w:pPr>
          </w:p>
        </w:tc>
        <w:tc>
          <w:tcPr>
            <w:tcW w:w="390" w:type="pct"/>
            <w:noWrap/>
            <w:vAlign w:val="center"/>
          </w:tcPr>
          <w:p>
            <w:pPr>
              <w:widowControl/>
              <w:jc w:val="center"/>
              <w:rPr>
                <w:rFonts w:eastAsiaTheme="minorEastAsia"/>
                <w:kern w:val="0"/>
                <w:szCs w:val="21"/>
              </w:rPr>
            </w:pPr>
          </w:p>
        </w:tc>
        <w:tc>
          <w:tcPr>
            <w:tcW w:w="1858" w:type="pct"/>
            <w:noWrap/>
            <w:vAlign w:val="center"/>
          </w:tcPr>
          <w:p>
            <w:pPr>
              <w:widowControl/>
              <w:jc w:val="center"/>
              <w:rPr>
                <w:rFonts w:eastAsiaTheme="minorEastAsia"/>
                <w:kern w:val="0"/>
                <w:szCs w:val="21"/>
              </w:rPr>
            </w:pPr>
          </w:p>
        </w:tc>
        <w:tc>
          <w:tcPr>
            <w:tcW w:w="436" w:type="pct"/>
            <w:noWrap/>
            <w:vAlign w:val="center"/>
          </w:tcPr>
          <w:p>
            <w:pPr>
              <w:widowControl/>
              <w:jc w:val="center"/>
              <w:rPr>
                <w:rFonts w:eastAsiaTheme="minorEastAsia"/>
                <w:kern w:val="0"/>
                <w:szCs w:val="21"/>
              </w:rPr>
            </w:pPr>
          </w:p>
        </w:tc>
        <w:tc>
          <w:tcPr>
            <w:tcW w:w="947" w:type="pct"/>
          </w:tcPr>
          <w:p>
            <w:pPr>
              <w:widowControl/>
              <w:jc w:val="center"/>
              <w:rPr>
                <w:rFonts w:eastAsiaTheme="minorEastAsia"/>
                <w:kern w:val="0"/>
                <w:szCs w:val="21"/>
              </w:rPr>
            </w:pPr>
            <w:r>
              <w:rPr>
                <w:rFonts w:hAnsiTheme="minorEastAsia" w:eastAsiaTheme="minorEastAsia"/>
                <w:kern w:val="0"/>
                <w:szCs w:val="21"/>
              </w:rPr>
              <w:t>从石家塔拉水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石家塔</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vAlign w:val="center"/>
          </w:tcPr>
          <w:p>
            <w:pPr>
              <w:widowControl/>
              <w:jc w:val="center"/>
              <w:rPr>
                <w:rFonts w:eastAsiaTheme="minorEastAsia"/>
                <w:kern w:val="0"/>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靳家峁</w:t>
            </w:r>
          </w:p>
        </w:tc>
        <w:tc>
          <w:tcPr>
            <w:tcW w:w="463" w:type="pct"/>
            <w:noWrap/>
            <w:vAlign w:val="center"/>
          </w:tcPr>
          <w:p>
            <w:pPr>
              <w:widowControl/>
              <w:jc w:val="center"/>
              <w:rPr>
                <w:rFonts w:eastAsiaTheme="minorEastAsia"/>
                <w:kern w:val="0"/>
                <w:szCs w:val="21"/>
              </w:rPr>
            </w:pPr>
          </w:p>
        </w:tc>
        <w:tc>
          <w:tcPr>
            <w:tcW w:w="390" w:type="pct"/>
            <w:noWrap/>
            <w:vAlign w:val="center"/>
          </w:tcPr>
          <w:p>
            <w:pPr>
              <w:widowControl/>
              <w:jc w:val="center"/>
              <w:rPr>
                <w:rFonts w:eastAsiaTheme="minorEastAsia"/>
                <w:kern w:val="0"/>
                <w:szCs w:val="21"/>
              </w:rPr>
            </w:pPr>
          </w:p>
        </w:tc>
        <w:tc>
          <w:tcPr>
            <w:tcW w:w="1858" w:type="pct"/>
            <w:noWrap/>
            <w:vAlign w:val="center"/>
          </w:tcPr>
          <w:p>
            <w:pPr>
              <w:widowControl/>
              <w:jc w:val="center"/>
              <w:rPr>
                <w:rFonts w:eastAsiaTheme="minorEastAsia"/>
                <w:kern w:val="0"/>
                <w:szCs w:val="21"/>
              </w:rPr>
            </w:pPr>
          </w:p>
        </w:tc>
        <w:tc>
          <w:tcPr>
            <w:tcW w:w="436" w:type="pct"/>
            <w:noWrap/>
            <w:vAlign w:val="center"/>
          </w:tcPr>
          <w:p>
            <w:pPr>
              <w:widowControl/>
              <w:jc w:val="center"/>
              <w:rPr>
                <w:rFonts w:eastAsiaTheme="minorEastAsia"/>
                <w:kern w:val="0"/>
                <w:szCs w:val="21"/>
              </w:rPr>
            </w:pPr>
          </w:p>
        </w:tc>
        <w:tc>
          <w:tcPr>
            <w:tcW w:w="947" w:type="pct"/>
          </w:tcPr>
          <w:p>
            <w:pPr>
              <w:widowControl/>
              <w:jc w:val="center"/>
              <w:rPr>
                <w:rFonts w:eastAsiaTheme="minorEastAsia"/>
                <w:kern w:val="0"/>
                <w:szCs w:val="21"/>
              </w:rPr>
            </w:pPr>
            <w:r>
              <w:rPr>
                <w:rFonts w:hAnsiTheme="minorEastAsia" w:eastAsiaTheme="minorEastAsia"/>
                <w:kern w:val="0"/>
                <w:szCs w:val="21"/>
              </w:rPr>
              <w:t>从石家塔拉水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丰山</w:t>
            </w:r>
          </w:p>
        </w:tc>
        <w:tc>
          <w:tcPr>
            <w:tcW w:w="463" w:type="pct"/>
            <w:noWrap/>
            <w:vAlign w:val="center"/>
          </w:tcPr>
          <w:p>
            <w:pPr>
              <w:widowControl/>
              <w:jc w:val="center"/>
              <w:rPr>
                <w:rFonts w:eastAsiaTheme="minorEastAsia"/>
                <w:kern w:val="0"/>
                <w:szCs w:val="21"/>
              </w:rPr>
            </w:pPr>
          </w:p>
        </w:tc>
        <w:tc>
          <w:tcPr>
            <w:tcW w:w="390" w:type="pct"/>
            <w:noWrap/>
            <w:vAlign w:val="center"/>
          </w:tcPr>
          <w:p>
            <w:pPr>
              <w:widowControl/>
              <w:jc w:val="center"/>
              <w:rPr>
                <w:rFonts w:eastAsiaTheme="minorEastAsia"/>
                <w:kern w:val="0"/>
                <w:szCs w:val="21"/>
              </w:rPr>
            </w:pPr>
          </w:p>
        </w:tc>
        <w:tc>
          <w:tcPr>
            <w:tcW w:w="1858" w:type="pct"/>
            <w:noWrap/>
            <w:vAlign w:val="center"/>
          </w:tcPr>
          <w:p>
            <w:pPr>
              <w:widowControl/>
              <w:jc w:val="center"/>
              <w:rPr>
                <w:rFonts w:eastAsiaTheme="minorEastAsia"/>
                <w:kern w:val="0"/>
                <w:szCs w:val="21"/>
              </w:rPr>
            </w:pPr>
          </w:p>
        </w:tc>
        <w:tc>
          <w:tcPr>
            <w:tcW w:w="436" w:type="pct"/>
            <w:noWrap/>
            <w:vAlign w:val="center"/>
          </w:tcPr>
          <w:p>
            <w:pPr>
              <w:widowControl/>
              <w:jc w:val="center"/>
              <w:rPr>
                <w:rFonts w:eastAsiaTheme="minorEastAsia"/>
                <w:kern w:val="0"/>
                <w:szCs w:val="21"/>
              </w:rPr>
            </w:pPr>
          </w:p>
        </w:tc>
        <w:tc>
          <w:tcPr>
            <w:tcW w:w="947" w:type="pct"/>
          </w:tcPr>
          <w:p>
            <w:pPr>
              <w:widowControl/>
              <w:jc w:val="center"/>
              <w:rPr>
                <w:rFonts w:eastAsiaTheme="minorEastAsia"/>
                <w:kern w:val="0"/>
                <w:szCs w:val="21"/>
              </w:rPr>
            </w:pPr>
            <w:r>
              <w:rPr>
                <w:rFonts w:hAnsiTheme="minorEastAsia" w:eastAsiaTheme="minorEastAsia"/>
                <w:kern w:val="0"/>
                <w:szCs w:val="21"/>
              </w:rPr>
              <w:t>从石家塔拉水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白家峁</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奥陶系岩溶含水层</w:t>
            </w:r>
          </w:p>
        </w:tc>
        <w:tc>
          <w:tcPr>
            <w:tcW w:w="436" w:type="pct"/>
            <w:noWrap/>
            <w:vAlign w:val="center"/>
          </w:tcPr>
          <w:p>
            <w:pPr>
              <w:widowControl/>
              <w:jc w:val="center"/>
              <w:rPr>
                <w:rFonts w:eastAsiaTheme="minorEastAsia"/>
                <w:kern w:val="0"/>
                <w:szCs w:val="21"/>
              </w:rPr>
            </w:pP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龙王殿</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vAlign w:val="center"/>
          </w:tcPr>
          <w:p>
            <w:pPr>
              <w:widowControl/>
              <w:jc w:val="center"/>
              <w:rPr>
                <w:rFonts w:eastAsiaTheme="minorEastAsia"/>
                <w:kern w:val="0"/>
                <w:szCs w:val="21"/>
              </w:rPr>
            </w:pP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彩家庄</w:t>
            </w:r>
          </w:p>
        </w:tc>
        <w:tc>
          <w:tcPr>
            <w:tcW w:w="463" w:type="pct"/>
            <w:noWrap/>
            <w:vAlign w:val="center"/>
          </w:tcPr>
          <w:p>
            <w:pPr>
              <w:widowControl/>
              <w:jc w:val="center"/>
              <w:rPr>
                <w:rFonts w:eastAsiaTheme="minorEastAsia"/>
                <w:kern w:val="0"/>
                <w:szCs w:val="21"/>
              </w:rPr>
            </w:pPr>
          </w:p>
        </w:tc>
        <w:tc>
          <w:tcPr>
            <w:tcW w:w="390" w:type="pct"/>
            <w:noWrap/>
            <w:vAlign w:val="center"/>
          </w:tcPr>
          <w:p>
            <w:pPr>
              <w:widowControl/>
              <w:jc w:val="center"/>
              <w:rPr>
                <w:rFonts w:eastAsiaTheme="minorEastAsia"/>
                <w:kern w:val="0"/>
                <w:szCs w:val="21"/>
              </w:rPr>
            </w:pPr>
          </w:p>
        </w:tc>
        <w:tc>
          <w:tcPr>
            <w:tcW w:w="1858" w:type="pct"/>
            <w:noWrap/>
            <w:vAlign w:val="center"/>
          </w:tcPr>
          <w:p>
            <w:pPr>
              <w:widowControl/>
              <w:jc w:val="center"/>
              <w:rPr>
                <w:rFonts w:eastAsiaTheme="minorEastAsia"/>
                <w:kern w:val="0"/>
                <w:szCs w:val="21"/>
              </w:rPr>
            </w:pPr>
          </w:p>
        </w:tc>
        <w:tc>
          <w:tcPr>
            <w:tcW w:w="436" w:type="pct"/>
            <w:noWrap/>
            <w:vAlign w:val="center"/>
          </w:tcPr>
          <w:p>
            <w:pPr>
              <w:widowControl/>
              <w:jc w:val="center"/>
              <w:rPr>
                <w:rFonts w:eastAsiaTheme="minorEastAsia"/>
                <w:kern w:val="0"/>
                <w:szCs w:val="21"/>
              </w:rPr>
            </w:pPr>
          </w:p>
        </w:tc>
        <w:tc>
          <w:tcPr>
            <w:tcW w:w="947" w:type="pct"/>
          </w:tcPr>
          <w:p>
            <w:pPr>
              <w:widowControl/>
              <w:jc w:val="center"/>
              <w:rPr>
                <w:rFonts w:eastAsiaTheme="minorEastAsia"/>
                <w:kern w:val="0"/>
                <w:szCs w:val="21"/>
              </w:rPr>
            </w:pPr>
            <w:r>
              <w:rPr>
                <w:rFonts w:hAnsiTheme="minorEastAsia" w:eastAsiaTheme="minorEastAsia"/>
                <w:kern w:val="0"/>
                <w:szCs w:val="21"/>
              </w:rPr>
              <w:t>从</w:t>
            </w:r>
            <w:r>
              <w:rPr>
                <w:rFonts w:hAnsiTheme="minorEastAsia" w:eastAsiaTheme="minorEastAsia"/>
                <w:szCs w:val="21"/>
              </w:rPr>
              <w:t>庙焉拉水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庙焉</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深水井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奥陶系岩溶含水层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高家庄</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深水井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奥陶系岩溶含水层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南沟</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深水井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石炭系裂隙含水层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留林庄</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贺家塔</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908" w:type="pct"/>
            <w:noWrap/>
            <w:vAlign w:val="center"/>
          </w:tcPr>
          <w:p>
            <w:pPr>
              <w:jc w:val="center"/>
              <w:rPr>
                <w:rFonts w:eastAsiaTheme="minorEastAsia"/>
                <w:szCs w:val="21"/>
              </w:rPr>
            </w:pPr>
            <w:r>
              <w:rPr>
                <w:rFonts w:hAnsiTheme="minorEastAsia" w:eastAsiaTheme="minorEastAsia"/>
                <w:szCs w:val="21"/>
              </w:rPr>
              <w:t>水源村</w:t>
            </w:r>
          </w:p>
        </w:tc>
        <w:tc>
          <w:tcPr>
            <w:tcW w:w="463" w:type="pct"/>
            <w:noWrap/>
            <w:vAlign w:val="center"/>
          </w:tcPr>
          <w:p>
            <w:pPr>
              <w:widowControl/>
              <w:jc w:val="center"/>
              <w:rPr>
                <w:rFonts w:eastAsiaTheme="minorEastAsia"/>
                <w:kern w:val="0"/>
                <w:szCs w:val="21"/>
              </w:rPr>
            </w:pPr>
            <w:r>
              <w:rPr>
                <w:rFonts w:hAnsiTheme="minorEastAsia" w:eastAsiaTheme="minorEastAsia"/>
                <w:kern w:val="0"/>
                <w:szCs w:val="21"/>
              </w:rPr>
              <w:t>浅水井</w:t>
            </w:r>
          </w:p>
        </w:tc>
        <w:tc>
          <w:tcPr>
            <w:tcW w:w="390" w:type="pct"/>
            <w:noWrap/>
            <w:vAlign w:val="center"/>
          </w:tcPr>
          <w:p>
            <w:pPr>
              <w:widowControl/>
              <w:jc w:val="center"/>
              <w:rPr>
                <w:rFonts w:eastAsiaTheme="minorEastAsia"/>
                <w:kern w:val="0"/>
                <w:szCs w:val="21"/>
              </w:rPr>
            </w:pPr>
            <w:r>
              <w:rPr>
                <w:rFonts w:eastAsiaTheme="minorEastAsia"/>
                <w:kern w:val="0"/>
                <w:szCs w:val="21"/>
              </w:rPr>
              <w:t>1</w:t>
            </w:r>
          </w:p>
        </w:tc>
        <w:tc>
          <w:tcPr>
            <w:tcW w:w="1858" w:type="pct"/>
            <w:noWrap/>
            <w:vAlign w:val="center"/>
          </w:tcPr>
          <w:p>
            <w:pPr>
              <w:widowControl/>
              <w:jc w:val="center"/>
              <w:rPr>
                <w:rFonts w:eastAsiaTheme="minorEastAsia"/>
                <w:kern w:val="0"/>
                <w:szCs w:val="21"/>
              </w:rPr>
            </w:pPr>
            <w:r>
              <w:rPr>
                <w:rFonts w:hAnsiTheme="minorEastAsia" w:eastAsiaTheme="minorEastAsia"/>
                <w:kern w:val="0"/>
                <w:szCs w:val="21"/>
              </w:rPr>
              <w:t>第四系松散岩类孔隙含水层</w:t>
            </w:r>
          </w:p>
        </w:tc>
        <w:tc>
          <w:tcPr>
            <w:tcW w:w="436" w:type="pct"/>
            <w:noWrap/>
          </w:tcPr>
          <w:p>
            <w:pPr>
              <w:jc w:val="center"/>
              <w:rPr>
                <w:rFonts w:eastAsiaTheme="minorEastAsia"/>
                <w:szCs w:val="21"/>
              </w:rPr>
            </w:pPr>
            <w:r>
              <w:rPr>
                <w:rFonts w:hAnsiTheme="minorEastAsia" w:eastAsiaTheme="minorEastAsia"/>
                <w:kern w:val="0"/>
                <w:szCs w:val="21"/>
              </w:rPr>
              <w:t>饮用</w:t>
            </w:r>
          </w:p>
        </w:tc>
        <w:tc>
          <w:tcPr>
            <w:tcW w:w="947" w:type="pct"/>
          </w:tcPr>
          <w:p>
            <w:pPr>
              <w:widowControl/>
              <w:jc w:val="center"/>
              <w:rPr>
                <w:rFonts w:eastAsiaTheme="minorEastAsia"/>
                <w:kern w:val="0"/>
                <w:szCs w:val="21"/>
              </w:rPr>
            </w:pPr>
          </w:p>
        </w:tc>
      </w:tr>
    </w:tbl>
    <w:p>
      <w:pPr>
        <w:tabs>
          <w:tab w:val="left" w:pos="0"/>
        </w:tabs>
        <w:spacing w:line="360" w:lineRule="auto"/>
        <w:ind w:firstLine="480" w:firstLineChars="200"/>
        <w:rPr>
          <w:rFonts w:eastAsiaTheme="minorEastAsia"/>
          <w:sz w:val="24"/>
        </w:rPr>
      </w:pPr>
      <w:r>
        <w:rPr>
          <w:rFonts w:eastAsiaTheme="minorEastAsia"/>
          <w:sz w:val="24"/>
        </w:rPr>
        <w:t>2、对居民</w:t>
      </w:r>
      <w:r>
        <w:rPr>
          <w:rFonts w:eastAsiaTheme="minorEastAsia"/>
          <w:bCs/>
          <w:spacing w:val="4"/>
          <w:sz w:val="24"/>
        </w:rPr>
        <w:t>用水</w:t>
      </w:r>
      <w:r>
        <w:rPr>
          <w:rFonts w:eastAsiaTheme="minorEastAsia"/>
          <w:sz w:val="24"/>
        </w:rPr>
        <w:t>的影响分析</w:t>
      </w:r>
    </w:p>
    <w:p>
      <w:pPr>
        <w:spacing w:line="460" w:lineRule="exact"/>
        <w:ind w:firstLine="556"/>
        <w:rPr>
          <w:rFonts w:eastAsiaTheme="minorEastAsia"/>
          <w:sz w:val="24"/>
        </w:rPr>
      </w:pPr>
      <w:r>
        <w:rPr>
          <w:rFonts w:hAnsiTheme="minorEastAsia" w:eastAsiaTheme="minorEastAsia"/>
          <w:sz w:val="24"/>
        </w:rPr>
        <w:t>根据煤矿开采对上覆含水层的影响分析可知，</w:t>
      </w:r>
      <w:r>
        <w:rPr>
          <w:rFonts w:eastAsiaTheme="minorEastAsia"/>
          <w:sz w:val="24"/>
        </w:rPr>
        <w:t xml:space="preserve"> 4</w:t>
      </w:r>
      <w:r>
        <w:rPr>
          <w:rFonts w:hAnsiTheme="minorEastAsia" w:eastAsiaTheme="minorEastAsia"/>
          <w:sz w:val="24"/>
        </w:rPr>
        <w:t>、</w:t>
      </w:r>
      <w:r>
        <w:rPr>
          <w:rFonts w:eastAsiaTheme="minorEastAsia"/>
          <w:sz w:val="24"/>
        </w:rPr>
        <w:t>5</w:t>
      </w:r>
      <w:r>
        <w:rPr>
          <w:rFonts w:hAnsiTheme="minorEastAsia" w:eastAsiaTheme="minorEastAsia"/>
          <w:sz w:val="24"/>
        </w:rPr>
        <w:t>、</w:t>
      </w:r>
      <w:r>
        <w:rPr>
          <w:rFonts w:eastAsiaTheme="minorEastAsia"/>
          <w:sz w:val="24"/>
        </w:rPr>
        <w:t>8</w:t>
      </w:r>
      <w:r>
        <w:rPr>
          <w:rFonts w:hAnsiTheme="minorEastAsia" w:eastAsiaTheme="minorEastAsia"/>
          <w:sz w:val="24"/>
        </w:rPr>
        <w:t>、</w:t>
      </w:r>
      <w:r>
        <w:rPr>
          <w:rFonts w:eastAsiaTheme="minorEastAsia"/>
          <w:sz w:val="24"/>
        </w:rPr>
        <w:t>9</w:t>
      </w:r>
      <w:r>
        <w:rPr>
          <w:rFonts w:hAnsiTheme="minorEastAsia" w:eastAsiaTheme="minorEastAsia"/>
          <w:sz w:val="24"/>
        </w:rPr>
        <w:t>号煤层开采后最高导水裂隙带高度可达二叠系下统山西组</w:t>
      </w:r>
      <w:r>
        <w:rPr>
          <w:rFonts w:eastAsiaTheme="minorEastAsia"/>
          <w:sz w:val="24"/>
        </w:rPr>
        <w:t>K</w:t>
      </w:r>
      <w:r>
        <w:rPr>
          <w:rFonts w:eastAsiaTheme="minorEastAsia"/>
          <w:sz w:val="24"/>
          <w:vertAlign w:val="subscript"/>
        </w:rPr>
        <w:t>4</w:t>
      </w:r>
      <w:r>
        <w:rPr>
          <w:rFonts w:hAnsiTheme="minorEastAsia" w:eastAsiaTheme="minorEastAsia"/>
          <w:sz w:val="24"/>
        </w:rPr>
        <w:t>砂岩裂隙含水层，</w:t>
      </w:r>
      <w:r>
        <w:rPr>
          <w:rFonts w:hAnsiTheme="minorEastAsia" w:eastAsiaTheme="minorEastAsia"/>
          <w:kern w:val="24"/>
          <w:sz w:val="24"/>
        </w:rPr>
        <w:t>煤系上覆</w:t>
      </w:r>
      <w:r>
        <w:rPr>
          <w:rFonts w:hAnsiTheme="minorEastAsia" w:eastAsiaTheme="minorEastAsia"/>
          <w:sz w:val="24"/>
        </w:rPr>
        <w:t>二叠系下统山西组</w:t>
      </w:r>
      <w:r>
        <w:rPr>
          <w:rFonts w:eastAsiaTheme="minorEastAsia"/>
          <w:kern w:val="24"/>
          <w:sz w:val="24"/>
        </w:rPr>
        <w:t>K</w:t>
      </w:r>
      <w:r>
        <w:rPr>
          <w:rFonts w:eastAsiaTheme="minorEastAsia"/>
          <w:kern w:val="24"/>
          <w:sz w:val="24"/>
          <w:vertAlign w:val="subscript"/>
        </w:rPr>
        <w:t>3</w:t>
      </w:r>
      <w:r>
        <w:rPr>
          <w:rFonts w:hAnsiTheme="minorEastAsia" w:eastAsiaTheme="minorEastAsia"/>
          <w:kern w:val="24"/>
          <w:sz w:val="24"/>
        </w:rPr>
        <w:t>、</w:t>
      </w:r>
      <w:r>
        <w:rPr>
          <w:rFonts w:eastAsiaTheme="minorEastAsia"/>
          <w:kern w:val="24"/>
          <w:sz w:val="24"/>
        </w:rPr>
        <w:t>K</w:t>
      </w:r>
      <w:r>
        <w:rPr>
          <w:rFonts w:eastAsiaTheme="minorEastAsia"/>
          <w:kern w:val="24"/>
          <w:sz w:val="24"/>
          <w:vertAlign w:val="subscript"/>
        </w:rPr>
        <w:t>4</w:t>
      </w:r>
      <w:r>
        <w:rPr>
          <w:rFonts w:hAnsiTheme="minorEastAsia" w:eastAsiaTheme="minorEastAsia"/>
          <w:kern w:val="24"/>
          <w:sz w:val="24"/>
        </w:rPr>
        <w:t>含水层和</w:t>
      </w:r>
      <w:r>
        <w:rPr>
          <w:rFonts w:hAnsiTheme="minorEastAsia" w:eastAsiaTheme="minorEastAsia"/>
          <w:sz w:val="24"/>
        </w:rPr>
        <w:t>石炭系太原组</w:t>
      </w:r>
      <w:r>
        <w:rPr>
          <w:rFonts w:eastAsiaTheme="minorEastAsia"/>
          <w:sz w:val="24"/>
        </w:rPr>
        <w:t>L</w:t>
      </w:r>
      <w:r>
        <w:rPr>
          <w:rFonts w:eastAsiaTheme="minorEastAsia"/>
          <w:sz w:val="24"/>
          <w:vertAlign w:val="subscript"/>
        </w:rPr>
        <w:t>5</w:t>
      </w:r>
      <w:r>
        <w:rPr>
          <w:rFonts w:hAnsiTheme="minorEastAsia" w:eastAsiaTheme="minorEastAsia"/>
          <w:sz w:val="24"/>
        </w:rPr>
        <w:t>、</w:t>
      </w:r>
      <w:r>
        <w:rPr>
          <w:rFonts w:eastAsiaTheme="minorEastAsia"/>
          <w:sz w:val="24"/>
        </w:rPr>
        <w:t>L</w:t>
      </w:r>
      <w:r>
        <w:rPr>
          <w:rFonts w:eastAsiaTheme="minorEastAsia"/>
          <w:sz w:val="24"/>
          <w:vertAlign w:val="subscript"/>
        </w:rPr>
        <w:t>4</w:t>
      </w:r>
      <w:r>
        <w:rPr>
          <w:rFonts w:hAnsiTheme="minorEastAsia" w:eastAsiaTheme="minorEastAsia"/>
          <w:sz w:val="24"/>
        </w:rPr>
        <w:t>、</w:t>
      </w:r>
      <w:r>
        <w:rPr>
          <w:rFonts w:eastAsiaTheme="minorEastAsia"/>
          <w:sz w:val="24"/>
        </w:rPr>
        <w:t>L</w:t>
      </w:r>
      <w:r>
        <w:rPr>
          <w:rFonts w:eastAsiaTheme="minorEastAsia"/>
          <w:sz w:val="24"/>
          <w:vertAlign w:val="subscript"/>
        </w:rPr>
        <w:t>3</w:t>
      </w:r>
      <w:r>
        <w:rPr>
          <w:rFonts w:eastAsiaTheme="minorEastAsia"/>
          <w:sz w:val="24"/>
        </w:rPr>
        <w:t>+L</w:t>
      </w:r>
      <w:r>
        <w:rPr>
          <w:rFonts w:eastAsiaTheme="minorEastAsia"/>
          <w:sz w:val="24"/>
          <w:vertAlign w:val="subscript"/>
        </w:rPr>
        <w:t>2</w:t>
      </w:r>
      <w:r>
        <w:rPr>
          <w:rFonts w:eastAsiaTheme="minorEastAsia"/>
          <w:sz w:val="24"/>
        </w:rPr>
        <w:t>+L</w:t>
      </w:r>
      <w:r>
        <w:rPr>
          <w:rFonts w:eastAsiaTheme="minorEastAsia"/>
          <w:sz w:val="24"/>
          <w:vertAlign w:val="subscript"/>
        </w:rPr>
        <w:t>1</w:t>
      </w:r>
      <w:r>
        <w:rPr>
          <w:rFonts w:hAnsiTheme="minorEastAsia" w:eastAsiaTheme="minorEastAsia"/>
          <w:sz w:val="24"/>
        </w:rPr>
        <w:t>五层石灰岩岩溶裂隙含水层</w:t>
      </w:r>
      <w:r>
        <w:rPr>
          <w:rFonts w:hAnsiTheme="minorEastAsia" w:eastAsiaTheme="minorEastAsia"/>
          <w:kern w:val="24"/>
          <w:sz w:val="24"/>
        </w:rPr>
        <w:t>会被导水裂隙带直接导通，</w:t>
      </w:r>
      <w:r>
        <w:rPr>
          <w:rFonts w:hAnsiTheme="minorEastAsia" w:eastAsiaTheme="minorEastAsia"/>
          <w:sz w:val="24"/>
        </w:rPr>
        <w:t>使含水层地下水转化为矿井水，通过矿井排水的方式排出。</w:t>
      </w:r>
      <w:r>
        <w:rPr>
          <w:rFonts w:hAnsiTheme="minorEastAsia" w:eastAsiaTheme="minorEastAsia"/>
          <w:kern w:val="24"/>
          <w:sz w:val="24"/>
        </w:rPr>
        <w:t>另外虽然最大导水裂隙带高度不会直接导通第四系</w:t>
      </w:r>
      <w:r>
        <w:rPr>
          <w:rFonts w:hAnsiTheme="minorEastAsia" w:eastAsiaTheme="minorEastAsia"/>
          <w:sz w:val="24"/>
        </w:rPr>
        <w:t>松散岩类孔隙含水层</w:t>
      </w:r>
      <w:r>
        <w:rPr>
          <w:rFonts w:hAnsiTheme="minorEastAsia" w:eastAsiaTheme="minorEastAsia"/>
          <w:kern w:val="24"/>
          <w:sz w:val="24"/>
        </w:rPr>
        <w:t>和</w:t>
      </w:r>
      <w:r>
        <w:rPr>
          <w:rFonts w:hAnsiTheme="minorEastAsia" w:eastAsiaTheme="minorEastAsia"/>
          <w:sz w:val="24"/>
        </w:rPr>
        <w:t>二叠系上石盒子组</w:t>
      </w:r>
      <w:r>
        <w:rPr>
          <w:rFonts w:eastAsiaTheme="minorEastAsia"/>
          <w:kern w:val="24"/>
          <w:sz w:val="24"/>
        </w:rPr>
        <w:t>K</w:t>
      </w:r>
      <w:r>
        <w:rPr>
          <w:rFonts w:eastAsiaTheme="minorEastAsia"/>
          <w:kern w:val="24"/>
          <w:sz w:val="24"/>
          <w:vertAlign w:val="subscript"/>
        </w:rPr>
        <w:t>6</w:t>
      </w:r>
      <w:r>
        <w:rPr>
          <w:rFonts w:hAnsiTheme="minorEastAsia" w:eastAsiaTheme="minorEastAsia"/>
          <w:kern w:val="24"/>
          <w:sz w:val="24"/>
        </w:rPr>
        <w:t>含水层</w:t>
      </w:r>
      <w:r>
        <w:rPr>
          <w:rFonts w:hAnsiTheme="minorEastAsia" w:eastAsiaTheme="minorEastAsia"/>
          <w:sz w:val="24"/>
        </w:rPr>
        <w:t>，但是煤层采空后形成的下沉带，可能会造成地表塌陷，诱发裂缝并影响到地表，通过这些裂缝</w:t>
      </w:r>
      <w:r>
        <w:rPr>
          <w:rFonts w:hAnsiTheme="minorEastAsia" w:eastAsiaTheme="minorEastAsia"/>
          <w:kern w:val="24"/>
          <w:sz w:val="24"/>
        </w:rPr>
        <w:t>第四系</w:t>
      </w:r>
      <w:r>
        <w:rPr>
          <w:rFonts w:hAnsiTheme="minorEastAsia" w:eastAsiaTheme="minorEastAsia"/>
          <w:sz w:val="24"/>
        </w:rPr>
        <w:t>松散岩类孔隙含水层</w:t>
      </w:r>
      <w:r>
        <w:rPr>
          <w:rFonts w:hAnsiTheme="minorEastAsia" w:eastAsiaTheme="minorEastAsia"/>
          <w:kern w:val="24"/>
          <w:sz w:val="24"/>
        </w:rPr>
        <w:t>和</w:t>
      </w:r>
      <w:r>
        <w:rPr>
          <w:rFonts w:hAnsiTheme="minorEastAsia" w:eastAsiaTheme="minorEastAsia"/>
          <w:sz w:val="24"/>
        </w:rPr>
        <w:t>二叠系上石盒子组</w:t>
      </w:r>
      <w:r>
        <w:rPr>
          <w:rFonts w:eastAsiaTheme="minorEastAsia"/>
          <w:kern w:val="24"/>
          <w:sz w:val="24"/>
        </w:rPr>
        <w:t>K</w:t>
      </w:r>
      <w:r>
        <w:rPr>
          <w:rFonts w:eastAsiaTheme="minorEastAsia"/>
          <w:kern w:val="24"/>
          <w:sz w:val="24"/>
          <w:vertAlign w:val="subscript"/>
        </w:rPr>
        <w:t>6</w:t>
      </w:r>
      <w:r>
        <w:rPr>
          <w:rFonts w:hAnsiTheme="minorEastAsia" w:eastAsiaTheme="minorEastAsia"/>
          <w:kern w:val="24"/>
          <w:sz w:val="24"/>
        </w:rPr>
        <w:t>含水层可能会</w:t>
      </w:r>
      <w:r>
        <w:rPr>
          <w:rFonts w:hAnsiTheme="minorEastAsia" w:eastAsiaTheme="minorEastAsia"/>
          <w:sz w:val="24"/>
        </w:rPr>
        <w:t>受到影响。根据导水裂隙带发育情况及数值模拟结果可知，</w:t>
      </w:r>
      <w:r>
        <w:rPr>
          <w:rFonts w:eastAsiaTheme="minorEastAsia"/>
          <w:sz w:val="24"/>
        </w:rPr>
        <w:t>4</w:t>
      </w:r>
      <w:r>
        <w:rPr>
          <w:rFonts w:hAnsiTheme="minorEastAsia" w:eastAsiaTheme="minorEastAsia"/>
          <w:sz w:val="24"/>
        </w:rPr>
        <w:t>、</w:t>
      </w:r>
      <w:r>
        <w:rPr>
          <w:rFonts w:eastAsiaTheme="minorEastAsia"/>
          <w:sz w:val="24"/>
        </w:rPr>
        <w:t>5</w:t>
      </w:r>
      <w:r>
        <w:rPr>
          <w:rFonts w:hAnsiTheme="minorEastAsia" w:eastAsiaTheme="minorEastAsia"/>
          <w:sz w:val="24"/>
        </w:rPr>
        <w:t>、</w:t>
      </w:r>
      <w:r>
        <w:rPr>
          <w:rFonts w:eastAsiaTheme="minorEastAsia"/>
          <w:sz w:val="24"/>
        </w:rPr>
        <w:t>8</w:t>
      </w:r>
      <w:r>
        <w:rPr>
          <w:rFonts w:hAnsiTheme="minorEastAsia" w:eastAsiaTheme="minorEastAsia"/>
          <w:sz w:val="24"/>
        </w:rPr>
        <w:t>、</w:t>
      </w:r>
      <w:r>
        <w:rPr>
          <w:rFonts w:eastAsiaTheme="minorEastAsia"/>
          <w:sz w:val="24"/>
        </w:rPr>
        <w:t>9</w:t>
      </w:r>
      <w:r>
        <w:rPr>
          <w:rFonts w:hAnsiTheme="minorEastAsia" w:eastAsiaTheme="minorEastAsia"/>
          <w:sz w:val="24"/>
        </w:rPr>
        <w:t>号煤层开采后，影响范围面积约为</w:t>
      </w:r>
      <w:r>
        <w:rPr>
          <w:rFonts w:eastAsiaTheme="minorEastAsia"/>
          <w:sz w:val="24"/>
        </w:rPr>
        <w:t>11.47km</w:t>
      </w:r>
      <w:r>
        <w:rPr>
          <w:rFonts w:eastAsiaTheme="minorEastAsia"/>
          <w:sz w:val="24"/>
          <w:vertAlign w:val="superscript"/>
        </w:rPr>
        <w:t>2</w:t>
      </w:r>
      <w:r>
        <w:rPr>
          <w:rFonts w:hAnsiTheme="minorEastAsia" w:eastAsiaTheme="minorEastAsia"/>
          <w:sz w:val="24"/>
        </w:rPr>
        <w:t>，该范围内的村庄第四系浅水井将会受到影响。</w:t>
      </w:r>
    </w:p>
    <w:p>
      <w:pPr>
        <w:spacing w:line="460" w:lineRule="exact"/>
        <w:ind w:firstLine="556"/>
        <w:rPr>
          <w:rFonts w:eastAsiaTheme="minorEastAsia"/>
          <w:sz w:val="24"/>
        </w:rPr>
      </w:pPr>
      <w:r>
        <w:rPr>
          <w:rFonts w:hAnsiTheme="minorEastAsia" w:eastAsiaTheme="minorEastAsia"/>
          <w:sz w:val="24"/>
        </w:rPr>
        <w:t>根据本项目井田周边其他矿井的分布情况，本项目井田北、西、南侧分别有矿井紧邻，位于其井田内村庄供水情况对应由其负责，本项目只考虑本井田内及井田东侧评价范围内村庄供水。井田范围内大长、后庄、丰山、红崖、新窑上、高家庄均拟搬迁，搬迁后不受矿井开采影响，因此不考虑其供水预案。</w:t>
      </w:r>
    </w:p>
    <w:p>
      <w:pPr>
        <w:spacing w:line="460" w:lineRule="exact"/>
        <w:ind w:firstLine="556"/>
        <w:rPr>
          <w:rFonts w:eastAsiaTheme="minorEastAsia"/>
          <w:sz w:val="24"/>
        </w:rPr>
      </w:pPr>
      <w:r>
        <w:rPr>
          <w:rFonts w:hAnsiTheme="minorEastAsia" w:eastAsiaTheme="minorEastAsia"/>
          <w:sz w:val="24"/>
        </w:rPr>
        <w:t>小塔则、工农庄、留林庄及双坪上村民饮水部分取自招贤镇水源地水井，部分取自现有浅水井，此部分村庄均位于井田东北侧。根据井田水文地质条件可知，浅水地下水流向为东南</w:t>
      </w:r>
      <w:r>
        <w:rPr>
          <w:rFonts w:eastAsiaTheme="minorEastAsia"/>
          <w:sz w:val="24"/>
        </w:rPr>
        <w:t>-</w:t>
      </w:r>
      <w:r>
        <w:rPr>
          <w:rFonts w:hAnsiTheme="minorEastAsia" w:eastAsiaTheme="minorEastAsia"/>
          <w:sz w:val="24"/>
        </w:rPr>
        <w:t>西北方向，补给来源主要为大气降水，结合矿井开拓小塔则、工农庄、留林庄及双坪上均留设煤柱（各浅水井均位于保护煤柱内），且水井距煤层开采边界大于影响半径，综合分析，小塔则、工农庄、留林庄及双坪上供水不受煤层开采影响。</w:t>
      </w:r>
    </w:p>
    <w:p>
      <w:pPr>
        <w:spacing w:line="460" w:lineRule="exact"/>
        <w:ind w:firstLine="556"/>
        <w:rPr>
          <w:rFonts w:eastAsiaTheme="minorEastAsia"/>
          <w:sz w:val="24"/>
        </w:rPr>
      </w:pPr>
      <w:r>
        <w:rPr>
          <w:rFonts w:hAnsiTheme="minorEastAsia" w:eastAsiaTheme="minorEastAsia"/>
          <w:sz w:val="24"/>
        </w:rPr>
        <w:t>井田内前庄和水源村村民饮水均取自浅水井，由于矿井开采破坏其径流区，因此其饮水会受到影响。因前庄大部分区域（包括水井）位于山西中铝煤业有限公司碛口煤矿，因此前庄供水事宜由其负责；水源村大致均分在新工煤矿、山西中铝煤业有限公司碛口煤矿和临县胜利煤焦有限责任公司，因此评价要求在水源村村民饮水困难时，以新工煤矿为实施主体，从备用水源井引水，三家共同负责供水事宜，费用均摊。</w:t>
      </w:r>
    </w:p>
    <w:p>
      <w:pPr>
        <w:tabs>
          <w:tab w:val="left" w:pos="0"/>
        </w:tabs>
        <w:spacing w:line="360" w:lineRule="auto"/>
        <w:ind w:firstLine="496" w:firstLineChars="200"/>
        <w:rPr>
          <w:rFonts w:eastAsiaTheme="minorEastAsia"/>
          <w:bCs/>
          <w:spacing w:val="4"/>
          <w:sz w:val="24"/>
        </w:rPr>
      </w:pPr>
      <w:r>
        <w:rPr>
          <w:rFonts w:eastAsiaTheme="minorEastAsia"/>
          <w:bCs/>
          <w:spacing w:val="4"/>
          <w:sz w:val="24"/>
        </w:rPr>
        <w:t>3、供水预案</w:t>
      </w:r>
    </w:p>
    <w:p>
      <w:pPr>
        <w:spacing w:line="460" w:lineRule="exact"/>
        <w:ind w:firstLine="556"/>
        <w:rPr>
          <w:rFonts w:eastAsiaTheme="minorEastAsia"/>
          <w:sz w:val="24"/>
        </w:rPr>
      </w:pPr>
      <w:r>
        <w:rPr>
          <w:rFonts w:hAnsiTheme="minorEastAsia" w:eastAsiaTheme="minorEastAsia"/>
          <w:sz w:val="24"/>
        </w:rPr>
        <w:t>为避免将来煤炭开采对居民生活用水造成困难，评价提出对井田及周边每个村庄的生活水源设点进行长期跟踪观测和监测，主要观测居民水源的水位、水量的变化情况，一旦发现居民生活水源受到了沉陷的影响，煤矿应立即采取措施向受影响的居民供水。</w:t>
      </w:r>
    </w:p>
    <w:p>
      <w:pPr>
        <w:spacing w:line="360" w:lineRule="auto"/>
        <w:ind w:firstLine="482" w:firstLineChars="200"/>
        <w:jc w:val="center"/>
        <w:rPr>
          <w:rFonts w:hAnsi="宋体"/>
          <w:b/>
          <w:sz w:val="24"/>
        </w:rPr>
      </w:pPr>
    </w:p>
    <w:p>
      <w:pPr>
        <w:spacing w:line="360" w:lineRule="auto"/>
        <w:ind w:firstLine="482" w:firstLineChars="200"/>
        <w:jc w:val="center"/>
        <w:rPr>
          <w:rFonts w:hAnsi="宋体"/>
          <w:b/>
          <w:sz w:val="24"/>
        </w:rPr>
      </w:pPr>
    </w:p>
    <w:p>
      <w:pPr>
        <w:spacing w:line="360" w:lineRule="auto"/>
        <w:ind w:firstLine="482" w:firstLineChars="200"/>
        <w:jc w:val="center"/>
        <w:rPr>
          <w:b/>
          <w:sz w:val="24"/>
        </w:rPr>
      </w:pPr>
      <w:r>
        <w:rPr>
          <w:rFonts w:hAnsi="宋体"/>
          <w:b/>
          <w:sz w:val="24"/>
        </w:rPr>
        <w:t>表</w:t>
      </w:r>
      <w:r>
        <w:rPr>
          <w:b/>
          <w:sz w:val="24"/>
        </w:rPr>
        <w:t>5-</w:t>
      </w:r>
      <w:r>
        <w:rPr>
          <w:rFonts w:hint="eastAsia"/>
          <w:b/>
          <w:sz w:val="24"/>
        </w:rPr>
        <w:t>7</w:t>
      </w:r>
      <w:r>
        <w:rPr>
          <w:b/>
          <w:sz w:val="24"/>
        </w:rPr>
        <w:t xml:space="preserve">-1 </w:t>
      </w:r>
      <w:r>
        <w:rPr>
          <w:rFonts w:hAnsi="宋体"/>
          <w:b/>
          <w:sz w:val="24"/>
        </w:rPr>
        <w:t>评价区内受影响村庄供水预案</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958"/>
        <w:gridCol w:w="680"/>
        <w:gridCol w:w="817"/>
        <w:gridCol w:w="1655"/>
        <w:gridCol w:w="1276"/>
        <w:gridCol w:w="212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88" w:type="pct"/>
            <w:vAlign w:val="center"/>
          </w:tcPr>
          <w:p>
            <w:pPr>
              <w:widowControl/>
              <w:jc w:val="center"/>
              <w:rPr>
                <w:rFonts w:eastAsiaTheme="minorEastAsia"/>
                <w:kern w:val="0"/>
                <w:szCs w:val="21"/>
              </w:rPr>
            </w:pPr>
            <w:r>
              <w:rPr>
                <w:rFonts w:hAnsiTheme="minorEastAsia" w:eastAsiaTheme="minorEastAsia"/>
                <w:kern w:val="0"/>
                <w:szCs w:val="21"/>
              </w:rPr>
              <w:t>编号</w:t>
            </w:r>
          </w:p>
        </w:tc>
        <w:tc>
          <w:tcPr>
            <w:tcW w:w="516" w:type="pct"/>
            <w:vAlign w:val="center"/>
          </w:tcPr>
          <w:p>
            <w:pPr>
              <w:widowControl/>
              <w:jc w:val="center"/>
              <w:rPr>
                <w:rFonts w:eastAsiaTheme="minorEastAsia"/>
                <w:kern w:val="0"/>
                <w:szCs w:val="21"/>
              </w:rPr>
            </w:pPr>
            <w:r>
              <w:rPr>
                <w:rFonts w:hAnsiTheme="minorEastAsia" w:eastAsiaTheme="minorEastAsia"/>
                <w:kern w:val="0"/>
                <w:szCs w:val="21"/>
              </w:rPr>
              <w:t>保护对象</w:t>
            </w:r>
          </w:p>
        </w:tc>
        <w:tc>
          <w:tcPr>
            <w:tcW w:w="366" w:type="pct"/>
            <w:vAlign w:val="center"/>
          </w:tcPr>
          <w:p>
            <w:pPr>
              <w:widowControl/>
              <w:jc w:val="center"/>
              <w:rPr>
                <w:rFonts w:eastAsiaTheme="minorEastAsia"/>
                <w:kern w:val="0"/>
                <w:szCs w:val="21"/>
              </w:rPr>
            </w:pPr>
            <w:r>
              <w:rPr>
                <w:rFonts w:hAnsiTheme="minorEastAsia" w:eastAsiaTheme="minorEastAsia"/>
                <w:kern w:val="0"/>
                <w:szCs w:val="21"/>
              </w:rPr>
              <w:t>户数</w:t>
            </w:r>
          </w:p>
        </w:tc>
        <w:tc>
          <w:tcPr>
            <w:tcW w:w="440" w:type="pct"/>
            <w:vAlign w:val="center"/>
          </w:tcPr>
          <w:p>
            <w:pPr>
              <w:widowControl/>
              <w:jc w:val="center"/>
              <w:rPr>
                <w:rFonts w:eastAsiaTheme="minorEastAsia"/>
                <w:kern w:val="0"/>
                <w:szCs w:val="21"/>
              </w:rPr>
            </w:pPr>
            <w:r>
              <w:rPr>
                <w:rFonts w:hAnsiTheme="minorEastAsia" w:eastAsiaTheme="minorEastAsia"/>
                <w:kern w:val="0"/>
                <w:szCs w:val="21"/>
              </w:rPr>
              <w:t>人数</w:t>
            </w:r>
          </w:p>
        </w:tc>
        <w:tc>
          <w:tcPr>
            <w:tcW w:w="891" w:type="pct"/>
            <w:vAlign w:val="center"/>
          </w:tcPr>
          <w:p>
            <w:pPr>
              <w:widowControl/>
              <w:jc w:val="center"/>
              <w:rPr>
                <w:rFonts w:eastAsiaTheme="minorEastAsia"/>
                <w:kern w:val="0"/>
                <w:szCs w:val="21"/>
              </w:rPr>
            </w:pPr>
            <w:r>
              <w:rPr>
                <w:rFonts w:hAnsiTheme="minorEastAsia" w:eastAsiaTheme="minorEastAsia"/>
                <w:kern w:val="0"/>
                <w:szCs w:val="21"/>
              </w:rPr>
              <w:t>现有供水措施</w:t>
            </w:r>
          </w:p>
        </w:tc>
        <w:tc>
          <w:tcPr>
            <w:tcW w:w="687" w:type="pct"/>
            <w:vAlign w:val="center"/>
          </w:tcPr>
          <w:p>
            <w:pPr>
              <w:widowControl/>
              <w:jc w:val="center"/>
              <w:rPr>
                <w:rFonts w:eastAsiaTheme="minorEastAsia"/>
                <w:kern w:val="0"/>
                <w:szCs w:val="21"/>
              </w:rPr>
            </w:pPr>
            <w:r>
              <w:rPr>
                <w:rFonts w:hAnsiTheme="minorEastAsia" w:eastAsiaTheme="minorEastAsia"/>
                <w:kern w:val="0"/>
                <w:szCs w:val="21"/>
              </w:rPr>
              <w:t>是否受影响</w:t>
            </w:r>
          </w:p>
        </w:tc>
        <w:tc>
          <w:tcPr>
            <w:tcW w:w="1144" w:type="pct"/>
            <w:vAlign w:val="center"/>
          </w:tcPr>
          <w:p>
            <w:pPr>
              <w:widowControl/>
              <w:jc w:val="center"/>
              <w:rPr>
                <w:rFonts w:eastAsiaTheme="minorEastAsia"/>
                <w:kern w:val="0"/>
                <w:szCs w:val="21"/>
              </w:rPr>
            </w:pPr>
            <w:r>
              <w:rPr>
                <w:rFonts w:hAnsiTheme="minorEastAsia" w:eastAsiaTheme="minorEastAsia"/>
                <w:kern w:val="0"/>
                <w:szCs w:val="21"/>
              </w:rPr>
              <w:t>供水预案</w:t>
            </w:r>
          </w:p>
        </w:tc>
        <w:tc>
          <w:tcPr>
            <w:tcW w:w="668" w:type="pct"/>
            <w:vAlign w:val="center"/>
          </w:tcPr>
          <w:p>
            <w:pPr>
              <w:widowControl/>
              <w:jc w:val="center"/>
              <w:rPr>
                <w:rFonts w:eastAsiaTheme="minorEastAsia"/>
                <w:kern w:val="0"/>
                <w:szCs w:val="21"/>
              </w:rPr>
            </w:pPr>
            <w:r>
              <w:rPr>
                <w:rFonts w:hAnsiTheme="minorEastAsia" w:eastAsiaTheme="minorEastAsia"/>
                <w:kern w:val="0"/>
                <w:szCs w:val="21"/>
              </w:rPr>
              <w:t>投资</w:t>
            </w:r>
          </w:p>
          <w:p>
            <w:pPr>
              <w:widowControl/>
              <w:jc w:val="center"/>
              <w:rPr>
                <w:rFonts w:eastAsiaTheme="minorEastAsia"/>
                <w:kern w:val="0"/>
                <w:szCs w:val="21"/>
              </w:rPr>
            </w:pPr>
            <w:r>
              <w:rPr>
                <w:rFonts w:hAnsiTheme="minorEastAsia" w:eastAsiaTheme="minorEastAsia"/>
                <w:kern w:val="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88" w:type="pct"/>
            <w:vAlign w:val="center"/>
          </w:tcPr>
          <w:p>
            <w:pPr>
              <w:widowControl/>
              <w:jc w:val="center"/>
              <w:rPr>
                <w:rFonts w:eastAsiaTheme="minorEastAsia"/>
                <w:kern w:val="0"/>
                <w:szCs w:val="21"/>
              </w:rPr>
            </w:pPr>
            <w:r>
              <w:rPr>
                <w:rFonts w:eastAsiaTheme="minorEastAsia"/>
                <w:kern w:val="0"/>
                <w:szCs w:val="21"/>
              </w:rPr>
              <w:t>1</w:t>
            </w:r>
          </w:p>
        </w:tc>
        <w:tc>
          <w:tcPr>
            <w:tcW w:w="516" w:type="pct"/>
            <w:vAlign w:val="center"/>
          </w:tcPr>
          <w:p>
            <w:pPr>
              <w:widowControl/>
              <w:jc w:val="center"/>
              <w:rPr>
                <w:rFonts w:eastAsiaTheme="minorEastAsia"/>
                <w:kern w:val="0"/>
                <w:szCs w:val="21"/>
              </w:rPr>
            </w:pPr>
            <w:r>
              <w:rPr>
                <w:rFonts w:hAnsiTheme="minorEastAsia" w:eastAsiaTheme="minorEastAsia"/>
                <w:kern w:val="0"/>
                <w:szCs w:val="21"/>
              </w:rPr>
              <w:t>水源村</w:t>
            </w:r>
          </w:p>
        </w:tc>
        <w:tc>
          <w:tcPr>
            <w:tcW w:w="366" w:type="pct"/>
            <w:vAlign w:val="center"/>
          </w:tcPr>
          <w:p>
            <w:pPr>
              <w:spacing w:line="320" w:lineRule="exact"/>
              <w:jc w:val="center"/>
              <w:rPr>
                <w:rFonts w:eastAsiaTheme="minorEastAsia"/>
                <w:bCs/>
              </w:rPr>
            </w:pPr>
            <w:r>
              <w:rPr>
                <w:rFonts w:eastAsiaTheme="minorEastAsia"/>
                <w:bCs/>
              </w:rPr>
              <w:t>168</w:t>
            </w:r>
          </w:p>
        </w:tc>
        <w:tc>
          <w:tcPr>
            <w:tcW w:w="440" w:type="pct"/>
            <w:vAlign w:val="center"/>
          </w:tcPr>
          <w:p>
            <w:pPr>
              <w:spacing w:line="320" w:lineRule="exact"/>
              <w:jc w:val="center"/>
              <w:rPr>
                <w:rFonts w:eastAsiaTheme="minorEastAsia"/>
                <w:bCs/>
              </w:rPr>
            </w:pPr>
            <w:r>
              <w:rPr>
                <w:rFonts w:eastAsiaTheme="minorEastAsia"/>
                <w:bCs/>
              </w:rPr>
              <w:t>592</w:t>
            </w:r>
          </w:p>
        </w:tc>
        <w:tc>
          <w:tcPr>
            <w:tcW w:w="891" w:type="pct"/>
            <w:vAlign w:val="center"/>
          </w:tcPr>
          <w:p>
            <w:pPr>
              <w:widowControl/>
              <w:jc w:val="center"/>
              <w:rPr>
                <w:rFonts w:eastAsiaTheme="minorEastAsia"/>
                <w:kern w:val="0"/>
                <w:szCs w:val="21"/>
              </w:rPr>
            </w:pPr>
            <w:r>
              <w:rPr>
                <w:rFonts w:hAnsiTheme="minorEastAsia" w:eastAsiaTheme="minorEastAsia"/>
                <w:kern w:val="0"/>
                <w:szCs w:val="21"/>
              </w:rPr>
              <w:t>取自浅水井</w:t>
            </w:r>
          </w:p>
        </w:tc>
        <w:tc>
          <w:tcPr>
            <w:tcW w:w="687" w:type="pct"/>
            <w:vAlign w:val="center"/>
          </w:tcPr>
          <w:p>
            <w:pPr>
              <w:widowControl/>
              <w:jc w:val="center"/>
              <w:rPr>
                <w:rFonts w:eastAsiaTheme="minorEastAsia"/>
                <w:kern w:val="0"/>
                <w:szCs w:val="21"/>
              </w:rPr>
            </w:pPr>
            <w:r>
              <w:rPr>
                <w:rFonts w:hAnsiTheme="minorEastAsia" w:eastAsiaTheme="minorEastAsia"/>
                <w:kern w:val="0"/>
                <w:szCs w:val="21"/>
              </w:rPr>
              <w:t>间接影响</w:t>
            </w:r>
          </w:p>
        </w:tc>
        <w:tc>
          <w:tcPr>
            <w:tcW w:w="1144" w:type="pct"/>
            <w:vAlign w:val="center"/>
          </w:tcPr>
          <w:p>
            <w:pPr>
              <w:widowControl/>
              <w:jc w:val="center"/>
              <w:rPr>
                <w:rFonts w:eastAsiaTheme="minorEastAsia"/>
                <w:kern w:val="0"/>
                <w:szCs w:val="21"/>
              </w:rPr>
            </w:pPr>
            <w:r>
              <w:rPr>
                <w:rFonts w:hAnsiTheme="minorEastAsia" w:eastAsiaTheme="minorEastAsia"/>
                <w:kern w:val="0"/>
                <w:szCs w:val="21"/>
              </w:rPr>
              <w:t>利用招贤镇水源地水井，建设</w:t>
            </w:r>
            <w:r>
              <w:rPr>
                <w:rFonts w:eastAsiaTheme="minorEastAsia"/>
                <w:kern w:val="0"/>
                <w:szCs w:val="21"/>
              </w:rPr>
              <w:t>50m</w:t>
            </w:r>
            <w:r>
              <w:rPr>
                <w:rFonts w:eastAsiaTheme="minorEastAsia"/>
                <w:kern w:val="0"/>
                <w:szCs w:val="21"/>
                <w:vertAlign w:val="superscript"/>
              </w:rPr>
              <w:t>3</w:t>
            </w:r>
            <w:r>
              <w:rPr>
                <w:rFonts w:hAnsiTheme="minorEastAsia" w:eastAsiaTheme="minorEastAsia"/>
                <w:kern w:val="0"/>
                <w:szCs w:val="21"/>
              </w:rPr>
              <w:t>水池，布设管道供水</w:t>
            </w:r>
          </w:p>
        </w:tc>
        <w:tc>
          <w:tcPr>
            <w:tcW w:w="668" w:type="pct"/>
            <w:vAlign w:val="center"/>
          </w:tcPr>
          <w:p>
            <w:pPr>
              <w:widowControl/>
              <w:jc w:val="center"/>
              <w:rPr>
                <w:rFonts w:eastAsiaTheme="minorEastAsia"/>
                <w:kern w:val="0"/>
                <w:szCs w:val="21"/>
              </w:rPr>
            </w:pPr>
            <w:r>
              <w:rPr>
                <w:rFonts w:eastAsiaTheme="minorEastAsia"/>
                <w:kern w:val="0"/>
                <w:szCs w:val="21"/>
              </w:rPr>
              <w:t>60</w:t>
            </w:r>
          </w:p>
        </w:tc>
      </w:tr>
    </w:tbl>
    <w:p>
      <w:pPr>
        <w:spacing w:line="360" w:lineRule="auto"/>
        <w:outlineLvl w:val="2"/>
        <w:rPr>
          <w:rFonts w:eastAsiaTheme="minorEastAsia"/>
          <w:b/>
          <w:sz w:val="24"/>
        </w:rPr>
      </w:pPr>
      <w:r>
        <w:rPr>
          <w:rFonts w:eastAsiaTheme="minorEastAsia"/>
          <w:b/>
          <w:sz w:val="24"/>
        </w:rPr>
        <w:t>5.4.7对水源地的影响</w:t>
      </w:r>
    </w:p>
    <w:p>
      <w:pPr>
        <w:spacing w:line="460" w:lineRule="exact"/>
        <w:ind w:firstLine="480" w:firstLineChars="200"/>
        <w:rPr>
          <w:rFonts w:eastAsiaTheme="minorEastAsia"/>
          <w:sz w:val="24"/>
        </w:rPr>
      </w:pPr>
      <w:r>
        <w:rPr>
          <w:rFonts w:hAnsiTheme="minorEastAsia" w:eastAsiaTheme="minorEastAsia"/>
          <w:sz w:val="24"/>
        </w:rPr>
        <w:t>招贤镇集中供水水源地经过实地勘察，并经专家鉴定，水源地取水层为奥陶系中统岩溶承压含水层。</w:t>
      </w:r>
    </w:p>
    <w:p>
      <w:pPr>
        <w:spacing w:line="460" w:lineRule="exact"/>
        <w:ind w:firstLine="480" w:firstLineChars="200"/>
        <w:rPr>
          <w:rFonts w:eastAsiaTheme="minorEastAsia"/>
          <w:sz w:val="24"/>
        </w:rPr>
      </w:pPr>
      <w:r>
        <w:rPr>
          <w:rFonts w:hAnsiTheme="minorEastAsia" w:eastAsiaTheme="minorEastAsia"/>
          <w:sz w:val="24"/>
        </w:rPr>
        <w:t>根据奥灰水突水系数计算结果，本矿开采各煤层均存在局部带压开采问题，在开采</w:t>
      </w:r>
      <w:r>
        <w:rPr>
          <w:rFonts w:eastAsiaTheme="minorEastAsia"/>
          <w:sz w:val="24"/>
        </w:rPr>
        <w:t>4</w:t>
      </w:r>
      <w:r>
        <w:rPr>
          <w:rFonts w:hAnsiTheme="minorEastAsia" w:eastAsiaTheme="minorEastAsia"/>
          <w:sz w:val="24"/>
        </w:rPr>
        <w:t>、</w:t>
      </w:r>
      <w:r>
        <w:rPr>
          <w:rFonts w:eastAsiaTheme="minorEastAsia"/>
          <w:sz w:val="24"/>
        </w:rPr>
        <w:t>5</w:t>
      </w:r>
      <w:r>
        <w:rPr>
          <w:rFonts w:hAnsiTheme="minorEastAsia" w:eastAsiaTheme="minorEastAsia"/>
          <w:sz w:val="24"/>
        </w:rPr>
        <w:t>号煤层时，水源地附近不带压，煤矿开采对水源地无影响。在开采</w:t>
      </w:r>
      <w:r>
        <w:rPr>
          <w:rFonts w:eastAsiaTheme="minorEastAsia"/>
          <w:sz w:val="24"/>
        </w:rPr>
        <w:t>8</w:t>
      </w:r>
      <w:r>
        <w:rPr>
          <w:rFonts w:hAnsiTheme="minorEastAsia" w:eastAsiaTheme="minorEastAsia"/>
          <w:sz w:val="24"/>
        </w:rPr>
        <w:t>、</w:t>
      </w:r>
      <w:r>
        <w:rPr>
          <w:rFonts w:eastAsiaTheme="minorEastAsia"/>
          <w:sz w:val="24"/>
        </w:rPr>
        <w:t>9</w:t>
      </w:r>
      <w:r>
        <w:rPr>
          <w:rFonts w:hAnsiTheme="minorEastAsia" w:eastAsiaTheme="minorEastAsia"/>
          <w:sz w:val="24"/>
        </w:rPr>
        <w:t>号煤层时，水源地附近属于带压区边界，但突水系数远远小于</w:t>
      </w:r>
      <w:r>
        <w:rPr>
          <w:rFonts w:eastAsiaTheme="minorEastAsia"/>
          <w:sz w:val="24"/>
        </w:rPr>
        <w:t>0.06Mpa/m</w:t>
      </w:r>
      <w:r>
        <w:rPr>
          <w:rFonts w:hAnsiTheme="minorEastAsia" w:eastAsiaTheme="minorEastAsia"/>
          <w:sz w:val="24"/>
        </w:rPr>
        <w:t>，一般不会发生奥灰水的突水危险，对水源地也无影响。</w:t>
      </w:r>
    </w:p>
    <w:p>
      <w:pPr>
        <w:pStyle w:val="11"/>
        <w:rPr>
          <w:rFonts w:hAnsiTheme="minorEastAsia" w:eastAsiaTheme="minorEastAsia"/>
          <w:b w:val="0"/>
          <w:szCs w:val="24"/>
        </w:rPr>
      </w:pPr>
      <w:r>
        <w:rPr>
          <w:rFonts w:hAnsiTheme="minorEastAsia" w:eastAsiaTheme="minorEastAsia"/>
          <w:b w:val="0"/>
          <w:szCs w:val="24"/>
        </w:rPr>
        <w:t>综上所述，煤矿开采对水源地影响很小。</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66" w:name="_Toc71551944"/>
      <w:r>
        <w:rPr>
          <w:rFonts w:ascii="Times New Roman" w:hAnsi="Times New Roman" w:eastAsiaTheme="minorEastAsia"/>
          <w:kern w:val="44"/>
          <w:sz w:val="30"/>
          <w:szCs w:val="30"/>
        </w:rPr>
        <w:t>5.5声环境影响评价</w:t>
      </w:r>
      <w:bookmarkEnd w:id="266"/>
    </w:p>
    <w:p>
      <w:pPr>
        <w:pStyle w:val="4"/>
        <w:spacing w:before="0" w:after="0" w:line="360" w:lineRule="auto"/>
        <w:rPr>
          <w:rFonts w:eastAsiaTheme="minorEastAsia"/>
          <w:sz w:val="24"/>
          <w:szCs w:val="24"/>
        </w:rPr>
      </w:pPr>
      <w:r>
        <w:rPr>
          <w:rFonts w:eastAsiaTheme="minorEastAsia"/>
          <w:sz w:val="24"/>
          <w:szCs w:val="24"/>
        </w:rPr>
        <w:t>5.5.1声环境影响评价</w:t>
      </w:r>
    </w:p>
    <w:p>
      <w:pPr>
        <w:spacing w:line="360" w:lineRule="auto"/>
        <w:outlineLvl w:val="3"/>
        <w:rPr>
          <w:rFonts w:eastAsiaTheme="minorEastAsia"/>
          <w:b/>
          <w:bCs/>
          <w:sz w:val="24"/>
        </w:rPr>
      </w:pPr>
      <w:r>
        <w:rPr>
          <w:rFonts w:eastAsiaTheme="minorEastAsia"/>
          <w:b/>
          <w:sz w:val="24"/>
        </w:rPr>
        <w:t>5.</w:t>
      </w:r>
      <w:r>
        <w:rPr>
          <w:rFonts w:hint="eastAsia" w:eastAsiaTheme="minorEastAsia"/>
          <w:b/>
          <w:sz w:val="24"/>
        </w:rPr>
        <w:t>5</w:t>
      </w:r>
      <w:r>
        <w:rPr>
          <w:rFonts w:eastAsiaTheme="minorEastAsia"/>
          <w:b/>
          <w:sz w:val="24"/>
        </w:rPr>
        <w:t>.</w:t>
      </w:r>
      <w:r>
        <w:rPr>
          <w:rFonts w:hint="eastAsia" w:eastAsiaTheme="minorEastAsia"/>
          <w:b/>
          <w:sz w:val="24"/>
        </w:rPr>
        <w:t>1</w:t>
      </w:r>
      <w:r>
        <w:rPr>
          <w:rFonts w:eastAsiaTheme="minorEastAsia"/>
          <w:b/>
          <w:sz w:val="24"/>
        </w:rPr>
        <w:t>.1</w:t>
      </w:r>
      <w:r>
        <w:rPr>
          <w:rFonts w:hint="eastAsia" w:eastAsiaTheme="minorEastAsia"/>
          <w:b/>
          <w:bCs/>
          <w:sz w:val="24"/>
        </w:rPr>
        <w:t>建设期声环境影响及防治措施</w:t>
      </w:r>
    </w:p>
    <w:p>
      <w:pPr>
        <w:spacing w:line="360" w:lineRule="auto"/>
        <w:ind w:firstLine="480" w:firstLineChars="200"/>
        <w:rPr>
          <w:rFonts w:eastAsiaTheme="minorEastAsia"/>
          <w:bCs/>
          <w:sz w:val="24"/>
        </w:rPr>
      </w:pPr>
      <w:r>
        <w:rPr>
          <w:rFonts w:hAnsiTheme="minorEastAsia" w:eastAsiaTheme="minorEastAsia"/>
          <w:sz w:val="24"/>
        </w:rPr>
        <w:t>建设期噪声主要是施工机械设备噪声、物料装卸碰撞噪声及施工人员活动噪声。各施工阶段（按照土石方阶段、基础阶段、结构阶段、安装阶段划分）主要声源及声级类比情况见表</w:t>
      </w:r>
      <w:r>
        <w:rPr>
          <w:rFonts w:hint="eastAsia" w:eastAsiaTheme="minorEastAsia"/>
          <w:sz w:val="24"/>
        </w:rPr>
        <w:t>5.5-1</w:t>
      </w:r>
      <w:r>
        <w:rPr>
          <w:rFonts w:hAnsiTheme="minorEastAsia" w:eastAsiaTheme="minorEastAsia"/>
          <w:sz w:val="24"/>
        </w:rPr>
        <w:t>。因为施工阶段一般为露天作业，无隔声与降噪措施，故传播较远，影响范围较大。</w:t>
      </w:r>
    </w:p>
    <w:p>
      <w:pPr>
        <w:spacing w:line="360" w:lineRule="auto"/>
        <w:jc w:val="center"/>
        <w:rPr>
          <w:rFonts w:eastAsiaTheme="minorEastAsia"/>
          <w:b/>
          <w:spacing w:val="4"/>
          <w:szCs w:val="21"/>
        </w:rPr>
      </w:pPr>
      <w:r>
        <w:rPr>
          <w:rFonts w:hAnsiTheme="minorEastAsia" w:eastAsiaTheme="minorEastAsia"/>
          <w:b/>
          <w:szCs w:val="21"/>
        </w:rPr>
        <w:t>表</w:t>
      </w:r>
      <w:r>
        <w:rPr>
          <w:rFonts w:hint="eastAsia" w:eastAsiaTheme="minorEastAsia"/>
          <w:b/>
          <w:szCs w:val="21"/>
        </w:rPr>
        <w:t>5.5</w:t>
      </w:r>
      <w:r>
        <w:rPr>
          <w:rFonts w:eastAsiaTheme="minorEastAsia"/>
          <w:b/>
          <w:szCs w:val="21"/>
        </w:rPr>
        <w:t xml:space="preserve">-1  </w:t>
      </w:r>
      <w:r>
        <w:rPr>
          <w:rFonts w:hAnsiTheme="minorEastAsia" w:eastAsiaTheme="minorEastAsia"/>
          <w:b/>
          <w:szCs w:val="21"/>
        </w:rPr>
        <w:t>施工过程主要噪声源及噪声级</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05"/>
        <w:gridCol w:w="4032"/>
        <w:gridCol w:w="28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3" w:hRule="exact"/>
          <w:jc w:val="center"/>
        </w:trPr>
        <w:tc>
          <w:tcPr>
            <w:tcW w:w="1295" w:type="pct"/>
            <w:tcBorders>
              <w:top w:val="single" w:color="auto" w:sz="4" w:space="0"/>
              <w:left w:val="single" w:color="auto" w:sz="4"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施工阶段</w:t>
            </w:r>
          </w:p>
        </w:tc>
        <w:tc>
          <w:tcPr>
            <w:tcW w:w="2171" w:type="pct"/>
            <w:tcBorders>
              <w:top w:val="single" w:color="auto" w:sz="4"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主要噪声源</w:t>
            </w:r>
          </w:p>
        </w:tc>
        <w:tc>
          <w:tcPr>
            <w:tcW w:w="1534" w:type="pct"/>
            <w:tcBorders>
              <w:top w:val="single" w:color="auto" w:sz="4" w:space="0"/>
              <w:left w:val="single" w:color="auto" w:sz="6" w:space="0"/>
              <w:bottom w:val="single" w:color="auto" w:sz="6"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噪声级</w:t>
            </w:r>
            <w:r>
              <w:rPr>
                <w:rFonts w:eastAsiaTheme="minorEastAsia"/>
                <w:szCs w:val="21"/>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4" w:hRule="exact"/>
          <w:jc w:val="center"/>
        </w:trPr>
        <w:tc>
          <w:tcPr>
            <w:tcW w:w="1295" w:type="pct"/>
            <w:tcBorders>
              <w:top w:val="single" w:color="auto" w:sz="6" w:space="0"/>
              <w:left w:val="single" w:color="auto" w:sz="4"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土石方阶段</w:t>
            </w:r>
          </w:p>
        </w:tc>
        <w:tc>
          <w:tcPr>
            <w:tcW w:w="2171"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凿井临时风机、推土机、挖掘机等</w:t>
            </w:r>
          </w:p>
        </w:tc>
        <w:tc>
          <w:tcPr>
            <w:tcW w:w="1534" w:type="pct"/>
            <w:tcBorders>
              <w:top w:val="single" w:color="auto" w:sz="6" w:space="0"/>
              <w:left w:val="single" w:color="auto" w:sz="6" w:space="0"/>
              <w:bottom w:val="single" w:color="auto" w:sz="6" w:space="0"/>
              <w:right w:val="single" w:color="auto" w:sz="4" w:space="0"/>
            </w:tcBorders>
            <w:vAlign w:val="center"/>
          </w:tcPr>
          <w:p>
            <w:pPr>
              <w:spacing w:line="288" w:lineRule="auto"/>
              <w:jc w:val="center"/>
              <w:rPr>
                <w:rFonts w:eastAsiaTheme="minorEastAsia"/>
                <w:szCs w:val="21"/>
              </w:rPr>
            </w:pPr>
            <w:r>
              <w:rPr>
                <w:rFonts w:eastAsiaTheme="minorEastAsia"/>
                <w:szCs w:val="21"/>
              </w:rPr>
              <w:t>100</w:t>
            </w:r>
            <w:r>
              <w:rPr>
                <w:rFonts w:hAnsiTheme="minorEastAsia" w:eastAsiaTheme="minorEastAsia"/>
                <w:szCs w:val="21"/>
              </w:rPr>
              <w:t>～</w:t>
            </w:r>
            <w:r>
              <w:rPr>
                <w:rFonts w:eastAsiaTheme="minorEastAsia"/>
                <w:szCs w:val="21"/>
              </w:rPr>
              <w:t>110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1295" w:type="pct"/>
            <w:tcBorders>
              <w:top w:val="single" w:color="auto" w:sz="6" w:space="0"/>
              <w:left w:val="single" w:color="auto" w:sz="4"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基础阶段</w:t>
            </w:r>
          </w:p>
        </w:tc>
        <w:tc>
          <w:tcPr>
            <w:tcW w:w="2171"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打桩机等</w:t>
            </w:r>
          </w:p>
        </w:tc>
        <w:tc>
          <w:tcPr>
            <w:tcW w:w="1534" w:type="pct"/>
            <w:tcBorders>
              <w:top w:val="single" w:color="auto" w:sz="6" w:space="0"/>
              <w:left w:val="single" w:color="auto" w:sz="6" w:space="0"/>
              <w:bottom w:val="single" w:color="auto" w:sz="6" w:space="0"/>
              <w:right w:val="single" w:color="auto" w:sz="4" w:space="0"/>
            </w:tcBorders>
            <w:vAlign w:val="center"/>
          </w:tcPr>
          <w:p>
            <w:pPr>
              <w:spacing w:line="288" w:lineRule="auto"/>
              <w:jc w:val="center"/>
              <w:rPr>
                <w:rFonts w:eastAsiaTheme="minorEastAsia"/>
                <w:szCs w:val="21"/>
              </w:rPr>
            </w:pPr>
            <w:r>
              <w:rPr>
                <w:rFonts w:eastAsiaTheme="minorEastAsia"/>
                <w:szCs w:val="21"/>
              </w:rPr>
              <w:t>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7" w:hRule="exact"/>
          <w:jc w:val="center"/>
        </w:trPr>
        <w:tc>
          <w:tcPr>
            <w:tcW w:w="1295" w:type="pct"/>
            <w:tcBorders>
              <w:top w:val="single" w:color="auto" w:sz="6" w:space="0"/>
              <w:left w:val="single" w:color="auto" w:sz="4"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结构阶段</w:t>
            </w:r>
          </w:p>
        </w:tc>
        <w:tc>
          <w:tcPr>
            <w:tcW w:w="2171" w:type="pct"/>
            <w:tcBorders>
              <w:top w:val="single" w:color="auto" w:sz="6" w:space="0"/>
              <w:left w:val="single" w:color="auto" w:sz="6" w:space="0"/>
              <w:bottom w:val="single" w:color="auto" w:sz="6"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混凝土搅拌机、振捣捧等</w:t>
            </w:r>
          </w:p>
        </w:tc>
        <w:tc>
          <w:tcPr>
            <w:tcW w:w="1534" w:type="pct"/>
            <w:tcBorders>
              <w:top w:val="single" w:color="auto" w:sz="6" w:space="0"/>
              <w:left w:val="single" w:color="auto" w:sz="6" w:space="0"/>
              <w:bottom w:val="single" w:color="auto" w:sz="6" w:space="0"/>
              <w:right w:val="single" w:color="auto" w:sz="4" w:space="0"/>
            </w:tcBorders>
            <w:vAlign w:val="center"/>
          </w:tcPr>
          <w:p>
            <w:pPr>
              <w:spacing w:line="288" w:lineRule="auto"/>
              <w:jc w:val="center"/>
              <w:rPr>
                <w:rFonts w:eastAsiaTheme="minorEastAsia"/>
                <w:szCs w:val="21"/>
              </w:rPr>
            </w:pPr>
            <w:r>
              <w:rPr>
                <w:rFonts w:eastAsiaTheme="minorEastAsia"/>
                <w:szCs w:val="21"/>
              </w:rPr>
              <w:t>95</w:t>
            </w:r>
            <w:r>
              <w:rPr>
                <w:rFonts w:hAnsiTheme="minorEastAsia" w:eastAsiaTheme="minorEastAsia"/>
                <w:szCs w:val="21"/>
              </w:rPr>
              <w:t>～</w:t>
            </w:r>
            <w:r>
              <w:rPr>
                <w:rFonts w:eastAsiaTheme="minorEastAsia"/>
                <w:szCs w:val="21"/>
              </w:rPr>
              <w:t>110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6" w:hRule="exact"/>
          <w:jc w:val="center"/>
        </w:trPr>
        <w:tc>
          <w:tcPr>
            <w:tcW w:w="1295" w:type="pct"/>
            <w:tcBorders>
              <w:top w:val="single" w:color="auto" w:sz="6" w:space="0"/>
              <w:left w:val="single" w:color="auto" w:sz="4" w:space="0"/>
              <w:bottom w:val="single" w:color="auto" w:sz="4"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装修阶段</w:t>
            </w:r>
          </w:p>
        </w:tc>
        <w:tc>
          <w:tcPr>
            <w:tcW w:w="2171" w:type="pct"/>
            <w:tcBorders>
              <w:top w:val="single" w:color="auto" w:sz="6" w:space="0"/>
              <w:left w:val="single" w:color="auto" w:sz="6" w:space="0"/>
              <w:bottom w:val="single" w:color="auto" w:sz="4" w:space="0"/>
              <w:right w:val="single" w:color="auto" w:sz="6" w:space="0"/>
            </w:tcBorders>
            <w:vAlign w:val="center"/>
          </w:tcPr>
          <w:p>
            <w:pPr>
              <w:spacing w:line="288" w:lineRule="auto"/>
              <w:jc w:val="center"/>
              <w:rPr>
                <w:rFonts w:eastAsiaTheme="minorEastAsia"/>
                <w:szCs w:val="21"/>
              </w:rPr>
            </w:pPr>
            <w:r>
              <w:rPr>
                <w:rFonts w:hAnsiTheme="minorEastAsia" w:eastAsiaTheme="minorEastAsia"/>
                <w:szCs w:val="21"/>
              </w:rPr>
              <w:t>无长时间操作的主要噪声源</w:t>
            </w:r>
          </w:p>
        </w:tc>
        <w:tc>
          <w:tcPr>
            <w:tcW w:w="1534" w:type="pct"/>
            <w:tcBorders>
              <w:top w:val="single" w:color="auto" w:sz="6" w:space="0"/>
              <w:left w:val="single" w:color="auto" w:sz="6"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r>
    </w:tbl>
    <w:p>
      <w:pPr>
        <w:spacing w:line="360" w:lineRule="auto"/>
        <w:ind w:firstLine="480" w:firstLineChars="200"/>
        <w:rPr>
          <w:rFonts w:hAnsiTheme="minorEastAsia" w:eastAsiaTheme="minorEastAsia"/>
          <w:sz w:val="24"/>
        </w:rPr>
      </w:pPr>
      <w:r>
        <w:rPr>
          <w:rFonts w:hAnsiTheme="minorEastAsia" w:eastAsiaTheme="minorEastAsia"/>
          <w:sz w:val="24"/>
        </w:rPr>
        <w:t>由于施工场地内施工设备位置不断变化，同一施工阶段不同时间设备运行数量不同，因此很难确切地预测施工场地各场界噪声值。根据类比各类环评资料汇总估算，对主要施工机械产生的噪声强度和距声源不同距离处的等效声级衰减值估算结果见表</w:t>
      </w:r>
      <w:r>
        <w:rPr>
          <w:rFonts w:hint="eastAsia" w:eastAsiaTheme="minorEastAsia"/>
          <w:sz w:val="24"/>
        </w:rPr>
        <w:t>5.5-2</w:t>
      </w:r>
      <w:r>
        <w:rPr>
          <w:rFonts w:hAnsiTheme="minorEastAsia" w:eastAsiaTheme="minorEastAsia"/>
          <w:sz w:val="24"/>
        </w:rPr>
        <w:t>。</w:t>
      </w:r>
    </w:p>
    <w:p>
      <w:pPr>
        <w:spacing w:line="360" w:lineRule="auto"/>
        <w:jc w:val="center"/>
        <w:rPr>
          <w:rFonts w:hAnsiTheme="minorEastAsia" w:eastAsiaTheme="minorEastAsia"/>
          <w:b/>
          <w:szCs w:val="21"/>
        </w:rPr>
      </w:pPr>
      <w:r>
        <w:rPr>
          <w:rFonts w:hAnsiTheme="minorEastAsia" w:eastAsiaTheme="minorEastAsia"/>
          <w:b/>
          <w:szCs w:val="21"/>
        </w:rPr>
        <w:t>表</w:t>
      </w:r>
      <w:r>
        <w:rPr>
          <w:rFonts w:hint="eastAsia" w:hAnsiTheme="minorEastAsia" w:eastAsiaTheme="minorEastAsia"/>
          <w:b/>
          <w:szCs w:val="21"/>
        </w:rPr>
        <w:t>8</w:t>
      </w:r>
      <w:r>
        <w:rPr>
          <w:rFonts w:hAnsiTheme="minorEastAsia" w:eastAsiaTheme="minorEastAsia"/>
          <w:b/>
          <w:szCs w:val="21"/>
        </w:rPr>
        <w:t>-</w:t>
      </w:r>
      <w:r>
        <w:rPr>
          <w:rFonts w:hint="eastAsia" w:hAnsiTheme="minorEastAsia" w:eastAsiaTheme="minorEastAsia"/>
          <w:b/>
          <w:szCs w:val="21"/>
        </w:rPr>
        <w:t>2</w:t>
      </w:r>
      <w:r>
        <w:rPr>
          <w:rFonts w:hAnsiTheme="minorEastAsia" w:eastAsiaTheme="minorEastAsia"/>
          <w:b/>
          <w:szCs w:val="21"/>
        </w:rPr>
        <w:t>-2  各施工阶段主要噪声强度及其不同距离处的噪声值  单位：dB（A）</w:t>
      </w:r>
    </w:p>
    <w:tbl>
      <w:tblPr>
        <w:tblStyle w:val="2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80"/>
        <w:gridCol w:w="1277"/>
        <w:gridCol w:w="964"/>
        <w:gridCol w:w="761"/>
        <w:gridCol w:w="786"/>
        <w:gridCol w:w="773"/>
        <w:gridCol w:w="768"/>
        <w:gridCol w:w="782"/>
        <w:gridCol w:w="810"/>
        <w:gridCol w:w="810"/>
        <w:gridCol w:w="7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784" w:type="dxa"/>
            <w:vMerge w:val="restart"/>
            <w:vAlign w:val="center"/>
          </w:tcPr>
          <w:p>
            <w:pPr>
              <w:spacing w:line="288" w:lineRule="auto"/>
              <w:jc w:val="center"/>
              <w:rPr>
                <w:rFonts w:eastAsiaTheme="minorEastAsia"/>
                <w:szCs w:val="21"/>
              </w:rPr>
            </w:pPr>
            <w:r>
              <w:rPr>
                <w:rFonts w:hAnsiTheme="minorEastAsia" w:eastAsiaTheme="minorEastAsia"/>
                <w:szCs w:val="21"/>
              </w:rPr>
              <w:t>阶段</w:t>
            </w:r>
          </w:p>
        </w:tc>
        <w:tc>
          <w:tcPr>
            <w:tcW w:w="1284" w:type="dxa"/>
            <w:vMerge w:val="restart"/>
            <w:vAlign w:val="center"/>
          </w:tcPr>
          <w:p>
            <w:pPr>
              <w:spacing w:line="288" w:lineRule="auto"/>
              <w:jc w:val="center"/>
              <w:rPr>
                <w:rFonts w:eastAsiaTheme="minorEastAsia"/>
                <w:szCs w:val="21"/>
              </w:rPr>
            </w:pPr>
            <w:r>
              <w:rPr>
                <w:rFonts w:hAnsiTheme="minorEastAsia" w:eastAsiaTheme="minorEastAsia"/>
                <w:szCs w:val="21"/>
              </w:rPr>
              <w:t>主要噪声源</w:t>
            </w:r>
          </w:p>
        </w:tc>
        <w:tc>
          <w:tcPr>
            <w:tcW w:w="966" w:type="dxa"/>
            <w:vMerge w:val="restart"/>
            <w:vAlign w:val="center"/>
          </w:tcPr>
          <w:p>
            <w:pPr>
              <w:spacing w:line="288" w:lineRule="auto"/>
              <w:jc w:val="center"/>
              <w:rPr>
                <w:rFonts w:eastAsiaTheme="minorEastAsia"/>
                <w:szCs w:val="21"/>
              </w:rPr>
            </w:pPr>
            <w:r>
              <w:rPr>
                <w:rFonts w:hAnsiTheme="minorEastAsia" w:eastAsiaTheme="minorEastAsia"/>
                <w:szCs w:val="21"/>
              </w:rPr>
              <w:t>声级</w:t>
            </w:r>
          </w:p>
        </w:tc>
        <w:tc>
          <w:tcPr>
            <w:tcW w:w="6278" w:type="dxa"/>
            <w:gridSpan w:val="8"/>
            <w:vAlign w:val="center"/>
          </w:tcPr>
          <w:p>
            <w:pPr>
              <w:spacing w:line="288" w:lineRule="auto"/>
              <w:jc w:val="center"/>
              <w:rPr>
                <w:rFonts w:eastAsiaTheme="minorEastAsia"/>
                <w:szCs w:val="21"/>
              </w:rPr>
            </w:pPr>
            <w:r>
              <w:rPr>
                <w:rFonts w:hAnsiTheme="minorEastAsia" w:eastAsiaTheme="minorEastAsia"/>
                <w:szCs w:val="21"/>
              </w:rPr>
              <w:t>距声源距离（</w:t>
            </w:r>
            <w:r>
              <w:rPr>
                <w:rFonts w:eastAsiaTheme="minorEastAsia"/>
                <w:szCs w:val="21"/>
              </w:rPr>
              <w:t>m</w:t>
            </w:r>
            <w:r>
              <w:rPr>
                <w:rFonts w:hAnsiTheme="minorEastAsia" w:eastAsiaTheme="minorEastAsia"/>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784" w:type="dxa"/>
            <w:vMerge w:val="continue"/>
            <w:vAlign w:val="center"/>
          </w:tcPr>
          <w:p>
            <w:pPr>
              <w:spacing w:line="288" w:lineRule="auto"/>
              <w:jc w:val="center"/>
              <w:rPr>
                <w:rFonts w:eastAsiaTheme="minorEastAsia"/>
                <w:szCs w:val="21"/>
              </w:rPr>
            </w:pPr>
          </w:p>
        </w:tc>
        <w:tc>
          <w:tcPr>
            <w:tcW w:w="1284" w:type="dxa"/>
            <w:vMerge w:val="continue"/>
            <w:vAlign w:val="center"/>
          </w:tcPr>
          <w:p>
            <w:pPr>
              <w:spacing w:line="288" w:lineRule="auto"/>
              <w:jc w:val="center"/>
              <w:rPr>
                <w:rFonts w:eastAsiaTheme="minorEastAsia"/>
                <w:szCs w:val="21"/>
              </w:rPr>
            </w:pPr>
          </w:p>
        </w:tc>
        <w:tc>
          <w:tcPr>
            <w:tcW w:w="966" w:type="dxa"/>
            <w:vMerge w:val="continue"/>
            <w:vAlign w:val="center"/>
          </w:tcPr>
          <w:p>
            <w:pPr>
              <w:spacing w:line="288" w:lineRule="auto"/>
              <w:jc w:val="center"/>
              <w:rPr>
                <w:rFonts w:eastAsiaTheme="minorEastAsia"/>
                <w:szCs w:val="21"/>
              </w:rPr>
            </w:pPr>
          </w:p>
        </w:tc>
        <w:tc>
          <w:tcPr>
            <w:tcW w:w="762" w:type="dxa"/>
            <w:vAlign w:val="center"/>
          </w:tcPr>
          <w:p>
            <w:pPr>
              <w:spacing w:line="288" w:lineRule="auto"/>
              <w:jc w:val="center"/>
              <w:rPr>
                <w:rFonts w:eastAsiaTheme="minorEastAsia"/>
                <w:szCs w:val="21"/>
              </w:rPr>
            </w:pPr>
            <w:r>
              <w:rPr>
                <w:rFonts w:eastAsiaTheme="minorEastAsia"/>
                <w:szCs w:val="21"/>
              </w:rPr>
              <w:t>20</w:t>
            </w:r>
          </w:p>
        </w:tc>
        <w:tc>
          <w:tcPr>
            <w:tcW w:w="788" w:type="dxa"/>
            <w:vAlign w:val="center"/>
          </w:tcPr>
          <w:p>
            <w:pPr>
              <w:spacing w:line="288" w:lineRule="auto"/>
              <w:jc w:val="center"/>
              <w:rPr>
                <w:rFonts w:eastAsiaTheme="minorEastAsia"/>
                <w:szCs w:val="21"/>
              </w:rPr>
            </w:pPr>
            <w:r>
              <w:rPr>
                <w:rFonts w:eastAsiaTheme="minorEastAsia"/>
                <w:szCs w:val="21"/>
              </w:rPr>
              <w:t>40</w:t>
            </w:r>
          </w:p>
        </w:tc>
        <w:tc>
          <w:tcPr>
            <w:tcW w:w="774" w:type="dxa"/>
            <w:vAlign w:val="center"/>
          </w:tcPr>
          <w:p>
            <w:pPr>
              <w:spacing w:line="288" w:lineRule="auto"/>
              <w:jc w:val="center"/>
              <w:rPr>
                <w:rFonts w:eastAsiaTheme="minorEastAsia"/>
                <w:szCs w:val="21"/>
              </w:rPr>
            </w:pPr>
            <w:r>
              <w:rPr>
                <w:rFonts w:eastAsiaTheme="minorEastAsia"/>
                <w:szCs w:val="21"/>
              </w:rPr>
              <w:t>60</w:t>
            </w:r>
          </w:p>
        </w:tc>
        <w:tc>
          <w:tcPr>
            <w:tcW w:w="769" w:type="dxa"/>
            <w:vAlign w:val="center"/>
          </w:tcPr>
          <w:p>
            <w:pPr>
              <w:spacing w:line="288" w:lineRule="auto"/>
              <w:jc w:val="center"/>
              <w:rPr>
                <w:rFonts w:eastAsiaTheme="minorEastAsia"/>
                <w:szCs w:val="21"/>
              </w:rPr>
            </w:pPr>
            <w:r>
              <w:rPr>
                <w:rFonts w:eastAsiaTheme="minorEastAsia"/>
                <w:szCs w:val="21"/>
              </w:rPr>
              <w:t>80</w:t>
            </w:r>
          </w:p>
        </w:tc>
        <w:tc>
          <w:tcPr>
            <w:tcW w:w="784" w:type="dxa"/>
            <w:vAlign w:val="center"/>
          </w:tcPr>
          <w:p>
            <w:pPr>
              <w:spacing w:line="288" w:lineRule="auto"/>
              <w:jc w:val="center"/>
              <w:rPr>
                <w:rFonts w:eastAsiaTheme="minorEastAsia"/>
                <w:szCs w:val="21"/>
              </w:rPr>
            </w:pPr>
            <w:r>
              <w:rPr>
                <w:rFonts w:eastAsiaTheme="minorEastAsia"/>
                <w:szCs w:val="21"/>
              </w:rPr>
              <w:t>100</w:t>
            </w:r>
          </w:p>
        </w:tc>
        <w:tc>
          <w:tcPr>
            <w:tcW w:w="812" w:type="dxa"/>
            <w:vAlign w:val="center"/>
          </w:tcPr>
          <w:p>
            <w:pPr>
              <w:spacing w:line="288" w:lineRule="auto"/>
              <w:jc w:val="center"/>
              <w:rPr>
                <w:rFonts w:eastAsiaTheme="minorEastAsia"/>
                <w:szCs w:val="21"/>
              </w:rPr>
            </w:pPr>
            <w:r>
              <w:rPr>
                <w:rFonts w:eastAsiaTheme="minorEastAsia"/>
                <w:szCs w:val="21"/>
              </w:rPr>
              <w:t>200</w:t>
            </w:r>
          </w:p>
        </w:tc>
        <w:tc>
          <w:tcPr>
            <w:tcW w:w="812" w:type="dxa"/>
            <w:vAlign w:val="center"/>
          </w:tcPr>
          <w:p>
            <w:pPr>
              <w:spacing w:line="288" w:lineRule="auto"/>
              <w:jc w:val="center"/>
              <w:rPr>
                <w:rFonts w:eastAsiaTheme="minorEastAsia"/>
                <w:szCs w:val="21"/>
              </w:rPr>
            </w:pPr>
            <w:r>
              <w:rPr>
                <w:rFonts w:eastAsiaTheme="minorEastAsia"/>
                <w:szCs w:val="21"/>
              </w:rPr>
              <w:t>400</w:t>
            </w:r>
          </w:p>
        </w:tc>
        <w:tc>
          <w:tcPr>
            <w:tcW w:w="777" w:type="dxa"/>
            <w:vAlign w:val="center"/>
          </w:tcPr>
          <w:p>
            <w:pPr>
              <w:spacing w:line="288" w:lineRule="auto"/>
              <w:jc w:val="center"/>
              <w:rPr>
                <w:rFonts w:eastAsiaTheme="minorEastAsia"/>
                <w:szCs w:val="21"/>
              </w:rPr>
            </w:pPr>
            <w:r>
              <w:rPr>
                <w:rFonts w:eastAsiaTheme="minorEastAsia"/>
                <w:szCs w:val="21"/>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 w:hRule="atLeast"/>
          <w:jc w:val="center"/>
        </w:trPr>
        <w:tc>
          <w:tcPr>
            <w:tcW w:w="784" w:type="dxa"/>
            <w:vAlign w:val="center"/>
          </w:tcPr>
          <w:p>
            <w:pPr>
              <w:spacing w:line="288" w:lineRule="auto"/>
              <w:jc w:val="center"/>
              <w:rPr>
                <w:rFonts w:eastAsiaTheme="minorEastAsia"/>
                <w:szCs w:val="21"/>
              </w:rPr>
            </w:pPr>
            <w:r>
              <w:rPr>
                <w:rFonts w:hAnsiTheme="minorEastAsia" w:eastAsiaTheme="minorEastAsia"/>
                <w:szCs w:val="21"/>
              </w:rPr>
              <w:t>土石方</w:t>
            </w:r>
          </w:p>
        </w:tc>
        <w:tc>
          <w:tcPr>
            <w:tcW w:w="1284" w:type="dxa"/>
            <w:vAlign w:val="center"/>
          </w:tcPr>
          <w:p>
            <w:pPr>
              <w:spacing w:line="288" w:lineRule="auto"/>
              <w:jc w:val="center"/>
              <w:rPr>
                <w:rFonts w:eastAsiaTheme="minorEastAsia"/>
                <w:szCs w:val="21"/>
              </w:rPr>
            </w:pPr>
            <w:r>
              <w:rPr>
                <w:rFonts w:hAnsiTheme="minorEastAsia" w:eastAsiaTheme="minorEastAsia"/>
                <w:szCs w:val="21"/>
              </w:rPr>
              <w:t>凿井临时风机、推土机、挖掘机等</w:t>
            </w:r>
          </w:p>
        </w:tc>
        <w:tc>
          <w:tcPr>
            <w:tcW w:w="966" w:type="dxa"/>
            <w:vAlign w:val="center"/>
          </w:tcPr>
          <w:p>
            <w:pPr>
              <w:spacing w:line="288" w:lineRule="auto"/>
              <w:jc w:val="center"/>
              <w:rPr>
                <w:rFonts w:eastAsiaTheme="minorEastAsia"/>
                <w:szCs w:val="21"/>
              </w:rPr>
            </w:pPr>
            <w:r>
              <w:rPr>
                <w:rFonts w:eastAsiaTheme="minorEastAsia"/>
                <w:szCs w:val="21"/>
              </w:rPr>
              <w:t>100</w:t>
            </w:r>
            <w:r>
              <w:rPr>
                <w:rFonts w:hAnsiTheme="minorEastAsia" w:eastAsiaTheme="minorEastAsia"/>
                <w:szCs w:val="21"/>
              </w:rPr>
              <w:t>～</w:t>
            </w:r>
            <w:r>
              <w:rPr>
                <w:rFonts w:eastAsiaTheme="minorEastAsia"/>
                <w:szCs w:val="21"/>
              </w:rPr>
              <w:t>110</w:t>
            </w:r>
          </w:p>
        </w:tc>
        <w:tc>
          <w:tcPr>
            <w:tcW w:w="762" w:type="dxa"/>
            <w:vAlign w:val="center"/>
          </w:tcPr>
          <w:p>
            <w:pPr>
              <w:spacing w:line="288" w:lineRule="auto"/>
              <w:jc w:val="center"/>
              <w:rPr>
                <w:rFonts w:eastAsiaTheme="minorEastAsia"/>
                <w:szCs w:val="21"/>
              </w:rPr>
            </w:pPr>
            <w:r>
              <w:rPr>
                <w:rFonts w:eastAsiaTheme="minorEastAsia"/>
                <w:szCs w:val="21"/>
              </w:rPr>
              <w:t>66</w:t>
            </w:r>
            <w:r>
              <w:rPr>
                <w:rFonts w:hAnsiTheme="minorEastAsia" w:eastAsiaTheme="minorEastAsia"/>
                <w:szCs w:val="21"/>
              </w:rPr>
              <w:t>～</w:t>
            </w:r>
            <w:r>
              <w:rPr>
                <w:rFonts w:eastAsiaTheme="minorEastAsia"/>
                <w:szCs w:val="21"/>
              </w:rPr>
              <w:t>76</w:t>
            </w:r>
          </w:p>
        </w:tc>
        <w:tc>
          <w:tcPr>
            <w:tcW w:w="788" w:type="dxa"/>
            <w:vAlign w:val="center"/>
          </w:tcPr>
          <w:p>
            <w:pPr>
              <w:spacing w:line="288" w:lineRule="auto"/>
              <w:jc w:val="center"/>
              <w:rPr>
                <w:rFonts w:eastAsiaTheme="minorEastAsia"/>
                <w:szCs w:val="21"/>
              </w:rPr>
            </w:pPr>
            <w:r>
              <w:rPr>
                <w:rFonts w:eastAsiaTheme="minorEastAsia"/>
                <w:szCs w:val="21"/>
              </w:rPr>
              <w:t>60</w:t>
            </w:r>
            <w:r>
              <w:rPr>
                <w:rFonts w:hAnsiTheme="minorEastAsia" w:eastAsiaTheme="minorEastAsia"/>
                <w:szCs w:val="21"/>
              </w:rPr>
              <w:t>～</w:t>
            </w:r>
            <w:r>
              <w:rPr>
                <w:rFonts w:eastAsiaTheme="minorEastAsia"/>
                <w:szCs w:val="21"/>
              </w:rPr>
              <w:t>70</w:t>
            </w:r>
          </w:p>
        </w:tc>
        <w:tc>
          <w:tcPr>
            <w:tcW w:w="774" w:type="dxa"/>
            <w:vAlign w:val="center"/>
          </w:tcPr>
          <w:p>
            <w:pPr>
              <w:spacing w:line="288" w:lineRule="auto"/>
              <w:jc w:val="center"/>
              <w:rPr>
                <w:rFonts w:eastAsiaTheme="minorEastAsia"/>
                <w:szCs w:val="21"/>
              </w:rPr>
            </w:pPr>
            <w:r>
              <w:rPr>
                <w:rFonts w:eastAsiaTheme="minorEastAsia"/>
                <w:szCs w:val="21"/>
              </w:rPr>
              <w:t>56</w:t>
            </w:r>
            <w:r>
              <w:rPr>
                <w:rFonts w:hAnsiTheme="minorEastAsia" w:eastAsiaTheme="minorEastAsia"/>
                <w:szCs w:val="21"/>
              </w:rPr>
              <w:t>～</w:t>
            </w:r>
            <w:r>
              <w:rPr>
                <w:rFonts w:eastAsiaTheme="minorEastAsia"/>
                <w:szCs w:val="21"/>
              </w:rPr>
              <w:t>66</w:t>
            </w:r>
          </w:p>
        </w:tc>
        <w:tc>
          <w:tcPr>
            <w:tcW w:w="769" w:type="dxa"/>
            <w:vAlign w:val="center"/>
          </w:tcPr>
          <w:p>
            <w:pPr>
              <w:spacing w:line="288" w:lineRule="auto"/>
              <w:jc w:val="center"/>
              <w:rPr>
                <w:rFonts w:eastAsiaTheme="minorEastAsia"/>
                <w:szCs w:val="21"/>
              </w:rPr>
            </w:pPr>
            <w:r>
              <w:rPr>
                <w:rFonts w:eastAsiaTheme="minorEastAsia"/>
                <w:szCs w:val="21"/>
              </w:rPr>
              <w:t>54</w:t>
            </w:r>
            <w:r>
              <w:rPr>
                <w:rFonts w:hAnsiTheme="minorEastAsia" w:eastAsiaTheme="minorEastAsia"/>
                <w:szCs w:val="21"/>
              </w:rPr>
              <w:t>～</w:t>
            </w:r>
            <w:r>
              <w:rPr>
                <w:rFonts w:eastAsiaTheme="minorEastAsia"/>
                <w:szCs w:val="21"/>
              </w:rPr>
              <w:t>64</w:t>
            </w:r>
          </w:p>
        </w:tc>
        <w:tc>
          <w:tcPr>
            <w:tcW w:w="784" w:type="dxa"/>
            <w:vAlign w:val="center"/>
          </w:tcPr>
          <w:p>
            <w:pPr>
              <w:spacing w:line="288" w:lineRule="auto"/>
              <w:jc w:val="center"/>
              <w:rPr>
                <w:rFonts w:eastAsiaTheme="minorEastAsia"/>
                <w:szCs w:val="21"/>
              </w:rPr>
            </w:pPr>
            <w:r>
              <w:rPr>
                <w:rFonts w:eastAsiaTheme="minorEastAsia"/>
                <w:szCs w:val="21"/>
              </w:rPr>
              <w:t>52</w:t>
            </w:r>
            <w:r>
              <w:rPr>
                <w:rFonts w:hAnsiTheme="minorEastAsia" w:eastAsiaTheme="minorEastAsia"/>
                <w:szCs w:val="21"/>
              </w:rPr>
              <w:t>～</w:t>
            </w:r>
            <w:r>
              <w:rPr>
                <w:rFonts w:eastAsiaTheme="minorEastAsia"/>
                <w:szCs w:val="21"/>
              </w:rPr>
              <w:t>62</w:t>
            </w:r>
          </w:p>
        </w:tc>
        <w:tc>
          <w:tcPr>
            <w:tcW w:w="812" w:type="dxa"/>
            <w:vAlign w:val="center"/>
          </w:tcPr>
          <w:p>
            <w:pPr>
              <w:spacing w:line="288" w:lineRule="auto"/>
              <w:jc w:val="center"/>
              <w:rPr>
                <w:rFonts w:eastAsiaTheme="minorEastAsia"/>
                <w:szCs w:val="21"/>
              </w:rPr>
            </w:pPr>
            <w:r>
              <w:rPr>
                <w:rFonts w:eastAsiaTheme="minorEastAsia"/>
                <w:szCs w:val="21"/>
              </w:rPr>
              <w:t>46</w:t>
            </w:r>
            <w:r>
              <w:rPr>
                <w:rFonts w:hAnsiTheme="minorEastAsia" w:eastAsiaTheme="minorEastAsia"/>
                <w:szCs w:val="21"/>
              </w:rPr>
              <w:t>～</w:t>
            </w:r>
            <w:r>
              <w:rPr>
                <w:rFonts w:eastAsiaTheme="minorEastAsia"/>
                <w:szCs w:val="21"/>
              </w:rPr>
              <w:t>56</w:t>
            </w:r>
          </w:p>
        </w:tc>
        <w:tc>
          <w:tcPr>
            <w:tcW w:w="812" w:type="dxa"/>
            <w:vAlign w:val="center"/>
          </w:tcPr>
          <w:p>
            <w:pPr>
              <w:spacing w:line="288" w:lineRule="auto"/>
              <w:jc w:val="center"/>
              <w:rPr>
                <w:rFonts w:eastAsiaTheme="minorEastAsia"/>
                <w:szCs w:val="21"/>
              </w:rPr>
            </w:pPr>
            <w:r>
              <w:rPr>
                <w:rFonts w:eastAsiaTheme="minorEastAsia"/>
                <w:szCs w:val="21"/>
              </w:rPr>
              <w:t>40</w:t>
            </w:r>
            <w:r>
              <w:rPr>
                <w:rFonts w:hAnsiTheme="minorEastAsia" w:eastAsiaTheme="minorEastAsia"/>
                <w:szCs w:val="21"/>
              </w:rPr>
              <w:t>～</w:t>
            </w:r>
            <w:r>
              <w:rPr>
                <w:rFonts w:eastAsiaTheme="minorEastAsia"/>
                <w:szCs w:val="21"/>
              </w:rPr>
              <w:t>50</w:t>
            </w:r>
          </w:p>
        </w:tc>
        <w:tc>
          <w:tcPr>
            <w:tcW w:w="777" w:type="dxa"/>
            <w:vAlign w:val="center"/>
          </w:tcPr>
          <w:p>
            <w:pPr>
              <w:spacing w:line="288" w:lineRule="auto"/>
              <w:jc w:val="center"/>
              <w:rPr>
                <w:rFonts w:eastAsiaTheme="minorEastAsia"/>
                <w:szCs w:val="21"/>
              </w:rPr>
            </w:pPr>
            <w:r>
              <w:rPr>
                <w:rFonts w:eastAsiaTheme="minorEastAsia"/>
                <w:szCs w:val="21"/>
              </w:rPr>
              <w:t>35</w:t>
            </w:r>
            <w:r>
              <w:rPr>
                <w:rFonts w:hAnsiTheme="minorEastAsia" w:eastAsiaTheme="minorEastAsia"/>
                <w:szCs w:val="21"/>
              </w:rPr>
              <w:t>～</w:t>
            </w:r>
            <w:r>
              <w:rPr>
                <w:rFonts w:eastAsiaTheme="minorEastAsia"/>
                <w:szCs w:val="21"/>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784" w:type="dxa"/>
            <w:vAlign w:val="center"/>
          </w:tcPr>
          <w:p>
            <w:pPr>
              <w:spacing w:line="288" w:lineRule="auto"/>
              <w:jc w:val="center"/>
              <w:rPr>
                <w:rFonts w:eastAsiaTheme="minorEastAsia"/>
                <w:szCs w:val="21"/>
              </w:rPr>
            </w:pPr>
            <w:r>
              <w:rPr>
                <w:rFonts w:hAnsiTheme="minorEastAsia" w:eastAsiaTheme="minorEastAsia"/>
                <w:szCs w:val="21"/>
              </w:rPr>
              <w:t>基础</w:t>
            </w:r>
          </w:p>
        </w:tc>
        <w:tc>
          <w:tcPr>
            <w:tcW w:w="1284" w:type="dxa"/>
            <w:vAlign w:val="center"/>
          </w:tcPr>
          <w:p>
            <w:pPr>
              <w:spacing w:line="288" w:lineRule="auto"/>
              <w:jc w:val="center"/>
              <w:rPr>
                <w:rFonts w:eastAsiaTheme="minorEastAsia"/>
                <w:szCs w:val="21"/>
              </w:rPr>
            </w:pPr>
            <w:r>
              <w:rPr>
                <w:rFonts w:hAnsiTheme="minorEastAsia" w:eastAsiaTheme="minorEastAsia"/>
                <w:szCs w:val="21"/>
              </w:rPr>
              <w:t>打桩机等</w:t>
            </w:r>
          </w:p>
        </w:tc>
        <w:tc>
          <w:tcPr>
            <w:tcW w:w="966" w:type="dxa"/>
            <w:vAlign w:val="center"/>
          </w:tcPr>
          <w:p>
            <w:pPr>
              <w:spacing w:line="288" w:lineRule="auto"/>
              <w:jc w:val="center"/>
              <w:rPr>
                <w:rFonts w:eastAsiaTheme="minorEastAsia"/>
                <w:szCs w:val="21"/>
              </w:rPr>
            </w:pPr>
            <w:r>
              <w:rPr>
                <w:rFonts w:eastAsiaTheme="minorEastAsia"/>
                <w:szCs w:val="21"/>
              </w:rPr>
              <w:t>120</w:t>
            </w:r>
          </w:p>
        </w:tc>
        <w:tc>
          <w:tcPr>
            <w:tcW w:w="762" w:type="dxa"/>
            <w:vAlign w:val="center"/>
          </w:tcPr>
          <w:p>
            <w:pPr>
              <w:spacing w:line="288" w:lineRule="auto"/>
              <w:jc w:val="center"/>
              <w:rPr>
                <w:rFonts w:eastAsiaTheme="minorEastAsia"/>
                <w:szCs w:val="21"/>
              </w:rPr>
            </w:pPr>
            <w:r>
              <w:rPr>
                <w:rFonts w:eastAsiaTheme="minorEastAsia"/>
                <w:szCs w:val="21"/>
              </w:rPr>
              <w:t>86</w:t>
            </w:r>
            <w:r>
              <w:rPr>
                <w:rFonts w:hAnsiTheme="minorEastAsia" w:eastAsiaTheme="minorEastAsia"/>
                <w:szCs w:val="21"/>
              </w:rPr>
              <w:t>～</w:t>
            </w:r>
            <w:r>
              <w:rPr>
                <w:rFonts w:eastAsiaTheme="minorEastAsia"/>
                <w:szCs w:val="21"/>
              </w:rPr>
              <w:t>96</w:t>
            </w:r>
          </w:p>
        </w:tc>
        <w:tc>
          <w:tcPr>
            <w:tcW w:w="788" w:type="dxa"/>
            <w:vAlign w:val="center"/>
          </w:tcPr>
          <w:p>
            <w:pPr>
              <w:spacing w:line="288" w:lineRule="auto"/>
              <w:jc w:val="center"/>
              <w:rPr>
                <w:rFonts w:eastAsiaTheme="minorEastAsia"/>
                <w:szCs w:val="21"/>
              </w:rPr>
            </w:pPr>
            <w:r>
              <w:rPr>
                <w:rFonts w:eastAsiaTheme="minorEastAsia"/>
                <w:szCs w:val="21"/>
              </w:rPr>
              <w:t>80</w:t>
            </w:r>
            <w:r>
              <w:rPr>
                <w:rFonts w:hAnsiTheme="minorEastAsia" w:eastAsiaTheme="minorEastAsia"/>
                <w:szCs w:val="21"/>
              </w:rPr>
              <w:t>～</w:t>
            </w:r>
            <w:r>
              <w:rPr>
                <w:rFonts w:eastAsiaTheme="minorEastAsia"/>
                <w:szCs w:val="21"/>
              </w:rPr>
              <w:t>90</w:t>
            </w:r>
          </w:p>
        </w:tc>
        <w:tc>
          <w:tcPr>
            <w:tcW w:w="774" w:type="dxa"/>
            <w:vAlign w:val="center"/>
          </w:tcPr>
          <w:p>
            <w:pPr>
              <w:spacing w:line="288" w:lineRule="auto"/>
              <w:jc w:val="center"/>
              <w:rPr>
                <w:rFonts w:eastAsiaTheme="minorEastAsia"/>
                <w:szCs w:val="21"/>
              </w:rPr>
            </w:pPr>
            <w:r>
              <w:rPr>
                <w:rFonts w:eastAsiaTheme="minorEastAsia"/>
                <w:szCs w:val="21"/>
              </w:rPr>
              <w:t>76</w:t>
            </w:r>
            <w:r>
              <w:rPr>
                <w:rFonts w:hAnsiTheme="minorEastAsia" w:eastAsiaTheme="minorEastAsia"/>
                <w:szCs w:val="21"/>
              </w:rPr>
              <w:t>～</w:t>
            </w:r>
            <w:r>
              <w:rPr>
                <w:rFonts w:eastAsiaTheme="minorEastAsia"/>
                <w:szCs w:val="21"/>
              </w:rPr>
              <w:t>86</w:t>
            </w:r>
          </w:p>
        </w:tc>
        <w:tc>
          <w:tcPr>
            <w:tcW w:w="769" w:type="dxa"/>
            <w:vAlign w:val="center"/>
          </w:tcPr>
          <w:p>
            <w:pPr>
              <w:spacing w:line="288" w:lineRule="auto"/>
              <w:jc w:val="center"/>
              <w:rPr>
                <w:rFonts w:eastAsiaTheme="minorEastAsia"/>
                <w:szCs w:val="21"/>
              </w:rPr>
            </w:pPr>
            <w:r>
              <w:rPr>
                <w:rFonts w:eastAsiaTheme="minorEastAsia"/>
                <w:szCs w:val="21"/>
              </w:rPr>
              <w:t>74</w:t>
            </w:r>
            <w:r>
              <w:rPr>
                <w:rFonts w:hAnsiTheme="minorEastAsia" w:eastAsiaTheme="minorEastAsia"/>
                <w:szCs w:val="21"/>
              </w:rPr>
              <w:t>～</w:t>
            </w:r>
            <w:r>
              <w:rPr>
                <w:rFonts w:eastAsiaTheme="minorEastAsia"/>
                <w:szCs w:val="21"/>
              </w:rPr>
              <w:t>84</w:t>
            </w:r>
          </w:p>
        </w:tc>
        <w:tc>
          <w:tcPr>
            <w:tcW w:w="784" w:type="dxa"/>
            <w:vAlign w:val="center"/>
          </w:tcPr>
          <w:p>
            <w:pPr>
              <w:spacing w:line="288" w:lineRule="auto"/>
              <w:jc w:val="center"/>
              <w:rPr>
                <w:rFonts w:eastAsiaTheme="minorEastAsia"/>
                <w:szCs w:val="21"/>
              </w:rPr>
            </w:pPr>
            <w:r>
              <w:rPr>
                <w:rFonts w:eastAsiaTheme="minorEastAsia"/>
                <w:szCs w:val="21"/>
              </w:rPr>
              <w:t>72</w:t>
            </w:r>
            <w:r>
              <w:rPr>
                <w:rFonts w:hAnsiTheme="minorEastAsia" w:eastAsiaTheme="minorEastAsia"/>
                <w:szCs w:val="21"/>
              </w:rPr>
              <w:t>～</w:t>
            </w:r>
            <w:r>
              <w:rPr>
                <w:rFonts w:eastAsiaTheme="minorEastAsia"/>
                <w:szCs w:val="21"/>
              </w:rPr>
              <w:t>82</w:t>
            </w:r>
          </w:p>
        </w:tc>
        <w:tc>
          <w:tcPr>
            <w:tcW w:w="812" w:type="dxa"/>
            <w:vAlign w:val="center"/>
          </w:tcPr>
          <w:p>
            <w:pPr>
              <w:spacing w:line="288" w:lineRule="auto"/>
              <w:jc w:val="center"/>
              <w:rPr>
                <w:rFonts w:eastAsiaTheme="minorEastAsia"/>
                <w:szCs w:val="21"/>
              </w:rPr>
            </w:pPr>
            <w:r>
              <w:rPr>
                <w:rFonts w:eastAsiaTheme="minorEastAsia"/>
                <w:szCs w:val="21"/>
              </w:rPr>
              <w:t>66</w:t>
            </w:r>
            <w:r>
              <w:rPr>
                <w:rFonts w:hAnsiTheme="minorEastAsia" w:eastAsiaTheme="minorEastAsia"/>
                <w:szCs w:val="21"/>
              </w:rPr>
              <w:t>～</w:t>
            </w:r>
            <w:r>
              <w:rPr>
                <w:rFonts w:eastAsiaTheme="minorEastAsia"/>
                <w:szCs w:val="21"/>
              </w:rPr>
              <w:t>76</w:t>
            </w:r>
          </w:p>
        </w:tc>
        <w:tc>
          <w:tcPr>
            <w:tcW w:w="812" w:type="dxa"/>
            <w:vAlign w:val="center"/>
          </w:tcPr>
          <w:p>
            <w:pPr>
              <w:spacing w:line="288" w:lineRule="auto"/>
              <w:jc w:val="center"/>
              <w:rPr>
                <w:rFonts w:eastAsiaTheme="minorEastAsia"/>
                <w:szCs w:val="21"/>
              </w:rPr>
            </w:pPr>
            <w:r>
              <w:rPr>
                <w:rFonts w:eastAsiaTheme="minorEastAsia"/>
                <w:szCs w:val="21"/>
              </w:rPr>
              <w:t>60</w:t>
            </w:r>
            <w:r>
              <w:rPr>
                <w:rFonts w:hAnsiTheme="minorEastAsia" w:eastAsiaTheme="minorEastAsia"/>
                <w:szCs w:val="21"/>
              </w:rPr>
              <w:t>～</w:t>
            </w:r>
            <w:r>
              <w:rPr>
                <w:rFonts w:eastAsiaTheme="minorEastAsia"/>
                <w:szCs w:val="21"/>
              </w:rPr>
              <w:t>70</w:t>
            </w:r>
          </w:p>
        </w:tc>
        <w:tc>
          <w:tcPr>
            <w:tcW w:w="777" w:type="dxa"/>
            <w:vAlign w:val="center"/>
          </w:tcPr>
          <w:p>
            <w:pPr>
              <w:spacing w:line="288" w:lineRule="auto"/>
              <w:jc w:val="center"/>
              <w:rPr>
                <w:rFonts w:eastAsiaTheme="minorEastAsia"/>
                <w:szCs w:val="21"/>
              </w:rPr>
            </w:pPr>
            <w:r>
              <w:rPr>
                <w:rFonts w:eastAsiaTheme="minorEastAsia"/>
                <w:szCs w:val="21"/>
              </w:rPr>
              <w:t>57</w:t>
            </w:r>
            <w:r>
              <w:rPr>
                <w:rFonts w:hAnsiTheme="minorEastAsia" w:eastAsiaTheme="minorEastAsia"/>
                <w:szCs w:val="21"/>
              </w:rPr>
              <w:t>～</w:t>
            </w:r>
            <w:r>
              <w:rPr>
                <w:rFonts w:eastAsiaTheme="minorEastAsia"/>
                <w:szCs w:val="21"/>
              </w:rPr>
              <w:t>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 w:hRule="atLeast"/>
          <w:jc w:val="center"/>
        </w:trPr>
        <w:tc>
          <w:tcPr>
            <w:tcW w:w="784" w:type="dxa"/>
            <w:vAlign w:val="center"/>
          </w:tcPr>
          <w:p>
            <w:pPr>
              <w:spacing w:line="288" w:lineRule="auto"/>
              <w:jc w:val="center"/>
              <w:rPr>
                <w:rFonts w:eastAsiaTheme="minorEastAsia"/>
                <w:szCs w:val="21"/>
              </w:rPr>
            </w:pPr>
            <w:r>
              <w:rPr>
                <w:rFonts w:hAnsiTheme="minorEastAsia" w:eastAsiaTheme="minorEastAsia"/>
                <w:szCs w:val="21"/>
              </w:rPr>
              <w:t>结构</w:t>
            </w:r>
          </w:p>
        </w:tc>
        <w:tc>
          <w:tcPr>
            <w:tcW w:w="1284" w:type="dxa"/>
            <w:vAlign w:val="center"/>
          </w:tcPr>
          <w:p>
            <w:pPr>
              <w:spacing w:line="288" w:lineRule="auto"/>
              <w:jc w:val="center"/>
              <w:rPr>
                <w:rFonts w:eastAsiaTheme="minorEastAsia"/>
                <w:szCs w:val="21"/>
              </w:rPr>
            </w:pPr>
            <w:r>
              <w:rPr>
                <w:rFonts w:hAnsiTheme="minorEastAsia" w:eastAsiaTheme="minorEastAsia"/>
                <w:szCs w:val="21"/>
              </w:rPr>
              <w:t>混凝土搅拌机、振捣梆等</w:t>
            </w:r>
          </w:p>
        </w:tc>
        <w:tc>
          <w:tcPr>
            <w:tcW w:w="966" w:type="dxa"/>
            <w:vAlign w:val="center"/>
          </w:tcPr>
          <w:p>
            <w:pPr>
              <w:spacing w:line="288" w:lineRule="auto"/>
              <w:jc w:val="center"/>
              <w:rPr>
                <w:rFonts w:eastAsiaTheme="minorEastAsia"/>
                <w:szCs w:val="21"/>
              </w:rPr>
            </w:pPr>
            <w:r>
              <w:rPr>
                <w:rFonts w:eastAsiaTheme="minorEastAsia"/>
                <w:szCs w:val="21"/>
              </w:rPr>
              <w:t>95</w:t>
            </w:r>
            <w:r>
              <w:rPr>
                <w:rFonts w:hAnsiTheme="minorEastAsia" w:eastAsiaTheme="minorEastAsia"/>
                <w:szCs w:val="21"/>
              </w:rPr>
              <w:t>～</w:t>
            </w:r>
            <w:r>
              <w:rPr>
                <w:rFonts w:eastAsiaTheme="minorEastAsia"/>
                <w:szCs w:val="21"/>
              </w:rPr>
              <w:t>110</w:t>
            </w:r>
          </w:p>
        </w:tc>
        <w:tc>
          <w:tcPr>
            <w:tcW w:w="762" w:type="dxa"/>
            <w:vAlign w:val="center"/>
          </w:tcPr>
          <w:p>
            <w:pPr>
              <w:spacing w:line="288" w:lineRule="auto"/>
              <w:jc w:val="center"/>
              <w:rPr>
                <w:rFonts w:eastAsiaTheme="minorEastAsia"/>
                <w:szCs w:val="21"/>
              </w:rPr>
            </w:pPr>
            <w:r>
              <w:rPr>
                <w:rFonts w:eastAsiaTheme="minorEastAsia"/>
                <w:szCs w:val="21"/>
              </w:rPr>
              <w:t>66</w:t>
            </w:r>
            <w:r>
              <w:rPr>
                <w:rFonts w:hAnsiTheme="minorEastAsia" w:eastAsiaTheme="minorEastAsia"/>
                <w:szCs w:val="21"/>
              </w:rPr>
              <w:t>～</w:t>
            </w:r>
            <w:r>
              <w:rPr>
                <w:rFonts w:eastAsiaTheme="minorEastAsia"/>
                <w:szCs w:val="21"/>
              </w:rPr>
              <w:t>76</w:t>
            </w:r>
          </w:p>
        </w:tc>
        <w:tc>
          <w:tcPr>
            <w:tcW w:w="788" w:type="dxa"/>
            <w:vAlign w:val="center"/>
          </w:tcPr>
          <w:p>
            <w:pPr>
              <w:spacing w:line="288" w:lineRule="auto"/>
              <w:jc w:val="center"/>
              <w:rPr>
                <w:rFonts w:eastAsiaTheme="minorEastAsia"/>
                <w:szCs w:val="21"/>
              </w:rPr>
            </w:pPr>
            <w:r>
              <w:rPr>
                <w:rFonts w:eastAsiaTheme="minorEastAsia"/>
                <w:szCs w:val="21"/>
              </w:rPr>
              <w:t>60</w:t>
            </w:r>
            <w:r>
              <w:rPr>
                <w:rFonts w:hAnsiTheme="minorEastAsia" w:eastAsiaTheme="minorEastAsia"/>
                <w:szCs w:val="21"/>
              </w:rPr>
              <w:t>～</w:t>
            </w:r>
            <w:r>
              <w:rPr>
                <w:rFonts w:eastAsiaTheme="minorEastAsia"/>
                <w:szCs w:val="21"/>
              </w:rPr>
              <w:t>70</w:t>
            </w:r>
          </w:p>
        </w:tc>
        <w:tc>
          <w:tcPr>
            <w:tcW w:w="774" w:type="dxa"/>
            <w:vAlign w:val="center"/>
          </w:tcPr>
          <w:p>
            <w:pPr>
              <w:spacing w:line="288" w:lineRule="auto"/>
              <w:jc w:val="center"/>
              <w:rPr>
                <w:rFonts w:eastAsiaTheme="minorEastAsia"/>
                <w:szCs w:val="21"/>
              </w:rPr>
            </w:pPr>
            <w:r>
              <w:rPr>
                <w:rFonts w:eastAsiaTheme="minorEastAsia"/>
                <w:szCs w:val="21"/>
              </w:rPr>
              <w:t>56</w:t>
            </w:r>
            <w:r>
              <w:rPr>
                <w:rFonts w:hAnsiTheme="minorEastAsia" w:eastAsiaTheme="minorEastAsia"/>
                <w:szCs w:val="21"/>
              </w:rPr>
              <w:t>～</w:t>
            </w:r>
            <w:r>
              <w:rPr>
                <w:rFonts w:eastAsiaTheme="minorEastAsia"/>
                <w:szCs w:val="21"/>
              </w:rPr>
              <w:t>66</w:t>
            </w:r>
          </w:p>
        </w:tc>
        <w:tc>
          <w:tcPr>
            <w:tcW w:w="769" w:type="dxa"/>
            <w:vAlign w:val="center"/>
          </w:tcPr>
          <w:p>
            <w:pPr>
              <w:spacing w:line="288" w:lineRule="auto"/>
              <w:jc w:val="center"/>
              <w:rPr>
                <w:rFonts w:eastAsiaTheme="minorEastAsia"/>
                <w:szCs w:val="21"/>
              </w:rPr>
            </w:pPr>
            <w:r>
              <w:rPr>
                <w:rFonts w:eastAsiaTheme="minorEastAsia"/>
                <w:szCs w:val="21"/>
              </w:rPr>
              <w:t>54</w:t>
            </w:r>
            <w:r>
              <w:rPr>
                <w:rFonts w:hAnsiTheme="minorEastAsia" w:eastAsiaTheme="minorEastAsia"/>
                <w:szCs w:val="21"/>
              </w:rPr>
              <w:t>～</w:t>
            </w:r>
            <w:r>
              <w:rPr>
                <w:rFonts w:eastAsiaTheme="minorEastAsia"/>
                <w:szCs w:val="21"/>
              </w:rPr>
              <w:t>64</w:t>
            </w:r>
          </w:p>
        </w:tc>
        <w:tc>
          <w:tcPr>
            <w:tcW w:w="784" w:type="dxa"/>
            <w:vAlign w:val="center"/>
          </w:tcPr>
          <w:p>
            <w:pPr>
              <w:spacing w:line="288" w:lineRule="auto"/>
              <w:jc w:val="center"/>
              <w:rPr>
                <w:rFonts w:eastAsiaTheme="minorEastAsia"/>
                <w:szCs w:val="21"/>
              </w:rPr>
            </w:pPr>
            <w:r>
              <w:rPr>
                <w:rFonts w:eastAsiaTheme="minorEastAsia"/>
                <w:szCs w:val="21"/>
              </w:rPr>
              <w:t>52</w:t>
            </w:r>
            <w:r>
              <w:rPr>
                <w:rFonts w:hAnsiTheme="minorEastAsia" w:eastAsiaTheme="minorEastAsia"/>
                <w:szCs w:val="21"/>
              </w:rPr>
              <w:t>～</w:t>
            </w:r>
            <w:r>
              <w:rPr>
                <w:rFonts w:eastAsiaTheme="minorEastAsia"/>
                <w:szCs w:val="21"/>
              </w:rPr>
              <w:t>62</w:t>
            </w:r>
          </w:p>
        </w:tc>
        <w:tc>
          <w:tcPr>
            <w:tcW w:w="812" w:type="dxa"/>
            <w:vAlign w:val="center"/>
          </w:tcPr>
          <w:p>
            <w:pPr>
              <w:spacing w:line="288" w:lineRule="auto"/>
              <w:jc w:val="center"/>
              <w:rPr>
                <w:rFonts w:eastAsiaTheme="minorEastAsia"/>
                <w:szCs w:val="21"/>
              </w:rPr>
            </w:pPr>
            <w:r>
              <w:rPr>
                <w:rFonts w:eastAsiaTheme="minorEastAsia"/>
                <w:szCs w:val="21"/>
              </w:rPr>
              <w:t>46</w:t>
            </w:r>
            <w:r>
              <w:rPr>
                <w:rFonts w:hAnsiTheme="minorEastAsia" w:eastAsiaTheme="minorEastAsia"/>
                <w:szCs w:val="21"/>
              </w:rPr>
              <w:t>～</w:t>
            </w:r>
            <w:r>
              <w:rPr>
                <w:rFonts w:eastAsiaTheme="minorEastAsia"/>
                <w:szCs w:val="21"/>
              </w:rPr>
              <w:t>56</w:t>
            </w:r>
          </w:p>
        </w:tc>
        <w:tc>
          <w:tcPr>
            <w:tcW w:w="812" w:type="dxa"/>
            <w:vAlign w:val="center"/>
          </w:tcPr>
          <w:p>
            <w:pPr>
              <w:spacing w:line="288" w:lineRule="auto"/>
              <w:jc w:val="center"/>
              <w:rPr>
                <w:rFonts w:eastAsiaTheme="minorEastAsia"/>
                <w:szCs w:val="21"/>
              </w:rPr>
            </w:pPr>
            <w:r>
              <w:rPr>
                <w:rFonts w:eastAsiaTheme="minorEastAsia"/>
                <w:szCs w:val="21"/>
              </w:rPr>
              <w:t>40</w:t>
            </w:r>
            <w:r>
              <w:rPr>
                <w:rFonts w:hAnsiTheme="minorEastAsia" w:eastAsiaTheme="minorEastAsia"/>
                <w:szCs w:val="21"/>
              </w:rPr>
              <w:t>～</w:t>
            </w:r>
            <w:r>
              <w:rPr>
                <w:rFonts w:eastAsiaTheme="minorEastAsia"/>
                <w:szCs w:val="21"/>
              </w:rPr>
              <w:t>50</w:t>
            </w:r>
          </w:p>
        </w:tc>
        <w:tc>
          <w:tcPr>
            <w:tcW w:w="777" w:type="dxa"/>
            <w:vAlign w:val="center"/>
          </w:tcPr>
          <w:p>
            <w:pPr>
              <w:spacing w:line="288" w:lineRule="auto"/>
              <w:jc w:val="center"/>
              <w:rPr>
                <w:rFonts w:eastAsiaTheme="minorEastAsia"/>
                <w:szCs w:val="21"/>
              </w:rPr>
            </w:pPr>
            <w:r>
              <w:rPr>
                <w:rFonts w:eastAsiaTheme="minorEastAsia"/>
                <w:szCs w:val="21"/>
              </w:rPr>
              <w:t>33</w:t>
            </w:r>
            <w:r>
              <w:rPr>
                <w:rFonts w:hAnsiTheme="minorEastAsia" w:eastAsiaTheme="minorEastAsia"/>
                <w:szCs w:val="21"/>
              </w:rPr>
              <w:t>～</w:t>
            </w:r>
            <w:r>
              <w:rPr>
                <w:rFonts w:eastAsiaTheme="minorEastAsia"/>
                <w:szCs w:val="21"/>
              </w:rPr>
              <w:t>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 w:hRule="atLeast"/>
          <w:jc w:val="center"/>
        </w:trPr>
        <w:tc>
          <w:tcPr>
            <w:tcW w:w="784" w:type="dxa"/>
            <w:vAlign w:val="center"/>
          </w:tcPr>
          <w:p>
            <w:pPr>
              <w:spacing w:line="288" w:lineRule="auto"/>
              <w:jc w:val="center"/>
              <w:rPr>
                <w:rFonts w:eastAsiaTheme="minorEastAsia"/>
                <w:szCs w:val="21"/>
              </w:rPr>
            </w:pPr>
            <w:r>
              <w:rPr>
                <w:rFonts w:hAnsiTheme="minorEastAsia" w:eastAsiaTheme="minorEastAsia"/>
                <w:szCs w:val="21"/>
              </w:rPr>
              <w:t>安装</w:t>
            </w:r>
          </w:p>
        </w:tc>
        <w:tc>
          <w:tcPr>
            <w:tcW w:w="1284" w:type="dxa"/>
            <w:vAlign w:val="center"/>
          </w:tcPr>
          <w:p>
            <w:pPr>
              <w:spacing w:line="288" w:lineRule="auto"/>
              <w:jc w:val="center"/>
              <w:rPr>
                <w:rFonts w:eastAsiaTheme="minorEastAsia"/>
                <w:szCs w:val="21"/>
              </w:rPr>
            </w:pPr>
            <w:r>
              <w:rPr>
                <w:rFonts w:hAnsiTheme="minorEastAsia" w:eastAsiaTheme="minorEastAsia"/>
                <w:szCs w:val="21"/>
              </w:rPr>
              <w:t>主要为偶发性噪声源</w:t>
            </w:r>
          </w:p>
        </w:tc>
        <w:tc>
          <w:tcPr>
            <w:tcW w:w="966" w:type="dxa"/>
            <w:vAlign w:val="center"/>
          </w:tcPr>
          <w:p>
            <w:pPr>
              <w:spacing w:line="288" w:lineRule="auto"/>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762" w:type="dxa"/>
            <w:vAlign w:val="center"/>
          </w:tcPr>
          <w:p>
            <w:pPr>
              <w:spacing w:line="288" w:lineRule="auto"/>
              <w:jc w:val="center"/>
              <w:rPr>
                <w:rFonts w:eastAsiaTheme="minorEastAsia"/>
                <w:szCs w:val="21"/>
              </w:rPr>
            </w:pPr>
            <w:r>
              <w:rPr>
                <w:rFonts w:eastAsiaTheme="minorEastAsia"/>
                <w:szCs w:val="21"/>
              </w:rPr>
              <w:t>51</w:t>
            </w:r>
            <w:r>
              <w:rPr>
                <w:rFonts w:hAnsiTheme="minorEastAsia" w:eastAsiaTheme="minorEastAsia"/>
                <w:szCs w:val="21"/>
              </w:rPr>
              <w:t>～</w:t>
            </w:r>
            <w:r>
              <w:rPr>
                <w:rFonts w:eastAsiaTheme="minorEastAsia"/>
                <w:szCs w:val="21"/>
              </w:rPr>
              <w:t>61</w:t>
            </w:r>
          </w:p>
        </w:tc>
        <w:tc>
          <w:tcPr>
            <w:tcW w:w="788" w:type="dxa"/>
            <w:vAlign w:val="center"/>
          </w:tcPr>
          <w:p>
            <w:pPr>
              <w:spacing w:line="288" w:lineRule="auto"/>
              <w:jc w:val="center"/>
              <w:rPr>
                <w:rFonts w:eastAsiaTheme="minorEastAsia"/>
                <w:szCs w:val="21"/>
              </w:rPr>
            </w:pPr>
            <w:r>
              <w:rPr>
                <w:rFonts w:eastAsiaTheme="minorEastAsia"/>
                <w:szCs w:val="21"/>
              </w:rPr>
              <w:t>45</w:t>
            </w:r>
            <w:r>
              <w:rPr>
                <w:rFonts w:hAnsiTheme="minorEastAsia" w:eastAsiaTheme="minorEastAsia"/>
                <w:szCs w:val="21"/>
              </w:rPr>
              <w:t>～</w:t>
            </w:r>
            <w:r>
              <w:rPr>
                <w:rFonts w:eastAsiaTheme="minorEastAsia"/>
                <w:szCs w:val="21"/>
              </w:rPr>
              <w:t>55</w:t>
            </w:r>
          </w:p>
        </w:tc>
        <w:tc>
          <w:tcPr>
            <w:tcW w:w="774" w:type="dxa"/>
            <w:vAlign w:val="center"/>
          </w:tcPr>
          <w:p>
            <w:pPr>
              <w:spacing w:line="288" w:lineRule="auto"/>
              <w:jc w:val="center"/>
              <w:rPr>
                <w:rFonts w:eastAsiaTheme="minorEastAsia"/>
                <w:szCs w:val="21"/>
              </w:rPr>
            </w:pPr>
            <w:r>
              <w:rPr>
                <w:rFonts w:eastAsiaTheme="minorEastAsia"/>
                <w:szCs w:val="21"/>
              </w:rPr>
              <w:t>41</w:t>
            </w:r>
            <w:r>
              <w:rPr>
                <w:rFonts w:hAnsiTheme="minorEastAsia" w:eastAsiaTheme="minorEastAsia"/>
                <w:szCs w:val="21"/>
              </w:rPr>
              <w:t>～</w:t>
            </w:r>
            <w:r>
              <w:rPr>
                <w:rFonts w:eastAsiaTheme="minorEastAsia"/>
                <w:szCs w:val="21"/>
              </w:rPr>
              <w:t>51</w:t>
            </w:r>
          </w:p>
        </w:tc>
        <w:tc>
          <w:tcPr>
            <w:tcW w:w="769" w:type="dxa"/>
            <w:vAlign w:val="center"/>
          </w:tcPr>
          <w:p>
            <w:pPr>
              <w:spacing w:line="288" w:lineRule="auto"/>
              <w:jc w:val="center"/>
              <w:rPr>
                <w:rFonts w:eastAsiaTheme="minorEastAsia"/>
                <w:szCs w:val="21"/>
              </w:rPr>
            </w:pPr>
            <w:r>
              <w:rPr>
                <w:rFonts w:eastAsiaTheme="minorEastAsia"/>
                <w:szCs w:val="21"/>
              </w:rPr>
              <w:t>39</w:t>
            </w:r>
            <w:r>
              <w:rPr>
                <w:rFonts w:hAnsiTheme="minorEastAsia" w:eastAsiaTheme="minorEastAsia"/>
                <w:szCs w:val="21"/>
              </w:rPr>
              <w:t>～</w:t>
            </w:r>
            <w:r>
              <w:rPr>
                <w:rFonts w:eastAsiaTheme="minorEastAsia"/>
                <w:szCs w:val="21"/>
              </w:rPr>
              <w:t>49</w:t>
            </w:r>
          </w:p>
        </w:tc>
        <w:tc>
          <w:tcPr>
            <w:tcW w:w="784" w:type="dxa"/>
            <w:vAlign w:val="center"/>
          </w:tcPr>
          <w:p>
            <w:pPr>
              <w:spacing w:line="288" w:lineRule="auto"/>
              <w:jc w:val="center"/>
              <w:rPr>
                <w:rFonts w:eastAsiaTheme="minorEastAsia"/>
                <w:szCs w:val="21"/>
              </w:rPr>
            </w:pPr>
            <w:r>
              <w:rPr>
                <w:rFonts w:eastAsiaTheme="minorEastAsia"/>
                <w:szCs w:val="21"/>
              </w:rPr>
              <w:t>37</w:t>
            </w:r>
            <w:r>
              <w:rPr>
                <w:rFonts w:hAnsiTheme="minorEastAsia" w:eastAsiaTheme="minorEastAsia"/>
                <w:szCs w:val="21"/>
              </w:rPr>
              <w:t>～</w:t>
            </w:r>
            <w:r>
              <w:rPr>
                <w:rFonts w:eastAsiaTheme="minorEastAsia"/>
                <w:szCs w:val="21"/>
              </w:rPr>
              <w:t>47</w:t>
            </w:r>
          </w:p>
        </w:tc>
        <w:tc>
          <w:tcPr>
            <w:tcW w:w="812" w:type="dxa"/>
            <w:vAlign w:val="center"/>
          </w:tcPr>
          <w:p>
            <w:pPr>
              <w:spacing w:line="288" w:lineRule="auto"/>
              <w:jc w:val="center"/>
              <w:rPr>
                <w:rFonts w:eastAsiaTheme="minorEastAsia"/>
                <w:szCs w:val="21"/>
              </w:rPr>
            </w:pPr>
            <w:r>
              <w:rPr>
                <w:rFonts w:eastAsiaTheme="minorEastAsia"/>
                <w:szCs w:val="21"/>
              </w:rPr>
              <w:t>31</w:t>
            </w:r>
            <w:r>
              <w:rPr>
                <w:rFonts w:hAnsiTheme="minorEastAsia" w:eastAsiaTheme="minorEastAsia"/>
                <w:szCs w:val="21"/>
              </w:rPr>
              <w:t>～</w:t>
            </w:r>
            <w:r>
              <w:rPr>
                <w:rFonts w:eastAsiaTheme="minorEastAsia"/>
                <w:szCs w:val="21"/>
              </w:rPr>
              <w:t>41</w:t>
            </w:r>
          </w:p>
        </w:tc>
        <w:tc>
          <w:tcPr>
            <w:tcW w:w="812" w:type="dxa"/>
            <w:vAlign w:val="center"/>
          </w:tcPr>
          <w:p>
            <w:pPr>
              <w:spacing w:line="288" w:lineRule="auto"/>
              <w:jc w:val="center"/>
              <w:rPr>
                <w:rFonts w:eastAsiaTheme="minorEastAsia"/>
                <w:szCs w:val="21"/>
              </w:rPr>
            </w:pPr>
            <w:r>
              <w:rPr>
                <w:rFonts w:eastAsiaTheme="minorEastAsia"/>
                <w:szCs w:val="21"/>
              </w:rPr>
              <w:t>25</w:t>
            </w:r>
            <w:r>
              <w:rPr>
                <w:rFonts w:hAnsiTheme="minorEastAsia" w:eastAsiaTheme="minorEastAsia"/>
                <w:szCs w:val="21"/>
              </w:rPr>
              <w:t>～</w:t>
            </w:r>
            <w:r>
              <w:rPr>
                <w:rFonts w:eastAsiaTheme="minorEastAsia"/>
                <w:szCs w:val="21"/>
              </w:rPr>
              <w:t>35</w:t>
            </w:r>
          </w:p>
        </w:tc>
        <w:tc>
          <w:tcPr>
            <w:tcW w:w="777" w:type="dxa"/>
            <w:vAlign w:val="center"/>
          </w:tcPr>
          <w:p>
            <w:pPr>
              <w:spacing w:line="288" w:lineRule="auto"/>
              <w:jc w:val="center"/>
              <w:rPr>
                <w:rFonts w:eastAsiaTheme="minorEastAsia"/>
                <w:szCs w:val="21"/>
              </w:rPr>
            </w:pPr>
            <w:r>
              <w:rPr>
                <w:rFonts w:eastAsiaTheme="minorEastAsia"/>
                <w:szCs w:val="21"/>
              </w:rPr>
              <w:t>22</w:t>
            </w:r>
            <w:r>
              <w:rPr>
                <w:rFonts w:hAnsiTheme="minorEastAsia" w:eastAsiaTheme="minorEastAsia"/>
                <w:szCs w:val="21"/>
              </w:rPr>
              <w:t>～</w:t>
            </w:r>
            <w:r>
              <w:rPr>
                <w:rFonts w:eastAsiaTheme="minorEastAsia"/>
                <w:szCs w:val="21"/>
              </w:rPr>
              <w:t>29</w:t>
            </w:r>
          </w:p>
        </w:tc>
      </w:tr>
    </w:tbl>
    <w:p>
      <w:pPr>
        <w:spacing w:line="360" w:lineRule="auto"/>
        <w:ind w:firstLine="480" w:firstLineChars="200"/>
        <w:rPr>
          <w:rFonts w:eastAsiaTheme="minorEastAsia"/>
          <w:sz w:val="24"/>
        </w:rPr>
      </w:pPr>
      <w:r>
        <w:rPr>
          <w:rFonts w:hAnsiTheme="minorEastAsia" w:eastAsiaTheme="minorEastAsia"/>
          <w:sz w:val="24"/>
        </w:rPr>
        <w:t>本项目矿井场地周围</w:t>
      </w:r>
      <w:r>
        <w:rPr>
          <w:rFonts w:eastAsiaTheme="minorEastAsia"/>
          <w:sz w:val="24"/>
        </w:rPr>
        <w:t>200m</w:t>
      </w:r>
      <w:r>
        <w:rPr>
          <w:rFonts w:hAnsiTheme="minorEastAsia" w:eastAsiaTheme="minorEastAsia"/>
          <w:sz w:val="24"/>
        </w:rPr>
        <w:t>范围内村庄有</w:t>
      </w:r>
      <w:r>
        <w:rPr>
          <w:rFonts w:hint="eastAsia" w:hAnsiTheme="minorEastAsia" w:eastAsiaTheme="minorEastAsia"/>
          <w:sz w:val="24"/>
        </w:rPr>
        <w:t>红崖村</w:t>
      </w:r>
      <w:r>
        <w:rPr>
          <w:rFonts w:hAnsiTheme="minorEastAsia" w:eastAsiaTheme="minorEastAsia"/>
          <w:sz w:val="24"/>
        </w:rPr>
        <w:t>和高家庄，因此，施工期对其会产生一定影响。根据</w:t>
      </w:r>
      <w:r>
        <w:rPr>
          <w:rFonts w:eastAsiaTheme="minorEastAsia"/>
          <w:sz w:val="24"/>
        </w:rPr>
        <w:t>GB12523-2011</w:t>
      </w:r>
      <w:r>
        <w:rPr>
          <w:rFonts w:hAnsiTheme="minorEastAsia" w:eastAsiaTheme="minorEastAsia"/>
          <w:sz w:val="24"/>
        </w:rPr>
        <w:t>施工场界噪声限值规定，合理安排施工。</w:t>
      </w:r>
    </w:p>
    <w:p>
      <w:pPr>
        <w:spacing w:line="360" w:lineRule="auto"/>
        <w:ind w:firstLine="480" w:firstLineChars="200"/>
        <w:rPr>
          <w:rFonts w:eastAsiaTheme="minorEastAsia"/>
          <w:sz w:val="24"/>
        </w:rPr>
      </w:pPr>
      <w:r>
        <w:rPr>
          <w:rFonts w:hAnsiTheme="minorEastAsia" w:eastAsiaTheme="minorEastAsia"/>
          <w:sz w:val="24"/>
        </w:rPr>
        <w:t>针对施工期噪声，采取以下措施：</w:t>
      </w:r>
    </w:p>
    <w:p>
      <w:pPr>
        <w:spacing w:line="360" w:lineRule="auto"/>
        <w:ind w:firstLine="480" w:firstLineChars="200"/>
        <w:rPr>
          <w:bCs/>
          <w:sz w:val="24"/>
        </w:rPr>
      </w:pPr>
      <w:r>
        <w:rPr>
          <w:bCs/>
          <w:sz w:val="24"/>
        </w:rPr>
        <w:t>（1）降低施工设备噪声，要定期对机械设备进行维护和保养，使其一直保持良好的状态，减轻因设备运行状态不佳而造成的噪声污染；对动力机械、设备，加强定期检修、养护；</w:t>
      </w:r>
    </w:p>
    <w:p>
      <w:pPr>
        <w:spacing w:line="360" w:lineRule="auto"/>
        <w:ind w:firstLine="480" w:firstLineChars="200"/>
        <w:rPr>
          <w:bCs/>
          <w:sz w:val="24"/>
        </w:rPr>
      </w:pPr>
      <w:r>
        <w:rPr>
          <w:bCs/>
          <w:sz w:val="24"/>
        </w:rPr>
        <w:t>（2）施工现场合理布局，以避免局部声级过高，将施工阶段的噪声减至最小；</w:t>
      </w:r>
    </w:p>
    <w:p>
      <w:pPr>
        <w:spacing w:line="360" w:lineRule="auto"/>
        <w:ind w:firstLine="480" w:firstLineChars="200"/>
        <w:rPr>
          <w:bCs/>
          <w:sz w:val="24"/>
        </w:rPr>
      </w:pPr>
      <w:r>
        <w:rPr>
          <w:bCs/>
          <w:sz w:val="24"/>
        </w:rPr>
        <w:t>（3）在施工工作面铺设草袋等，以减少车辆与路面摩擦产生的噪声；</w:t>
      </w:r>
    </w:p>
    <w:p>
      <w:pPr>
        <w:spacing w:line="360" w:lineRule="auto"/>
        <w:ind w:firstLine="480" w:firstLineChars="200"/>
        <w:rPr>
          <w:bCs/>
          <w:sz w:val="24"/>
        </w:rPr>
      </w:pPr>
      <w:r>
        <w:rPr>
          <w:bCs/>
          <w:sz w:val="24"/>
        </w:rPr>
        <w:t>（4）严格控制施工时间，评价要求场地晚上22:00至次日凌晨6:00禁止施工。</w:t>
      </w:r>
    </w:p>
    <w:p>
      <w:pPr>
        <w:pStyle w:val="148"/>
        <w:adjustRightInd/>
        <w:snapToGrid/>
        <w:spacing w:line="360" w:lineRule="auto"/>
        <w:ind w:firstLine="200"/>
        <w:rPr>
          <w:rFonts w:eastAsia="宋体"/>
          <w:b w:val="0"/>
          <w:bCs/>
        </w:rPr>
      </w:pPr>
      <w:r>
        <w:rPr>
          <w:rFonts w:eastAsia="宋体"/>
          <w:b w:val="0"/>
          <w:bCs/>
        </w:rPr>
        <w:t>在采取以上噪声防治措施后，可有效降低施工噪声对周围环境的影响。</w:t>
      </w:r>
    </w:p>
    <w:p>
      <w:pPr>
        <w:spacing w:line="360" w:lineRule="auto"/>
        <w:outlineLvl w:val="3"/>
        <w:rPr>
          <w:rFonts w:eastAsiaTheme="minorEastAsia"/>
          <w:b/>
          <w:bCs/>
          <w:sz w:val="24"/>
        </w:rPr>
      </w:pPr>
      <w:r>
        <w:rPr>
          <w:rFonts w:eastAsiaTheme="minorEastAsia"/>
          <w:b/>
          <w:sz w:val="24"/>
        </w:rPr>
        <w:t>5.</w:t>
      </w:r>
      <w:r>
        <w:rPr>
          <w:rFonts w:hint="eastAsia" w:eastAsiaTheme="minorEastAsia"/>
          <w:b/>
          <w:sz w:val="24"/>
        </w:rPr>
        <w:t>5</w:t>
      </w:r>
      <w:r>
        <w:rPr>
          <w:rFonts w:eastAsiaTheme="minorEastAsia"/>
          <w:b/>
          <w:sz w:val="24"/>
        </w:rPr>
        <w:t>.</w:t>
      </w:r>
      <w:r>
        <w:rPr>
          <w:rFonts w:hint="eastAsia" w:eastAsiaTheme="minorEastAsia"/>
          <w:b/>
          <w:sz w:val="24"/>
        </w:rPr>
        <w:t>1</w:t>
      </w:r>
      <w:r>
        <w:rPr>
          <w:rFonts w:eastAsiaTheme="minorEastAsia"/>
          <w:b/>
          <w:sz w:val="24"/>
        </w:rPr>
        <w:t>.</w:t>
      </w:r>
      <w:r>
        <w:rPr>
          <w:rFonts w:hint="eastAsia" w:eastAsiaTheme="minorEastAsia"/>
          <w:b/>
          <w:sz w:val="24"/>
        </w:rPr>
        <w:t>2</w:t>
      </w:r>
      <w:r>
        <w:rPr>
          <w:rFonts w:hint="eastAsia" w:eastAsiaTheme="minorEastAsia"/>
          <w:b/>
          <w:bCs/>
          <w:sz w:val="24"/>
        </w:rPr>
        <w:t>运营期声环境影响及防治措施</w:t>
      </w:r>
    </w:p>
    <w:p>
      <w:pPr>
        <w:spacing w:line="360" w:lineRule="auto"/>
        <w:ind w:firstLine="480" w:firstLineChars="200"/>
        <w:rPr>
          <w:rFonts w:hAnsiTheme="minorEastAsia" w:eastAsiaTheme="minorEastAsia"/>
          <w:sz w:val="24"/>
        </w:rPr>
      </w:pPr>
      <w:r>
        <w:rPr>
          <w:rFonts w:hint="eastAsia" w:hAnsiTheme="minorEastAsia" w:eastAsiaTheme="minorEastAsia"/>
          <w:sz w:val="24"/>
        </w:rPr>
        <w:t>1、运营期主要噪声源</w:t>
      </w:r>
    </w:p>
    <w:p>
      <w:pPr>
        <w:spacing w:line="360" w:lineRule="auto"/>
        <w:ind w:firstLine="480" w:firstLineChars="200"/>
        <w:rPr>
          <w:rFonts w:hAnsiTheme="minorEastAsia" w:eastAsiaTheme="minorEastAsia"/>
          <w:sz w:val="24"/>
        </w:rPr>
      </w:pPr>
      <w:r>
        <w:rPr>
          <w:rFonts w:hint="eastAsia" w:hAnsiTheme="minorEastAsia" w:eastAsiaTheme="minorEastAsia"/>
          <w:sz w:val="24"/>
        </w:rPr>
        <w:t>工业场地噪声源主要坑木加工房、空压机房、机修车间等主要设备；风井场地主要有通风机；经类比调查各主要噪声源噪声级、特性及降噪控制措施见表</w:t>
      </w:r>
      <w:r>
        <w:rPr>
          <w:rFonts w:hAnsiTheme="minorEastAsia" w:eastAsiaTheme="minorEastAsia"/>
          <w:sz w:val="24"/>
        </w:rPr>
        <w:t>8-3-1</w:t>
      </w:r>
      <w:r>
        <w:rPr>
          <w:rFonts w:hint="eastAsia" w:hAnsiTheme="minorEastAsia" w:eastAsiaTheme="minorEastAsia"/>
          <w:sz w:val="24"/>
        </w:rPr>
        <w:t>。</w:t>
      </w:r>
    </w:p>
    <w:p>
      <w:pPr>
        <w:spacing w:line="360" w:lineRule="auto"/>
        <w:ind w:firstLine="480" w:firstLineChars="200"/>
        <w:rPr>
          <w:rFonts w:hAnsiTheme="minorEastAsia" w:eastAsiaTheme="minorEastAsia"/>
          <w:sz w:val="24"/>
        </w:rPr>
      </w:pPr>
      <w:r>
        <w:rPr>
          <w:rFonts w:hint="eastAsia" w:hAnsiTheme="minorEastAsia" w:eastAsiaTheme="minorEastAsia"/>
          <w:sz w:val="24"/>
        </w:rPr>
        <w:t>根据设计，矿井资源整合后工业场地产生强噪声的各种机电设备都置于车间厂房内部。由于建筑物围护结构物如墙体、外门、外窗、屋顶等形成的“组合墙体”会产生不同程度的隔声作用，其降噪声</w:t>
      </w:r>
      <w:r>
        <w:rPr>
          <w:rFonts w:hAnsiTheme="minorEastAsia" w:eastAsiaTheme="minorEastAsia"/>
          <w:sz w:val="24"/>
        </w:rPr>
        <w:t>10</w:t>
      </w:r>
      <w:r>
        <w:rPr>
          <w:rFonts w:hint="eastAsia" w:hAnsiTheme="minorEastAsia" w:eastAsiaTheme="minorEastAsia"/>
          <w:sz w:val="24"/>
        </w:rPr>
        <w:t>～</w:t>
      </w:r>
      <w:r>
        <w:rPr>
          <w:rFonts w:hAnsiTheme="minorEastAsia" w:eastAsiaTheme="minorEastAsia"/>
          <w:sz w:val="24"/>
        </w:rPr>
        <w:t>15dB</w:t>
      </w:r>
      <w:r>
        <w:rPr>
          <w:rFonts w:hint="eastAsia" w:hAnsiTheme="minorEastAsia" w:eastAsiaTheme="minorEastAsia"/>
          <w:sz w:val="24"/>
        </w:rPr>
        <w:t>（</w:t>
      </w:r>
      <w:r>
        <w:rPr>
          <w:rFonts w:hAnsiTheme="minorEastAsia" w:eastAsiaTheme="minorEastAsia"/>
          <w:sz w:val="24"/>
        </w:rPr>
        <w:t>A</w:t>
      </w:r>
      <w:r>
        <w:rPr>
          <w:rFonts w:hint="eastAsia" w:hAnsiTheme="minorEastAsia" w:eastAsiaTheme="minorEastAsia"/>
          <w:sz w:val="24"/>
        </w:rPr>
        <w:t>）左右，因而噪声的危害主要局限在车间厂房之内。</w:t>
      </w:r>
    </w:p>
    <w:p>
      <w:pPr>
        <w:pStyle w:val="14"/>
        <w:spacing w:line="400" w:lineRule="exact"/>
        <w:jc w:val="center"/>
        <w:rPr>
          <w:b/>
          <w:szCs w:val="21"/>
        </w:rPr>
      </w:pPr>
      <w:r>
        <w:rPr>
          <w:rFonts w:hint="eastAsia" w:hAnsi="宋体"/>
          <w:b/>
          <w:szCs w:val="21"/>
        </w:rPr>
        <w:t>表</w:t>
      </w:r>
      <w:r>
        <w:rPr>
          <w:rFonts w:hint="eastAsia"/>
          <w:b/>
          <w:szCs w:val="21"/>
        </w:rPr>
        <w:t>5.5-2</w:t>
      </w:r>
      <w:r>
        <w:rPr>
          <w:b/>
          <w:szCs w:val="21"/>
        </w:rPr>
        <w:t xml:space="preserve">  </w:t>
      </w:r>
      <w:r>
        <w:rPr>
          <w:rFonts w:hint="eastAsia"/>
          <w:b/>
          <w:szCs w:val="21"/>
        </w:rPr>
        <w:t>矿井</w:t>
      </w:r>
      <w:r>
        <w:rPr>
          <w:rFonts w:hint="eastAsia" w:hAnsi="宋体"/>
          <w:b/>
          <w:szCs w:val="21"/>
        </w:rPr>
        <w:t>主要设备噪声源及声源特性</w:t>
      </w:r>
    </w:p>
    <w:tbl>
      <w:tblPr>
        <w:tblStyle w:val="24"/>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169"/>
        <w:gridCol w:w="1167"/>
        <w:gridCol w:w="1047"/>
        <w:gridCol w:w="3876"/>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场地</w:t>
            </w:r>
          </w:p>
        </w:tc>
        <w:tc>
          <w:tcPr>
            <w:tcW w:w="63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噪声源</w:t>
            </w:r>
          </w:p>
          <w:p>
            <w:pPr>
              <w:spacing w:line="288" w:lineRule="auto"/>
              <w:jc w:val="center"/>
              <w:rPr>
                <w:rFonts w:eastAsiaTheme="minorEastAsia"/>
                <w:szCs w:val="21"/>
              </w:rPr>
            </w:pPr>
            <w:r>
              <w:rPr>
                <w:rFonts w:hAnsiTheme="minorEastAsia" w:eastAsiaTheme="minorEastAsia"/>
                <w:szCs w:val="21"/>
              </w:rPr>
              <w:t>位置</w:t>
            </w:r>
          </w:p>
        </w:tc>
        <w:tc>
          <w:tcPr>
            <w:tcW w:w="63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主要噪声设备</w:t>
            </w:r>
          </w:p>
        </w:tc>
        <w:tc>
          <w:tcPr>
            <w:tcW w:w="56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噪声级</w:t>
            </w:r>
            <w:r>
              <w:rPr>
                <w:rFonts w:eastAsiaTheme="minorEastAsia"/>
                <w:szCs w:val="21"/>
              </w:rPr>
              <w:t>dB</w:t>
            </w:r>
            <w:r>
              <w:rPr>
                <w:rFonts w:hAnsiTheme="minorEastAsia" w:eastAsiaTheme="minorEastAsia"/>
                <w:szCs w:val="21"/>
              </w:rPr>
              <w:t>（</w:t>
            </w:r>
            <w:r>
              <w:rPr>
                <w:rFonts w:eastAsiaTheme="minorEastAsia"/>
                <w:szCs w:val="21"/>
              </w:rPr>
              <w:t>A</w:t>
            </w:r>
            <w:r>
              <w:rPr>
                <w:rFonts w:hAnsiTheme="minorEastAsia" w:eastAsiaTheme="minorEastAsia"/>
                <w:szCs w:val="21"/>
              </w:rPr>
              <w:t>）</w:t>
            </w:r>
          </w:p>
        </w:tc>
        <w:tc>
          <w:tcPr>
            <w:tcW w:w="2096"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hAnsiTheme="minorEastAsia" w:eastAsiaTheme="minorEastAsia"/>
                <w:szCs w:val="21"/>
              </w:rPr>
              <w:t>降噪措施</w:t>
            </w:r>
          </w:p>
        </w:tc>
        <w:tc>
          <w:tcPr>
            <w:tcW w:w="682"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hAnsiTheme="minorEastAsia" w:eastAsiaTheme="minorEastAsia"/>
                <w:szCs w:val="21"/>
              </w:rPr>
              <w:t>治理后噪声级</w:t>
            </w:r>
            <w:r>
              <w:rPr>
                <w:rFonts w:eastAsiaTheme="minorEastAsia"/>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92" w:type="pct"/>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工业场地</w:t>
            </w:r>
          </w:p>
        </w:tc>
        <w:tc>
          <w:tcPr>
            <w:tcW w:w="63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绞车房</w:t>
            </w:r>
          </w:p>
        </w:tc>
        <w:tc>
          <w:tcPr>
            <w:tcW w:w="63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驱动机</w:t>
            </w:r>
          </w:p>
        </w:tc>
        <w:tc>
          <w:tcPr>
            <w:tcW w:w="56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85</w:t>
            </w:r>
          </w:p>
        </w:tc>
        <w:tc>
          <w:tcPr>
            <w:tcW w:w="209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建筑隔声，基础减振</w:t>
            </w:r>
          </w:p>
        </w:tc>
        <w:tc>
          <w:tcPr>
            <w:tcW w:w="68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w:t>
            </w:r>
            <w:r>
              <w:rPr>
                <w:rFonts w:eastAsiaTheme="minorEastAsia"/>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筛分车间</w:t>
            </w:r>
          </w:p>
        </w:tc>
        <w:tc>
          <w:tcPr>
            <w:tcW w:w="63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振动筛</w:t>
            </w:r>
          </w:p>
        </w:tc>
        <w:tc>
          <w:tcPr>
            <w:tcW w:w="56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80</w:t>
            </w:r>
          </w:p>
        </w:tc>
        <w:tc>
          <w:tcPr>
            <w:tcW w:w="209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室内布置、减震</w:t>
            </w:r>
          </w:p>
        </w:tc>
        <w:tc>
          <w:tcPr>
            <w:tcW w:w="68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w:t>
            </w:r>
            <w:r>
              <w:rPr>
                <w:rFonts w:eastAsiaTheme="minor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空压机房</w:t>
            </w:r>
          </w:p>
        </w:tc>
        <w:tc>
          <w:tcPr>
            <w:tcW w:w="63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空压机</w:t>
            </w:r>
          </w:p>
        </w:tc>
        <w:tc>
          <w:tcPr>
            <w:tcW w:w="56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209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选择低噪声设备，布置在单独隔间内，设隔声门窗</w:t>
            </w:r>
            <w:r>
              <w:rPr>
                <w:rFonts w:eastAsiaTheme="minorEastAsia"/>
                <w:szCs w:val="21"/>
              </w:rPr>
              <w:t>,</w:t>
            </w:r>
            <w:r>
              <w:rPr>
                <w:rFonts w:hAnsiTheme="minorEastAsia" w:eastAsiaTheme="minorEastAsia"/>
                <w:szCs w:val="21"/>
              </w:rPr>
              <w:t>，墙壁设吸声材料</w:t>
            </w:r>
          </w:p>
        </w:tc>
        <w:tc>
          <w:tcPr>
            <w:tcW w:w="68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w:t>
            </w:r>
            <w:r>
              <w:rPr>
                <w:rFonts w:eastAsiaTheme="minor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机修车间</w:t>
            </w:r>
          </w:p>
        </w:tc>
        <w:tc>
          <w:tcPr>
            <w:tcW w:w="63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机加工</w:t>
            </w:r>
          </w:p>
          <w:p>
            <w:pPr>
              <w:spacing w:line="288" w:lineRule="auto"/>
              <w:jc w:val="center"/>
              <w:rPr>
                <w:rFonts w:eastAsiaTheme="minorEastAsia"/>
                <w:szCs w:val="21"/>
              </w:rPr>
            </w:pPr>
            <w:r>
              <w:rPr>
                <w:rFonts w:hAnsiTheme="minorEastAsia" w:eastAsiaTheme="minorEastAsia"/>
                <w:szCs w:val="21"/>
              </w:rPr>
              <w:t>设备</w:t>
            </w:r>
          </w:p>
        </w:tc>
        <w:tc>
          <w:tcPr>
            <w:tcW w:w="56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209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建筑隔声，安装隔声门窗，墙壁设</w:t>
            </w:r>
          </w:p>
          <w:p>
            <w:pPr>
              <w:spacing w:line="288" w:lineRule="auto"/>
              <w:jc w:val="center"/>
              <w:rPr>
                <w:rFonts w:eastAsiaTheme="minorEastAsia"/>
                <w:szCs w:val="21"/>
              </w:rPr>
            </w:pPr>
            <w:r>
              <w:rPr>
                <w:rFonts w:hAnsiTheme="minorEastAsia" w:eastAsiaTheme="minorEastAsia"/>
                <w:szCs w:val="21"/>
              </w:rPr>
              <w:t>吸声材料</w:t>
            </w:r>
          </w:p>
        </w:tc>
        <w:tc>
          <w:tcPr>
            <w:tcW w:w="68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w:t>
            </w:r>
            <w:r>
              <w:rPr>
                <w:rFonts w:eastAsiaTheme="minor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水处理站和黄泥灌浆站</w:t>
            </w:r>
          </w:p>
        </w:tc>
        <w:tc>
          <w:tcPr>
            <w:tcW w:w="63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水泵等</w:t>
            </w:r>
          </w:p>
        </w:tc>
        <w:tc>
          <w:tcPr>
            <w:tcW w:w="56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85</w:t>
            </w:r>
          </w:p>
        </w:tc>
        <w:tc>
          <w:tcPr>
            <w:tcW w:w="209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建筑隔声，选用隔振器，泵体基础设橡胶垫或弹簧减振器</w:t>
            </w:r>
          </w:p>
        </w:tc>
        <w:tc>
          <w:tcPr>
            <w:tcW w:w="68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w:t>
            </w:r>
            <w:r>
              <w:rPr>
                <w:rFonts w:eastAsiaTheme="minor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hAnsiTheme="minorEastAsia" w:eastAsiaTheme="minorEastAsia"/>
                <w:szCs w:val="21"/>
              </w:rPr>
              <w:t>锅炉房</w:t>
            </w:r>
          </w:p>
        </w:tc>
        <w:tc>
          <w:tcPr>
            <w:tcW w:w="631"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hAnsiTheme="minorEastAsia" w:eastAsiaTheme="minorEastAsia"/>
                <w:szCs w:val="21"/>
              </w:rPr>
              <w:t>鼓引风机</w:t>
            </w:r>
          </w:p>
        </w:tc>
        <w:tc>
          <w:tcPr>
            <w:tcW w:w="566"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eastAsiaTheme="minorEastAsia"/>
                <w:szCs w:val="21"/>
              </w:rPr>
              <w:t>85</w:t>
            </w:r>
            <w:r>
              <w:rPr>
                <w:rFonts w:hAnsiTheme="minorEastAsia" w:eastAsiaTheme="minorEastAsia"/>
                <w:szCs w:val="21"/>
              </w:rPr>
              <w:t>～</w:t>
            </w:r>
            <w:r>
              <w:rPr>
                <w:rFonts w:eastAsiaTheme="minorEastAsia"/>
                <w:szCs w:val="21"/>
              </w:rPr>
              <w:t>90</w:t>
            </w:r>
          </w:p>
        </w:tc>
        <w:tc>
          <w:tcPr>
            <w:tcW w:w="2096"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hAnsiTheme="minorEastAsia" w:eastAsiaTheme="minorEastAsia"/>
                <w:szCs w:val="21"/>
              </w:rPr>
              <w:t>鼓引风机均布置在单独隔间内，设隔声门窗，引风机设减振器，进排气口安装消声器</w:t>
            </w:r>
          </w:p>
        </w:tc>
        <w:tc>
          <w:tcPr>
            <w:tcW w:w="682"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hAnsiTheme="minorEastAsia" w:eastAsiaTheme="minorEastAsia"/>
                <w:szCs w:val="21"/>
              </w:rPr>
              <w:t>～</w:t>
            </w:r>
            <w:r>
              <w:rPr>
                <w:rFonts w:eastAsiaTheme="minorEastAsia"/>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空气加热室</w:t>
            </w:r>
          </w:p>
        </w:tc>
        <w:tc>
          <w:tcPr>
            <w:tcW w:w="631"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hAnsiTheme="minorEastAsia" w:eastAsiaTheme="minorEastAsia"/>
                <w:szCs w:val="21"/>
              </w:rPr>
              <w:t>风机</w:t>
            </w:r>
          </w:p>
        </w:tc>
        <w:tc>
          <w:tcPr>
            <w:tcW w:w="56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65</w:t>
            </w:r>
            <w:r>
              <w:rPr>
                <w:rFonts w:hAnsiTheme="minorEastAsia" w:eastAsiaTheme="minorEastAsia"/>
                <w:szCs w:val="21"/>
              </w:rPr>
              <w:t>～</w:t>
            </w:r>
            <w:r>
              <w:rPr>
                <w:rFonts w:eastAsiaTheme="minorEastAsia"/>
                <w:szCs w:val="21"/>
              </w:rPr>
              <w:t>70</w:t>
            </w:r>
          </w:p>
        </w:tc>
        <w:tc>
          <w:tcPr>
            <w:tcW w:w="2096"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hAnsiTheme="minorEastAsia" w:eastAsiaTheme="minorEastAsia"/>
                <w:szCs w:val="21"/>
              </w:rPr>
              <w:t>选择低噪声设备，设减振基础，设隔声门窗</w:t>
            </w:r>
          </w:p>
        </w:tc>
        <w:tc>
          <w:tcPr>
            <w:tcW w:w="682" w:type="pct"/>
            <w:tcBorders>
              <w:top w:val="single" w:color="auto" w:sz="4" w:space="0"/>
              <w:left w:val="single" w:color="auto" w:sz="4" w:space="0"/>
              <w:bottom w:val="single" w:color="auto" w:sz="4" w:space="0"/>
              <w:right w:val="single" w:color="auto" w:sz="4" w:space="0"/>
            </w:tcBorders>
            <w:vAlign w:val="center"/>
          </w:tcPr>
          <w:p>
            <w:pPr>
              <w:pStyle w:val="14"/>
              <w:spacing w:after="0" w:line="288" w:lineRule="auto"/>
              <w:ind w:left="0" w:leftChars="0"/>
              <w:jc w:val="center"/>
              <w:rPr>
                <w:rFonts w:eastAsiaTheme="minorEastAsia"/>
                <w:szCs w:val="21"/>
              </w:rPr>
            </w:pPr>
            <w:r>
              <w:rPr>
                <w:rFonts w:hAnsiTheme="minorEastAsia" w:eastAsiaTheme="minorEastAsia"/>
                <w:szCs w:val="21"/>
              </w:rPr>
              <w:t>～</w:t>
            </w:r>
            <w:r>
              <w:rPr>
                <w:rFonts w:eastAsiaTheme="minor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eastAsiaTheme="minorEastAsia"/>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运输车辆</w:t>
            </w:r>
          </w:p>
        </w:tc>
        <w:tc>
          <w:tcPr>
            <w:tcW w:w="63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汽车</w:t>
            </w:r>
          </w:p>
        </w:tc>
        <w:tc>
          <w:tcPr>
            <w:tcW w:w="56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70</w:t>
            </w:r>
            <w:r>
              <w:rPr>
                <w:rFonts w:hAnsiTheme="minorEastAsia" w:eastAsiaTheme="minorEastAsia"/>
                <w:szCs w:val="21"/>
              </w:rPr>
              <w:t>～</w:t>
            </w:r>
            <w:r>
              <w:rPr>
                <w:rFonts w:eastAsiaTheme="minorEastAsia"/>
                <w:szCs w:val="21"/>
              </w:rPr>
              <w:t>75</w:t>
            </w:r>
          </w:p>
        </w:tc>
        <w:tc>
          <w:tcPr>
            <w:tcW w:w="209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减速慢行、限制鸣笛</w:t>
            </w:r>
          </w:p>
        </w:tc>
        <w:tc>
          <w:tcPr>
            <w:tcW w:w="68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w:t>
            </w:r>
            <w:r>
              <w:rPr>
                <w:rFonts w:eastAsiaTheme="minor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9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风井场地</w:t>
            </w:r>
          </w:p>
        </w:tc>
        <w:tc>
          <w:tcPr>
            <w:tcW w:w="63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风机房</w:t>
            </w:r>
          </w:p>
        </w:tc>
        <w:tc>
          <w:tcPr>
            <w:tcW w:w="631"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通风机</w:t>
            </w:r>
          </w:p>
        </w:tc>
        <w:tc>
          <w:tcPr>
            <w:tcW w:w="56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eastAsiaTheme="minorEastAsia"/>
                <w:szCs w:val="21"/>
              </w:rPr>
              <w:t>90</w:t>
            </w:r>
            <w:r>
              <w:rPr>
                <w:rFonts w:hAnsiTheme="minorEastAsia" w:eastAsiaTheme="minorEastAsia"/>
                <w:szCs w:val="21"/>
              </w:rPr>
              <w:t>～</w:t>
            </w:r>
            <w:r>
              <w:rPr>
                <w:rFonts w:eastAsiaTheme="minorEastAsia"/>
                <w:szCs w:val="21"/>
              </w:rPr>
              <w:t>95</w:t>
            </w:r>
          </w:p>
        </w:tc>
        <w:tc>
          <w:tcPr>
            <w:tcW w:w="2096"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选择低噪声设备，通风机进风道采用混凝土结构，出风道安装消声器，扩散塔排放</w:t>
            </w:r>
          </w:p>
        </w:tc>
        <w:tc>
          <w:tcPr>
            <w:tcW w:w="68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eastAsiaTheme="minorEastAsia"/>
                <w:szCs w:val="21"/>
              </w:rPr>
            </w:pPr>
            <w:r>
              <w:rPr>
                <w:rFonts w:hAnsiTheme="minorEastAsia" w:eastAsiaTheme="minorEastAsia"/>
                <w:szCs w:val="21"/>
              </w:rPr>
              <w:t>～</w:t>
            </w:r>
            <w:r>
              <w:rPr>
                <w:rFonts w:eastAsiaTheme="minorEastAsia"/>
                <w:szCs w:val="21"/>
              </w:rPr>
              <w:t>75</w:t>
            </w:r>
          </w:p>
        </w:tc>
      </w:tr>
    </w:tbl>
    <w:p>
      <w:pPr>
        <w:tabs>
          <w:tab w:val="left" w:pos="0"/>
        </w:tabs>
        <w:spacing w:line="360" w:lineRule="auto"/>
        <w:ind w:firstLine="480" w:firstLineChars="200"/>
        <w:rPr>
          <w:rFonts w:eastAsiaTheme="minorEastAsia"/>
          <w:sz w:val="24"/>
        </w:rPr>
      </w:pPr>
      <w:r>
        <w:rPr>
          <w:rFonts w:hint="eastAsia" w:eastAsiaTheme="minorEastAsia"/>
          <w:sz w:val="24"/>
        </w:rPr>
        <w:t>2、噪声预测模式</w:t>
      </w:r>
    </w:p>
    <w:p>
      <w:pPr>
        <w:spacing w:line="360" w:lineRule="auto"/>
        <w:ind w:firstLine="480" w:firstLineChars="200"/>
        <w:rPr>
          <w:sz w:val="24"/>
          <w:lang w:val="en-GB"/>
        </w:rPr>
      </w:pPr>
      <w:r>
        <w:rPr>
          <w:rFonts w:hint="eastAsia"/>
          <w:sz w:val="24"/>
          <w:lang w:val="en-GB"/>
        </w:rPr>
        <w:t>影响声波从声源到受声点传播的因素有很多，它们主要包括传播发散、气温、平均速度、遮挡物状况、植被状况、风向、风速等，其中对声波的传播影响最大的是与声源到受声点的距离有关的传播发散，即声波随距离的衰减。</w:t>
      </w:r>
    </w:p>
    <w:p>
      <w:pPr>
        <w:spacing w:line="500" w:lineRule="exact"/>
        <w:ind w:firstLine="480" w:firstLineChars="200"/>
        <w:rPr>
          <w:sz w:val="24"/>
          <w:lang w:val="en-GB"/>
        </w:rPr>
      </w:pPr>
      <w:r>
        <w:rPr>
          <w:rFonts w:hint="eastAsia"/>
          <w:sz w:val="24"/>
          <w:lang w:val="en-GB"/>
        </w:rPr>
        <w:t>厂界噪声预测模式</w:t>
      </w:r>
    </w:p>
    <w:p>
      <w:pPr>
        <w:pStyle w:val="13"/>
        <w:spacing w:line="500" w:lineRule="exact"/>
        <w:ind w:firstLine="498" w:firstLineChars="201"/>
        <w:rPr>
          <w:rFonts w:ascii="Times New Roman" w:hAnsi="Times New Roman"/>
          <w:spacing w:val="4"/>
          <w:sz w:val="24"/>
          <w:szCs w:val="24"/>
        </w:rPr>
      </w:pPr>
      <w:r>
        <w:rPr>
          <w:rFonts w:hint="eastAsia" w:ascii="Times New Roman" w:hAnsi="Times New Roman"/>
          <w:spacing w:val="4"/>
          <w:sz w:val="24"/>
          <w:szCs w:val="24"/>
        </w:rPr>
        <w:t>根据</w:t>
      </w:r>
      <w:r>
        <w:rPr>
          <w:rFonts w:hint="eastAsia" w:ascii="Times New Roman" w:hAnsi="Times New Roman"/>
          <w:sz w:val="24"/>
          <w:szCs w:val="24"/>
        </w:rPr>
        <w:t>《环境影响评价技术导则</w:t>
      </w:r>
      <w:r>
        <w:rPr>
          <w:rFonts w:ascii="Times New Roman" w:hAnsi="Times New Roman"/>
          <w:sz w:val="24"/>
          <w:szCs w:val="24"/>
        </w:rPr>
        <w:t xml:space="preserve"> </w:t>
      </w:r>
      <w:r>
        <w:rPr>
          <w:rFonts w:hint="eastAsia" w:ascii="Times New Roman" w:hAnsi="Times New Roman"/>
          <w:sz w:val="24"/>
          <w:szCs w:val="24"/>
        </w:rPr>
        <w:t>声环境》（</w:t>
      </w:r>
      <w:r>
        <w:rPr>
          <w:rFonts w:ascii="Times New Roman" w:hAnsi="Times New Roman"/>
          <w:sz w:val="24"/>
          <w:szCs w:val="24"/>
        </w:rPr>
        <w:t>HJ2.4-2009</w:t>
      </w:r>
      <w:r>
        <w:rPr>
          <w:rFonts w:hint="eastAsia" w:ascii="Times New Roman" w:hAnsi="Times New Roman"/>
          <w:sz w:val="24"/>
          <w:szCs w:val="24"/>
        </w:rPr>
        <w:t>）</w:t>
      </w:r>
      <w:r>
        <w:rPr>
          <w:rFonts w:hint="eastAsia" w:ascii="Times New Roman" w:hAnsi="Times New Roman"/>
          <w:spacing w:val="4"/>
          <w:sz w:val="24"/>
          <w:szCs w:val="24"/>
        </w:rPr>
        <w:t>推荐的公式：</w:t>
      </w:r>
    </w:p>
    <w:p>
      <w:pPr>
        <w:tabs>
          <w:tab w:val="left" w:pos="0"/>
        </w:tabs>
        <w:spacing w:line="500" w:lineRule="exact"/>
        <w:ind w:firstLine="2410" w:firstLineChars="972"/>
        <w:rPr>
          <w:spacing w:val="4"/>
          <w:sz w:val="24"/>
        </w:rPr>
      </w:pPr>
      <w:r>
        <w:rPr>
          <w:spacing w:val="4"/>
          <w:sz w:val="24"/>
        </w:rPr>
        <w:t>Lp</w:t>
      </w:r>
      <w:r>
        <w:rPr>
          <w:rFonts w:hint="eastAsia"/>
          <w:spacing w:val="4"/>
          <w:sz w:val="24"/>
        </w:rPr>
        <w:t>（</w:t>
      </w:r>
      <w:r>
        <w:rPr>
          <w:spacing w:val="4"/>
          <w:sz w:val="24"/>
        </w:rPr>
        <w:t>r</w:t>
      </w:r>
      <w:r>
        <w:rPr>
          <w:rFonts w:hint="eastAsia"/>
          <w:spacing w:val="4"/>
          <w:sz w:val="24"/>
        </w:rPr>
        <w:t>）</w:t>
      </w:r>
      <w:r>
        <w:rPr>
          <w:spacing w:val="4"/>
          <w:sz w:val="24"/>
        </w:rPr>
        <w:t>=Lp</w:t>
      </w:r>
      <w:r>
        <w:rPr>
          <w:rFonts w:hint="eastAsia"/>
          <w:spacing w:val="4"/>
          <w:sz w:val="24"/>
        </w:rPr>
        <w:t>（</w:t>
      </w:r>
      <w:r>
        <w:rPr>
          <w:spacing w:val="4"/>
          <w:sz w:val="24"/>
        </w:rPr>
        <w:t>r0</w:t>
      </w:r>
      <w:r>
        <w:rPr>
          <w:rFonts w:hint="eastAsia"/>
          <w:spacing w:val="4"/>
          <w:sz w:val="24"/>
        </w:rPr>
        <w:t>）</w:t>
      </w:r>
      <w:r>
        <w:rPr>
          <w:spacing w:val="4"/>
          <w:sz w:val="24"/>
        </w:rPr>
        <w:t>-</w:t>
      </w:r>
      <w:r>
        <w:rPr>
          <w:rFonts w:hint="eastAsia"/>
          <w:spacing w:val="4"/>
          <w:sz w:val="24"/>
        </w:rPr>
        <w:t>（</w:t>
      </w:r>
      <w:r>
        <w:rPr>
          <w:spacing w:val="4"/>
          <w:sz w:val="24"/>
        </w:rPr>
        <w:t>Adiv+Aatm+Abar+Agr+Amisc</w:t>
      </w:r>
      <w:r>
        <w:rPr>
          <w:rFonts w:hint="eastAsia"/>
          <w:spacing w:val="4"/>
          <w:sz w:val="24"/>
        </w:rPr>
        <w:t>）</w:t>
      </w:r>
    </w:p>
    <w:p>
      <w:pPr>
        <w:tabs>
          <w:tab w:val="left" w:pos="0"/>
        </w:tabs>
        <w:spacing w:line="500" w:lineRule="exact"/>
        <w:ind w:firstLine="539"/>
        <w:rPr>
          <w:spacing w:val="4"/>
          <w:sz w:val="24"/>
        </w:rPr>
      </w:pPr>
      <w:r>
        <w:rPr>
          <w:rFonts w:hint="eastAsia"/>
          <w:spacing w:val="4"/>
          <w:sz w:val="24"/>
        </w:rPr>
        <w:t>对单个点声源的几何衰减用以下公式计算：</w:t>
      </w:r>
    </w:p>
    <w:p>
      <w:pPr>
        <w:tabs>
          <w:tab w:val="left" w:pos="0"/>
        </w:tabs>
        <w:spacing w:line="500" w:lineRule="exact"/>
        <w:ind w:firstLine="2410" w:firstLineChars="972"/>
        <w:rPr>
          <w:spacing w:val="4"/>
          <w:sz w:val="24"/>
        </w:rPr>
      </w:pPr>
      <w:r>
        <w:rPr>
          <w:spacing w:val="4"/>
          <w:sz w:val="24"/>
        </w:rPr>
        <w:t>L</w:t>
      </w:r>
      <w:r>
        <w:rPr>
          <w:spacing w:val="4"/>
          <w:sz w:val="24"/>
          <w:vertAlign w:val="subscript"/>
        </w:rPr>
        <w:t>p</w:t>
      </w:r>
      <w:r>
        <w:rPr>
          <w:rFonts w:hint="eastAsia"/>
          <w:spacing w:val="4"/>
          <w:sz w:val="24"/>
        </w:rPr>
        <w:t>（</w:t>
      </w:r>
      <w:r>
        <w:rPr>
          <w:spacing w:val="4"/>
          <w:sz w:val="24"/>
        </w:rPr>
        <w:t>r</w:t>
      </w:r>
      <w:r>
        <w:rPr>
          <w:rFonts w:hint="eastAsia"/>
          <w:spacing w:val="4"/>
          <w:sz w:val="24"/>
        </w:rPr>
        <w:t>）</w:t>
      </w:r>
      <w:r>
        <w:rPr>
          <w:spacing w:val="4"/>
          <w:sz w:val="24"/>
        </w:rPr>
        <w:t>=L</w:t>
      </w:r>
      <w:r>
        <w:rPr>
          <w:spacing w:val="4"/>
          <w:sz w:val="24"/>
          <w:vertAlign w:val="subscript"/>
        </w:rPr>
        <w:t>p</w:t>
      </w:r>
      <w:r>
        <w:rPr>
          <w:rFonts w:hint="eastAsia"/>
          <w:spacing w:val="4"/>
          <w:sz w:val="24"/>
        </w:rPr>
        <w:t>（</w:t>
      </w:r>
      <w:r>
        <w:rPr>
          <w:spacing w:val="4"/>
          <w:sz w:val="24"/>
        </w:rPr>
        <w:t>r</w:t>
      </w:r>
      <w:r>
        <w:rPr>
          <w:spacing w:val="4"/>
          <w:sz w:val="24"/>
          <w:vertAlign w:val="subscript"/>
        </w:rPr>
        <w:t>0</w:t>
      </w:r>
      <w:r>
        <w:rPr>
          <w:rFonts w:hint="eastAsia"/>
          <w:spacing w:val="4"/>
          <w:sz w:val="24"/>
        </w:rPr>
        <w:t>）</w:t>
      </w:r>
      <w:r>
        <w:rPr>
          <w:spacing w:val="4"/>
          <w:sz w:val="24"/>
        </w:rPr>
        <w:t>-20lg(r/r</w:t>
      </w:r>
      <w:r>
        <w:rPr>
          <w:spacing w:val="4"/>
          <w:sz w:val="24"/>
          <w:vertAlign w:val="subscript"/>
        </w:rPr>
        <w:t>0</w:t>
      </w:r>
      <w:r>
        <w:rPr>
          <w:spacing w:val="4"/>
          <w:sz w:val="24"/>
        </w:rPr>
        <w:t>)</w:t>
      </w:r>
    </w:p>
    <w:p>
      <w:pPr>
        <w:tabs>
          <w:tab w:val="left" w:pos="0"/>
        </w:tabs>
        <w:spacing w:line="500" w:lineRule="exact"/>
        <w:ind w:firstLine="539"/>
        <w:rPr>
          <w:spacing w:val="4"/>
          <w:sz w:val="24"/>
        </w:rPr>
      </w:pPr>
      <w:r>
        <w:rPr>
          <w:rFonts w:hint="eastAsia"/>
          <w:spacing w:val="4"/>
          <w:sz w:val="24"/>
        </w:rPr>
        <w:t>两个以上的多个噪声源同时存在时，总声级计算公式为：</w:t>
      </w:r>
    </w:p>
    <w:p>
      <w:pPr>
        <w:tabs>
          <w:tab w:val="left" w:pos="0"/>
        </w:tabs>
        <w:spacing w:line="500" w:lineRule="exact"/>
        <w:ind w:firstLine="496" w:firstLineChars="200"/>
        <w:rPr>
          <w:spacing w:val="4"/>
          <w:sz w:val="24"/>
        </w:rPr>
      </w:pPr>
      <w:r>
        <w:rPr>
          <w:rFonts w:hint="eastAsia"/>
          <w:spacing w:val="4"/>
          <w:sz w:val="24"/>
        </w:rPr>
        <w:t>现状监测值与预测贡献值叠加的预测总声级计算公式为：</w:t>
      </w:r>
    </w:p>
    <w:p>
      <w:pPr>
        <w:tabs>
          <w:tab w:val="left" w:pos="0"/>
        </w:tabs>
        <w:jc w:val="center"/>
        <w:rPr>
          <w:sz w:val="24"/>
        </w:rPr>
      </w:pPr>
      <w:r>
        <w:rPr>
          <w:spacing w:val="4"/>
          <w:sz w:val="24"/>
        </w:rPr>
        <w:drawing>
          <wp:inline distT="0" distB="0" distL="0" distR="0">
            <wp:extent cx="1219200" cy="419100"/>
            <wp:effectExtent l="19050" t="0" r="0" b="0"/>
            <wp:docPr id="1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
                    <pic:cNvPicPr>
                      <a:picLocks noChangeAspect="1" noChangeArrowheads="1"/>
                    </pic:cNvPicPr>
                  </pic:nvPicPr>
                  <pic:blipFill>
                    <a:blip r:embed="rId112"/>
                    <a:srcRect/>
                    <a:stretch>
                      <a:fillRect/>
                    </a:stretch>
                  </pic:blipFill>
                  <pic:spPr>
                    <a:xfrm>
                      <a:off x="0" y="0"/>
                      <a:ext cx="1219200" cy="419100"/>
                    </a:xfrm>
                    <a:prstGeom prst="rect">
                      <a:avLst/>
                    </a:prstGeom>
                    <a:noFill/>
                    <a:ln w="9525">
                      <a:noFill/>
                      <a:miter lim="800000"/>
                      <a:headEnd/>
                      <a:tailEnd/>
                    </a:ln>
                  </pic:spPr>
                </pic:pic>
              </a:graphicData>
            </a:graphic>
          </wp:inline>
        </w:drawing>
      </w:r>
    </w:p>
    <w:p>
      <w:pPr>
        <w:tabs>
          <w:tab w:val="left" w:pos="0"/>
        </w:tabs>
        <w:spacing w:line="500" w:lineRule="exact"/>
        <w:jc w:val="center"/>
        <w:rPr>
          <w:spacing w:val="4"/>
          <w:sz w:val="24"/>
        </w:rPr>
      </w:pPr>
      <w:r>
        <w:rPr>
          <w:spacing w:val="4"/>
          <w:sz w:val="24"/>
        </w:rPr>
        <w:drawing>
          <wp:inline distT="0" distB="0" distL="0" distR="0">
            <wp:extent cx="1619250" cy="247650"/>
            <wp:effectExtent l="19050" t="0" r="0" b="0"/>
            <wp:docPr id="1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
                    <pic:cNvPicPr>
                      <a:picLocks noChangeAspect="1" noChangeArrowheads="1"/>
                    </pic:cNvPicPr>
                  </pic:nvPicPr>
                  <pic:blipFill>
                    <a:blip r:embed="rId113"/>
                    <a:srcRect/>
                    <a:stretch>
                      <a:fillRect/>
                    </a:stretch>
                  </pic:blipFill>
                  <pic:spPr>
                    <a:xfrm>
                      <a:off x="0" y="0"/>
                      <a:ext cx="1619250" cy="247650"/>
                    </a:xfrm>
                    <a:prstGeom prst="rect">
                      <a:avLst/>
                    </a:prstGeom>
                    <a:noFill/>
                    <a:ln w="9525">
                      <a:noFill/>
                      <a:miter lim="800000"/>
                      <a:headEnd/>
                      <a:tailEnd/>
                    </a:ln>
                  </pic:spPr>
                </pic:pic>
              </a:graphicData>
            </a:graphic>
          </wp:inline>
        </w:drawing>
      </w:r>
    </w:p>
    <w:p>
      <w:pPr>
        <w:tabs>
          <w:tab w:val="left" w:pos="0"/>
        </w:tabs>
        <w:spacing w:line="500" w:lineRule="exact"/>
        <w:ind w:firstLine="486" w:firstLineChars="196"/>
        <w:rPr>
          <w:spacing w:val="4"/>
          <w:sz w:val="24"/>
        </w:rPr>
      </w:pPr>
      <w:r>
        <w:rPr>
          <w:rFonts w:hint="eastAsia"/>
          <w:spacing w:val="4"/>
          <w:sz w:val="24"/>
        </w:rPr>
        <w:t>以上式中：</w:t>
      </w:r>
    </w:p>
    <w:p>
      <w:pPr>
        <w:tabs>
          <w:tab w:val="left" w:pos="0"/>
        </w:tabs>
        <w:spacing w:line="500" w:lineRule="exact"/>
        <w:ind w:firstLine="992" w:firstLineChars="400"/>
        <w:rPr>
          <w:spacing w:val="4"/>
          <w:sz w:val="24"/>
        </w:rPr>
      </w:pPr>
      <w:r>
        <w:rPr>
          <w:i/>
          <w:spacing w:val="4"/>
          <w:sz w:val="24"/>
        </w:rPr>
        <w:t xml:space="preserve">r </w:t>
      </w:r>
      <w:r>
        <w:rPr>
          <w:rFonts w:hint="eastAsia"/>
          <w:spacing w:val="4"/>
          <w:sz w:val="24"/>
        </w:rPr>
        <w:t>：预测点到声源的距离；</w:t>
      </w:r>
    </w:p>
    <w:p>
      <w:pPr>
        <w:tabs>
          <w:tab w:val="left" w:pos="0"/>
        </w:tabs>
        <w:spacing w:line="500" w:lineRule="exact"/>
        <w:ind w:firstLine="992" w:firstLineChars="400"/>
        <w:rPr>
          <w:spacing w:val="4"/>
          <w:sz w:val="24"/>
        </w:rPr>
      </w:pPr>
      <w:r>
        <w:rPr>
          <w:spacing w:val="4"/>
          <w:sz w:val="24"/>
        </w:rPr>
        <w:t>A</w:t>
      </w:r>
      <w:r>
        <w:rPr>
          <w:spacing w:val="4"/>
          <w:sz w:val="24"/>
          <w:vertAlign w:val="subscript"/>
        </w:rPr>
        <w:t>div</w:t>
      </w:r>
      <w:r>
        <w:rPr>
          <w:rFonts w:hint="eastAsia"/>
          <w:spacing w:val="4"/>
          <w:sz w:val="24"/>
        </w:rPr>
        <w:t>：距离衰减，</w:t>
      </w:r>
      <w:r>
        <w:rPr>
          <w:spacing w:val="4"/>
          <w:sz w:val="24"/>
        </w:rPr>
        <w:t>dB</w:t>
      </w:r>
      <w:r>
        <w:rPr>
          <w:rFonts w:hint="eastAsia"/>
          <w:spacing w:val="4"/>
          <w:sz w:val="24"/>
        </w:rPr>
        <w:t>；</w:t>
      </w:r>
    </w:p>
    <w:p>
      <w:pPr>
        <w:tabs>
          <w:tab w:val="left" w:pos="0"/>
        </w:tabs>
        <w:spacing w:line="500" w:lineRule="exact"/>
        <w:ind w:firstLine="992" w:firstLineChars="400"/>
        <w:rPr>
          <w:spacing w:val="4"/>
          <w:sz w:val="24"/>
        </w:rPr>
      </w:pPr>
      <w:r>
        <w:rPr>
          <w:spacing w:val="4"/>
          <w:sz w:val="24"/>
        </w:rPr>
        <w:t>A</w:t>
      </w:r>
      <w:r>
        <w:rPr>
          <w:spacing w:val="4"/>
          <w:sz w:val="24"/>
          <w:vertAlign w:val="subscript"/>
        </w:rPr>
        <w:t>atm</w:t>
      </w:r>
      <w:r>
        <w:rPr>
          <w:spacing w:val="4"/>
          <w:sz w:val="24"/>
        </w:rPr>
        <w:t xml:space="preserve"> </w:t>
      </w:r>
      <w:r>
        <w:rPr>
          <w:rFonts w:hint="eastAsia"/>
          <w:spacing w:val="4"/>
          <w:sz w:val="24"/>
        </w:rPr>
        <w:t>：空气吸收衰减，</w:t>
      </w:r>
      <w:r>
        <w:rPr>
          <w:spacing w:val="4"/>
          <w:sz w:val="24"/>
        </w:rPr>
        <w:t>dB</w:t>
      </w:r>
      <w:r>
        <w:rPr>
          <w:rFonts w:hint="eastAsia"/>
          <w:spacing w:val="4"/>
          <w:sz w:val="24"/>
        </w:rPr>
        <w:t>；</w:t>
      </w:r>
    </w:p>
    <w:p>
      <w:pPr>
        <w:tabs>
          <w:tab w:val="left" w:pos="0"/>
        </w:tabs>
        <w:spacing w:line="500" w:lineRule="exact"/>
        <w:ind w:firstLine="992" w:firstLineChars="400"/>
        <w:rPr>
          <w:spacing w:val="4"/>
          <w:sz w:val="24"/>
        </w:rPr>
      </w:pPr>
      <w:r>
        <w:rPr>
          <w:spacing w:val="4"/>
          <w:sz w:val="24"/>
        </w:rPr>
        <w:t>A</w:t>
      </w:r>
      <w:r>
        <w:rPr>
          <w:spacing w:val="4"/>
          <w:sz w:val="24"/>
          <w:vertAlign w:val="subscript"/>
        </w:rPr>
        <w:t>bar</w:t>
      </w:r>
      <w:r>
        <w:rPr>
          <w:spacing w:val="4"/>
          <w:sz w:val="24"/>
        </w:rPr>
        <w:t xml:space="preserve"> </w:t>
      </w:r>
      <w:r>
        <w:rPr>
          <w:rFonts w:hint="eastAsia"/>
          <w:spacing w:val="4"/>
          <w:sz w:val="24"/>
        </w:rPr>
        <w:t>：遮挡物衰减，</w:t>
      </w:r>
      <w:r>
        <w:rPr>
          <w:spacing w:val="4"/>
          <w:sz w:val="24"/>
        </w:rPr>
        <w:t>dB</w:t>
      </w:r>
      <w:r>
        <w:rPr>
          <w:rFonts w:hint="eastAsia"/>
          <w:spacing w:val="4"/>
          <w:sz w:val="24"/>
        </w:rPr>
        <w:t>；</w:t>
      </w:r>
    </w:p>
    <w:p>
      <w:pPr>
        <w:tabs>
          <w:tab w:val="left" w:pos="0"/>
        </w:tabs>
        <w:spacing w:line="500" w:lineRule="exact"/>
        <w:ind w:firstLine="992" w:firstLineChars="400"/>
        <w:rPr>
          <w:spacing w:val="4"/>
          <w:sz w:val="24"/>
        </w:rPr>
      </w:pPr>
      <w:r>
        <w:rPr>
          <w:spacing w:val="4"/>
          <w:sz w:val="24"/>
        </w:rPr>
        <w:t>A</w:t>
      </w:r>
      <w:r>
        <w:rPr>
          <w:spacing w:val="4"/>
          <w:sz w:val="24"/>
          <w:vertAlign w:val="subscript"/>
        </w:rPr>
        <w:t>gr</w:t>
      </w:r>
      <w:r>
        <w:rPr>
          <w:rFonts w:hint="eastAsia"/>
          <w:spacing w:val="4"/>
          <w:sz w:val="24"/>
        </w:rPr>
        <w:t>：地面效应，</w:t>
      </w:r>
      <w:r>
        <w:rPr>
          <w:spacing w:val="4"/>
          <w:sz w:val="24"/>
        </w:rPr>
        <w:t>dB</w:t>
      </w:r>
      <w:r>
        <w:rPr>
          <w:rFonts w:hint="eastAsia"/>
          <w:spacing w:val="4"/>
          <w:sz w:val="24"/>
        </w:rPr>
        <w:t>；</w:t>
      </w:r>
      <w:r>
        <w:rPr>
          <w:spacing w:val="4"/>
          <w:sz w:val="24"/>
        </w:rPr>
        <w:t xml:space="preserve"> </w:t>
      </w:r>
    </w:p>
    <w:p>
      <w:pPr>
        <w:tabs>
          <w:tab w:val="left" w:pos="0"/>
        </w:tabs>
        <w:spacing w:line="500" w:lineRule="exact"/>
        <w:ind w:firstLine="992" w:firstLineChars="400"/>
        <w:rPr>
          <w:spacing w:val="4"/>
          <w:sz w:val="24"/>
        </w:rPr>
      </w:pPr>
      <w:r>
        <w:rPr>
          <w:spacing w:val="4"/>
          <w:sz w:val="24"/>
        </w:rPr>
        <w:t>A</w:t>
      </w:r>
      <w:r>
        <w:rPr>
          <w:spacing w:val="4"/>
          <w:sz w:val="24"/>
          <w:vertAlign w:val="subscript"/>
        </w:rPr>
        <w:t>misc</w:t>
      </w:r>
      <w:r>
        <w:rPr>
          <w:spacing w:val="4"/>
          <w:sz w:val="24"/>
        </w:rPr>
        <w:t xml:space="preserve"> </w:t>
      </w:r>
      <w:r>
        <w:rPr>
          <w:rFonts w:hint="eastAsia"/>
          <w:spacing w:val="4"/>
          <w:sz w:val="24"/>
        </w:rPr>
        <w:t>：其他多方面效应，</w:t>
      </w:r>
      <w:r>
        <w:rPr>
          <w:spacing w:val="4"/>
          <w:sz w:val="24"/>
        </w:rPr>
        <w:t>dB</w:t>
      </w:r>
      <w:r>
        <w:rPr>
          <w:rFonts w:hint="eastAsia"/>
          <w:spacing w:val="4"/>
          <w:sz w:val="24"/>
        </w:rPr>
        <w:t>；</w:t>
      </w:r>
    </w:p>
    <w:p>
      <w:pPr>
        <w:tabs>
          <w:tab w:val="left" w:pos="0"/>
        </w:tabs>
        <w:spacing w:line="500" w:lineRule="exact"/>
        <w:ind w:firstLine="992" w:firstLineChars="400"/>
        <w:rPr>
          <w:spacing w:val="4"/>
          <w:sz w:val="24"/>
        </w:rPr>
      </w:pPr>
      <w:r>
        <w:rPr>
          <w:spacing w:val="4"/>
          <w:sz w:val="24"/>
        </w:rPr>
        <w:t>L</w:t>
      </w:r>
      <w:r>
        <w:rPr>
          <w:rFonts w:hint="eastAsia"/>
          <w:spacing w:val="4"/>
          <w:sz w:val="24"/>
          <w:vertAlign w:val="subscript"/>
        </w:rPr>
        <w:t>（</w:t>
      </w:r>
      <w:r>
        <w:rPr>
          <w:spacing w:val="4"/>
          <w:sz w:val="24"/>
          <w:vertAlign w:val="subscript"/>
        </w:rPr>
        <w:t>r</w:t>
      </w:r>
      <w:r>
        <w:rPr>
          <w:rFonts w:hint="eastAsia"/>
          <w:spacing w:val="4"/>
          <w:sz w:val="24"/>
          <w:vertAlign w:val="subscript"/>
        </w:rPr>
        <w:t>）</w:t>
      </w:r>
      <w:r>
        <w:rPr>
          <w:rFonts w:hint="eastAsia"/>
          <w:spacing w:val="4"/>
          <w:sz w:val="24"/>
        </w:rPr>
        <w:t>：声源衰减至</w:t>
      </w:r>
      <w:r>
        <w:rPr>
          <w:spacing w:val="4"/>
          <w:sz w:val="24"/>
        </w:rPr>
        <w:t>r</w:t>
      </w:r>
      <w:r>
        <w:rPr>
          <w:rFonts w:hint="eastAsia"/>
          <w:spacing w:val="4"/>
          <w:sz w:val="24"/>
        </w:rPr>
        <w:t>处的声压级，</w:t>
      </w:r>
      <w:r>
        <w:rPr>
          <w:spacing w:val="4"/>
          <w:sz w:val="24"/>
        </w:rPr>
        <w:t>dB</w:t>
      </w:r>
      <w:r>
        <w:rPr>
          <w:rFonts w:hint="eastAsia"/>
          <w:spacing w:val="4"/>
          <w:sz w:val="24"/>
        </w:rPr>
        <w:t>；</w:t>
      </w:r>
    </w:p>
    <w:p>
      <w:pPr>
        <w:tabs>
          <w:tab w:val="left" w:pos="0"/>
        </w:tabs>
        <w:spacing w:line="500" w:lineRule="exact"/>
        <w:ind w:firstLine="992" w:firstLineChars="400"/>
        <w:rPr>
          <w:spacing w:val="4"/>
          <w:sz w:val="24"/>
        </w:rPr>
      </w:pPr>
      <w:r>
        <w:rPr>
          <w:spacing w:val="4"/>
          <w:sz w:val="24"/>
        </w:rPr>
        <w:t>L</w:t>
      </w:r>
      <w:r>
        <w:rPr>
          <w:spacing w:val="4"/>
          <w:sz w:val="24"/>
          <w:vertAlign w:val="subscript"/>
        </w:rPr>
        <w:t>p</w:t>
      </w:r>
      <w:r>
        <w:rPr>
          <w:rFonts w:hint="eastAsia"/>
          <w:spacing w:val="4"/>
          <w:sz w:val="24"/>
        </w:rPr>
        <w:t>（</w:t>
      </w:r>
      <w:r>
        <w:rPr>
          <w:spacing w:val="4"/>
          <w:sz w:val="24"/>
        </w:rPr>
        <w:t>r</w:t>
      </w:r>
      <w:r>
        <w:rPr>
          <w:spacing w:val="4"/>
          <w:sz w:val="24"/>
          <w:vertAlign w:val="subscript"/>
        </w:rPr>
        <w:t>0</w:t>
      </w:r>
      <w:r>
        <w:rPr>
          <w:rFonts w:hint="eastAsia"/>
          <w:spacing w:val="4"/>
          <w:sz w:val="24"/>
        </w:rPr>
        <w:t>）：声源在参考距离</w:t>
      </w:r>
      <w:r>
        <w:rPr>
          <w:spacing w:val="4"/>
          <w:sz w:val="24"/>
        </w:rPr>
        <w:t>r</w:t>
      </w:r>
      <w:r>
        <w:rPr>
          <w:spacing w:val="4"/>
          <w:sz w:val="24"/>
          <w:vertAlign w:val="subscript"/>
        </w:rPr>
        <w:t>0</w:t>
      </w:r>
      <w:r>
        <w:rPr>
          <w:rFonts w:hint="eastAsia"/>
          <w:spacing w:val="4"/>
          <w:sz w:val="24"/>
        </w:rPr>
        <w:t>处的声压级；</w:t>
      </w:r>
    </w:p>
    <w:p>
      <w:pPr>
        <w:tabs>
          <w:tab w:val="left" w:pos="0"/>
        </w:tabs>
        <w:spacing w:line="500" w:lineRule="exact"/>
        <w:ind w:firstLine="992" w:firstLineChars="400"/>
        <w:rPr>
          <w:spacing w:val="4"/>
          <w:sz w:val="24"/>
        </w:rPr>
      </w:pPr>
      <w:r>
        <w:rPr>
          <w:spacing w:val="4"/>
          <w:sz w:val="24"/>
        </w:rPr>
        <w:t>r</w:t>
      </w:r>
      <w:r>
        <w:rPr>
          <w:spacing w:val="4"/>
          <w:sz w:val="24"/>
          <w:vertAlign w:val="subscript"/>
        </w:rPr>
        <w:t>0</w:t>
      </w:r>
      <w:r>
        <w:rPr>
          <w:rFonts w:hint="eastAsia"/>
          <w:spacing w:val="4"/>
          <w:sz w:val="24"/>
        </w:rPr>
        <w:t>：预测参考距离，</w:t>
      </w:r>
      <w:r>
        <w:rPr>
          <w:spacing w:val="4"/>
          <w:sz w:val="24"/>
        </w:rPr>
        <w:t>m</w:t>
      </w:r>
      <w:r>
        <w:rPr>
          <w:rFonts w:hint="eastAsia"/>
          <w:spacing w:val="4"/>
          <w:sz w:val="24"/>
        </w:rPr>
        <w:t>；</w:t>
      </w:r>
    </w:p>
    <w:p>
      <w:pPr>
        <w:tabs>
          <w:tab w:val="left" w:pos="0"/>
        </w:tabs>
        <w:spacing w:line="500" w:lineRule="exact"/>
        <w:ind w:firstLine="992" w:firstLineChars="400"/>
        <w:rPr>
          <w:spacing w:val="4"/>
          <w:sz w:val="24"/>
        </w:rPr>
      </w:pPr>
      <w:r>
        <w:rPr>
          <w:spacing w:val="4"/>
          <w:sz w:val="24"/>
        </w:rPr>
        <w:t>L</w:t>
      </w:r>
      <w:r>
        <w:rPr>
          <w:spacing w:val="4"/>
          <w:sz w:val="24"/>
          <w:vertAlign w:val="subscript"/>
        </w:rPr>
        <w:t>0</w:t>
      </w:r>
      <w:r>
        <w:rPr>
          <w:rFonts w:hint="eastAsia"/>
          <w:spacing w:val="4"/>
          <w:sz w:val="24"/>
        </w:rPr>
        <w:t>：预测点的噪声现状值，</w:t>
      </w:r>
      <w:r>
        <w:rPr>
          <w:spacing w:val="4"/>
          <w:sz w:val="24"/>
        </w:rPr>
        <w:t>dB</w:t>
      </w:r>
      <w:r>
        <w:rPr>
          <w:rFonts w:hint="eastAsia"/>
          <w:spacing w:val="4"/>
          <w:sz w:val="24"/>
        </w:rPr>
        <w:t>。</w:t>
      </w:r>
    </w:p>
    <w:p>
      <w:pPr>
        <w:spacing w:line="500" w:lineRule="exact"/>
        <w:ind w:firstLine="480" w:firstLineChars="200"/>
        <w:rPr>
          <w:rFonts w:eastAsiaTheme="minorEastAsia"/>
          <w:sz w:val="24"/>
        </w:rPr>
      </w:pPr>
      <w:r>
        <w:rPr>
          <w:rFonts w:hint="eastAsia" w:eastAsiaTheme="minorEastAsia"/>
          <w:sz w:val="24"/>
        </w:rPr>
        <w:t>本次评价综合考虑</w:t>
      </w:r>
      <w:r>
        <w:rPr>
          <w:rFonts w:eastAsiaTheme="minorEastAsia"/>
          <w:sz w:val="24"/>
        </w:rPr>
        <w:t>A</w:t>
      </w:r>
      <w:r>
        <w:rPr>
          <w:rFonts w:eastAsiaTheme="minorEastAsia"/>
          <w:sz w:val="24"/>
          <w:vertAlign w:val="subscript"/>
        </w:rPr>
        <w:t>div</w:t>
      </w:r>
      <w:r>
        <w:rPr>
          <w:rFonts w:hint="eastAsia" w:eastAsiaTheme="minorEastAsia"/>
          <w:sz w:val="24"/>
        </w:rPr>
        <w:t>、</w:t>
      </w:r>
      <w:r>
        <w:rPr>
          <w:rFonts w:eastAsiaTheme="minorEastAsia"/>
          <w:sz w:val="24"/>
        </w:rPr>
        <w:t>A</w:t>
      </w:r>
      <w:r>
        <w:rPr>
          <w:rFonts w:eastAsiaTheme="minorEastAsia"/>
          <w:sz w:val="24"/>
          <w:vertAlign w:val="subscript"/>
        </w:rPr>
        <w:t>atm</w:t>
      </w:r>
      <w:r>
        <w:rPr>
          <w:rFonts w:hint="eastAsia" w:eastAsiaTheme="minorEastAsia"/>
          <w:sz w:val="24"/>
        </w:rPr>
        <w:t>和</w:t>
      </w:r>
      <w:r>
        <w:rPr>
          <w:rFonts w:eastAsiaTheme="minorEastAsia"/>
          <w:sz w:val="24"/>
        </w:rPr>
        <w:t>A</w:t>
      </w:r>
      <w:r>
        <w:rPr>
          <w:rFonts w:eastAsiaTheme="minorEastAsia"/>
          <w:sz w:val="24"/>
          <w:vertAlign w:val="subscript"/>
        </w:rPr>
        <w:t>gr</w:t>
      </w:r>
      <w:r>
        <w:rPr>
          <w:rFonts w:hint="eastAsia" w:eastAsiaTheme="minorEastAsia"/>
          <w:sz w:val="24"/>
        </w:rPr>
        <w:t>的衰减量，来预测本工程主要噪声源对周围声环境的影响。其中几何发散引起的</w:t>
      </w:r>
      <w:r>
        <w:rPr>
          <w:rFonts w:eastAsiaTheme="minorEastAsia"/>
          <w:sz w:val="24"/>
        </w:rPr>
        <w:t>A</w:t>
      </w:r>
      <w:r>
        <w:rPr>
          <w:rFonts w:hint="eastAsia" w:eastAsiaTheme="minorEastAsia"/>
          <w:sz w:val="24"/>
        </w:rPr>
        <w:t>声级衰减量的计算公式如下：</w:t>
      </w:r>
    </w:p>
    <w:p>
      <w:pPr>
        <w:ind w:firstLine="480"/>
        <w:jc w:val="center"/>
        <w:rPr>
          <w:rFonts w:eastAsiaTheme="minorEastAsia"/>
        </w:rPr>
      </w:pPr>
      <w:r>
        <w:rPr>
          <w:rFonts w:eastAsiaTheme="minorEastAsia"/>
        </w:rPr>
        <w:drawing>
          <wp:inline distT="0" distB="0" distL="0" distR="0">
            <wp:extent cx="1152525" cy="447675"/>
            <wp:effectExtent l="19050" t="0" r="0" b="0"/>
            <wp:docPr id="160" name="图片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165"/>
                    <pic:cNvPicPr>
                      <a:picLocks noChangeAspect="1" noChangeArrowheads="1"/>
                    </pic:cNvPicPr>
                  </pic:nvPicPr>
                  <pic:blipFill>
                    <a:blip r:embed="rId114"/>
                    <a:srcRect/>
                    <a:stretch>
                      <a:fillRect/>
                    </a:stretch>
                  </pic:blipFill>
                  <pic:spPr>
                    <a:xfrm>
                      <a:off x="0" y="0"/>
                      <a:ext cx="1152525" cy="447675"/>
                    </a:xfrm>
                    <a:prstGeom prst="rect">
                      <a:avLst/>
                    </a:prstGeom>
                    <a:noFill/>
                    <a:ln w="9525">
                      <a:noFill/>
                      <a:miter lim="800000"/>
                      <a:headEnd/>
                      <a:tailEnd/>
                    </a:ln>
                  </pic:spPr>
                </pic:pic>
              </a:graphicData>
            </a:graphic>
          </wp:inline>
        </w:drawing>
      </w:r>
    </w:p>
    <w:p>
      <w:pPr>
        <w:spacing w:line="500" w:lineRule="exact"/>
        <w:ind w:firstLine="480" w:firstLineChars="200"/>
        <w:rPr>
          <w:rFonts w:eastAsiaTheme="minorEastAsia"/>
          <w:sz w:val="24"/>
        </w:rPr>
      </w:pPr>
      <w:r>
        <w:rPr>
          <w:rFonts w:hint="eastAsia" w:eastAsiaTheme="minorEastAsia"/>
          <w:sz w:val="24"/>
        </w:rPr>
        <w:t>大气吸收引起的</w:t>
      </w:r>
      <w:r>
        <w:rPr>
          <w:rFonts w:eastAsiaTheme="minorEastAsia"/>
          <w:sz w:val="24"/>
        </w:rPr>
        <w:t>A</w:t>
      </w:r>
      <w:r>
        <w:rPr>
          <w:rFonts w:hint="eastAsia" w:eastAsiaTheme="minorEastAsia"/>
          <w:sz w:val="24"/>
        </w:rPr>
        <w:t>声级衰减量的计算公式如下：</w:t>
      </w:r>
    </w:p>
    <w:p>
      <w:pPr>
        <w:ind w:firstLine="480"/>
        <w:jc w:val="center"/>
        <w:rPr>
          <w:rFonts w:eastAsiaTheme="minorEastAsia"/>
        </w:rPr>
      </w:pPr>
      <w:r>
        <w:rPr>
          <w:rFonts w:eastAsiaTheme="minorEastAsia"/>
        </w:rPr>
        <w:drawing>
          <wp:inline distT="0" distB="0" distL="0" distR="0">
            <wp:extent cx="1181100" cy="419100"/>
            <wp:effectExtent l="19050" t="0" r="0" b="0"/>
            <wp:docPr id="161" name="图片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164"/>
                    <pic:cNvPicPr>
                      <a:picLocks noChangeAspect="1" noChangeArrowheads="1"/>
                    </pic:cNvPicPr>
                  </pic:nvPicPr>
                  <pic:blipFill>
                    <a:blip r:embed="rId115"/>
                    <a:srcRect/>
                    <a:stretch>
                      <a:fillRect/>
                    </a:stretch>
                  </pic:blipFill>
                  <pic:spPr>
                    <a:xfrm>
                      <a:off x="0" y="0"/>
                      <a:ext cx="1181100" cy="419100"/>
                    </a:xfrm>
                    <a:prstGeom prst="rect">
                      <a:avLst/>
                    </a:prstGeom>
                    <a:noFill/>
                    <a:ln w="9525">
                      <a:noFill/>
                      <a:miter lim="800000"/>
                      <a:headEnd/>
                      <a:tailEnd/>
                    </a:ln>
                  </pic:spPr>
                </pic:pic>
              </a:graphicData>
            </a:graphic>
          </wp:inline>
        </w:drawing>
      </w:r>
    </w:p>
    <w:p>
      <w:pPr>
        <w:spacing w:line="500" w:lineRule="exact"/>
        <w:ind w:firstLine="480" w:firstLineChars="200"/>
        <w:rPr>
          <w:rFonts w:eastAsiaTheme="minorEastAsia"/>
          <w:sz w:val="24"/>
        </w:rPr>
      </w:pPr>
      <w:r>
        <w:rPr>
          <w:rFonts w:hint="eastAsia" w:eastAsiaTheme="minorEastAsia"/>
          <w:sz w:val="24"/>
        </w:rPr>
        <w:t>式中：</w:t>
      </w:r>
      <w:r>
        <w:rPr>
          <w:rFonts w:eastAsiaTheme="minorEastAsia"/>
          <w:sz w:val="24"/>
        </w:rPr>
        <w:t>α</w:t>
      </w:r>
      <w:r>
        <w:rPr>
          <w:rFonts w:hint="eastAsia" w:eastAsiaTheme="minorEastAsia"/>
          <w:sz w:val="24"/>
        </w:rPr>
        <w:t>为温度、湿度和声波频率的函数，预测计算中一般根据当地常年平均气温和湿度选择相应的空气吸收系数。</w:t>
      </w:r>
    </w:p>
    <w:p>
      <w:pPr>
        <w:spacing w:line="500" w:lineRule="exact"/>
        <w:ind w:firstLine="480" w:firstLineChars="200"/>
        <w:rPr>
          <w:rFonts w:eastAsiaTheme="minorEastAsia"/>
          <w:sz w:val="24"/>
        </w:rPr>
      </w:pPr>
      <w:r>
        <w:rPr>
          <w:rFonts w:hint="eastAsia" w:eastAsiaTheme="minorEastAsia"/>
          <w:sz w:val="24"/>
        </w:rPr>
        <w:t>地面效应引起的</w:t>
      </w:r>
      <w:r>
        <w:rPr>
          <w:rFonts w:eastAsiaTheme="minorEastAsia"/>
          <w:sz w:val="24"/>
        </w:rPr>
        <w:t>A</w:t>
      </w:r>
      <w:r>
        <w:rPr>
          <w:rFonts w:hint="eastAsia" w:eastAsiaTheme="minorEastAsia"/>
          <w:sz w:val="24"/>
        </w:rPr>
        <w:t>声级衰减量的计算公式如下：</w:t>
      </w:r>
    </w:p>
    <w:p>
      <w:pPr>
        <w:ind w:firstLine="480"/>
        <w:jc w:val="center"/>
        <w:rPr>
          <w:rFonts w:eastAsiaTheme="minorEastAsia"/>
        </w:rPr>
      </w:pPr>
      <w:r>
        <w:rPr>
          <w:rFonts w:eastAsiaTheme="minorEastAsia"/>
        </w:rPr>
        <w:drawing>
          <wp:inline distT="0" distB="0" distL="0" distR="0">
            <wp:extent cx="2162175" cy="485775"/>
            <wp:effectExtent l="19050" t="0" r="9525" b="0"/>
            <wp:docPr id="162" name="图片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162"/>
                    <pic:cNvPicPr>
                      <a:picLocks noChangeAspect="1" noChangeArrowheads="1"/>
                    </pic:cNvPicPr>
                  </pic:nvPicPr>
                  <pic:blipFill>
                    <a:blip r:embed="rId116"/>
                    <a:srcRect/>
                    <a:stretch>
                      <a:fillRect/>
                    </a:stretch>
                  </pic:blipFill>
                  <pic:spPr>
                    <a:xfrm>
                      <a:off x="0" y="0"/>
                      <a:ext cx="2162175" cy="485775"/>
                    </a:xfrm>
                    <a:prstGeom prst="rect">
                      <a:avLst/>
                    </a:prstGeom>
                    <a:noFill/>
                    <a:ln w="9525">
                      <a:noFill/>
                      <a:miter lim="800000"/>
                      <a:headEnd/>
                      <a:tailEnd/>
                    </a:ln>
                  </pic:spPr>
                </pic:pic>
              </a:graphicData>
            </a:graphic>
          </wp:inline>
        </w:drawing>
      </w:r>
    </w:p>
    <w:p>
      <w:pPr>
        <w:spacing w:line="500" w:lineRule="exact"/>
        <w:ind w:firstLine="480" w:firstLineChars="200"/>
        <w:rPr>
          <w:rFonts w:eastAsiaTheme="minorEastAsia"/>
          <w:sz w:val="24"/>
        </w:rPr>
      </w:pPr>
      <w:r>
        <w:rPr>
          <w:rFonts w:hint="eastAsia" w:eastAsiaTheme="minorEastAsia"/>
          <w:sz w:val="24"/>
        </w:rPr>
        <w:t>式中，</w:t>
      </w:r>
      <w:r>
        <w:rPr>
          <w:rFonts w:eastAsiaTheme="minorEastAsia"/>
          <w:sz w:val="24"/>
        </w:rPr>
        <w:t>r</w:t>
      </w:r>
      <w:r>
        <w:rPr>
          <w:rFonts w:hint="eastAsia" w:eastAsiaTheme="minorEastAsia"/>
          <w:sz w:val="24"/>
        </w:rPr>
        <w:t>为声源到预测点的距离，</w:t>
      </w:r>
      <w:r>
        <w:rPr>
          <w:rFonts w:eastAsiaTheme="minorEastAsia"/>
          <w:sz w:val="24"/>
        </w:rPr>
        <w:t>m</w:t>
      </w:r>
      <w:r>
        <w:rPr>
          <w:rFonts w:hint="eastAsia" w:eastAsiaTheme="minorEastAsia"/>
          <w:sz w:val="24"/>
        </w:rPr>
        <w:t>；</w:t>
      </w:r>
    </w:p>
    <w:p>
      <w:pPr>
        <w:spacing w:line="500" w:lineRule="exact"/>
        <w:ind w:firstLine="1200" w:firstLineChars="500"/>
        <w:rPr>
          <w:rFonts w:eastAsiaTheme="minorEastAsia"/>
          <w:sz w:val="24"/>
        </w:rPr>
      </w:pPr>
      <w:r>
        <w:rPr>
          <w:rFonts w:eastAsiaTheme="minorEastAsia"/>
          <w:sz w:val="24"/>
        </w:rPr>
        <w:t>hr</w:t>
      </w:r>
      <w:r>
        <w:rPr>
          <w:rFonts w:hint="eastAsia" w:eastAsiaTheme="minorEastAsia"/>
          <w:sz w:val="24"/>
        </w:rPr>
        <w:t>为传播路径的平均离地高度，</w:t>
      </w:r>
      <w:r>
        <w:rPr>
          <w:rFonts w:eastAsiaTheme="minorEastAsia"/>
          <w:sz w:val="24"/>
        </w:rPr>
        <w:t>m</w:t>
      </w:r>
      <w:r>
        <w:rPr>
          <w:rFonts w:hint="eastAsia" w:eastAsiaTheme="minorEastAsia"/>
          <w:sz w:val="24"/>
        </w:rPr>
        <w:t>；</w:t>
      </w:r>
    </w:p>
    <w:p>
      <w:pPr>
        <w:spacing w:line="500" w:lineRule="exact"/>
        <w:ind w:firstLine="480" w:firstLineChars="200"/>
        <w:rPr>
          <w:rFonts w:eastAsiaTheme="minorEastAsia"/>
          <w:sz w:val="24"/>
        </w:rPr>
      </w:pPr>
      <w:r>
        <w:rPr>
          <w:rFonts w:hint="eastAsia" w:eastAsiaTheme="minorEastAsia"/>
          <w:sz w:val="24"/>
        </w:rPr>
        <w:t>声屏障引起的</w:t>
      </w:r>
      <w:r>
        <w:rPr>
          <w:rFonts w:eastAsiaTheme="minorEastAsia"/>
          <w:sz w:val="24"/>
        </w:rPr>
        <w:t>A</w:t>
      </w:r>
      <w:r>
        <w:rPr>
          <w:rFonts w:hint="eastAsia" w:eastAsiaTheme="minorEastAsia"/>
          <w:sz w:val="24"/>
        </w:rPr>
        <w:t>声级衰减量</w:t>
      </w:r>
      <w:r>
        <w:rPr>
          <w:rFonts w:eastAsiaTheme="minorEastAsia"/>
          <w:sz w:val="24"/>
        </w:rPr>
        <w:t>Abar</w:t>
      </w:r>
      <w:r>
        <w:rPr>
          <w:rFonts w:hint="eastAsia" w:eastAsiaTheme="minorEastAsia"/>
          <w:sz w:val="24"/>
        </w:rPr>
        <w:t>的计算公式如下：</w:t>
      </w:r>
    </w:p>
    <w:p>
      <w:pPr>
        <w:ind w:firstLine="480"/>
        <w:jc w:val="center"/>
        <w:rPr>
          <w:rFonts w:eastAsiaTheme="minorEastAsia"/>
        </w:rPr>
      </w:pPr>
      <w:r>
        <w:rPr>
          <w:rFonts w:eastAsiaTheme="minorEastAsia"/>
        </w:rPr>
        <w:drawing>
          <wp:inline distT="0" distB="0" distL="0" distR="0">
            <wp:extent cx="3324225" cy="485775"/>
            <wp:effectExtent l="19050" t="0" r="9525" b="0"/>
            <wp:docPr id="1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8"/>
                    <pic:cNvPicPr>
                      <a:picLocks noChangeAspect="1" noChangeArrowheads="1"/>
                    </pic:cNvPicPr>
                  </pic:nvPicPr>
                  <pic:blipFill>
                    <a:blip r:embed="rId117"/>
                    <a:srcRect/>
                    <a:stretch>
                      <a:fillRect/>
                    </a:stretch>
                  </pic:blipFill>
                  <pic:spPr>
                    <a:xfrm>
                      <a:off x="0" y="0"/>
                      <a:ext cx="3324225" cy="485775"/>
                    </a:xfrm>
                    <a:prstGeom prst="rect">
                      <a:avLst/>
                    </a:prstGeom>
                    <a:noFill/>
                    <a:ln w="9525">
                      <a:noFill/>
                      <a:miter lim="800000"/>
                      <a:headEnd/>
                      <a:tailEnd/>
                    </a:ln>
                  </pic:spPr>
                </pic:pic>
              </a:graphicData>
            </a:graphic>
          </wp:inline>
        </w:drawing>
      </w:r>
    </w:p>
    <w:p>
      <w:pPr>
        <w:spacing w:line="500" w:lineRule="exact"/>
        <w:ind w:firstLine="482"/>
        <w:rPr>
          <w:rFonts w:eastAsiaTheme="minorEastAsia"/>
          <w:sz w:val="24"/>
        </w:rPr>
      </w:pPr>
      <w:r>
        <w:rPr>
          <w:rFonts w:hint="eastAsia" w:eastAsiaTheme="minorEastAsia"/>
          <w:sz w:val="24"/>
        </w:rPr>
        <w:t>式中，</w:t>
      </w:r>
      <w:r>
        <w:rPr>
          <w:rFonts w:eastAsiaTheme="minorEastAsia"/>
          <w:i/>
          <w:sz w:val="24"/>
        </w:rPr>
        <w:t>N</w:t>
      </w:r>
      <w:r>
        <w:rPr>
          <w:rFonts w:eastAsiaTheme="minorEastAsia"/>
          <w:i/>
          <w:sz w:val="24"/>
          <w:vertAlign w:val="subscript"/>
        </w:rPr>
        <w:t>1</w:t>
      </w:r>
      <w:r>
        <w:rPr>
          <w:rFonts w:hint="eastAsia" w:eastAsiaTheme="minorEastAsia"/>
          <w:i/>
          <w:sz w:val="24"/>
        </w:rPr>
        <w:t>、</w:t>
      </w:r>
      <w:r>
        <w:rPr>
          <w:rFonts w:eastAsiaTheme="minorEastAsia"/>
          <w:i/>
          <w:sz w:val="24"/>
        </w:rPr>
        <w:t>N</w:t>
      </w:r>
      <w:r>
        <w:rPr>
          <w:rFonts w:eastAsiaTheme="minorEastAsia"/>
          <w:i/>
          <w:sz w:val="24"/>
          <w:vertAlign w:val="subscript"/>
        </w:rPr>
        <w:t>2</w:t>
      </w:r>
      <w:r>
        <w:rPr>
          <w:rFonts w:hint="eastAsia" w:eastAsiaTheme="minorEastAsia"/>
          <w:i/>
          <w:sz w:val="24"/>
        </w:rPr>
        <w:t>、</w:t>
      </w:r>
      <w:r>
        <w:rPr>
          <w:rFonts w:eastAsiaTheme="minorEastAsia"/>
          <w:i/>
          <w:sz w:val="24"/>
        </w:rPr>
        <w:t>N</w:t>
      </w:r>
      <w:r>
        <w:rPr>
          <w:rFonts w:eastAsiaTheme="minorEastAsia"/>
          <w:i/>
          <w:sz w:val="24"/>
          <w:vertAlign w:val="subscript"/>
        </w:rPr>
        <w:t>3</w:t>
      </w:r>
      <w:r>
        <w:rPr>
          <w:rFonts w:hint="eastAsia" w:eastAsiaTheme="minorEastAsia"/>
          <w:sz w:val="24"/>
        </w:rPr>
        <w:t>表示三个传播途径的声程差相应的菲涅尔数；</w:t>
      </w:r>
    </w:p>
    <w:p>
      <w:pPr>
        <w:spacing w:line="500" w:lineRule="exact"/>
        <w:ind w:firstLine="482"/>
        <w:rPr>
          <w:rFonts w:eastAsiaTheme="minorEastAsia"/>
          <w:sz w:val="24"/>
        </w:rPr>
      </w:pPr>
      <w:r>
        <w:rPr>
          <w:rFonts w:hint="eastAsia" w:eastAsiaTheme="minorEastAsia"/>
          <w:sz w:val="24"/>
        </w:rPr>
        <w:t>对多个声源同时存在时，其总</w:t>
      </w:r>
      <w:r>
        <w:rPr>
          <w:rFonts w:eastAsiaTheme="minorEastAsia"/>
          <w:sz w:val="24"/>
        </w:rPr>
        <w:t>A</w:t>
      </w:r>
      <w:r>
        <w:rPr>
          <w:rFonts w:hint="eastAsia" w:eastAsiaTheme="minorEastAsia"/>
          <w:sz w:val="24"/>
        </w:rPr>
        <w:t>声级用下式计算：</w:t>
      </w:r>
    </w:p>
    <w:p>
      <w:pPr>
        <w:ind w:firstLine="480"/>
        <w:jc w:val="center"/>
        <w:rPr>
          <w:rFonts w:eastAsiaTheme="minorEastAsia"/>
        </w:rPr>
      </w:pPr>
      <w:r>
        <w:rPr>
          <w:rFonts w:eastAsiaTheme="minorEastAsia"/>
        </w:rPr>
        <w:drawing>
          <wp:inline distT="0" distB="0" distL="0" distR="0">
            <wp:extent cx="1381125" cy="466725"/>
            <wp:effectExtent l="0" t="0" r="9525" b="0"/>
            <wp:docPr id="16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9"/>
                    <pic:cNvPicPr>
                      <a:picLocks noChangeAspect="1" noChangeArrowheads="1"/>
                    </pic:cNvPicPr>
                  </pic:nvPicPr>
                  <pic:blipFill>
                    <a:blip r:embed="rId118"/>
                    <a:srcRect/>
                    <a:stretch>
                      <a:fillRect/>
                    </a:stretch>
                  </pic:blipFill>
                  <pic:spPr>
                    <a:xfrm>
                      <a:off x="0" y="0"/>
                      <a:ext cx="1381125" cy="466725"/>
                    </a:xfrm>
                    <a:prstGeom prst="rect">
                      <a:avLst/>
                    </a:prstGeom>
                    <a:noFill/>
                    <a:ln w="9525">
                      <a:noFill/>
                      <a:miter lim="800000"/>
                      <a:headEnd/>
                      <a:tailEnd/>
                    </a:ln>
                  </pic:spPr>
                </pic:pic>
              </a:graphicData>
            </a:graphic>
          </wp:inline>
        </w:drawing>
      </w:r>
    </w:p>
    <w:p>
      <w:pPr>
        <w:spacing w:line="360" w:lineRule="auto"/>
        <w:ind w:firstLine="482"/>
        <w:rPr>
          <w:rFonts w:eastAsiaTheme="minorEastAsia"/>
          <w:sz w:val="24"/>
        </w:rPr>
      </w:pPr>
      <w:r>
        <w:rPr>
          <w:rFonts w:hint="eastAsia" w:eastAsiaTheme="minorEastAsia"/>
          <w:sz w:val="24"/>
        </w:rPr>
        <w:t>式中，</w:t>
      </w:r>
      <w:r>
        <w:rPr>
          <w:rFonts w:eastAsiaTheme="minorEastAsia"/>
          <w:sz w:val="24"/>
        </w:rPr>
        <w:t>Ln</w:t>
      </w:r>
      <w:r>
        <w:rPr>
          <w:rFonts w:hint="eastAsia" w:eastAsiaTheme="minorEastAsia"/>
          <w:sz w:val="24"/>
        </w:rPr>
        <w:t>为</w:t>
      </w:r>
      <w:r>
        <w:rPr>
          <w:rFonts w:eastAsiaTheme="minorEastAsia"/>
          <w:sz w:val="24"/>
        </w:rPr>
        <w:t>n</w:t>
      </w:r>
      <w:r>
        <w:rPr>
          <w:rFonts w:hint="eastAsia" w:eastAsiaTheme="minorEastAsia"/>
          <w:sz w:val="24"/>
        </w:rPr>
        <w:t>个声源对预测点的贡献值；</w:t>
      </w:r>
    </w:p>
    <w:p>
      <w:pPr>
        <w:spacing w:line="360" w:lineRule="auto"/>
        <w:ind w:firstLine="1267" w:firstLineChars="528"/>
        <w:rPr>
          <w:rFonts w:eastAsiaTheme="minorEastAsia"/>
          <w:sz w:val="24"/>
        </w:rPr>
      </w:pPr>
      <w:r>
        <w:rPr>
          <w:rFonts w:eastAsiaTheme="minorEastAsia"/>
          <w:sz w:val="24"/>
        </w:rPr>
        <w:t>Li</w:t>
      </w:r>
      <w:r>
        <w:rPr>
          <w:rFonts w:hint="eastAsia" w:eastAsiaTheme="minorEastAsia"/>
          <w:sz w:val="24"/>
        </w:rPr>
        <w:t>为第</w:t>
      </w:r>
      <w:r>
        <w:rPr>
          <w:rFonts w:eastAsiaTheme="minorEastAsia"/>
          <w:sz w:val="24"/>
        </w:rPr>
        <w:t>i</w:t>
      </w:r>
      <w:r>
        <w:rPr>
          <w:rFonts w:hint="eastAsia" w:eastAsiaTheme="minorEastAsia"/>
          <w:sz w:val="24"/>
        </w:rPr>
        <w:t>个声源对预测点的贡献值。</w:t>
      </w:r>
    </w:p>
    <w:p>
      <w:pPr>
        <w:tabs>
          <w:tab w:val="left" w:pos="0"/>
        </w:tabs>
        <w:spacing w:line="360" w:lineRule="auto"/>
        <w:ind w:firstLine="480" w:firstLineChars="200"/>
        <w:rPr>
          <w:rFonts w:eastAsiaTheme="minorEastAsia"/>
          <w:sz w:val="24"/>
        </w:rPr>
      </w:pPr>
      <w:r>
        <w:rPr>
          <w:rFonts w:hint="eastAsia" w:eastAsiaTheme="minorEastAsia"/>
          <w:sz w:val="24"/>
        </w:rPr>
        <w:t>3、预测结果与评价</w:t>
      </w:r>
    </w:p>
    <w:p>
      <w:pPr>
        <w:spacing w:line="360" w:lineRule="auto"/>
        <w:ind w:firstLine="482"/>
        <w:rPr>
          <w:rFonts w:eastAsiaTheme="minorEastAsia"/>
          <w:sz w:val="24"/>
        </w:rPr>
      </w:pPr>
      <w:r>
        <w:rPr>
          <w:rFonts w:hint="eastAsia" w:eastAsiaTheme="minorEastAsia"/>
          <w:sz w:val="24"/>
        </w:rPr>
        <w:t>根据厂内主要噪声源的位置、声压级情况以及所采取的噪声防治措施，选择对东、北、西、南厂界及敏感点南窑沟村进行预测，同时绘制评价范围内的等声级图，直观反映工程产生的昼间噪声对厂界的影响程度。具体预测结果见表</w:t>
      </w:r>
      <w:r>
        <w:rPr>
          <w:rFonts w:eastAsiaTheme="minorEastAsia"/>
          <w:sz w:val="24"/>
        </w:rPr>
        <w:t>5.5-</w:t>
      </w:r>
      <w:r>
        <w:rPr>
          <w:rFonts w:hint="eastAsia" w:eastAsiaTheme="minorEastAsia"/>
          <w:sz w:val="24"/>
        </w:rPr>
        <w:t>3</w:t>
      </w:r>
      <w:r>
        <w:rPr>
          <w:rFonts w:eastAsiaTheme="minorEastAsia"/>
          <w:sz w:val="24"/>
        </w:rPr>
        <w:t>~5.5-</w:t>
      </w:r>
      <w:r>
        <w:rPr>
          <w:rFonts w:hint="eastAsia" w:eastAsiaTheme="minorEastAsia"/>
          <w:sz w:val="24"/>
        </w:rPr>
        <w:t>4，噪声贡献值等值线图见</w:t>
      </w:r>
      <w:r>
        <w:rPr>
          <w:rFonts w:eastAsiaTheme="minorEastAsia"/>
          <w:sz w:val="24"/>
        </w:rPr>
        <w:t>5.5-1</w:t>
      </w:r>
      <w:r>
        <w:rPr>
          <w:rFonts w:hint="eastAsia" w:eastAsiaTheme="minorEastAsia"/>
          <w:sz w:val="24"/>
        </w:rPr>
        <w:t>。</w:t>
      </w:r>
    </w:p>
    <w:p>
      <w:pPr>
        <w:pStyle w:val="7"/>
        <w:spacing w:line="360" w:lineRule="auto"/>
        <w:ind w:firstLine="0"/>
        <w:jc w:val="center"/>
        <w:rPr>
          <w:b/>
          <w:sz w:val="21"/>
          <w:szCs w:val="21"/>
        </w:rPr>
      </w:pPr>
      <w:r>
        <w:rPr>
          <w:rFonts w:hint="eastAsia"/>
          <w:b/>
          <w:sz w:val="21"/>
          <w:szCs w:val="21"/>
        </w:rPr>
        <w:t>表</w:t>
      </w:r>
      <w:r>
        <w:rPr>
          <w:b/>
          <w:sz w:val="21"/>
          <w:szCs w:val="21"/>
        </w:rPr>
        <w:t>5.5-</w:t>
      </w:r>
      <w:r>
        <w:rPr>
          <w:rFonts w:hint="eastAsia"/>
          <w:b/>
          <w:sz w:val="21"/>
          <w:szCs w:val="21"/>
        </w:rPr>
        <w:t>3</w:t>
      </w:r>
      <w:r>
        <w:rPr>
          <w:b/>
          <w:sz w:val="21"/>
          <w:szCs w:val="21"/>
        </w:rPr>
        <w:t xml:space="preserve"> </w:t>
      </w:r>
      <w:r>
        <w:rPr>
          <w:rFonts w:hint="eastAsia"/>
          <w:b/>
          <w:sz w:val="21"/>
          <w:szCs w:val="21"/>
        </w:rPr>
        <w:t>厂界噪声预测结果</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620"/>
        <w:gridCol w:w="1237"/>
        <w:gridCol w:w="1091"/>
        <w:gridCol w:w="1178"/>
        <w:gridCol w:w="1110"/>
        <w:gridCol w:w="1043"/>
        <w:gridCol w:w="1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0" w:type="pct"/>
            <w:vMerge w:val="restart"/>
            <w:tcBorders>
              <w:top w:val="single" w:color="auto" w:sz="12" w:space="0"/>
              <w:left w:val="single" w:color="auto" w:sz="12" w:space="0"/>
              <w:bottom w:val="single" w:color="auto" w:sz="4" w:space="0"/>
              <w:right w:val="single" w:color="auto" w:sz="4" w:space="0"/>
            </w:tcBorders>
            <w:noWrap/>
            <w:vAlign w:val="center"/>
          </w:tcPr>
          <w:p>
            <w:pPr>
              <w:spacing w:line="280" w:lineRule="exact"/>
              <w:jc w:val="center"/>
              <w:rPr>
                <w:bCs/>
                <w:szCs w:val="21"/>
              </w:rPr>
            </w:pPr>
            <w:r>
              <w:rPr>
                <w:rFonts w:hint="eastAsia"/>
                <w:bCs/>
                <w:szCs w:val="21"/>
              </w:rPr>
              <w:t>编号</w:t>
            </w:r>
          </w:p>
        </w:tc>
        <w:tc>
          <w:tcPr>
            <w:tcW w:w="886" w:type="pct"/>
            <w:vMerge w:val="restart"/>
            <w:tcBorders>
              <w:top w:val="single" w:color="auto" w:sz="12" w:space="0"/>
              <w:left w:val="single" w:color="auto" w:sz="4" w:space="0"/>
              <w:bottom w:val="single" w:color="auto" w:sz="4" w:space="0"/>
              <w:right w:val="single" w:color="auto" w:sz="4" w:space="0"/>
            </w:tcBorders>
            <w:noWrap/>
            <w:vAlign w:val="center"/>
          </w:tcPr>
          <w:p>
            <w:pPr>
              <w:spacing w:line="280" w:lineRule="exact"/>
              <w:jc w:val="center"/>
              <w:rPr>
                <w:bCs/>
                <w:szCs w:val="21"/>
              </w:rPr>
            </w:pPr>
            <w:r>
              <w:rPr>
                <w:rFonts w:hint="eastAsia"/>
                <w:bCs/>
                <w:szCs w:val="21"/>
              </w:rPr>
              <w:t>监测地点</w:t>
            </w:r>
          </w:p>
        </w:tc>
        <w:tc>
          <w:tcPr>
            <w:tcW w:w="1929" w:type="pct"/>
            <w:gridSpan w:val="3"/>
            <w:tcBorders>
              <w:top w:val="single" w:color="auto" w:sz="12" w:space="0"/>
              <w:left w:val="single" w:color="auto" w:sz="4" w:space="0"/>
              <w:bottom w:val="single" w:color="auto" w:sz="4" w:space="0"/>
              <w:right w:val="single" w:color="auto" w:sz="4" w:space="0"/>
            </w:tcBorders>
            <w:noWrap/>
            <w:vAlign w:val="center"/>
          </w:tcPr>
          <w:p>
            <w:pPr>
              <w:spacing w:line="300" w:lineRule="exact"/>
              <w:jc w:val="center"/>
              <w:rPr>
                <w:szCs w:val="21"/>
              </w:rPr>
            </w:pPr>
            <w:r>
              <w:rPr>
                <w:rFonts w:hint="eastAsia"/>
                <w:szCs w:val="21"/>
              </w:rPr>
              <w:t>昼间</w:t>
            </w:r>
            <w:r>
              <w:rPr>
                <w:szCs w:val="21"/>
              </w:rPr>
              <w:t>dB(A)</w:t>
            </w:r>
          </w:p>
        </w:tc>
        <w:tc>
          <w:tcPr>
            <w:tcW w:w="1934" w:type="pct"/>
            <w:gridSpan w:val="3"/>
            <w:tcBorders>
              <w:top w:val="single" w:color="auto" w:sz="12" w:space="0"/>
              <w:left w:val="single" w:color="auto" w:sz="4" w:space="0"/>
              <w:bottom w:val="single" w:color="auto" w:sz="4" w:space="0"/>
              <w:right w:val="single" w:color="auto" w:sz="12" w:space="0"/>
            </w:tcBorders>
            <w:noWrap/>
            <w:vAlign w:val="center"/>
          </w:tcPr>
          <w:p>
            <w:pPr>
              <w:spacing w:line="300" w:lineRule="exact"/>
              <w:jc w:val="center"/>
              <w:rPr>
                <w:szCs w:val="21"/>
              </w:rPr>
            </w:pPr>
            <w:r>
              <w:rPr>
                <w:rFonts w:hint="eastAsia"/>
                <w:szCs w:val="21"/>
              </w:rPr>
              <w:t>夜间</w:t>
            </w:r>
            <w:r>
              <w:rPr>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12" w:space="0"/>
              <w:left w:val="single" w:color="auto" w:sz="12" w:space="0"/>
              <w:bottom w:val="single" w:color="auto" w:sz="4" w:space="0"/>
              <w:right w:val="single" w:color="auto" w:sz="4" w:space="0"/>
            </w:tcBorders>
            <w:vAlign w:val="center"/>
          </w:tcPr>
          <w:p>
            <w:pPr>
              <w:widowControl/>
              <w:jc w:val="left"/>
              <w:rPr>
                <w:bCs/>
                <w:szCs w:val="21"/>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pPr>
              <w:widowControl/>
              <w:jc w:val="left"/>
              <w:rPr>
                <w:bCs/>
                <w:szCs w:val="21"/>
              </w:rPr>
            </w:pPr>
          </w:p>
        </w:tc>
        <w:tc>
          <w:tcPr>
            <w:tcW w:w="680"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bCs/>
                <w:szCs w:val="21"/>
              </w:rPr>
            </w:pPr>
            <w:r>
              <w:rPr>
                <w:rFonts w:hint="eastAsia"/>
                <w:szCs w:val="21"/>
              </w:rPr>
              <w:t>监测值</w:t>
            </w:r>
          </w:p>
        </w:tc>
        <w:tc>
          <w:tcPr>
            <w:tcW w:w="601"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bCs/>
                <w:szCs w:val="21"/>
              </w:rPr>
            </w:pPr>
            <w:r>
              <w:rPr>
                <w:rFonts w:hint="eastAsia"/>
                <w:szCs w:val="21"/>
              </w:rPr>
              <w:t>贡献值</w:t>
            </w:r>
          </w:p>
        </w:tc>
        <w:tc>
          <w:tcPr>
            <w:tcW w:w="646"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szCs w:val="21"/>
              </w:rPr>
            </w:pPr>
            <w:r>
              <w:rPr>
                <w:rFonts w:hint="eastAsia"/>
                <w:szCs w:val="21"/>
              </w:rPr>
              <w:t>预测值</w:t>
            </w:r>
          </w:p>
        </w:tc>
        <w:tc>
          <w:tcPr>
            <w:tcW w:w="611"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bCs/>
                <w:szCs w:val="21"/>
              </w:rPr>
            </w:pPr>
            <w:r>
              <w:rPr>
                <w:rFonts w:hint="eastAsia"/>
                <w:szCs w:val="21"/>
              </w:rPr>
              <w:t>监测值</w:t>
            </w:r>
          </w:p>
        </w:tc>
        <w:tc>
          <w:tcPr>
            <w:tcW w:w="575"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bCs/>
                <w:szCs w:val="21"/>
              </w:rPr>
            </w:pPr>
            <w:r>
              <w:rPr>
                <w:rFonts w:hint="eastAsia"/>
                <w:szCs w:val="21"/>
              </w:rPr>
              <w:t>贡献值</w:t>
            </w:r>
          </w:p>
        </w:tc>
        <w:tc>
          <w:tcPr>
            <w:tcW w:w="747" w:type="pct"/>
            <w:tcBorders>
              <w:top w:val="single" w:color="auto" w:sz="4" w:space="0"/>
              <w:left w:val="single" w:color="auto" w:sz="4" w:space="0"/>
              <w:bottom w:val="single" w:color="auto" w:sz="4" w:space="0"/>
              <w:right w:val="single" w:color="auto" w:sz="12" w:space="0"/>
            </w:tcBorders>
            <w:noWrap/>
            <w:vAlign w:val="center"/>
          </w:tcPr>
          <w:p>
            <w:pPr>
              <w:spacing w:line="300" w:lineRule="exact"/>
              <w:jc w:val="center"/>
              <w:rPr>
                <w:szCs w:val="21"/>
              </w:rPr>
            </w:pPr>
            <w:r>
              <w:rPr>
                <w:rFonts w:hint="eastAsia"/>
                <w:szCs w:val="21"/>
              </w:rPr>
              <w:t>预测值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op w:val="single" w:color="auto" w:sz="4" w:space="0"/>
              <w:left w:val="single" w:color="auto" w:sz="12" w:space="0"/>
              <w:bottom w:val="single" w:color="auto" w:sz="4" w:space="0"/>
              <w:right w:val="single" w:color="auto" w:sz="4" w:space="0"/>
            </w:tcBorders>
            <w:noWrap/>
            <w:vAlign w:val="center"/>
          </w:tcPr>
          <w:p>
            <w:pPr>
              <w:spacing w:line="280" w:lineRule="exact"/>
              <w:jc w:val="center"/>
              <w:rPr>
                <w:bCs/>
                <w:szCs w:val="21"/>
              </w:rPr>
            </w:pPr>
            <w:r>
              <w:rPr>
                <w:bCs/>
                <w:szCs w:val="21"/>
              </w:rPr>
              <w:t>1</w:t>
            </w:r>
          </w:p>
        </w:tc>
        <w:tc>
          <w:tcPr>
            <w:tcW w:w="886"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rFonts w:hint="eastAsia"/>
                <w:snapToGrid w:val="0"/>
                <w:szCs w:val="21"/>
              </w:rPr>
              <w:t>场地东</w:t>
            </w:r>
          </w:p>
        </w:tc>
        <w:tc>
          <w:tcPr>
            <w:tcW w:w="680" w:type="pct"/>
            <w:tcBorders>
              <w:top w:val="single" w:color="auto" w:sz="4" w:space="0"/>
              <w:left w:val="single" w:color="auto" w:sz="4" w:space="0"/>
              <w:bottom w:val="single" w:color="auto" w:sz="4"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57.40</w:t>
            </w:r>
          </w:p>
        </w:tc>
        <w:tc>
          <w:tcPr>
            <w:tcW w:w="601"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snapToGrid w:val="0"/>
                <w:szCs w:val="21"/>
              </w:rPr>
              <w:t>40.44</w:t>
            </w:r>
          </w:p>
        </w:tc>
        <w:tc>
          <w:tcPr>
            <w:tcW w:w="646"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snapToGrid w:val="0"/>
                <w:szCs w:val="21"/>
              </w:rPr>
              <w:t>57.49</w:t>
            </w:r>
          </w:p>
        </w:tc>
        <w:tc>
          <w:tcPr>
            <w:tcW w:w="611" w:type="pct"/>
            <w:tcBorders>
              <w:top w:val="single" w:color="auto" w:sz="4" w:space="0"/>
              <w:left w:val="single" w:color="auto" w:sz="4" w:space="0"/>
              <w:bottom w:val="single" w:color="auto" w:sz="4"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47.30</w:t>
            </w:r>
          </w:p>
        </w:tc>
        <w:tc>
          <w:tcPr>
            <w:tcW w:w="575"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snapToGrid w:val="0"/>
                <w:szCs w:val="21"/>
              </w:rPr>
              <w:t>40.44</w:t>
            </w:r>
          </w:p>
        </w:tc>
        <w:tc>
          <w:tcPr>
            <w:tcW w:w="747" w:type="pct"/>
            <w:tcBorders>
              <w:top w:val="single" w:color="auto" w:sz="4" w:space="0"/>
              <w:left w:val="single" w:color="auto" w:sz="4" w:space="0"/>
              <w:bottom w:val="single" w:color="auto" w:sz="4" w:space="0"/>
              <w:right w:val="single" w:color="auto" w:sz="12" w:space="0"/>
            </w:tcBorders>
            <w:noWrap/>
            <w:vAlign w:val="center"/>
          </w:tcPr>
          <w:p>
            <w:pPr>
              <w:spacing w:line="280" w:lineRule="exact"/>
              <w:jc w:val="center"/>
              <w:rPr>
                <w:snapToGrid w:val="0"/>
                <w:szCs w:val="21"/>
              </w:rPr>
            </w:pPr>
            <w:r>
              <w:rPr>
                <w:snapToGrid w:val="0"/>
                <w:szCs w:val="21"/>
              </w:rPr>
              <w:t>48.11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op w:val="single" w:color="auto" w:sz="4" w:space="0"/>
              <w:left w:val="single" w:color="auto" w:sz="12" w:space="0"/>
              <w:bottom w:val="single" w:color="auto" w:sz="4" w:space="0"/>
              <w:right w:val="single" w:color="auto" w:sz="4" w:space="0"/>
            </w:tcBorders>
            <w:noWrap/>
            <w:vAlign w:val="center"/>
          </w:tcPr>
          <w:p>
            <w:pPr>
              <w:spacing w:line="280" w:lineRule="exact"/>
              <w:jc w:val="center"/>
              <w:rPr>
                <w:bCs/>
                <w:szCs w:val="21"/>
              </w:rPr>
            </w:pPr>
            <w:r>
              <w:rPr>
                <w:bCs/>
                <w:szCs w:val="21"/>
              </w:rPr>
              <w:t>2</w:t>
            </w:r>
          </w:p>
        </w:tc>
        <w:tc>
          <w:tcPr>
            <w:tcW w:w="886"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rFonts w:hint="eastAsia"/>
                <w:snapToGrid w:val="0"/>
                <w:szCs w:val="21"/>
              </w:rPr>
              <w:t>场地南</w:t>
            </w:r>
          </w:p>
        </w:tc>
        <w:tc>
          <w:tcPr>
            <w:tcW w:w="680" w:type="pct"/>
            <w:tcBorders>
              <w:top w:val="single" w:color="auto" w:sz="4" w:space="0"/>
              <w:left w:val="single" w:color="auto" w:sz="4" w:space="0"/>
              <w:bottom w:val="single" w:color="auto" w:sz="4"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57.20</w:t>
            </w:r>
          </w:p>
        </w:tc>
        <w:tc>
          <w:tcPr>
            <w:tcW w:w="601"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snapToGrid w:val="0"/>
                <w:szCs w:val="21"/>
              </w:rPr>
              <w:t>40.16</w:t>
            </w:r>
          </w:p>
        </w:tc>
        <w:tc>
          <w:tcPr>
            <w:tcW w:w="646"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snapToGrid w:val="0"/>
                <w:szCs w:val="21"/>
              </w:rPr>
              <w:t>57.28</w:t>
            </w:r>
          </w:p>
        </w:tc>
        <w:tc>
          <w:tcPr>
            <w:tcW w:w="611" w:type="pct"/>
            <w:tcBorders>
              <w:top w:val="single" w:color="auto" w:sz="4" w:space="0"/>
              <w:left w:val="single" w:color="auto" w:sz="4" w:space="0"/>
              <w:bottom w:val="single" w:color="auto" w:sz="4"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48.50</w:t>
            </w:r>
          </w:p>
        </w:tc>
        <w:tc>
          <w:tcPr>
            <w:tcW w:w="575"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snapToGrid w:val="0"/>
                <w:szCs w:val="21"/>
              </w:rPr>
              <w:t>40.16</w:t>
            </w:r>
          </w:p>
        </w:tc>
        <w:tc>
          <w:tcPr>
            <w:tcW w:w="747" w:type="pct"/>
            <w:tcBorders>
              <w:top w:val="single" w:color="auto" w:sz="4" w:space="0"/>
              <w:left w:val="single" w:color="auto" w:sz="4" w:space="0"/>
              <w:bottom w:val="single" w:color="auto" w:sz="4" w:space="0"/>
              <w:right w:val="single" w:color="auto" w:sz="12" w:space="0"/>
            </w:tcBorders>
            <w:noWrap/>
            <w:vAlign w:val="center"/>
          </w:tcPr>
          <w:p>
            <w:pPr>
              <w:spacing w:line="280" w:lineRule="exact"/>
              <w:jc w:val="center"/>
              <w:rPr>
                <w:snapToGrid w:val="0"/>
                <w:szCs w:val="21"/>
              </w:rPr>
            </w:pPr>
            <w:r>
              <w:rPr>
                <w:snapToGrid w:val="0"/>
                <w:szCs w:val="21"/>
              </w:rPr>
              <w:t>49.09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op w:val="single" w:color="auto" w:sz="4" w:space="0"/>
              <w:left w:val="single" w:color="auto" w:sz="12" w:space="0"/>
              <w:bottom w:val="single" w:color="auto" w:sz="4" w:space="0"/>
              <w:right w:val="single" w:color="auto" w:sz="4" w:space="0"/>
            </w:tcBorders>
            <w:noWrap/>
            <w:vAlign w:val="center"/>
          </w:tcPr>
          <w:p>
            <w:pPr>
              <w:spacing w:line="280" w:lineRule="exact"/>
              <w:jc w:val="center"/>
              <w:rPr>
                <w:bCs/>
                <w:szCs w:val="21"/>
              </w:rPr>
            </w:pPr>
            <w:r>
              <w:rPr>
                <w:bCs/>
                <w:szCs w:val="21"/>
              </w:rPr>
              <w:t>3</w:t>
            </w:r>
          </w:p>
        </w:tc>
        <w:tc>
          <w:tcPr>
            <w:tcW w:w="886"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rFonts w:hint="eastAsia"/>
                <w:snapToGrid w:val="0"/>
                <w:szCs w:val="21"/>
              </w:rPr>
              <w:t>场地西</w:t>
            </w:r>
          </w:p>
        </w:tc>
        <w:tc>
          <w:tcPr>
            <w:tcW w:w="680" w:type="pct"/>
            <w:tcBorders>
              <w:top w:val="single" w:color="auto" w:sz="4" w:space="0"/>
              <w:left w:val="single" w:color="auto" w:sz="4" w:space="0"/>
              <w:bottom w:val="single" w:color="auto" w:sz="4"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58.80</w:t>
            </w:r>
          </w:p>
        </w:tc>
        <w:tc>
          <w:tcPr>
            <w:tcW w:w="601"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snapToGrid w:val="0"/>
                <w:szCs w:val="21"/>
              </w:rPr>
              <w:t>37.55</w:t>
            </w:r>
          </w:p>
        </w:tc>
        <w:tc>
          <w:tcPr>
            <w:tcW w:w="646"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snapToGrid w:val="0"/>
                <w:szCs w:val="21"/>
              </w:rPr>
              <w:t>58.83</w:t>
            </w:r>
          </w:p>
        </w:tc>
        <w:tc>
          <w:tcPr>
            <w:tcW w:w="611" w:type="pct"/>
            <w:tcBorders>
              <w:top w:val="single" w:color="auto" w:sz="4" w:space="0"/>
              <w:left w:val="single" w:color="auto" w:sz="4" w:space="0"/>
              <w:bottom w:val="single" w:color="auto" w:sz="4"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46.60</w:t>
            </w:r>
          </w:p>
        </w:tc>
        <w:tc>
          <w:tcPr>
            <w:tcW w:w="575" w:type="pct"/>
            <w:tcBorders>
              <w:top w:val="single" w:color="auto" w:sz="4" w:space="0"/>
              <w:left w:val="single" w:color="auto" w:sz="4" w:space="0"/>
              <w:bottom w:val="single" w:color="auto" w:sz="4" w:space="0"/>
              <w:right w:val="single" w:color="auto" w:sz="4" w:space="0"/>
            </w:tcBorders>
            <w:noWrap/>
            <w:vAlign w:val="center"/>
          </w:tcPr>
          <w:p>
            <w:pPr>
              <w:spacing w:line="280" w:lineRule="exact"/>
              <w:jc w:val="center"/>
              <w:rPr>
                <w:snapToGrid w:val="0"/>
                <w:szCs w:val="21"/>
              </w:rPr>
            </w:pPr>
            <w:r>
              <w:rPr>
                <w:snapToGrid w:val="0"/>
                <w:szCs w:val="21"/>
              </w:rPr>
              <w:t>37.55</w:t>
            </w:r>
          </w:p>
        </w:tc>
        <w:tc>
          <w:tcPr>
            <w:tcW w:w="747" w:type="pct"/>
            <w:tcBorders>
              <w:top w:val="single" w:color="auto" w:sz="4" w:space="0"/>
              <w:left w:val="single" w:color="auto" w:sz="4" w:space="0"/>
              <w:bottom w:val="single" w:color="auto" w:sz="4" w:space="0"/>
              <w:right w:val="single" w:color="auto" w:sz="12" w:space="0"/>
            </w:tcBorders>
            <w:noWrap/>
            <w:vAlign w:val="center"/>
          </w:tcPr>
          <w:p>
            <w:pPr>
              <w:spacing w:line="280" w:lineRule="exact"/>
              <w:jc w:val="center"/>
              <w:rPr>
                <w:snapToGrid w:val="0"/>
                <w:szCs w:val="21"/>
              </w:rPr>
            </w:pPr>
            <w:r>
              <w:rPr>
                <w:snapToGrid w:val="0"/>
                <w:szCs w:val="21"/>
              </w:rPr>
              <w:t>47.11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op w:val="single" w:color="auto" w:sz="4" w:space="0"/>
              <w:left w:val="single" w:color="auto" w:sz="12" w:space="0"/>
              <w:bottom w:val="single" w:color="auto" w:sz="12" w:space="0"/>
              <w:right w:val="single" w:color="auto" w:sz="4" w:space="0"/>
            </w:tcBorders>
            <w:noWrap/>
            <w:vAlign w:val="center"/>
          </w:tcPr>
          <w:p>
            <w:pPr>
              <w:spacing w:line="280" w:lineRule="exact"/>
              <w:jc w:val="center"/>
              <w:rPr>
                <w:bCs/>
                <w:szCs w:val="21"/>
              </w:rPr>
            </w:pPr>
            <w:r>
              <w:rPr>
                <w:bCs/>
                <w:szCs w:val="21"/>
              </w:rPr>
              <w:t>4</w:t>
            </w:r>
          </w:p>
        </w:tc>
        <w:tc>
          <w:tcPr>
            <w:tcW w:w="886" w:type="pct"/>
            <w:tcBorders>
              <w:top w:val="single" w:color="auto" w:sz="4" w:space="0"/>
              <w:left w:val="single" w:color="auto" w:sz="4" w:space="0"/>
              <w:bottom w:val="single" w:color="auto" w:sz="12" w:space="0"/>
              <w:right w:val="single" w:color="auto" w:sz="4" w:space="0"/>
            </w:tcBorders>
            <w:noWrap/>
            <w:vAlign w:val="center"/>
          </w:tcPr>
          <w:p>
            <w:pPr>
              <w:spacing w:line="280" w:lineRule="exact"/>
              <w:jc w:val="center"/>
              <w:rPr>
                <w:snapToGrid w:val="0"/>
                <w:szCs w:val="21"/>
              </w:rPr>
            </w:pPr>
            <w:r>
              <w:rPr>
                <w:rFonts w:hint="eastAsia"/>
                <w:snapToGrid w:val="0"/>
                <w:szCs w:val="21"/>
              </w:rPr>
              <w:t>场地北</w:t>
            </w:r>
          </w:p>
        </w:tc>
        <w:tc>
          <w:tcPr>
            <w:tcW w:w="680" w:type="pct"/>
            <w:tcBorders>
              <w:top w:val="single" w:color="auto" w:sz="4" w:space="0"/>
              <w:left w:val="single" w:color="auto" w:sz="4" w:space="0"/>
              <w:bottom w:val="single" w:color="auto" w:sz="12"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56.20</w:t>
            </w:r>
          </w:p>
        </w:tc>
        <w:tc>
          <w:tcPr>
            <w:tcW w:w="601" w:type="pct"/>
            <w:tcBorders>
              <w:top w:val="single" w:color="auto" w:sz="4" w:space="0"/>
              <w:left w:val="single" w:color="auto" w:sz="4" w:space="0"/>
              <w:bottom w:val="single" w:color="auto" w:sz="12" w:space="0"/>
              <w:right w:val="single" w:color="auto" w:sz="4" w:space="0"/>
            </w:tcBorders>
            <w:noWrap/>
            <w:vAlign w:val="center"/>
          </w:tcPr>
          <w:p>
            <w:pPr>
              <w:spacing w:line="280" w:lineRule="exact"/>
              <w:jc w:val="center"/>
              <w:rPr>
                <w:snapToGrid w:val="0"/>
                <w:szCs w:val="21"/>
              </w:rPr>
            </w:pPr>
            <w:r>
              <w:rPr>
                <w:snapToGrid w:val="0"/>
                <w:szCs w:val="21"/>
              </w:rPr>
              <w:t>34.68</w:t>
            </w:r>
          </w:p>
        </w:tc>
        <w:tc>
          <w:tcPr>
            <w:tcW w:w="646" w:type="pct"/>
            <w:tcBorders>
              <w:top w:val="single" w:color="auto" w:sz="4" w:space="0"/>
              <w:left w:val="single" w:color="auto" w:sz="4" w:space="0"/>
              <w:bottom w:val="single" w:color="auto" w:sz="12" w:space="0"/>
              <w:right w:val="single" w:color="auto" w:sz="4" w:space="0"/>
            </w:tcBorders>
            <w:noWrap/>
            <w:vAlign w:val="center"/>
          </w:tcPr>
          <w:p>
            <w:pPr>
              <w:spacing w:line="280" w:lineRule="exact"/>
              <w:jc w:val="center"/>
              <w:rPr>
                <w:snapToGrid w:val="0"/>
                <w:szCs w:val="21"/>
              </w:rPr>
            </w:pPr>
            <w:r>
              <w:rPr>
                <w:snapToGrid w:val="0"/>
                <w:szCs w:val="21"/>
              </w:rPr>
              <w:t>56.23</w:t>
            </w:r>
          </w:p>
        </w:tc>
        <w:tc>
          <w:tcPr>
            <w:tcW w:w="611" w:type="pct"/>
            <w:tcBorders>
              <w:top w:val="single" w:color="auto" w:sz="4" w:space="0"/>
              <w:left w:val="single" w:color="auto" w:sz="4" w:space="0"/>
              <w:bottom w:val="single" w:color="auto" w:sz="12"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45.60</w:t>
            </w:r>
          </w:p>
        </w:tc>
        <w:tc>
          <w:tcPr>
            <w:tcW w:w="575" w:type="pct"/>
            <w:tcBorders>
              <w:top w:val="single" w:color="auto" w:sz="4" w:space="0"/>
              <w:left w:val="single" w:color="auto" w:sz="4" w:space="0"/>
              <w:bottom w:val="single" w:color="auto" w:sz="12" w:space="0"/>
              <w:right w:val="single" w:color="auto" w:sz="4" w:space="0"/>
            </w:tcBorders>
            <w:noWrap/>
            <w:vAlign w:val="center"/>
          </w:tcPr>
          <w:p>
            <w:pPr>
              <w:spacing w:line="280" w:lineRule="exact"/>
              <w:jc w:val="center"/>
              <w:rPr>
                <w:snapToGrid w:val="0"/>
                <w:szCs w:val="21"/>
              </w:rPr>
            </w:pPr>
            <w:r>
              <w:rPr>
                <w:snapToGrid w:val="0"/>
                <w:szCs w:val="21"/>
              </w:rPr>
              <w:t>34.68</w:t>
            </w:r>
          </w:p>
        </w:tc>
        <w:tc>
          <w:tcPr>
            <w:tcW w:w="747" w:type="pct"/>
            <w:tcBorders>
              <w:top w:val="single" w:color="auto" w:sz="4" w:space="0"/>
              <w:left w:val="single" w:color="auto" w:sz="4" w:space="0"/>
              <w:bottom w:val="single" w:color="auto" w:sz="12" w:space="0"/>
              <w:right w:val="single" w:color="auto" w:sz="12" w:space="0"/>
            </w:tcBorders>
            <w:noWrap/>
            <w:vAlign w:val="center"/>
          </w:tcPr>
          <w:p>
            <w:pPr>
              <w:spacing w:line="280" w:lineRule="exact"/>
              <w:jc w:val="center"/>
              <w:rPr>
                <w:snapToGrid w:val="0"/>
                <w:szCs w:val="21"/>
              </w:rPr>
            </w:pPr>
            <w:r>
              <w:rPr>
                <w:snapToGrid w:val="0"/>
                <w:szCs w:val="21"/>
              </w:rPr>
              <w:t>45.95</w:t>
            </w:r>
          </w:p>
        </w:tc>
      </w:tr>
    </w:tbl>
    <w:p>
      <w:pPr>
        <w:pStyle w:val="7"/>
        <w:spacing w:line="360" w:lineRule="auto"/>
        <w:ind w:firstLine="0"/>
        <w:jc w:val="center"/>
        <w:rPr>
          <w:b/>
          <w:sz w:val="21"/>
          <w:szCs w:val="21"/>
        </w:rPr>
      </w:pPr>
      <w:r>
        <w:rPr>
          <w:rFonts w:hint="eastAsia"/>
          <w:b/>
          <w:sz w:val="21"/>
          <w:szCs w:val="21"/>
        </w:rPr>
        <w:t>表</w:t>
      </w:r>
      <w:r>
        <w:rPr>
          <w:b/>
          <w:sz w:val="21"/>
          <w:szCs w:val="21"/>
        </w:rPr>
        <w:t>5.5-</w:t>
      </w:r>
      <w:r>
        <w:rPr>
          <w:rFonts w:hint="eastAsia"/>
          <w:b/>
          <w:sz w:val="21"/>
          <w:szCs w:val="21"/>
        </w:rPr>
        <w:t>4</w:t>
      </w:r>
      <w:r>
        <w:rPr>
          <w:b/>
          <w:sz w:val="21"/>
          <w:szCs w:val="21"/>
        </w:rPr>
        <w:t xml:space="preserve">  </w:t>
      </w:r>
      <w:r>
        <w:rPr>
          <w:rFonts w:hint="eastAsia"/>
          <w:b/>
          <w:sz w:val="21"/>
          <w:szCs w:val="21"/>
        </w:rPr>
        <w:t>敏感点噪声预测结果</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618"/>
        <w:gridCol w:w="1238"/>
        <w:gridCol w:w="1091"/>
        <w:gridCol w:w="1179"/>
        <w:gridCol w:w="1110"/>
        <w:gridCol w:w="1043"/>
        <w:gridCol w:w="13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43" w:type="pct"/>
            <w:vMerge w:val="restart"/>
            <w:tcBorders>
              <w:top w:val="single" w:color="auto" w:sz="12" w:space="0"/>
              <w:left w:val="single" w:color="auto" w:sz="12" w:space="0"/>
              <w:bottom w:val="single" w:color="auto" w:sz="4" w:space="0"/>
              <w:right w:val="single" w:color="auto" w:sz="4" w:space="0"/>
            </w:tcBorders>
            <w:noWrap/>
            <w:vAlign w:val="center"/>
          </w:tcPr>
          <w:p>
            <w:pPr>
              <w:spacing w:line="280" w:lineRule="exact"/>
              <w:jc w:val="center"/>
              <w:rPr>
                <w:bCs/>
                <w:szCs w:val="21"/>
              </w:rPr>
            </w:pPr>
            <w:r>
              <w:rPr>
                <w:rFonts w:hint="eastAsia"/>
                <w:bCs/>
                <w:szCs w:val="21"/>
              </w:rPr>
              <w:t>编号</w:t>
            </w:r>
          </w:p>
        </w:tc>
        <w:tc>
          <w:tcPr>
            <w:tcW w:w="872" w:type="pct"/>
            <w:vMerge w:val="restart"/>
            <w:tcBorders>
              <w:top w:val="single" w:color="auto" w:sz="12" w:space="0"/>
              <w:left w:val="single" w:color="auto" w:sz="4" w:space="0"/>
              <w:bottom w:val="single" w:color="auto" w:sz="4" w:space="0"/>
              <w:right w:val="single" w:color="auto" w:sz="4" w:space="0"/>
            </w:tcBorders>
            <w:noWrap/>
            <w:vAlign w:val="center"/>
          </w:tcPr>
          <w:p>
            <w:pPr>
              <w:spacing w:line="280" w:lineRule="exact"/>
              <w:jc w:val="center"/>
              <w:rPr>
                <w:bCs/>
                <w:szCs w:val="21"/>
              </w:rPr>
            </w:pPr>
            <w:r>
              <w:rPr>
                <w:rFonts w:hint="eastAsia"/>
                <w:bCs/>
                <w:szCs w:val="21"/>
              </w:rPr>
              <w:t>监测地点</w:t>
            </w:r>
          </w:p>
        </w:tc>
        <w:tc>
          <w:tcPr>
            <w:tcW w:w="1890" w:type="pct"/>
            <w:gridSpan w:val="3"/>
            <w:tcBorders>
              <w:top w:val="single" w:color="auto" w:sz="12" w:space="0"/>
              <w:left w:val="single" w:color="auto" w:sz="4" w:space="0"/>
              <w:bottom w:val="single" w:color="auto" w:sz="4" w:space="0"/>
              <w:right w:val="single" w:color="auto" w:sz="4" w:space="0"/>
            </w:tcBorders>
            <w:noWrap/>
            <w:vAlign w:val="center"/>
          </w:tcPr>
          <w:p>
            <w:pPr>
              <w:spacing w:line="300" w:lineRule="exact"/>
              <w:jc w:val="center"/>
              <w:rPr>
                <w:szCs w:val="21"/>
              </w:rPr>
            </w:pPr>
            <w:r>
              <w:rPr>
                <w:rFonts w:hint="eastAsia"/>
                <w:szCs w:val="21"/>
              </w:rPr>
              <w:t>昼间</w:t>
            </w:r>
            <w:r>
              <w:rPr>
                <w:szCs w:val="21"/>
              </w:rPr>
              <w:t>dB(A)</w:t>
            </w:r>
          </w:p>
        </w:tc>
        <w:tc>
          <w:tcPr>
            <w:tcW w:w="1895" w:type="pct"/>
            <w:gridSpan w:val="3"/>
            <w:tcBorders>
              <w:top w:val="single" w:color="auto" w:sz="12" w:space="0"/>
              <w:left w:val="single" w:color="auto" w:sz="4" w:space="0"/>
              <w:bottom w:val="single" w:color="auto" w:sz="4" w:space="0"/>
              <w:right w:val="single" w:color="auto" w:sz="12" w:space="0"/>
            </w:tcBorders>
            <w:noWrap/>
            <w:vAlign w:val="center"/>
          </w:tcPr>
          <w:p>
            <w:pPr>
              <w:spacing w:line="300" w:lineRule="exact"/>
              <w:jc w:val="center"/>
              <w:rPr>
                <w:szCs w:val="21"/>
              </w:rPr>
            </w:pPr>
            <w:r>
              <w:rPr>
                <w:rFonts w:hint="eastAsia"/>
                <w:szCs w:val="21"/>
              </w:rPr>
              <w:t>夜间</w:t>
            </w:r>
            <w:r>
              <w:rPr>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12" w:space="0"/>
              <w:left w:val="single" w:color="auto" w:sz="12" w:space="0"/>
              <w:bottom w:val="single" w:color="auto" w:sz="4" w:space="0"/>
              <w:right w:val="single" w:color="auto" w:sz="4" w:space="0"/>
            </w:tcBorders>
            <w:vAlign w:val="center"/>
          </w:tcPr>
          <w:p>
            <w:pPr>
              <w:widowControl/>
              <w:jc w:val="left"/>
              <w:rPr>
                <w:bCs/>
                <w:szCs w:val="21"/>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pPr>
              <w:widowControl/>
              <w:jc w:val="left"/>
              <w:rPr>
                <w:bCs/>
                <w:szCs w:val="21"/>
              </w:rPr>
            </w:pPr>
          </w:p>
        </w:tc>
        <w:tc>
          <w:tcPr>
            <w:tcW w:w="667"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bCs/>
                <w:szCs w:val="21"/>
              </w:rPr>
            </w:pPr>
            <w:r>
              <w:rPr>
                <w:rFonts w:hint="eastAsia"/>
                <w:szCs w:val="21"/>
              </w:rPr>
              <w:t>监测值</w:t>
            </w:r>
          </w:p>
        </w:tc>
        <w:tc>
          <w:tcPr>
            <w:tcW w:w="588"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bCs/>
                <w:szCs w:val="21"/>
              </w:rPr>
            </w:pPr>
            <w:r>
              <w:rPr>
                <w:rFonts w:hint="eastAsia"/>
                <w:szCs w:val="21"/>
              </w:rPr>
              <w:t>贡献值</w:t>
            </w:r>
          </w:p>
        </w:tc>
        <w:tc>
          <w:tcPr>
            <w:tcW w:w="635"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szCs w:val="21"/>
              </w:rPr>
            </w:pPr>
            <w:r>
              <w:rPr>
                <w:rFonts w:hint="eastAsia"/>
                <w:szCs w:val="21"/>
              </w:rPr>
              <w:t>预测值</w:t>
            </w:r>
          </w:p>
        </w:tc>
        <w:tc>
          <w:tcPr>
            <w:tcW w:w="598"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bCs/>
                <w:szCs w:val="21"/>
              </w:rPr>
            </w:pPr>
            <w:r>
              <w:rPr>
                <w:rFonts w:hint="eastAsia"/>
                <w:szCs w:val="21"/>
              </w:rPr>
              <w:t>监测值</w:t>
            </w:r>
          </w:p>
        </w:tc>
        <w:tc>
          <w:tcPr>
            <w:tcW w:w="562" w:type="pct"/>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bCs/>
                <w:szCs w:val="21"/>
              </w:rPr>
            </w:pPr>
            <w:r>
              <w:rPr>
                <w:rFonts w:hint="eastAsia"/>
                <w:szCs w:val="21"/>
              </w:rPr>
              <w:t>贡献值</w:t>
            </w:r>
          </w:p>
        </w:tc>
        <w:tc>
          <w:tcPr>
            <w:tcW w:w="735" w:type="pct"/>
            <w:tcBorders>
              <w:top w:val="single" w:color="auto" w:sz="4" w:space="0"/>
              <w:left w:val="single" w:color="auto" w:sz="4" w:space="0"/>
              <w:bottom w:val="single" w:color="auto" w:sz="4" w:space="0"/>
              <w:right w:val="single" w:color="auto" w:sz="12" w:space="0"/>
            </w:tcBorders>
            <w:noWrap/>
            <w:vAlign w:val="center"/>
          </w:tcPr>
          <w:p>
            <w:pPr>
              <w:spacing w:line="300" w:lineRule="exact"/>
              <w:jc w:val="center"/>
              <w:rPr>
                <w:szCs w:val="21"/>
              </w:rPr>
            </w:pPr>
            <w:r>
              <w:rPr>
                <w:rFonts w:hint="eastAsia"/>
                <w:szCs w:val="21"/>
              </w:rPr>
              <w:t>预测值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op w:val="single" w:color="auto" w:sz="4" w:space="0"/>
              <w:left w:val="single" w:color="auto" w:sz="12" w:space="0"/>
              <w:bottom w:val="single" w:color="auto" w:sz="12" w:space="0"/>
              <w:right w:val="single" w:color="auto" w:sz="4" w:space="0"/>
            </w:tcBorders>
            <w:noWrap/>
            <w:vAlign w:val="center"/>
          </w:tcPr>
          <w:p>
            <w:pPr>
              <w:spacing w:line="280" w:lineRule="exact"/>
              <w:jc w:val="center"/>
              <w:rPr>
                <w:bCs/>
                <w:szCs w:val="21"/>
              </w:rPr>
            </w:pPr>
            <w:r>
              <w:rPr>
                <w:bCs/>
                <w:szCs w:val="21"/>
              </w:rPr>
              <w:t>1</w:t>
            </w:r>
          </w:p>
        </w:tc>
        <w:tc>
          <w:tcPr>
            <w:tcW w:w="872" w:type="pct"/>
            <w:tcBorders>
              <w:top w:val="single" w:color="auto" w:sz="4" w:space="0"/>
              <w:left w:val="single" w:color="auto" w:sz="4" w:space="0"/>
              <w:bottom w:val="single" w:color="auto" w:sz="12" w:space="0"/>
              <w:right w:val="single" w:color="auto" w:sz="4" w:space="0"/>
            </w:tcBorders>
            <w:noWrap/>
            <w:vAlign w:val="center"/>
          </w:tcPr>
          <w:p>
            <w:pPr>
              <w:spacing w:line="280" w:lineRule="exact"/>
              <w:jc w:val="center"/>
              <w:rPr>
                <w:snapToGrid w:val="0"/>
                <w:szCs w:val="21"/>
              </w:rPr>
            </w:pPr>
            <w:r>
              <w:rPr>
                <w:rFonts w:hint="eastAsia"/>
                <w:snapToGrid w:val="0"/>
                <w:szCs w:val="21"/>
              </w:rPr>
              <w:t>高家庄村</w:t>
            </w:r>
          </w:p>
        </w:tc>
        <w:tc>
          <w:tcPr>
            <w:tcW w:w="667" w:type="pct"/>
            <w:tcBorders>
              <w:top w:val="single" w:color="auto" w:sz="4" w:space="0"/>
              <w:left w:val="single" w:color="auto" w:sz="4" w:space="0"/>
              <w:bottom w:val="single" w:color="auto" w:sz="12"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54.10</w:t>
            </w:r>
          </w:p>
        </w:tc>
        <w:tc>
          <w:tcPr>
            <w:tcW w:w="588" w:type="pct"/>
            <w:tcBorders>
              <w:top w:val="single" w:color="auto" w:sz="4" w:space="0"/>
              <w:left w:val="single" w:color="auto" w:sz="4" w:space="0"/>
              <w:bottom w:val="single" w:color="auto" w:sz="12" w:space="0"/>
              <w:right w:val="single" w:color="auto" w:sz="4" w:space="0"/>
            </w:tcBorders>
            <w:noWrap/>
            <w:vAlign w:val="center"/>
          </w:tcPr>
          <w:p>
            <w:pPr>
              <w:spacing w:line="280" w:lineRule="exact"/>
              <w:jc w:val="center"/>
              <w:rPr>
                <w:snapToGrid w:val="0"/>
                <w:szCs w:val="21"/>
              </w:rPr>
            </w:pPr>
            <w:r>
              <w:rPr>
                <w:snapToGrid w:val="0"/>
                <w:szCs w:val="21"/>
              </w:rPr>
              <w:t>29.10</w:t>
            </w:r>
          </w:p>
        </w:tc>
        <w:tc>
          <w:tcPr>
            <w:tcW w:w="635" w:type="pct"/>
            <w:tcBorders>
              <w:top w:val="single" w:color="auto" w:sz="4" w:space="0"/>
              <w:left w:val="single" w:color="auto" w:sz="4" w:space="0"/>
              <w:bottom w:val="single" w:color="auto" w:sz="12" w:space="0"/>
              <w:right w:val="single" w:color="auto" w:sz="4" w:space="0"/>
            </w:tcBorders>
            <w:noWrap/>
            <w:vAlign w:val="center"/>
          </w:tcPr>
          <w:p>
            <w:pPr>
              <w:spacing w:line="280" w:lineRule="exact"/>
              <w:jc w:val="center"/>
              <w:rPr>
                <w:snapToGrid w:val="0"/>
                <w:szCs w:val="21"/>
              </w:rPr>
            </w:pPr>
            <w:r>
              <w:rPr>
                <w:snapToGrid w:val="0"/>
                <w:szCs w:val="21"/>
              </w:rPr>
              <w:t>54.11</w:t>
            </w:r>
          </w:p>
        </w:tc>
        <w:tc>
          <w:tcPr>
            <w:tcW w:w="598" w:type="pct"/>
            <w:tcBorders>
              <w:top w:val="single" w:color="auto" w:sz="4" w:space="0"/>
              <w:left w:val="single" w:color="auto" w:sz="4" w:space="0"/>
              <w:bottom w:val="single" w:color="auto" w:sz="12" w:space="0"/>
              <w:right w:val="single" w:color="auto" w:sz="4" w:space="0"/>
            </w:tcBorders>
            <w:noWrap/>
            <w:vAlign w:val="center"/>
          </w:tcPr>
          <w:p>
            <w:pPr>
              <w:pStyle w:val="151"/>
              <w:adjustRightInd w:val="0"/>
              <w:snapToGrid w:val="0"/>
              <w:spacing w:line="280" w:lineRule="exact"/>
              <w:ind w:firstLine="0" w:firstLineChars="0"/>
              <w:jc w:val="center"/>
              <w:rPr>
                <w:snapToGrid w:val="0"/>
                <w:sz w:val="21"/>
                <w:szCs w:val="21"/>
              </w:rPr>
            </w:pPr>
            <w:r>
              <w:rPr>
                <w:snapToGrid w:val="0"/>
                <w:sz w:val="21"/>
                <w:szCs w:val="21"/>
              </w:rPr>
              <w:t>43.20</w:t>
            </w:r>
          </w:p>
        </w:tc>
        <w:tc>
          <w:tcPr>
            <w:tcW w:w="562" w:type="pct"/>
            <w:tcBorders>
              <w:top w:val="single" w:color="auto" w:sz="4" w:space="0"/>
              <w:left w:val="single" w:color="auto" w:sz="4" w:space="0"/>
              <w:bottom w:val="single" w:color="auto" w:sz="12" w:space="0"/>
              <w:right w:val="single" w:color="auto" w:sz="4" w:space="0"/>
            </w:tcBorders>
            <w:noWrap/>
            <w:vAlign w:val="center"/>
          </w:tcPr>
          <w:p>
            <w:pPr>
              <w:spacing w:line="280" w:lineRule="exact"/>
              <w:jc w:val="center"/>
              <w:rPr>
                <w:snapToGrid w:val="0"/>
                <w:szCs w:val="21"/>
              </w:rPr>
            </w:pPr>
            <w:r>
              <w:rPr>
                <w:snapToGrid w:val="0"/>
                <w:szCs w:val="21"/>
              </w:rPr>
              <w:t>22.95</w:t>
            </w:r>
          </w:p>
        </w:tc>
        <w:tc>
          <w:tcPr>
            <w:tcW w:w="735" w:type="pct"/>
            <w:tcBorders>
              <w:top w:val="single" w:color="auto" w:sz="4" w:space="0"/>
              <w:left w:val="single" w:color="auto" w:sz="4" w:space="0"/>
              <w:bottom w:val="single" w:color="auto" w:sz="12" w:space="0"/>
              <w:right w:val="single" w:color="auto" w:sz="12" w:space="0"/>
            </w:tcBorders>
            <w:noWrap/>
            <w:vAlign w:val="center"/>
          </w:tcPr>
          <w:p>
            <w:pPr>
              <w:spacing w:line="280" w:lineRule="exact"/>
              <w:jc w:val="center"/>
              <w:rPr>
                <w:snapToGrid w:val="0"/>
                <w:szCs w:val="21"/>
              </w:rPr>
            </w:pPr>
            <w:r>
              <w:rPr>
                <w:snapToGrid w:val="0"/>
                <w:szCs w:val="21"/>
              </w:rPr>
              <w:t>43.24</w:t>
            </w:r>
          </w:p>
        </w:tc>
      </w:tr>
    </w:tbl>
    <w:p>
      <w:pPr>
        <w:spacing w:line="500" w:lineRule="exact"/>
        <w:ind w:firstLine="480" w:firstLineChars="200"/>
        <w:rPr>
          <w:rFonts w:eastAsiaTheme="minorEastAsia"/>
          <w:sz w:val="24"/>
        </w:rPr>
      </w:pPr>
      <w:r>
        <w:rPr>
          <w:rFonts w:hint="eastAsia" w:eastAsiaTheme="minorEastAsia"/>
          <w:sz w:val="24"/>
        </w:rPr>
        <w:t>表</w:t>
      </w:r>
      <w:r>
        <w:rPr>
          <w:rFonts w:eastAsiaTheme="minorEastAsia"/>
          <w:sz w:val="24"/>
        </w:rPr>
        <w:t>5.5-2</w:t>
      </w:r>
      <w:r>
        <w:rPr>
          <w:rFonts w:hint="eastAsia" w:eastAsiaTheme="minorEastAsia"/>
          <w:sz w:val="24"/>
        </w:rPr>
        <w:t>中噪声预测结果显示，工业场地各预测点厂界噪声值范围均可以满足《工业企业厂界环境噪声排放标准》（</w:t>
      </w:r>
      <w:r>
        <w:rPr>
          <w:rFonts w:eastAsiaTheme="minorEastAsia"/>
          <w:sz w:val="24"/>
        </w:rPr>
        <w:t>GB12348-2008</w:t>
      </w:r>
      <w:r>
        <w:rPr>
          <w:rFonts w:hint="eastAsia" w:eastAsiaTheme="minorEastAsia"/>
          <w:sz w:val="24"/>
        </w:rPr>
        <w:t>）</w:t>
      </w:r>
      <w:r>
        <w:rPr>
          <w:rFonts w:eastAsiaTheme="minorEastAsia"/>
          <w:sz w:val="24"/>
        </w:rPr>
        <w:t>2</w:t>
      </w:r>
      <w:r>
        <w:rPr>
          <w:rFonts w:hint="eastAsia" w:eastAsiaTheme="minorEastAsia"/>
          <w:sz w:val="24"/>
        </w:rPr>
        <w:t>类昼间</w:t>
      </w:r>
      <w:r>
        <w:rPr>
          <w:rFonts w:eastAsiaTheme="minorEastAsia"/>
          <w:sz w:val="24"/>
        </w:rPr>
        <w:t>60dB(A)</w:t>
      </w:r>
      <w:r>
        <w:rPr>
          <w:rFonts w:hint="eastAsia" w:eastAsiaTheme="minorEastAsia"/>
          <w:sz w:val="24"/>
        </w:rPr>
        <w:t>，夜间</w:t>
      </w:r>
      <w:r>
        <w:rPr>
          <w:rFonts w:eastAsiaTheme="minorEastAsia"/>
          <w:sz w:val="24"/>
        </w:rPr>
        <w:t>50dB(A)</w:t>
      </w:r>
      <w:r>
        <w:rPr>
          <w:rFonts w:hint="eastAsia" w:eastAsiaTheme="minorEastAsia"/>
          <w:sz w:val="24"/>
        </w:rPr>
        <w:t>的要求。敏感点噪声值可以满足《声环境质量标准》（</w:t>
      </w:r>
      <w:r>
        <w:rPr>
          <w:rFonts w:eastAsiaTheme="minorEastAsia"/>
          <w:sz w:val="24"/>
        </w:rPr>
        <w:t>GB3096-2008</w:t>
      </w:r>
      <w:r>
        <w:rPr>
          <w:rFonts w:hint="eastAsia" w:eastAsiaTheme="minorEastAsia"/>
          <w:sz w:val="24"/>
        </w:rPr>
        <w:t>）</w:t>
      </w:r>
      <w:r>
        <w:rPr>
          <w:rFonts w:eastAsiaTheme="minorEastAsia"/>
          <w:sz w:val="24"/>
        </w:rPr>
        <w:t>1</w:t>
      </w:r>
      <w:r>
        <w:rPr>
          <w:rFonts w:hint="eastAsia" w:eastAsiaTheme="minorEastAsia"/>
          <w:sz w:val="24"/>
        </w:rPr>
        <w:t>类标准。</w:t>
      </w:r>
    </w:p>
    <w:p>
      <w:pPr>
        <w:spacing w:line="500" w:lineRule="exact"/>
        <w:ind w:firstLine="480" w:firstLineChars="200"/>
        <w:rPr>
          <w:rFonts w:eastAsiaTheme="minorEastAsia"/>
          <w:sz w:val="24"/>
        </w:rPr>
      </w:pPr>
      <w:r>
        <w:rPr>
          <w:rFonts w:hint="eastAsia" w:eastAsiaTheme="minorEastAsia"/>
          <w:sz w:val="24"/>
        </w:rPr>
        <w:t>因此，本矿开采对周围声环境影响较小。</w:t>
      </w:r>
    </w:p>
    <w:p>
      <w:pPr>
        <w:pStyle w:val="4"/>
        <w:spacing w:before="0" w:after="0" w:line="360" w:lineRule="auto"/>
        <w:rPr>
          <w:rFonts w:eastAsiaTheme="minorEastAsia"/>
          <w:sz w:val="24"/>
          <w:szCs w:val="24"/>
        </w:rPr>
      </w:pPr>
      <w:r>
        <w:rPr>
          <w:rFonts w:eastAsiaTheme="minorEastAsia"/>
          <w:sz w:val="24"/>
          <w:szCs w:val="24"/>
        </w:rPr>
        <w:t>5.5.2</w:t>
      </w:r>
      <w:r>
        <w:rPr>
          <w:rFonts w:hint="eastAsia" w:eastAsiaTheme="minorEastAsia"/>
          <w:sz w:val="24"/>
          <w:szCs w:val="24"/>
        </w:rPr>
        <w:t>小结</w:t>
      </w:r>
    </w:p>
    <w:p>
      <w:pPr>
        <w:spacing w:line="360" w:lineRule="auto"/>
        <w:ind w:firstLine="480" w:firstLineChars="200"/>
        <w:jc w:val="left"/>
        <w:rPr>
          <w:rFonts w:eastAsiaTheme="minorEastAsia"/>
          <w:sz w:val="24"/>
        </w:rPr>
      </w:pPr>
      <w:r>
        <w:rPr>
          <w:rFonts w:hint="eastAsia" w:eastAsiaTheme="minorEastAsia"/>
          <w:sz w:val="24"/>
        </w:rPr>
        <w:t>原环评已经有较为完善的噪声防治对策，为进一步防止噪声设备对职工及周围环境的影响，本次环评从以下几点进行优化：</w:t>
      </w:r>
    </w:p>
    <w:p>
      <w:pPr>
        <w:spacing w:line="360" w:lineRule="auto"/>
        <w:ind w:firstLine="480" w:firstLineChars="200"/>
        <w:jc w:val="left"/>
        <w:rPr>
          <w:rFonts w:eastAsiaTheme="minorEastAsia"/>
          <w:sz w:val="24"/>
        </w:rPr>
      </w:pPr>
      <w:r>
        <w:rPr>
          <w:rFonts w:eastAsiaTheme="minorEastAsia"/>
          <w:sz w:val="24"/>
        </w:rPr>
        <w:t>1、在厂界四周、高噪声车间周围、场区道路两侧种植灌木、乔木和林带绿化，起到阻止噪声传播的作用；</w:t>
      </w:r>
    </w:p>
    <w:p>
      <w:pPr>
        <w:spacing w:line="360" w:lineRule="auto"/>
        <w:ind w:firstLine="480" w:firstLineChars="200"/>
        <w:jc w:val="left"/>
        <w:rPr>
          <w:rFonts w:eastAsiaTheme="minorEastAsia"/>
          <w:sz w:val="24"/>
        </w:rPr>
      </w:pPr>
      <w:r>
        <w:rPr>
          <w:rFonts w:eastAsiaTheme="minorEastAsia"/>
          <w:sz w:val="24"/>
        </w:rPr>
        <w:t>2、进一步控制运输车辆车速，经过村庄时要减速行驶，夜间要禁止鸣笛。</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67" w:name="_Toc71551945"/>
      <w:r>
        <w:rPr>
          <w:rFonts w:ascii="Times New Roman" w:hAnsi="Times New Roman" w:eastAsiaTheme="minorEastAsia"/>
          <w:kern w:val="44"/>
          <w:sz w:val="30"/>
          <w:szCs w:val="30"/>
        </w:rPr>
        <w:t>5.6固体废物环境影响分析</w:t>
      </w:r>
      <w:bookmarkEnd w:id="267"/>
    </w:p>
    <w:p>
      <w:pPr>
        <w:pStyle w:val="4"/>
        <w:spacing w:before="0" w:after="0" w:line="360" w:lineRule="auto"/>
        <w:rPr>
          <w:rFonts w:eastAsiaTheme="minorEastAsia"/>
          <w:sz w:val="24"/>
          <w:szCs w:val="24"/>
        </w:rPr>
      </w:pPr>
      <w:r>
        <w:rPr>
          <w:rFonts w:eastAsiaTheme="minorEastAsia"/>
          <w:sz w:val="24"/>
          <w:szCs w:val="24"/>
        </w:rPr>
        <w:t>5.6.1建设期固体废物的处置</w:t>
      </w:r>
    </w:p>
    <w:p>
      <w:pPr>
        <w:spacing w:line="360" w:lineRule="auto"/>
        <w:ind w:firstLine="480" w:firstLineChars="200"/>
        <w:rPr>
          <w:rFonts w:eastAsiaTheme="minorEastAsia"/>
          <w:sz w:val="24"/>
        </w:rPr>
      </w:pPr>
      <w:r>
        <w:rPr>
          <w:rFonts w:eastAsiaTheme="minorEastAsia"/>
          <w:sz w:val="24"/>
        </w:rPr>
        <w:t>1、建设期固体废物来源</w:t>
      </w:r>
    </w:p>
    <w:p>
      <w:pPr>
        <w:spacing w:line="360" w:lineRule="auto"/>
        <w:ind w:firstLine="480" w:firstLineChars="200"/>
        <w:rPr>
          <w:rFonts w:eastAsiaTheme="minorEastAsia"/>
          <w:sz w:val="24"/>
        </w:rPr>
      </w:pPr>
      <w:r>
        <w:rPr>
          <w:rFonts w:eastAsiaTheme="minorEastAsia"/>
          <w:sz w:val="24"/>
        </w:rPr>
        <w:t>建设期产生固体废物主要为井筒开拓产生的</w:t>
      </w:r>
      <w:r>
        <w:rPr>
          <w:rFonts w:hint="eastAsia" w:eastAsiaTheme="minorEastAsia"/>
          <w:sz w:val="24"/>
        </w:rPr>
        <w:t>掘进矸石、工业场地施工产生的建筑垃圾和</w:t>
      </w:r>
      <w:r>
        <w:rPr>
          <w:rFonts w:eastAsiaTheme="minorEastAsia"/>
          <w:sz w:val="24"/>
        </w:rPr>
        <w:t>施工人员少量的生活垃圾。</w:t>
      </w:r>
    </w:p>
    <w:p>
      <w:pPr>
        <w:spacing w:line="360" w:lineRule="auto"/>
        <w:ind w:firstLine="480" w:firstLineChars="200"/>
        <w:rPr>
          <w:rFonts w:eastAsiaTheme="minorEastAsia"/>
          <w:sz w:val="24"/>
        </w:rPr>
      </w:pPr>
      <w:r>
        <w:rPr>
          <w:rFonts w:eastAsiaTheme="minorEastAsia"/>
          <w:sz w:val="24"/>
        </w:rPr>
        <w:t>2、施工期固体废物处置措施</w:t>
      </w:r>
    </w:p>
    <w:p>
      <w:pPr>
        <w:spacing w:line="360" w:lineRule="auto"/>
        <w:ind w:firstLine="480" w:firstLineChars="200"/>
        <w:rPr>
          <w:rFonts w:eastAsiaTheme="minorEastAsia"/>
          <w:sz w:val="24"/>
        </w:rPr>
      </w:pPr>
      <w:r>
        <w:rPr>
          <w:rFonts w:eastAsiaTheme="minorEastAsia"/>
          <w:sz w:val="24"/>
        </w:rPr>
        <w:t>（1）首先，施工期产生的可回收废料，如钢筋头、废木板等，应责定施工单位回收。</w:t>
      </w:r>
    </w:p>
    <w:p>
      <w:pPr>
        <w:spacing w:line="360" w:lineRule="auto"/>
        <w:ind w:firstLine="480" w:firstLineChars="200"/>
        <w:rPr>
          <w:rFonts w:eastAsiaTheme="minorEastAsia"/>
          <w:sz w:val="24"/>
        </w:rPr>
      </w:pPr>
      <w:r>
        <w:rPr>
          <w:rFonts w:eastAsiaTheme="minorEastAsia"/>
          <w:sz w:val="24"/>
        </w:rPr>
        <w:t>（2）生活垃圾应按照环境保护的规范要求，运当地环卫部门指定地点处置</w:t>
      </w:r>
      <w:r>
        <w:rPr>
          <w:rFonts w:hint="eastAsia" w:eastAsiaTheme="minorEastAsia"/>
          <w:sz w:val="24"/>
        </w:rPr>
        <w:t>；建筑垃圾运送至指定的建筑垃圾堆场。</w:t>
      </w:r>
    </w:p>
    <w:p>
      <w:pPr>
        <w:spacing w:line="360" w:lineRule="auto"/>
        <w:ind w:firstLine="480" w:firstLineChars="200"/>
        <w:rPr>
          <w:sz w:val="24"/>
        </w:rPr>
      </w:pPr>
      <w:r>
        <w:rPr>
          <w:rFonts w:eastAsiaTheme="minorEastAsia"/>
          <w:sz w:val="24"/>
        </w:rPr>
        <w:t>（3）</w:t>
      </w:r>
      <w:r>
        <w:rPr>
          <w:rFonts w:hint="eastAsia" w:eastAsiaTheme="minorEastAsia"/>
          <w:sz w:val="24"/>
        </w:rPr>
        <w:t>掘进矸石优先</w:t>
      </w:r>
      <w:r>
        <w:rPr>
          <w:rFonts w:eastAsiaTheme="minorEastAsia"/>
          <w:sz w:val="24"/>
        </w:rPr>
        <w:t>送往</w:t>
      </w:r>
      <w:r>
        <w:rPr>
          <w:rFonts w:hint="eastAsia"/>
          <w:sz w:val="24"/>
        </w:rPr>
        <w:t>矸石优先送往山西华光发电有限责任公司综合利用，利用不畅时送至原环评批复的临时矸石场填埋。</w:t>
      </w:r>
    </w:p>
    <w:p>
      <w:pPr>
        <w:spacing w:line="360" w:lineRule="auto"/>
        <w:ind w:firstLine="480" w:firstLineChars="200"/>
        <w:rPr>
          <w:rFonts w:eastAsiaTheme="minorEastAsia"/>
          <w:sz w:val="24"/>
        </w:rPr>
      </w:pPr>
      <w:r>
        <w:rPr>
          <w:rFonts w:eastAsiaTheme="minorEastAsia"/>
          <w:sz w:val="24"/>
        </w:rPr>
        <w:t>按上述措施处理施工期的固体废弃物将不会对环境产生明显影响。</w:t>
      </w:r>
    </w:p>
    <w:p>
      <w:pPr>
        <w:pStyle w:val="4"/>
        <w:spacing w:before="0" w:after="0" w:line="360" w:lineRule="auto"/>
        <w:rPr>
          <w:rFonts w:eastAsiaTheme="minorEastAsia"/>
          <w:sz w:val="24"/>
          <w:szCs w:val="24"/>
        </w:rPr>
      </w:pPr>
      <w:r>
        <w:rPr>
          <w:rFonts w:eastAsiaTheme="minorEastAsia"/>
          <w:sz w:val="24"/>
          <w:szCs w:val="24"/>
        </w:rPr>
        <w:t>5.6.2运营期固体废物排放情况与处置措施分析</w:t>
      </w:r>
    </w:p>
    <w:p>
      <w:pPr>
        <w:spacing w:line="440" w:lineRule="exact"/>
        <w:ind w:firstLine="480" w:firstLineChars="200"/>
        <w:rPr>
          <w:rFonts w:eastAsiaTheme="minorEastAsia"/>
          <w:sz w:val="24"/>
        </w:rPr>
      </w:pPr>
      <w:r>
        <w:rPr>
          <w:rFonts w:eastAsiaTheme="minorEastAsia"/>
          <w:sz w:val="24"/>
        </w:rPr>
        <w:t>1、运行期固体废物来源、数量</w:t>
      </w:r>
    </w:p>
    <w:p>
      <w:pPr>
        <w:spacing w:line="440" w:lineRule="exact"/>
        <w:ind w:firstLine="480" w:firstLineChars="200"/>
        <w:rPr>
          <w:rFonts w:eastAsiaTheme="minorEastAsia"/>
          <w:sz w:val="24"/>
        </w:rPr>
      </w:pPr>
      <w:r>
        <w:rPr>
          <w:rFonts w:eastAsiaTheme="minorEastAsia"/>
          <w:sz w:val="24"/>
        </w:rPr>
        <w:t>运行期固体废物主要为生活垃圾、生活污水处理站污泥、矿井水处理站污泥、煤矸石、废机油、除尘灰等。详见下表。</w:t>
      </w:r>
    </w:p>
    <w:p>
      <w:pPr>
        <w:spacing w:line="360" w:lineRule="auto"/>
        <w:ind w:firstLine="422" w:firstLineChars="200"/>
        <w:jc w:val="center"/>
        <w:rPr>
          <w:rFonts w:eastAsiaTheme="minorEastAsia"/>
          <w:b/>
          <w:szCs w:val="21"/>
        </w:rPr>
      </w:pPr>
      <w:r>
        <w:rPr>
          <w:rFonts w:eastAsiaTheme="minorEastAsia"/>
          <w:b/>
          <w:szCs w:val="21"/>
        </w:rPr>
        <w:t>表5.6-1    运营期固体废物排放情况表</w:t>
      </w:r>
    </w:p>
    <w:tbl>
      <w:tblPr>
        <w:tblStyle w:val="24"/>
        <w:tblW w:w="499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1"/>
        <w:gridCol w:w="1698"/>
        <w:gridCol w:w="53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203" w:type="pct"/>
            <w:vAlign w:val="center"/>
          </w:tcPr>
          <w:p>
            <w:pPr>
              <w:spacing w:line="360" w:lineRule="exact"/>
              <w:jc w:val="center"/>
              <w:rPr>
                <w:rFonts w:eastAsiaTheme="minorEastAsia"/>
                <w:bCs/>
              </w:rPr>
            </w:pPr>
            <w:r>
              <w:rPr>
                <w:rFonts w:eastAsiaTheme="minorEastAsia"/>
                <w:bCs/>
              </w:rPr>
              <w:t>固废名称</w:t>
            </w:r>
          </w:p>
        </w:tc>
        <w:tc>
          <w:tcPr>
            <w:tcW w:w="916" w:type="pct"/>
            <w:vAlign w:val="center"/>
          </w:tcPr>
          <w:p>
            <w:pPr>
              <w:spacing w:line="360" w:lineRule="exact"/>
              <w:jc w:val="center"/>
              <w:rPr>
                <w:rFonts w:eastAsiaTheme="minorEastAsia"/>
                <w:bCs/>
              </w:rPr>
            </w:pPr>
            <w:r>
              <w:rPr>
                <w:rFonts w:eastAsiaTheme="minorEastAsia"/>
                <w:bCs/>
              </w:rPr>
              <w:t>产生量t/a</w:t>
            </w:r>
          </w:p>
        </w:tc>
        <w:tc>
          <w:tcPr>
            <w:tcW w:w="2881" w:type="pct"/>
            <w:vAlign w:val="center"/>
          </w:tcPr>
          <w:p>
            <w:pPr>
              <w:spacing w:line="360" w:lineRule="exact"/>
              <w:jc w:val="center"/>
              <w:rPr>
                <w:rFonts w:eastAsiaTheme="minorEastAsia"/>
                <w:bCs/>
              </w:rPr>
            </w:pPr>
            <w:r>
              <w:rPr>
                <w:rFonts w:eastAsiaTheme="minorEastAsia"/>
                <w:bCs/>
              </w:rPr>
              <w:t>处置方式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203" w:type="pct"/>
            <w:vAlign w:val="center"/>
          </w:tcPr>
          <w:p>
            <w:pPr>
              <w:jc w:val="center"/>
              <w:rPr>
                <w:rFonts w:eastAsiaTheme="minorEastAsia"/>
                <w:szCs w:val="21"/>
              </w:rPr>
            </w:pPr>
            <w:r>
              <w:rPr>
                <w:rFonts w:eastAsiaTheme="minorEastAsia"/>
                <w:szCs w:val="21"/>
              </w:rPr>
              <w:t>煤矸石</w:t>
            </w:r>
          </w:p>
        </w:tc>
        <w:tc>
          <w:tcPr>
            <w:tcW w:w="916" w:type="pct"/>
            <w:vAlign w:val="center"/>
          </w:tcPr>
          <w:p>
            <w:pPr>
              <w:jc w:val="center"/>
              <w:rPr>
                <w:rFonts w:eastAsiaTheme="minorEastAsia"/>
                <w:szCs w:val="21"/>
              </w:rPr>
            </w:pPr>
            <w:r>
              <w:rPr>
                <w:rFonts w:hint="eastAsia" w:eastAsiaTheme="minorEastAsia"/>
                <w:szCs w:val="21"/>
              </w:rPr>
              <w:t>9</w:t>
            </w:r>
            <w:r>
              <w:rPr>
                <w:rFonts w:eastAsiaTheme="minorEastAsia"/>
                <w:szCs w:val="21"/>
              </w:rPr>
              <w:t>4200</w:t>
            </w:r>
          </w:p>
        </w:tc>
        <w:tc>
          <w:tcPr>
            <w:tcW w:w="2881" w:type="pct"/>
            <w:vAlign w:val="center"/>
          </w:tcPr>
          <w:p>
            <w:pPr>
              <w:jc w:val="center"/>
              <w:rPr>
                <w:rFonts w:eastAsiaTheme="minorEastAsia"/>
                <w:szCs w:val="21"/>
              </w:rPr>
            </w:pPr>
            <w:r>
              <w:rPr>
                <w:rFonts w:hint="eastAsia" w:eastAsiaTheme="minorEastAsia"/>
                <w:szCs w:val="21"/>
              </w:rPr>
              <w:t>煤矸石全部送往山西华光发电有限责任公司综合利用，综合利用不畅的情况下，临时</w:t>
            </w:r>
            <w:r>
              <w:rPr>
                <w:rFonts w:eastAsiaTheme="minorEastAsia"/>
                <w:szCs w:val="21"/>
              </w:rPr>
              <w:t>运至</w:t>
            </w:r>
            <w:r>
              <w:rPr>
                <w:rFonts w:hint="eastAsia" w:eastAsiaTheme="minorEastAsia"/>
                <w:szCs w:val="21"/>
              </w:rPr>
              <w:t>原环评批复的临时矸石堆场填埋处理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1203" w:type="pct"/>
            <w:vAlign w:val="center"/>
          </w:tcPr>
          <w:p>
            <w:pPr>
              <w:spacing w:line="360" w:lineRule="exact"/>
              <w:jc w:val="center"/>
              <w:rPr>
                <w:rFonts w:eastAsiaTheme="minorEastAsia"/>
                <w:bCs/>
              </w:rPr>
            </w:pPr>
            <w:r>
              <w:rPr>
                <w:rFonts w:eastAsiaTheme="minorEastAsia"/>
                <w:bCs/>
              </w:rPr>
              <w:t>生活垃圾</w:t>
            </w:r>
          </w:p>
        </w:tc>
        <w:tc>
          <w:tcPr>
            <w:tcW w:w="916" w:type="pct"/>
            <w:vAlign w:val="center"/>
          </w:tcPr>
          <w:p>
            <w:pPr>
              <w:pStyle w:val="108"/>
              <w:rPr>
                <w:rFonts w:ascii="Times New Roman" w:eastAsiaTheme="minorEastAsia"/>
                <w:szCs w:val="21"/>
              </w:rPr>
            </w:pPr>
            <w:r>
              <w:rPr>
                <w:rFonts w:hint="eastAsia" w:ascii="Times New Roman" w:eastAsiaTheme="minorEastAsia"/>
                <w:szCs w:val="21"/>
              </w:rPr>
              <w:t>114.43</w:t>
            </w:r>
          </w:p>
        </w:tc>
        <w:tc>
          <w:tcPr>
            <w:tcW w:w="2881" w:type="pct"/>
            <w:vAlign w:val="center"/>
          </w:tcPr>
          <w:p>
            <w:pPr>
              <w:jc w:val="center"/>
              <w:rPr>
                <w:rFonts w:eastAsiaTheme="minorEastAsia"/>
                <w:szCs w:val="21"/>
              </w:rPr>
            </w:pPr>
            <w:r>
              <w:rPr>
                <w:rFonts w:eastAsiaTheme="minorEastAsia"/>
                <w:szCs w:val="21"/>
              </w:rPr>
              <w:t>统一收集后</w:t>
            </w:r>
            <w:r>
              <w:rPr>
                <w:rFonts w:hint="eastAsia" w:eastAsiaTheme="minorEastAsia"/>
                <w:szCs w:val="21"/>
              </w:rPr>
              <w:t>交由环卫部门处理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203" w:type="pct"/>
            <w:vAlign w:val="center"/>
          </w:tcPr>
          <w:p>
            <w:pPr>
              <w:pStyle w:val="108"/>
              <w:rPr>
                <w:rFonts w:ascii="Times New Roman" w:eastAsiaTheme="minorEastAsia"/>
                <w:szCs w:val="21"/>
              </w:rPr>
            </w:pPr>
            <w:r>
              <w:rPr>
                <w:rFonts w:ascii="Times New Roman" w:eastAsiaTheme="minorEastAsia"/>
                <w:szCs w:val="21"/>
              </w:rPr>
              <w:t>矿井水水处理站污泥</w:t>
            </w:r>
          </w:p>
        </w:tc>
        <w:tc>
          <w:tcPr>
            <w:tcW w:w="916" w:type="pct"/>
            <w:vAlign w:val="center"/>
          </w:tcPr>
          <w:p>
            <w:pPr>
              <w:pStyle w:val="108"/>
              <w:rPr>
                <w:rFonts w:ascii="Times New Roman" w:eastAsiaTheme="minorEastAsia"/>
                <w:szCs w:val="21"/>
              </w:rPr>
            </w:pPr>
            <w:r>
              <w:rPr>
                <w:rFonts w:hint="eastAsia" w:ascii="Times New Roman" w:eastAsiaTheme="minorEastAsia"/>
                <w:szCs w:val="21"/>
              </w:rPr>
              <w:t>260.32</w:t>
            </w:r>
          </w:p>
        </w:tc>
        <w:tc>
          <w:tcPr>
            <w:tcW w:w="2881" w:type="pct"/>
            <w:vAlign w:val="center"/>
          </w:tcPr>
          <w:p>
            <w:pPr>
              <w:jc w:val="center"/>
              <w:rPr>
                <w:rFonts w:eastAsiaTheme="minorEastAsia"/>
                <w:szCs w:val="21"/>
              </w:rPr>
            </w:pPr>
            <w:r>
              <w:rPr>
                <w:rFonts w:eastAsiaTheme="minorEastAsia"/>
                <w:szCs w:val="21"/>
              </w:rPr>
              <w:t>污泥经浓缩后送至选煤厂煤泥浓缩池一并处理，最后混入末煤产品外售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203" w:type="pct"/>
            <w:vAlign w:val="center"/>
          </w:tcPr>
          <w:p>
            <w:pPr>
              <w:pStyle w:val="108"/>
              <w:rPr>
                <w:rFonts w:ascii="Times New Roman" w:eastAsiaTheme="minorEastAsia"/>
                <w:szCs w:val="21"/>
              </w:rPr>
            </w:pPr>
            <w:r>
              <w:rPr>
                <w:rFonts w:ascii="Times New Roman" w:eastAsiaTheme="minorEastAsia"/>
                <w:szCs w:val="21"/>
              </w:rPr>
              <w:t>生活污水处理站污泥</w:t>
            </w:r>
          </w:p>
        </w:tc>
        <w:tc>
          <w:tcPr>
            <w:tcW w:w="916" w:type="pct"/>
            <w:vAlign w:val="center"/>
          </w:tcPr>
          <w:p>
            <w:pPr>
              <w:pStyle w:val="108"/>
              <w:rPr>
                <w:rFonts w:ascii="Times New Roman" w:eastAsiaTheme="minorEastAsia"/>
                <w:szCs w:val="21"/>
              </w:rPr>
            </w:pPr>
            <w:r>
              <w:rPr>
                <w:rFonts w:hint="eastAsia" w:ascii="Times New Roman" w:eastAsiaTheme="minorEastAsia"/>
                <w:kern w:val="0"/>
                <w:szCs w:val="21"/>
              </w:rPr>
              <w:t>14.44</w:t>
            </w:r>
          </w:p>
        </w:tc>
        <w:tc>
          <w:tcPr>
            <w:tcW w:w="2881" w:type="pct"/>
            <w:vAlign w:val="center"/>
          </w:tcPr>
          <w:p>
            <w:pPr>
              <w:jc w:val="center"/>
              <w:rPr>
                <w:rFonts w:eastAsiaTheme="minorEastAsia"/>
                <w:szCs w:val="21"/>
              </w:rPr>
            </w:pPr>
            <w:r>
              <w:rPr>
                <w:rFonts w:eastAsiaTheme="minorEastAsia"/>
                <w:szCs w:val="21"/>
              </w:rPr>
              <w:t>运至</w:t>
            </w:r>
            <w:r>
              <w:rPr>
                <w:rFonts w:hint="eastAsia" w:eastAsiaTheme="minorEastAsia"/>
                <w:szCs w:val="21"/>
              </w:rPr>
              <w:t>原环评批复的临时矸石堆场填埋处理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03" w:type="pct"/>
            <w:vAlign w:val="center"/>
          </w:tcPr>
          <w:p>
            <w:pPr>
              <w:spacing w:line="360" w:lineRule="exact"/>
              <w:jc w:val="center"/>
              <w:rPr>
                <w:rFonts w:eastAsiaTheme="minorEastAsia"/>
                <w:bCs/>
              </w:rPr>
            </w:pPr>
            <w:r>
              <w:rPr>
                <w:rFonts w:eastAsiaTheme="minorEastAsia"/>
                <w:szCs w:val="21"/>
              </w:rPr>
              <w:t>废机油</w:t>
            </w:r>
          </w:p>
        </w:tc>
        <w:tc>
          <w:tcPr>
            <w:tcW w:w="916" w:type="pct"/>
            <w:vAlign w:val="center"/>
          </w:tcPr>
          <w:p>
            <w:pPr>
              <w:pStyle w:val="108"/>
              <w:rPr>
                <w:rFonts w:ascii="Times New Roman" w:eastAsiaTheme="minorEastAsia"/>
                <w:szCs w:val="21"/>
              </w:rPr>
            </w:pPr>
            <w:r>
              <w:rPr>
                <w:rFonts w:hint="eastAsia" w:ascii="Times New Roman" w:eastAsiaTheme="minorEastAsia"/>
                <w:szCs w:val="21"/>
              </w:rPr>
              <w:t>15</w:t>
            </w:r>
          </w:p>
        </w:tc>
        <w:tc>
          <w:tcPr>
            <w:tcW w:w="2881" w:type="pct"/>
            <w:vAlign w:val="center"/>
          </w:tcPr>
          <w:p>
            <w:pPr>
              <w:spacing w:line="360" w:lineRule="exact"/>
              <w:jc w:val="center"/>
              <w:rPr>
                <w:rFonts w:eastAsiaTheme="minorEastAsia"/>
                <w:bCs/>
              </w:rPr>
            </w:pPr>
            <w:r>
              <w:rPr>
                <w:rFonts w:eastAsiaTheme="minorEastAsia"/>
                <w:bCs/>
                <w:spacing w:val="4"/>
                <w:szCs w:val="21"/>
              </w:rPr>
              <w:t>本矿现将废矿物油集中收集于铁皮桶内，存放于危废暂存间，</w:t>
            </w:r>
            <w:r>
              <w:rPr>
                <w:rFonts w:hint="eastAsia" w:eastAsiaTheme="minorEastAsia"/>
                <w:bCs/>
                <w:spacing w:val="4"/>
                <w:szCs w:val="21"/>
              </w:rPr>
              <w:t>交</w:t>
            </w:r>
            <w:r>
              <w:rPr>
                <w:rFonts w:eastAsiaTheme="minorEastAsia"/>
                <w:bCs/>
                <w:spacing w:val="4"/>
                <w:szCs w:val="21"/>
              </w:rPr>
              <w:t>有资质单位处置。</w:t>
            </w:r>
          </w:p>
        </w:tc>
      </w:tr>
    </w:tbl>
    <w:p>
      <w:pPr>
        <w:spacing w:line="360" w:lineRule="auto"/>
        <w:ind w:firstLine="482" w:firstLineChars="200"/>
        <w:rPr>
          <w:rFonts w:eastAsiaTheme="minorEastAsia"/>
          <w:b/>
          <w:bCs/>
          <w:sz w:val="24"/>
        </w:rPr>
      </w:pPr>
      <w:r>
        <w:rPr>
          <w:rFonts w:eastAsiaTheme="minorEastAsia"/>
          <w:b/>
          <w:bCs/>
          <w:sz w:val="24"/>
        </w:rPr>
        <w:t>2、固体废物处置措施分析</w:t>
      </w:r>
    </w:p>
    <w:p>
      <w:pPr>
        <w:spacing w:line="360" w:lineRule="auto"/>
        <w:ind w:firstLine="480" w:firstLineChars="200"/>
        <w:rPr>
          <w:rFonts w:eastAsiaTheme="minorEastAsia"/>
          <w:bCs/>
          <w:sz w:val="24"/>
        </w:rPr>
      </w:pPr>
      <w:r>
        <w:rPr>
          <w:rFonts w:eastAsiaTheme="minorEastAsia"/>
          <w:bCs/>
          <w:sz w:val="24"/>
        </w:rPr>
        <w:t>（1） 煤矸石处置方法</w:t>
      </w:r>
    </w:p>
    <w:p>
      <w:pPr>
        <w:spacing w:line="360" w:lineRule="auto"/>
        <w:ind w:firstLine="480" w:firstLineChars="200"/>
        <w:rPr>
          <w:rFonts w:eastAsiaTheme="minorEastAsia"/>
          <w:sz w:val="24"/>
        </w:rPr>
      </w:pPr>
      <w:r>
        <w:rPr>
          <w:rFonts w:hint="eastAsia" w:eastAsiaTheme="minorEastAsia"/>
          <w:sz w:val="24"/>
        </w:rPr>
        <w:t>新工煤矿开采</w:t>
      </w:r>
      <w:r>
        <w:rPr>
          <w:rFonts w:eastAsiaTheme="minorEastAsia"/>
          <w:sz w:val="24"/>
        </w:rPr>
        <w:t>期间产生的矸石全部</w:t>
      </w:r>
      <w:r>
        <w:rPr>
          <w:rFonts w:hint="eastAsia" w:eastAsiaTheme="minorEastAsia"/>
          <w:sz w:val="24"/>
        </w:rPr>
        <w:t>送往山西华光发电有限责任公司综合利用，综合利用不畅的情况下，临时</w:t>
      </w:r>
      <w:r>
        <w:rPr>
          <w:rFonts w:eastAsiaTheme="minorEastAsia"/>
          <w:sz w:val="24"/>
        </w:rPr>
        <w:t>运至</w:t>
      </w:r>
      <w:r>
        <w:rPr>
          <w:rFonts w:hint="eastAsia" w:eastAsiaTheme="minorEastAsia"/>
          <w:sz w:val="24"/>
        </w:rPr>
        <w:t>原环评批复的临时矸石堆场填埋处理</w:t>
      </w:r>
      <w:r>
        <w:rPr>
          <w:rFonts w:eastAsiaTheme="minorEastAsia"/>
          <w:sz w:val="24"/>
        </w:rPr>
        <w:t>。</w:t>
      </w:r>
    </w:p>
    <w:p>
      <w:pPr>
        <w:spacing w:line="360" w:lineRule="auto"/>
        <w:ind w:firstLine="480" w:firstLineChars="200"/>
        <w:rPr>
          <w:rFonts w:eastAsiaTheme="minorEastAsia"/>
          <w:sz w:val="24"/>
        </w:rPr>
      </w:pPr>
      <w:r>
        <w:rPr>
          <w:rFonts w:eastAsiaTheme="minorEastAsia"/>
          <w:sz w:val="24"/>
        </w:rPr>
        <w:t>矸石排放管理：利用自卸式汽车将矸石运至</w:t>
      </w:r>
      <w:r>
        <w:rPr>
          <w:rFonts w:hint="eastAsia" w:eastAsiaTheme="minorEastAsia"/>
          <w:sz w:val="24"/>
        </w:rPr>
        <w:t>矸石临时堆场，</w:t>
      </w:r>
      <w:r>
        <w:rPr>
          <w:rFonts w:eastAsiaTheme="minorEastAsia"/>
          <w:sz w:val="24"/>
        </w:rPr>
        <w:t>用推土机及时将</w:t>
      </w:r>
      <w:bookmarkStart w:id="268" w:name="_Hlk2590888"/>
      <w:r>
        <w:rPr>
          <w:rFonts w:eastAsiaTheme="minorEastAsia"/>
          <w:sz w:val="24"/>
        </w:rPr>
        <w:t>矸石推平、碾压</w:t>
      </w:r>
      <w:bookmarkEnd w:id="268"/>
      <w:r>
        <w:rPr>
          <w:rFonts w:eastAsiaTheme="minorEastAsia"/>
          <w:sz w:val="24"/>
        </w:rPr>
        <w:t>，</w:t>
      </w:r>
      <w:bookmarkStart w:id="269" w:name="_Hlk2591583"/>
      <w:r>
        <w:rPr>
          <w:rFonts w:eastAsiaTheme="minorEastAsia"/>
          <w:sz w:val="24"/>
        </w:rPr>
        <w:t>当矸石排放到预定标高后，进行覆土。并划定堆放的方向，采取分段堆放，分段复垦的方式处理。</w:t>
      </w:r>
      <w:r>
        <w:rPr>
          <w:rFonts w:hint="eastAsia" w:eastAsiaTheme="minorEastAsia"/>
          <w:sz w:val="24"/>
        </w:rPr>
        <w:t>新工</w:t>
      </w:r>
      <w:r>
        <w:rPr>
          <w:rFonts w:eastAsiaTheme="minorEastAsia"/>
          <w:sz w:val="24"/>
        </w:rPr>
        <w:t>矿将复土层分为两层，第一层厚度0.5m（压实后），要求推平、压实；第二层厚度0.8m以上，</w:t>
      </w:r>
      <w:bookmarkEnd w:id="269"/>
      <w:r>
        <w:rPr>
          <w:rFonts w:eastAsiaTheme="minorEastAsia"/>
          <w:sz w:val="24"/>
        </w:rPr>
        <w:t>为方便村民耕种和进一步的土地熟化，在其中掺和生活污水厂处置过的污泥作为有机熟化肥料。</w:t>
      </w:r>
    </w:p>
    <w:p>
      <w:pPr>
        <w:spacing w:line="360" w:lineRule="auto"/>
        <w:ind w:firstLine="480" w:firstLineChars="200"/>
        <w:rPr>
          <w:rFonts w:eastAsiaTheme="minorEastAsia"/>
          <w:bCs/>
          <w:sz w:val="24"/>
        </w:rPr>
      </w:pPr>
      <w:r>
        <w:rPr>
          <w:rFonts w:eastAsiaTheme="minorEastAsia"/>
          <w:bCs/>
          <w:sz w:val="24"/>
        </w:rPr>
        <w:t>（2） 生活垃圾处置方法</w:t>
      </w:r>
    </w:p>
    <w:p>
      <w:pPr>
        <w:spacing w:line="360" w:lineRule="auto"/>
        <w:ind w:firstLine="480" w:firstLineChars="200"/>
        <w:rPr>
          <w:rFonts w:eastAsiaTheme="minorEastAsia"/>
          <w:sz w:val="24"/>
        </w:rPr>
      </w:pPr>
      <w:r>
        <w:rPr>
          <w:rFonts w:eastAsiaTheme="minorEastAsia"/>
          <w:bCs/>
          <w:sz w:val="24"/>
        </w:rPr>
        <w:t>本矿生活垃圾产生量为</w:t>
      </w:r>
      <w:r>
        <w:rPr>
          <w:rFonts w:hint="eastAsia" w:eastAsiaTheme="minorEastAsia"/>
          <w:bCs/>
          <w:sz w:val="24"/>
        </w:rPr>
        <w:t>114.43</w:t>
      </w:r>
      <w:r>
        <w:rPr>
          <w:rFonts w:eastAsiaTheme="minorEastAsia"/>
          <w:bCs/>
          <w:sz w:val="24"/>
        </w:rPr>
        <w:t>t/a，</w:t>
      </w:r>
      <w:r>
        <w:rPr>
          <w:rFonts w:eastAsiaTheme="minorEastAsia"/>
          <w:sz w:val="24"/>
        </w:rPr>
        <w:t>目前，各工业场地内均设置生活垃圾箱，矿方购置了6辆垃圾车，统一收集后</w:t>
      </w:r>
      <w:r>
        <w:rPr>
          <w:rFonts w:hint="eastAsia" w:eastAsiaTheme="minorEastAsia"/>
          <w:sz w:val="24"/>
        </w:rPr>
        <w:t>交由环卫部门处理</w:t>
      </w:r>
      <w:r>
        <w:rPr>
          <w:rFonts w:eastAsiaTheme="minorEastAsia"/>
          <w:sz w:val="24"/>
        </w:rPr>
        <w:t>。</w:t>
      </w:r>
    </w:p>
    <w:p>
      <w:pPr>
        <w:spacing w:line="360" w:lineRule="auto"/>
        <w:ind w:firstLine="480" w:firstLineChars="200"/>
        <w:rPr>
          <w:rFonts w:eastAsiaTheme="minorEastAsia"/>
          <w:bCs/>
          <w:sz w:val="24"/>
        </w:rPr>
      </w:pPr>
      <w:r>
        <w:rPr>
          <w:rFonts w:eastAsiaTheme="minorEastAsia"/>
          <w:bCs/>
          <w:sz w:val="24"/>
        </w:rPr>
        <w:t>（3）污泥处置方法</w:t>
      </w:r>
    </w:p>
    <w:p>
      <w:pPr>
        <w:spacing w:line="360" w:lineRule="auto"/>
        <w:ind w:firstLine="480" w:firstLineChars="200"/>
        <w:rPr>
          <w:rFonts w:eastAsiaTheme="minorEastAsia"/>
          <w:sz w:val="24"/>
        </w:rPr>
      </w:pPr>
      <w:r>
        <w:rPr>
          <w:rFonts w:eastAsiaTheme="minorEastAsia"/>
          <w:sz w:val="24"/>
        </w:rPr>
        <w:t>矿井水处理站的污泥主要成分是煤泥，矿井水处理站设污泥浓缩池和渣浆泵，污泥经浓缩后送至选煤厂煤泥浓缩池一并处理，最后混入末煤产品外售。</w:t>
      </w:r>
    </w:p>
    <w:p>
      <w:pPr>
        <w:spacing w:line="360" w:lineRule="auto"/>
        <w:ind w:firstLine="480" w:firstLineChars="200"/>
        <w:rPr>
          <w:rFonts w:eastAsiaTheme="minorEastAsia"/>
          <w:sz w:val="24"/>
        </w:rPr>
      </w:pPr>
      <w:r>
        <w:rPr>
          <w:rFonts w:eastAsiaTheme="minorEastAsia"/>
          <w:sz w:val="24"/>
        </w:rPr>
        <w:t>矿区生活污水处理厂产生的污泥经污泥浓缩脱水机脱水后由车外运至</w:t>
      </w:r>
      <w:r>
        <w:rPr>
          <w:rFonts w:hint="eastAsia" w:eastAsiaTheme="minorEastAsia"/>
          <w:sz w:val="24"/>
        </w:rPr>
        <w:t>排矸场</w:t>
      </w:r>
      <w:r>
        <w:rPr>
          <w:rFonts w:eastAsiaTheme="minorEastAsia"/>
          <w:sz w:val="24"/>
        </w:rPr>
        <w:t>。</w:t>
      </w:r>
    </w:p>
    <w:p>
      <w:pPr>
        <w:spacing w:line="360" w:lineRule="auto"/>
        <w:ind w:firstLine="482" w:firstLineChars="200"/>
        <w:rPr>
          <w:rFonts w:eastAsiaTheme="minorEastAsia"/>
          <w:b/>
          <w:bCs/>
          <w:sz w:val="24"/>
        </w:rPr>
      </w:pPr>
      <w:r>
        <w:rPr>
          <w:rFonts w:eastAsiaTheme="minorEastAsia"/>
          <w:b/>
          <w:bCs/>
          <w:sz w:val="24"/>
        </w:rPr>
        <w:t>3、危险废物处置方法</w:t>
      </w:r>
    </w:p>
    <w:p>
      <w:pPr>
        <w:pStyle w:val="13"/>
        <w:spacing w:line="360" w:lineRule="auto"/>
        <w:ind w:firstLine="480"/>
        <w:rPr>
          <w:rFonts w:ascii="Times New Roman" w:hAnsi="Times New Roman" w:eastAsiaTheme="minorEastAsia"/>
          <w:sz w:val="24"/>
        </w:rPr>
      </w:pPr>
      <w:r>
        <w:rPr>
          <w:rFonts w:ascii="Times New Roman" w:hAnsi="Times New Roman" w:eastAsiaTheme="minorEastAsia"/>
          <w:sz w:val="24"/>
        </w:rPr>
        <w:t>项目产生的废机油、废油桶属于危险废物，经统一收集后，分类暂存于危废暂存库。本项目废机油产生量为</w:t>
      </w:r>
      <w:r>
        <w:rPr>
          <w:rFonts w:hint="eastAsia" w:ascii="Times New Roman" w:hAnsi="Times New Roman" w:eastAsiaTheme="minorEastAsia"/>
          <w:sz w:val="24"/>
        </w:rPr>
        <w:t>1</w:t>
      </w:r>
      <w:r>
        <w:rPr>
          <w:rFonts w:ascii="Times New Roman" w:hAnsi="Times New Roman" w:eastAsiaTheme="minorEastAsia"/>
          <w:sz w:val="24"/>
        </w:rPr>
        <w:t>5t/a。</w:t>
      </w:r>
    </w:p>
    <w:p>
      <w:pPr>
        <w:pStyle w:val="13"/>
        <w:spacing w:line="360" w:lineRule="auto"/>
        <w:ind w:firstLine="480"/>
        <w:rPr>
          <w:rFonts w:ascii="Times New Roman" w:hAnsi="Times New Roman" w:eastAsiaTheme="minorEastAsia"/>
          <w:sz w:val="24"/>
        </w:rPr>
      </w:pPr>
      <w:r>
        <w:rPr>
          <w:rFonts w:ascii="Times New Roman" w:hAnsi="Times New Roman" w:eastAsiaTheme="minorEastAsia"/>
          <w:sz w:val="24"/>
        </w:rPr>
        <w:t>本项目危险废物暂存库，设有防漏围堰和收集装置，配备完好的消防器材，设置有环保标志牌、警示标志，具备防泄漏和防渗能力，符合相关标准要求。对危险废物进行安全分类、分区、分隔断贮存，根据贮存情况，委托资质单位对暂存库的危险废物进行安全处置。</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70" w:name="_Toc71551946"/>
      <w:r>
        <w:rPr>
          <w:rFonts w:ascii="Times New Roman" w:hAnsi="Times New Roman" w:eastAsiaTheme="minorEastAsia"/>
          <w:kern w:val="44"/>
          <w:sz w:val="30"/>
          <w:szCs w:val="30"/>
        </w:rPr>
        <w:t>5.7土壤环境影响分析</w:t>
      </w:r>
      <w:bookmarkEnd w:id="270"/>
    </w:p>
    <w:p>
      <w:pPr>
        <w:pStyle w:val="4"/>
        <w:spacing w:before="0" w:after="0" w:line="360" w:lineRule="auto"/>
        <w:rPr>
          <w:rFonts w:eastAsiaTheme="minorEastAsia"/>
          <w:sz w:val="24"/>
          <w:szCs w:val="24"/>
        </w:rPr>
      </w:pPr>
      <w:r>
        <w:rPr>
          <w:rFonts w:eastAsiaTheme="minorEastAsia"/>
          <w:sz w:val="24"/>
          <w:szCs w:val="24"/>
        </w:rPr>
        <w:t>5.7.1评价等级和评价范围</w:t>
      </w:r>
    </w:p>
    <w:p>
      <w:pPr>
        <w:pStyle w:val="128"/>
        <w:adjustRightInd/>
        <w:spacing w:line="360" w:lineRule="auto"/>
        <w:ind w:firstLine="480"/>
        <w:contextualSpacing w:val="0"/>
        <w:rPr>
          <w:rFonts w:ascii="Times New Roman" w:hAnsi="Times New Roman" w:cs="Times New Roman"/>
        </w:rPr>
      </w:pPr>
      <w:r>
        <w:rPr>
          <w:rFonts w:ascii="Times New Roman" w:hAnsi="Times New Roman" w:cs="Times New Roman"/>
        </w:rPr>
        <w:t>根据《环境影响评价技术导则-土壤环境（试行）》（HJ</w:t>
      </w:r>
      <w:r>
        <w:rPr>
          <w:rFonts w:hint="eastAsia" w:ascii="Times New Roman" w:hAnsi="Times New Roman" w:cs="Times New Roman"/>
        </w:rPr>
        <w:t xml:space="preserve"> </w:t>
      </w:r>
      <w:r>
        <w:rPr>
          <w:rFonts w:ascii="Times New Roman" w:hAnsi="Times New Roman" w:cs="Times New Roman"/>
        </w:rPr>
        <w:t>964-2018），本项目对土壤环境属于</w:t>
      </w:r>
      <w:r>
        <w:rPr>
          <w:rFonts w:hint="eastAsia" w:ascii="Times New Roman" w:hAnsi="Times New Roman" w:cs="Times New Roman"/>
        </w:rPr>
        <w:t>生态影响型和</w:t>
      </w:r>
      <w:r>
        <w:rPr>
          <w:rFonts w:ascii="Times New Roman" w:hAnsi="Times New Roman" w:cs="Times New Roman"/>
        </w:rPr>
        <w:t>污染</w:t>
      </w:r>
      <w:r>
        <w:rPr>
          <w:rFonts w:hint="eastAsia" w:ascii="Times New Roman" w:hAnsi="Times New Roman" w:cs="Times New Roman"/>
        </w:rPr>
        <w:t>影响</w:t>
      </w:r>
      <w:r>
        <w:rPr>
          <w:rFonts w:ascii="Times New Roman" w:hAnsi="Times New Roman" w:cs="Times New Roman"/>
        </w:rPr>
        <w:t>型</w:t>
      </w:r>
      <w:r>
        <w:rPr>
          <w:rFonts w:hint="eastAsia" w:ascii="Times New Roman" w:hAnsi="Times New Roman" w:cs="Times New Roman"/>
        </w:rPr>
        <w:t>两种影响类型的</w:t>
      </w:r>
      <w:r>
        <w:rPr>
          <w:rFonts w:ascii="Times New Roman" w:hAnsi="Times New Roman" w:cs="Times New Roman"/>
        </w:rPr>
        <w:t>项目</w:t>
      </w:r>
      <w:r>
        <w:rPr>
          <w:rFonts w:hint="eastAsia" w:ascii="Times New Roman" w:hAnsi="Times New Roman" w:cs="Times New Roman"/>
        </w:rPr>
        <w:t>。</w:t>
      </w:r>
    </w:p>
    <w:p>
      <w:pPr>
        <w:pStyle w:val="128"/>
        <w:adjustRightInd/>
        <w:spacing w:line="360" w:lineRule="auto"/>
        <w:ind w:firstLine="482"/>
        <w:contextualSpacing w:val="0"/>
        <w:rPr>
          <w:rFonts w:ascii="Times New Roman" w:hAnsi="Times New Roman" w:cs="Times New Roman"/>
        </w:rPr>
      </w:pPr>
      <w:r>
        <w:rPr>
          <w:rFonts w:hint="eastAsia" w:ascii="Times New Roman" w:hAnsi="Times New Roman" w:cs="Times New Roman"/>
          <w:b/>
        </w:rPr>
        <w:t>污染影响型评价等级和评价范围的判定</w:t>
      </w:r>
      <w:r>
        <w:rPr>
          <w:rFonts w:hint="eastAsia" w:ascii="Times New Roman" w:hAnsi="Times New Roman" w:cs="Times New Roman"/>
        </w:rPr>
        <w:t>：</w:t>
      </w:r>
      <w:r>
        <w:rPr>
          <w:rFonts w:ascii="Times New Roman" w:hAnsi="Times New Roman" w:cs="Times New Roman"/>
        </w:rPr>
        <w:t>对照附录A“土壤环境影响评价项目分类”，本项目为“煤矿采选项目”，为</w:t>
      </w:r>
      <w:r>
        <w:rPr>
          <w:rFonts w:hint="eastAsia" w:ascii="宋体" w:hAnsi="宋体" w:eastAsia="宋体" w:cs="宋体"/>
        </w:rPr>
        <w:t>Ⅱ</w:t>
      </w:r>
      <w:r>
        <w:rPr>
          <w:rFonts w:ascii="Times New Roman" w:hAnsi="Times New Roman" w:cs="Times New Roman"/>
        </w:rPr>
        <w:t>类项目；项目占地</w:t>
      </w:r>
      <w:r>
        <w:rPr>
          <w:rFonts w:hint="eastAsia" w:ascii="Times New Roman" w:hAnsi="Times New Roman" w:cs="Times New Roman"/>
        </w:rPr>
        <w:t>5.4518</w:t>
      </w:r>
      <w:r>
        <w:rPr>
          <w:rFonts w:ascii="Times New Roman" w:hAnsi="Times New Roman" w:cs="Times New Roman"/>
        </w:rPr>
        <w:t>km</w:t>
      </w:r>
      <w:r>
        <w:rPr>
          <w:rFonts w:ascii="Times New Roman" w:hAnsi="Times New Roman" w:cs="Times New Roman"/>
          <w:vertAlign w:val="superscript"/>
        </w:rPr>
        <w:t>2</w:t>
      </w:r>
      <w:r>
        <w:rPr>
          <w:rFonts w:ascii="Times New Roman" w:hAnsi="Times New Roman" w:cs="Times New Roman"/>
        </w:rPr>
        <w:t>，属于</w:t>
      </w:r>
      <w:r>
        <w:rPr>
          <w:rFonts w:hint="eastAsia" w:ascii="Times New Roman" w:hAnsi="Times New Roman" w:cs="Times New Roman"/>
        </w:rPr>
        <w:t>中</w:t>
      </w:r>
      <w:r>
        <w:rPr>
          <w:rFonts w:ascii="Times New Roman" w:hAnsi="Times New Roman" w:cs="Times New Roman"/>
        </w:rPr>
        <w:t>型；</w:t>
      </w:r>
      <w:r>
        <w:rPr>
          <w:rFonts w:ascii="Times New Roman" w:hAnsi="Times New Roman" w:cs="Times New Roman"/>
          <w:bCs/>
          <w:spacing w:val="-4"/>
        </w:rPr>
        <w:t>井田周边存在耕地土壤环境敏感目标，</w:t>
      </w:r>
      <w:r>
        <w:rPr>
          <w:rFonts w:ascii="Times New Roman" w:hAnsi="Times New Roman" w:cs="Times New Roman"/>
        </w:rPr>
        <w:t>根据</w:t>
      </w:r>
      <w:r>
        <w:rPr>
          <w:rFonts w:hint="eastAsia" w:ascii="Times New Roman" w:hAnsi="Times New Roman" w:cs="Times New Roman"/>
        </w:rPr>
        <w:t>污染影响型</w:t>
      </w:r>
      <w:r>
        <w:rPr>
          <w:rFonts w:ascii="Times New Roman" w:hAnsi="Times New Roman" w:cs="Times New Roman"/>
        </w:rPr>
        <w:t>评价项目类别、占地规模与敏感程度划分评价工作等级，本项目</w:t>
      </w:r>
      <w:r>
        <w:rPr>
          <w:rFonts w:hint="eastAsia" w:ascii="Times New Roman" w:hAnsi="Times New Roman" w:cs="Times New Roman"/>
        </w:rPr>
        <w:t>污染</w:t>
      </w:r>
      <w:r>
        <w:rPr>
          <w:rFonts w:ascii="Times New Roman" w:hAnsi="Times New Roman" w:cs="Times New Roman"/>
        </w:rPr>
        <w:t>影响评价等级属于</w:t>
      </w:r>
      <w:r>
        <w:rPr>
          <w:rFonts w:hint="eastAsia" w:ascii="Times New Roman" w:hAnsi="Times New Roman" w:cs="Times New Roman"/>
        </w:rPr>
        <w:t>三</w:t>
      </w:r>
      <w:r>
        <w:rPr>
          <w:rFonts w:ascii="Times New Roman" w:hAnsi="Times New Roman" w:cs="Times New Roman"/>
        </w:rPr>
        <w:t>级，评价范围为项目所在区域以及区域外扩200m范围内。</w:t>
      </w:r>
    </w:p>
    <w:p>
      <w:pPr>
        <w:pStyle w:val="128"/>
        <w:adjustRightInd/>
        <w:spacing w:line="360" w:lineRule="auto"/>
        <w:ind w:firstLine="482"/>
        <w:contextualSpacing w:val="0"/>
        <w:rPr>
          <w:rFonts w:ascii="Times New Roman" w:hAnsi="Times New Roman" w:cs="Times New Roman"/>
        </w:rPr>
      </w:pPr>
      <w:r>
        <w:rPr>
          <w:rFonts w:hint="eastAsia" w:ascii="Times New Roman" w:hAnsi="Times New Roman" w:cs="Times New Roman"/>
          <w:b/>
        </w:rPr>
        <w:t>生态影响型评价等级和评价范围的判定</w:t>
      </w:r>
      <w:r>
        <w:rPr>
          <w:rFonts w:hint="eastAsia" w:ascii="Times New Roman" w:hAnsi="Times New Roman" w:cs="Times New Roman"/>
        </w:rPr>
        <w:t>：</w:t>
      </w:r>
      <w:r>
        <w:rPr>
          <w:rFonts w:ascii="Times New Roman" w:hAnsi="Times New Roman" w:cs="Times New Roman"/>
        </w:rPr>
        <w:t>对照附录A“土壤环境影响评价项目分类”，本项目为“煤矿采选项目”，为</w:t>
      </w:r>
      <w:r>
        <w:rPr>
          <w:rFonts w:hint="eastAsia" w:ascii="宋体" w:hAnsi="宋体" w:eastAsia="宋体" w:cs="宋体"/>
        </w:rPr>
        <w:t>Ⅱ</w:t>
      </w:r>
      <w:r>
        <w:rPr>
          <w:rFonts w:ascii="Times New Roman" w:hAnsi="Times New Roman" w:cs="Times New Roman"/>
        </w:rPr>
        <w:t>类项目；</w:t>
      </w:r>
      <w:r>
        <w:rPr>
          <w:rFonts w:hint="eastAsia" w:ascii="Times New Roman" w:hAnsi="Times New Roman" w:cs="Times New Roman"/>
        </w:rPr>
        <w:t>土壤含盐量≤2 g/kg</w:t>
      </w:r>
      <w:r>
        <w:rPr>
          <w:rFonts w:ascii="Times New Roman" w:hAnsi="Times New Roman" w:cs="Times New Roman"/>
        </w:rPr>
        <w:t>；</w:t>
      </w:r>
      <w:r>
        <w:rPr>
          <w:rFonts w:hint="eastAsia" w:ascii="Times New Roman" w:hAnsi="Times New Roman" w:cs="Times New Roman"/>
        </w:rPr>
        <w:t>5.5</w:t>
      </w:r>
      <w:r>
        <w:rPr>
          <w:rFonts w:hint="eastAsia" w:ascii="Times New Roman" w:hAnsi="Times New Roman" w:cs="Times New Roman"/>
          <w:bCs/>
          <w:spacing w:val="-4"/>
        </w:rPr>
        <w:t>≤pH</w:t>
      </w:r>
      <w:r>
        <w:rPr>
          <w:rFonts w:hint="eastAsia" w:ascii="Times New Roman" w:hAnsi="Times New Roman" w:cs="Times New Roman"/>
        </w:rPr>
        <w:t>&lt;8.5</w:t>
      </w:r>
      <w:r>
        <w:rPr>
          <w:rFonts w:ascii="Times New Roman" w:hAnsi="Times New Roman" w:cs="Times New Roman"/>
          <w:bCs/>
          <w:spacing w:val="-4"/>
        </w:rPr>
        <w:t>，</w:t>
      </w:r>
      <w:r>
        <w:rPr>
          <w:rFonts w:ascii="Times New Roman" w:hAnsi="Times New Roman" w:cs="Times New Roman"/>
        </w:rPr>
        <w:t>根据</w:t>
      </w:r>
      <w:r>
        <w:rPr>
          <w:rFonts w:hint="eastAsia" w:ascii="Times New Roman" w:hAnsi="Times New Roman" w:cs="Times New Roman"/>
        </w:rPr>
        <w:t>生态影响型</w:t>
      </w:r>
      <w:r>
        <w:rPr>
          <w:rFonts w:ascii="Times New Roman" w:hAnsi="Times New Roman" w:cs="Times New Roman"/>
        </w:rPr>
        <w:t>评价项目类别</w:t>
      </w:r>
      <w:r>
        <w:rPr>
          <w:rFonts w:hint="eastAsia" w:ascii="Times New Roman" w:hAnsi="Times New Roman" w:cs="Times New Roman"/>
        </w:rPr>
        <w:t>和</w:t>
      </w:r>
      <w:r>
        <w:rPr>
          <w:rFonts w:ascii="Times New Roman" w:hAnsi="Times New Roman" w:cs="Times New Roman"/>
        </w:rPr>
        <w:t>敏感程度划分评价工作等级，本项目</w:t>
      </w:r>
      <w:r>
        <w:rPr>
          <w:rFonts w:hint="eastAsia" w:ascii="Times New Roman" w:hAnsi="Times New Roman" w:cs="Times New Roman"/>
        </w:rPr>
        <w:t>生态</w:t>
      </w:r>
      <w:r>
        <w:rPr>
          <w:rFonts w:ascii="Times New Roman" w:hAnsi="Times New Roman" w:cs="Times New Roman"/>
        </w:rPr>
        <w:t>影响评价等级属于</w:t>
      </w:r>
      <w:r>
        <w:rPr>
          <w:rFonts w:hint="eastAsia" w:ascii="Times New Roman" w:hAnsi="Times New Roman" w:cs="Times New Roman"/>
        </w:rPr>
        <w:t>三</w:t>
      </w:r>
      <w:r>
        <w:rPr>
          <w:rFonts w:ascii="Times New Roman" w:hAnsi="Times New Roman" w:cs="Times New Roman"/>
        </w:rPr>
        <w:t>级，评价范围为项目所在区域以及区域外扩</w:t>
      </w:r>
      <w:r>
        <w:rPr>
          <w:rFonts w:hint="eastAsia" w:ascii="Times New Roman" w:hAnsi="Times New Roman" w:cs="Times New Roman"/>
        </w:rPr>
        <w:t>1</w:t>
      </w:r>
      <w:r>
        <w:rPr>
          <w:rFonts w:ascii="Times New Roman" w:hAnsi="Times New Roman" w:cs="Times New Roman"/>
        </w:rPr>
        <w:t>00</w:t>
      </w:r>
      <w:r>
        <w:rPr>
          <w:rFonts w:hint="eastAsia" w:ascii="Times New Roman" w:hAnsi="Times New Roman" w:cs="Times New Roman"/>
        </w:rPr>
        <w:t>0</w:t>
      </w:r>
      <w:r>
        <w:rPr>
          <w:rFonts w:ascii="Times New Roman" w:hAnsi="Times New Roman" w:cs="Times New Roman"/>
        </w:rPr>
        <w:t>m范围内。</w:t>
      </w:r>
    </w:p>
    <w:p>
      <w:pPr>
        <w:pStyle w:val="4"/>
        <w:spacing w:before="0" w:after="0" w:line="360" w:lineRule="auto"/>
        <w:rPr>
          <w:rFonts w:eastAsiaTheme="minorEastAsia"/>
          <w:sz w:val="24"/>
          <w:szCs w:val="24"/>
        </w:rPr>
      </w:pPr>
      <w:r>
        <w:rPr>
          <w:rFonts w:eastAsiaTheme="minorEastAsia"/>
          <w:sz w:val="24"/>
          <w:szCs w:val="24"/>
        </w:rPr>
        <w:t>5.7.</w:t>
      </w:r>
      <w:r>
        <w:rPr>
          <w:rFonts w:hint="eastAsia" w:eastAsiaTheme="minorEastAsia"/>
          <w:sz w:val="24"/>
          <w:szCs w:val="24"/>
        </w:rPr>
        <w:t>3土壤环境影响分析</w:t>
      </w:r>
    </w:p>
    <w:p>
      <w:pPr>
        <w:spacing w:line="360" w:lineRule="auto"/>
        <w:outlineLvl w:val="3"/>
        <w:rPr>
          <w:rFonts w:eastAsiaTheme="minorEastAsia"/>
          <w:b/>
          <w:sz w:val="24"/>
        </w:rPr>
      </w:pPr>
      <w:r>
        <w:rPr>
          <w:rFonts w:eastAsiaTheme="minorEastAsia"/>
          <w:b/>
          <w:sz w:val="24"/>
        </w:rPr>
        <w:t>5.7.</w:t>
      </w:r>
      <w:r>
        <w:rPr>
          <w:rFonts w:hint="eastAsia" w:eastAsiaTheme="minorEastAsia"/>
          <w:b/>
          <w:sz w:val="24"/>
        </w:rPr>
        <w:t>3.1</w:t>
      </w:r>
      <w:r>
        <w:rPr>
          <w:rFonts w:eastAsiaTheme="minorEastAsia"/>
          <w:b/>
          <w:sz w:val="24"/>
        </w:rPr>
        <w:t>土壤污染途径分析</w:t>
      </w:r>
    </w:p>
    <w:p>
      <w:pPr>
        <w:spacing w:line="360" w:lineRule="auto"/>
        <w:ind w:firstLine="480" w:firstLineChars="200"/>
        <w:rPr>
          <w:rFonts w:eastAsiaTheme="minorEastAsia"/>
          <w:sz w:val="24"/>
        </w:rPr>
      </w:pPr>
      <w:r>
        <w:rPr>
          <w:rFonts w:eastAsiaTheme="minorEastAsia"/>
          <w:sz w:val="24"/>
        </w:rPr>
        <w:t>本项目为</w:t>
      </w:r>
      <w:r>
        <w:rPr>
          <w:rFonts w:hint="eastAsia" w:eastAsiaTheme="minorEastAsia"/>
          <w:sz w:val="24"/>
        </w:rPr>
        <w:t>生态</w:t>
      </w:r>
      <w:r>
        <w:rPr>
          <w:rFonts w:eastAsiaTheme="minorEastAsia"/>
          <w:sz w:val="24"/>
        </w:rPr>
        <w:t>土壤环境影响重点分析运营期对项目周边区域土壤环境的影响。本项目存在污染的场地主要有主工业广场内储煤场、筛分车间、矿井水处理站、油脂库和各风井场地生活污水处理站等。土壤污染途径主要为有组织废气和无组织污染物通过降水、扩散和重力作用降落至地面，渗透入土壤产生影响；废水外排入河流后，再作为农业灌溉用水，土壤受到污染；固体废弃物在堆存、掩埋过程中产生的渗滤液进入到土壤，也会导致土质和土壤结构的改造，危害土壤环境</w:t>
      </w:r>
      <w:r>
        <w:rPr>
          <w:rFonts w:hint="eastAsia" w:eastAsiaTheme="minorEastAsia"/>
          <w:sz w:val="24"/>
        </w:rPr>
        <w:t>，导致土壤盐化、酸化和碱化。</w:t>
      </w:r>
    </w:p>
    <w:p>
      <w:pPr>
        <w:spacing w:line="360" w:lineRule="auto"/>
        <w:outlineLvl w:val="3"/>
        <w:rPr>
          <w:rFonts w:eastAsiaTheme="minorEastAsia"/>
          <w:b/>
          <w:sz w:val="24"/>
        </w:rPr>
      </w:pPr>
      <w:r>
        <w:rPr>
          <w:rFonts w:eastAsiaTheme="minorEastAsia"/>
          <w:b/>
          <w:sz w:val="24"/>
        </w:rPr>
        <w:t>5.7.</w:t>
      </w:r>
      <w:r>
        <w:rPr>
          <w:rFonts w:hint="eastAsia" w:eastAsiaTheme="minorEastAsia"/>
          <w:b/>
          <w:sz w:val="24"/>
        </w:rPr>
        <w:t>3.2土壤环境影响分析</w:t>
      </w:r>
    </w:p>
    <w:p>
      <w:pPr>
        <w:spacing w:line="360" w:lineRule="auto"/>
        <w:ind w:firstLine="480" w:firstLineChars="200"/>
        <w:rPr>
          <w:rFonts w:eastAsiaTheme="minorEastAsia"/>
          <w:sz w:val="24"/>
        </w:rPr>
      </w:pPr>
      <w:r>
        <w:rPr>
          <w:rFonts w:hint="eastAsia" w:eastAsiaTheme="minorEastAsia"/>
          <w:sz w:val="24"/>
        </w:rPr>
        <w:t>本次生态影响土壤评价工作等级为三级，采用类比分析方法进行预测。本次类比选取整合前矿区4号煤层的监测结果进行类比。</w:t>
      </w:r>
      <w:r>
        <w:rPr>
          <w:rFonts w:hint="eastAsia" w:hAnsiTheme="minorEastAsia" w:eastAsiaTheme="minorEastAsia"/>
          <w:sz w:val="24"/>
        </w:rPr>
        <w:t>山西明朗检测科技有限公司</w:t>
      </w:r>
      <w:r>
        <w:rPr>
          <w:rFonts w:hAnsiTheme="minorEastAsia" w:eastAsiaTheme="minorEastAsia"/>
          <w:sz w:val="24"/>
        </w:rPr>
        <w:t>于</w:t>
      </w:r>
      <w:r>
        <w:rPr>
          <w:rFonts w:eastAsiaTheme="minorEastAsia"/>
          <w:sz w:val="24"/>
        </w:rPr>
        <w:t>20</w:t>
      </w:r>
      <w:r>
        <w:rPr>
          <w:rFonts w:hint="eastAsia" w:eastAsiaTheme="minorEastAsia"/>
          <w:sz w:val="24"/>
        </w:rPr>
        <w:t>21</w:t>
      </w:r>
      <w:r>
        <w:rPr>
          <w:rFonts w:hAnsiTheme="minorEastAsia" w:eastAsiaTheme="minorEastAsia"/>
          <w:sz w:val="24"/>
        </w:rPr>
        <w:t>年</w:t>
      </w:r>
      <w:r>
        <w:rPr>
          <w:rFonts w:hint="eastAsia" w:eastAsiaTheme="minorEastAsia"/>
          <w:sz w:val="24"/>
        </w:rPr>
        <w:t>3</w:t>
      </w:r>
      <w:r>
        <w:rPr>
          <w:rFonts w:hAnsiTheme="minorEastAsia" w:eastAsiaTheme="minorEastAsia"/>
          <w:sz w:val="24"/>
        </w:rPr>
        <w:t>月</w:t>
      </w:r>
      <w:r>
        <w:rPr>
          <w:rFonts w:hint="eastAsia" w:eastAsiaTheme="minorEastAsia"/>
          <w:sz w:val="24"/>
        </w:rPr>
        <w:t>23</w:t>
      </w:r>
      <w:r>
        <w:rPr>
          <w:rFonts w:hAnsiTheme="minorEastAsia" w:eastAsiaTheme="minorEastAsia"/>
          <w:sz w:val="24"/>
        </w:rPr>
        <w:t>日对项目区的土壤进行了现状监测</w:t>
      </w:r>
      <w:r>
        <w:rPr>
          <w:rFonts w:hint="eastAsia" w:hAnsiTheme="minorEastAsia" w:eastAsiaTheme="minorEastAsia"/>
          <w:sz w:val="24"/>
        </w:rPr>
        <w:t>，</w:t>
      </w:r>
      <w:r>
        <w:rPr>
          <w:rFonts w:hint="eastAsia" w:eastAsiaTheme="minorEastAsia"/>
          <w:sz w:val="24"/>
        </w:rPr>
        <w:t>根据监测结果，本项目位于半干旱地区，且井田范围内及周边土壤含盐量SCG为0.84~1.85g/kg，根据导则附录D.1土壤盐化分级标准可知，项目周边地区土壤盐化程度为轻度盐化区；土壤pH为7.03~8.46，根据导则附录D.2土壤酸化、碱化分级标准可知，本项目周边土壤无酸化或碱化现象。故本项目运行不会造成土壤的酸化、碱化和盐化，对周边土壤影响很小。</w:t>
      </w:r>
    </w:p>
    <w:p>
      <w:pPr>
        <w:pStyle w:val="4"/>
        <w:spacing w:before="0" w:after="0" w:line="360" w:lineRule="auto"/>
        <w:rPr>
          <w:rFonts w:eastAsiaTheme="minorEastAsia"/>
          <w:sz w:val="24"/>
          <w:szCs w:val="24"/>
        </w:rPr>
      </w:pPr>
      <w:r>
        <w:rPr>
          <w:rFonts w:eastAsiaTheme="minorEastAsia"/>
          <w:sz w:val="24"/>
          <w:szCs w:val="24"/>
        </w:rPr>
        <w:t>5.7.</w:t>
      </w:r>
      <w:r>
        <w:rPr>
          <w:rFonts w:hint="eastAsia" w:eastAsiaTheme="minorEastAsia"/>
          <w:sz w:val="24"/>
          <w:szCs w:val="24"/>
        </w:rPr>
        <w:t>4</w:t>
      </w:r>
      <w:r>
        <w:rPr>
          <w:rFonts w:eastAsiaTheme="minorEastAsia"/>
          <w:sz w:val="24"/>
          <w:szCs w:val="24"/>
        </w:rPr>
        <w:t>保护措施与对策</w:t>
      </w:r>
    </w:p>
    <w:p>
      <w:pPr>
        <w:pStyle w:val="10"/>
        <w:kinsoku w:val="0"/>
        <w:overflowPunct w:val="0"/>
        <w:spacing w:after="0" w:line="360" w:lineRule="auto"/>
        <w:ind w:firstLine="480" w:firstLineChars="200"/>
        <w:rPr>
          <w:rFonts w:eastAsiaTheme="minorEastAsia"/>
          <w:sz w:val="24"/>
        </w:rPr>
      </w:pPr>
      <w:bookmarkStart w:id="271" w:name="5.7.4评价结论"/>
      <w:bookmarkEnd w:id="271"/>
      <w:bookmarkStart w:id="272" w:name="bookmark1"/>
      <w:bookmarkEnd w:id="272"/>
      <w:bookmarkStart w:id="273" w:name="5.7.3保护措施与对策"/>
      <w:bookmarkEnd w:id="273"/>
      <w:r>
        <w:rPr>
          <w:rFonts w:eastAsiaTheme="minorEastAsia"/>
          <w:sz w:val="24"/>
        </w:rPr>
        <w:t>（1）源头控制</w:t>
      </w:r>
    </w:p>
    <w:p>
      <w:pPr>
        <w:pStyle w:val="10"/>
        <w:kinsoku w:val="0"/>
        <w:overflowPunct w:val="0"/>
        <w:spacing w:after="0" w:line="360" w:lineRule="auto"/>
        <w:ind w:firstLine="480" w:firstLineChars="200"/>
        <w:rPr>
          <w:rFonts w:eastAsiaTheme="minorEastAsia"/>
          <w:sz w:val="24"/>
        </w:rPr>
      </w:pPr>
      <w:r>
        <w:rPr>
          <w:rFonts w:eastAsiaTheme="minorEastAsia"/>
          <w:sz w:val="24"/>
        </w:rPr>
        <w:t>从污染物源头控制排放</w:t>
      </w:r>
      <w:r>
        <w:rPr>
          <w:rFonts w:eastAsiaTheme="minorEastAsia"/>
          <w:spacing w:val="-8"/>
          <w:sz w:val="24"/>
        </w:rPr>
        <w:t>，</w:t>
      </w:r>
      <w:r>
        <w:rPr>
          <w:rFonts w:eastAsiaTheme="minorEastAsia"/>
          <w:sz w:val="24"/>
        </w:rPr>
        <w:t>采用经济可行且效率高的大气污染防治措施</w:t>
      </w:r>
      <w:r>
        <w:rPr>
          <w:rFonts w:eastAsiaTheme="minorEastAsia"/>
          <w:spacing w:val="-5"/>
          <w:sz w:val="24"/>
        </w:rPr>
        <w:t>，</w:t>
      </w:r>
      <w:r>
        <w:rPr>
          <w:rFonts w:eastAsiaTheme="minorEastAsia"/>
          <w:sz w:val="24"/>
        </w:rPr>
        <w:t>确保设施政策运行，故障后立刻停工整修。</w:t>
      </w:r>
    </w:p>
    <w:p>
      <w:pPr>
        <w:pStyle w:val="10"/>
        <w:kinsoku w:val="0"/>
        <w:overflowPunct w:val="0"/>
        <w:spacing w:after="0" w:line="360" w:lineRule="auto"/>
        <w:ind w:firstLine="480" w:firstLineChars="200"/>
        <w:rPr>
          <w:rFonts w:eastAsiaTheme="minorEastAsia"/>
          <w:sz w:val="24"/>
        </w:rPr>
      </w:pPr>
      <w:r>
        <w:rPr>
          <w:rFonts w:hint="eastAsia" w:eastAsiaTheme="minorEastAsia"/>
          <w:sz w:val="24"/>
        </w:rPr>
        <w:t>加强工业场地及周边环境的绿化。</w:t>
      </w:r>
    </w:p>
    <w:p>
      <w:pPr>
        <w:pStyle w:val="10"/>
        <w:kinsoku w:val="0"/>
        <w:overflowPunct w:val="0"/>
        <w:spacing w:after="0" w:line="360" w:lineRule="auto"/>
        <w:ind w:firstLine="480" w:firstLineChars="200"/>
        <w:rPr>
          <w:rFonts w:eastAsiaTheme="minorEastAsia"/>
          <w:sz w:val="24"/>
        </w:rPr>
      </w:pPr>
      <w:r>
        <w:rPr>
          <w:rFonts w:eastAsiaTheme="minorEastAsia"/>
          <w:sz w:val="24"/>
        </w:rPr>
        <w:t>（2）过程防控措施</w:t>
      </w:r>
    </w:p>
    <w:p>
      <w:pPr>
        <w:pStyle w:val="10"/>
        <w:kinsoku w:val="0"/>
        <w:overflowPunct w:val="0"/>
        <w:spacing w:after="0" w:line="360" w:lineRule="auto"/>
        <w:ind w:firstLine="480" w:firstLineChars="200"/>
        <w:rPr>
          <w:rFonts w:eastAsiaTheme="minorEastAsia"/>
          <w:sz w:val="24"/>
        </w:rPr>
      </w:pPr>
      <w:r>
        <w:rPr>
          <w:rFonts w:eastAsiaTheme="minorEastAsia"/>
          <w:sz w:val="24"/>
        </w:rPr>
        <w:t>在项目占地范围及厂界周围种植较强吸附能力的植物</w:t>
      </w:r>
      <w:r>
        <w:rPr>
          <w:rFonts w:eastAsiaTheme="minorEastAsia"/>
          <w:spacing w:val="-8"/>
          <w:sz w:val="24"/>
        </w:rPr>
        <w:t>，</w:t>
      </w:r>
      <w:r>
        <w:rPr>
          <w:rFonts w:eastAsiaTheme="minorEastAsia"/>
          <w:sz w:val="24"/>
        </w:rPr>
        <w:t>做好绿化工作</w:t>
      </w:r>
      <w:r>
        <w:rPr>
          <w:rFonts w:eastAsiaTheme="minorEastAsia"/>
          <w:spacing w:val="-5"/>
          <w:sz w:val="24"/>
        </w:rPr>
        <w:t>，</w:t>
      </w:r>
      <w:r>
        <w:rPr>
          <w:rFonts w:eastAsiaTheme="minorEastAsia"/>
          <w:sz w:val="24"/>
        </w:rPr>
        <w:t>利用植物吸附作用减少土壤环境影响</w:t>
      </w:r>
      <w:r>
        <w:rPr>
          <w:rFonts w:hint="eastAsia" w:eastAsiaTheme="minorEastAsia"/>
          <w:sz w:val="24"/>
        </w:rPr>
        <w:t>；井田范围内应采取排石排水或降低地下水位等措施，减轻土壤盐化程度。</w:t>
      </w:r>
    </w:p>
    <w:p>
      <w:pPr>
        <w:pStyle w:val="10"/>
        <w:kinsoku w:val="0"/>
        <w:overflowPunct w:val="0"/>
        <w:spacing w:after="0" w:line="360" w:lineRule="auto"/>
        <w:ind w:firstLine="480" w:firstLineChars="200"/>
        <w:rPr>
          <w:rFonts w:eastAsiaTheme="minorEastAsia"/>
          <w:sz w:val="24"/>
        </w:rPr>
      </w:pPr>
      <w:r>
        <w:rPr>
          <w:rFonts w:eastAsiaTheme="minorEastAsia"/>
          <w:sz w:val="24"/>
        </w:rPr>
        <w:t>（3）跟踪监测</w:t>
      </w:r>
    </w:p>
    <w:p>
      <w:pPr>
        <w:pStyle w:val="10"/>
        <w:kinsoku w:val="0"/>
        <w:overflowPunct w:val="0"/>
        <w:spacing w:after="0" w:line="360" w:lineRule="auto"/>
        <w:ind w:firstLine="476" w:firstLineChars="200"/>
        <w:jc w:val="left"/>
        <w:rPr>
          <w:rFonts w:eastAsiaTheme="minorEastAsia"/>
          <w:spacing w:val="-1"/>
          <w:sz w:val="24"/>
        </w:rPr>
      </w:pPr>
      <w:r>
        <w:rPr>
          <w:rFonts w:eastAsiaTheme="minorEastAsia"/>
          <w:spacing w:val="-1"/>
          <w:sz w:val="24"/>
        </w:rPr>
        <w:t>建立土壤环境监测管理体系，包括制定土壤环境影响跟踪监测计划、建立土壤环境影响跟踪监测制度、配备先进的监测仪器和设备，以便及时发现问题，采取措施。</w:t>
      </w:r>
    </w:p>
    <w:p>
      <w:pPr>
        <w:pStyle w:val="10"/>
        <w:kinsoku w:val="0"/>
        <w:overflowPunct w:val="0"/>
        <w:spacing w:after="0" w:line="360" w:lineRule="auto"/>
        <w:ind w:firstLine="476" w:firstLineChars="200"/>
        <w:jc w:val="left"/>
        <w:rPr>
          <w:rFonts w:eastAsiaTheme="minorEastAsia"/>
          <w:spacing w:val="-1"/>
          <w:sz w:val="24"/>
        </w:rPr>
      </w:pPr>
      <w:r>
        <w:rPr>
          <w:rFonts w:eastAsiaTheme="minorEastAsia"/>
          <w:spacing w:val="-1"/>
          <w:sz w:val="24"/>
        </w:rPr>
        <w:t>土壤环境跟踪监测遵循重点污染防治区加密监测、以重点影响区和土壤环境敏感</w:t>
      </w:r>
      <w:r>
        <w:rPr>
          <w:rFonts w:eastAsiaTheme="minorEastAsia"/>
          <w:sz w:val="24"/>
        </w:rPr>
        <w:t>目标监测为主</w:t>
      </w:r>
      <w:r>
        <w:rPr>
          <w:rFonts w:eastAsiaTheme="minorEastAsia"/>
          <w:spacing w:val="-8"/>
          <w:sz w:val="24"/>
        </w:rPr>
        <w:t>、</w:t>
      </w:r>
      <w:r>
        <w:rPr>
          <w:rFonts w:eastAsiaTheme="minorEastAsia"/>
          <w:sz w:val="24"/>
        </w:rPr>
        <w:t>兼顾场区边界的原则</w:t>
      </w:r>
      <w:r>
        <w:rPr>
          <w:rFonts w:eastAsiaTheme="minorEastAsia"/>
          <w:spacing w:val="-5"/>
          <w:sz w:val="24"/>
        </w:rPr>
        <w:t>。</w:t>
      </w:r>
      <w:r>
        <w:rPr>
          <w:rFonts w:eastAsiaTheme="minorEastAsia"/>
          <w:sz w:val="24"/>
        </w:rPr>
        <w:t xml:space="preserve">建议充分利用项目前期场地勘察等工作过程建立的监测点进行跟踪监测。土壤监测项目参照《土壤环境质量标准 </w:t>
      </w:r>
      <w:r>
        <w:rPr>
          <w:rFonts w:hint="eastAsia" w:eastAsiaTheme="minorEastAsia"/>
          <w:sz w:val="24"/>
        </w:rPr>
        <w:t>农</w:t>
      </w:r>
      <w:r>
        <w:rPr>
          <w:rFonts w:eastAsiaTheme="minorEastAsia"/>
          <w:sz w:val="24"/>
        </w:rPr>
        <w:t>用地土壤污染风险管控标</w:t>
      </w:r>
      <w:r>
        <w:rPr>
          <w:rFonts w:eastAsiaTheme="minorEastAsia"/>
          <w:spacing w:val="-15"/>
          <w:sz w:val="24"/>
        </w:rPr>
        <w:t>准</w:t>
      </w:r>
      <w:r>
        <w:rPr>
          <w:rFonts w:eastAsiaTheme="minorEastAsia"/>
          <w:sz w:val="24"/>
        </w:rPr>
        <w:t>（试行</w:t>
      </w:r>
      <w:r>
        <w:rPr>
          <w:rFonts w:eastAsiaTheme="minorEastAsia"/>
          <w:spacing w:val="-12"/>
          <w:sz w:val="24"/>
        </w:rPr>
        <w:t>）</w:t>
      </w:r>
      <w:r>
        <w:rPr>
          <w:rFonts w:eastAsiaTheme="minorEastAsia"/>
          <w:spacing w:val="-27"/>
          <w:sz w:val="24"/>
        </w:rPr>
        <w:t>》</w:t>
      </w:r>
      <w:r>
        <w:rPr>
          <w:rFonts w:hAnsiTheme="minorEastAsia" w:eastAsiaTheme="minorEastAsia"/>
          <w:sz w:val="24"/>
        </w:rPr>
        <w:t>（</w:t>
      </w:r>
      <w:r>
        <w:rPr>
          <w:rFonts w:eastAsiaTheme="minorEastAsia"/>
          <w:sz w:val="24"/>
        </w:rPr>
        <w:t>GB15618-2018）相关要求和潜在污染源特征污染因子确定</w:t>
      </w:r>
      <w:r>
        <w:rPr>
          <w:rFonts w:eastAsiaTheme="minorEastAsia"/>
          <w:spacing w:val="-68"/>
          <w:sz w:val="24"/>
        </w:rPr>
        <w:t>，</w:t>
      </w:r>
      <w:r>
        <w:rPr>
          <w:rFonts w:eastAsiaTheme="minorEastAsia"/>
          <w:sz w:val="24"/>
        </w:rPr>
        <w:t>由专人负责监测或者委托专业的机构监测分析</w:t>
      </w:r>
      <w:r>
        <w:rPr>
          <w:rFonts w:eastAsiaTheme="minorEastAsia"/>
          <w:spacing w:val="-65"/>
          <w:sz w:val="24"/>
        </w:rPr>
        <w:t>。</w:t>
      </w:r>
      <w:r>
        <w:rPr>
          <w:rFonts w:eastAsiaTheme="minorEastAsia"/>
          <w:sz w:val="24"/>
        </w:rPr>
        <w:t>建设单位监测计划应向社会公开。评价提出的本项目土壤环境监测计划见表5.7-</w:t>
      </w:r>
      <w:r>
        <w:rPr>
          <w:rFonts w:hint="eastAsia" w:eastAsiaTheme="minorEastAsia"/>
          <w:sz w:val="24"/>
        </w:rPr>
        <w:t>3</w:t>
      </w:r>
      <w:r>
        <w:rPr>
          <w:rFonts w:eastAsiaTheme="minorEastAsia"/>
          <w:sz w:val="24"/>
        </w:rPr>
        <w:t>。</w:t>
      </w:r>
    </w:p>
    <w:p>
      <w:pPr>
        <w:spacing w:line="360" w:lineRule="auto"/>
        <w:jc w:val="center"/>
        <w:rPr>
          <w:rFonts w:eastAsiaTheme="minorEastAsia"/>
          <w:b/>
        </w:rPr>
      </w:pPr>
      <w:r>
        <w:rPr>
          <w:rFonts w:eastAsiaTheme="minorEastAsia"/>
          <w:b/>
        </w:rPr>
        <w:t>表5.7-</w:t>
      </w:r>
      <w:r>
        <w:rPr>
          <w:rFonts w:hint="eastAsia" w:eastAsiaTheme="minorEastAsia"/>
          <w:b/>
        </w:rPr>
        <w:t>3</w:t>
      </w:r>
      <w:r>
        <w:rPr>
          <w:rFonts w:eastAsiaTheme="minorEastAsia"/>
          <w:b/>
        </w:rPr>
        <w:t xml:space="preserve"> 土壤跟踪监测计划</w:t>
      </w:r>
    </w:p>
    <w:tbl>
      <w:tblPr>
        <w:tblStyle w:val="24"/>
        <w:tblW w:w="499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85"/>
        <w:gridCol w:w="2048"/>
        <w:gridCol w:w="2317"/>
        <w:gridCol w:w="23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395" w:type="pct"/>
            <w:vAlign w:val="center"/>
          </w:tcPr>
          <w:p>
            <w:pPr>
              <w:pStyle w:val="99"/>
              <w:adjustRightInd/>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监测点位</w:t>
            </w:r>
          </w:p>
        </w:tc>
        <w:tc>
          <w:tcPr>
            <w:tcW w:w="1105" w:type="pct"/>
            <w:vAlign w:val="center"/>
          </w:tcPr>
          <w:p>
            <w:pPr>
              <w:pStyle w:val="99"/>
              <w:adjustRightInd/>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监测层位</w:t>
            </w:r>
          </w:p>
        </w:tc>
        <w:tc>
          <w:tcPr>
            <w:tcW w:w="1250" w:type="pct"/>
            <w:vAlign w:val="center"/>
          </w:tcPr>
          <w:p>
            <w:pPr>
              <w:pStyle w:val="99"/>
              <w:adjustRightInd/>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监测项目</w:t>
            </w:r>
          </w:p>
        </w:tc>
        <w:tc>
          <w:tcPr>
            <w:tcW w:w="1250" w:type="pct"/>
            <w:vAlign w:val="center"/>
          </w:tcPr>
          <w:p>
            <w:pPr>
              <w:pStyle w:val="99"/>
              <w:adjustRightInd/>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trPr>
        <w:tc>
          <w:tcPr>
            <w:tcW w:w="1395" w:type="pct"/>
            <w:vAlign w:val="center"/>
          </w:tcPr>
          <w:p>
            <w:pPr>
              <w:pStyle w:val="99"/>
              <w:adjustRightInd/>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工业场地外200m范围内</w:t>
            </w:r>
          </w:p>
        </w:tc>
        <w:tc>
          <w:tcPr>
            <w:tcW w:w="1105" w:type="pct"/>
            <w:vAlign w:val="center"/>
          </w:tcPr>
          <w:p>
            <w:pPr>
              <w:pStyle w:val="99"/>
              <w:adjustRightInd/>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表层样</w:t>
            </w:r>
          </w:p>
        </w:tc>
        <w:tc>
          <w:tcPr>
            <w:tcW w:w="1250" w:type="pct"/>
            <w:vAlign w:val="center"/>
          </w:tcPr>
          <w:p>
            <w:pPr>
              <w:pStyle w:val="99"/>
              <w:adjustRightInd/>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砷</w:t>
            </w:r>
          </w:p>
        </w:tc>
        <w:tc>
          <w:tcPr>
            <w:tcW w:w="1250" w:type="pct"/>
            <w:vAlign w:val="center"/>
          </w:tcPr>
          <w:p>
            <w:pPr>
              <w:pStyle w:val="99"/>
              <w:adjustRightInd/>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1次/5年</w:t>
            </w:r>
          </w:p>
        </w:tc>
      </w:tr>
    </w:tbl>
    <w:p>
      <w:pPr>
        <w:pStyle w:val="4"/>
        <w:spacing w:before="120" w:after="120" w:line="480" w:lineRule="exact"/>
        <w:jc w:val="left"/>
        <w:rPr>
          <w:rFonts w:eastAsiaTheme="minorEastAsia"/>
          <w:sz w:val="24"/>
          <w:szCs w:val="20"/>
        </w:rPr>
      </w:pPr>
      <w:r>
        <w:rPr>
          <w:rFonts w:eastAsiaTheme="minorEastAsia"/>
          <w:sz w:val="24"/>
          <w:szCs w:val="20"/>
        </w:rPr>
        <w:t>5.7.</w:t>
      </w:r>
      <w:r>
        <w:rPr>
          <w:rFonts w:hint="eastAsia" w:eastAsiaTheme="minorEastAsia"/>
          <w:sz w:val="24"/>
          <w:szCs w:val="20"/>
        </w:rPr>
        <w:t>5</w:t>
      </w:r>
      <w:r>
        <w:rPr>
          <w:rFonts w:eastAsiaTheme="minorEastAsia"/>
          <w:sz w:val="24"/>
          <w:szCs w:val="20"/>
        </w:rPr>
        <w:t>评价结论</w:t>
      </w:r>
    </w:p>
    <w:p>
      <w:pPr>
        <w:spacing w:line="360" w:lineRule="auto"/>
        <w:ind w:firstLine="480" w:firstLineChars="200"/>
        <w:rPr>
          <w:rFonts w:eastAsiaTheme="minorEastAsia"/>
          <w:sz w:val="24"/>
        </w:rPr>
      </w:pPr>
      <w:r>
        <w:rPr>
          <w:rFonts w:eastAsiaTheme="minorEastAsia"/>
          <w:sz w:val="24"/>
        </w:rPr>
        <w:t xml:space="preserve">根据预测结果可知，项目运行期内直至服务期满后大气沉降对周围土壤中砷的预测值均小于《土壤环境质量  </w:t>
      </w:r>
      <w:r>
        <w:rPr>
          <w:rFonts w:hint="eastAsia" w:eastAsiaTheme="minorEastAsia"/>
          <w:sz w:val="24"/>
        </w:rPr>
        <w:t>农</w:t>
      </w:r>
      <w:r>
        <w:rPr>
          <w:rFonts w:eastAsiaTheme="minorEastAsia"/>
          <w:sz w:val="24"/>
        </w:rPr>
        <w:t>用地土壤污染风险管控标准（试行）》（GB15618-2018）中pH≥7.5其他用地的筛选值。项目在采取环评提出的防治措施后，对项目区周围土壤环境的影响很小。</w:t>
      </w:r>
    </w:p>
    <w:p>
      <w:pPr>
        <w:spacing w:line="360" w:lineRule="auto"/>
        <w:ind w:firstLine="480" w:firstLineChars="200"/>
        <w:rPr>
          <w:rFonts w:eastAsiaTheme="minorEastAsia"/>
          <w:sz w:val="24"/>
        </w:rPr>
      </w:pPr>
      <w:r>
        <w:rPr>
          <w:rFonts w:hint="eastAsia" w:eastAsiaTheme="minorEastAsia"/>
          <w:sz w:val="24"/>
        </w:rPr>
        <w:t>通过分析可知，故本项目运行不会造成土壤的酸化、碱化和盐化，对周边土壤影响很小。</w:t>
      </w:r>
    </w:p>
    <w:p>
      <w:pPr>
        <w:pStyle w:val="3"/>
        <w:spacing w:before="0" w:after="0" w:line="500" w:lineRule="exact"/>
        <w:rPr>
          <w:rFonts w:ascii="Times New Roman" w:hAnsi="Times New Roman" w:eastAsiaTheme="minorEastAsia"/>
          <w:bCs w:val="0"/>
          <w:sz w:val="28"/>
        </w:rPr>
      </w:pPr>
      <w:bookmarkStart w:id="274" w:name="_Toc6217"/>
      <w:bookmarkStart w:id="275" w:name="_Toc71551947"/>
      <w:bookmarkStart w:id="276" w:name="_Toc19571"/>
      <w:r>
        <w:rPr>
          <w:rFonts w:ascii="Times New Roman" w:hAnsi="Times New Roman" w:eastAsiaTheme="minorEastAsia"/>
          <w:bCs w:val="0"/>
          <w:sz w:val="28"/>
        </w:rPr>
        <w:t>5.</w:t>
      </w:r>
      <w:r>
        <w:rPr>
          <w:rFonts w:hint="eastAsia" w:ascii="Times New Roman" w:hAnsi="Times New Roman" w:eastAsiaTheme="minorEastAsia"/>
          <w:bCs w:val="0"/>
          <w:sz w:val="28"/>
        </w:rPr>
        <w:t>8环境风险评价</w:t>
      </w:r>
      <w:bookmarkEnd w:id="274"/>
      <w:bookmarkEnd w:id="275"/>
      <w:bookmarkEnd w:id="276"/>
    </w:p>
    <w:p>
      <w:pPr>
        <w:spacing w:line="500" w:lineRule="exact"/>
        <w:outlineLvl w:val="2"/>
        <w:rPr>
          <w:rFonts w:eastAsiaTheme="minorEastAsia"/>
          <w:b/>
          <w:sz w:val="24"/>
          <w:lang w:val="en-GB"/>
        </w:rPr>
      </w:pPr>
      <w:bookmarkStart w:id="277" w:name="_Toc384928271"/>
      <w:bookmarkStart w:id="278" w:name="_Toc469059775"/>
      <w:r>
        <w:rPr>
          <w:rFonts w:eastAsiaTheme="minorEastAsia"/>
          <w:b/>
          <w:sz w:val="24"/>
          <w:lang w:val="en-GB"/>
        </w:rPr>
        <w:t>5.</w:t>
      </w:r>
      <w:r>
        <w:rPr>
          <w:rFonts w:hint="eastAsia" w:eastAsiaTheme="minorEastAsia"/>
          <w:b/>
          <w:sz w:val="24"/>
        </w:rPr>
        <w:t>8</w:t>
      </w:r>
      <w:r>
        <w:rPr>
          <w:rFonts w:eastAsiaTheme="minorEastAsia"/>
          <w:b/>
          <w:sz w:val="24"/>
          <w:lang w:val="en-GB"/>
        </w:rPr>
        <w:t>.1</w:t>
      </w:r>
      <w:r>
        <w:rPr>
          <w:rFonts w:hint="eastAsia" w:eastAsiaTheme="minorEastAsia"/>
          <w:b/>
          <w:sz w:val="24"/>
          <w:lang w:val="en-GB"/>
        </w:rPr>
        <w:t>风险调查</w:t>
      </w:r>
    </w:p>
    <w:p>
      <w:pPr>
        <w:adjustRightInd w:val="0"/>
        <w:snapToGrid w:val="0"/>
        <w:spacing w:line="500" w:lineRule="exact"/>
        <w:ind w:firstLine="496" w:firstLineChars="200"/>
        <w:rPr>
          <w:spacing w:val="4"/>
          <w:sz w:val="24"/>
        </w:rPr>
      </w:pPr>
      <w:r>
        <w:rPr>
          <w:rFonts w:hint="eastAsia"/>
          <w:spacing w:val="4"/>
          <w:sz w:val="24"/>
        </w:rPr>
        <w:t>本项目产品、中间产品、原辅料以及生产过程中无有毒、有害和危险性物质；区域内无《建设项目环境保护分类管理目录》中确定的其它环境敏感区域；可能出现的环境风险为机械设备和车辆使用的油类物质泄露或燃烧对环境造成的影响，此外还有液化天然气储罐泄露或燃烧对环境造成的影响。</w:t>
      </w:r>
    </w:p>
    <w:p>
      <w:pPr>
        <w:spacing w:line="500" w:lineRule="exact"/>
        <w:outlineLvl w:val="2"/>
        <w:rPr>
          <w:rFonts w:eastAsiaTheme="minorEastAsia"/>
          <w:b/>
          <w:sz w:val="24"/>
          <w:lang w:val="en-GB"/>
        </w:rPr>
      </w:pPr>
      <w:r>
        <w:rPr>
          <w:rFonts w:eastAsiaTheme="minorEastAsia"/>
          <w:b/>
          <w:sz w:val="24"/>
          <w:lang w:val="en-GB"/>
        </w:rPr>
        <w:t>5.</w:t>
      </w:r>
      <w:r>
        <w:rPr>
          <w:rFonts w:hint="eastAsia" w:eastAsiaTheme="minorEastAsia"/>
          <w:b/>
          <w:sz w:val="24"/>
        </w:rPr>
        <w:t>8</w:t>
      </w:r>
      <w:r>
        <w:rPr>
          <w:rFonts w:eastAsiaTheme="minorEastAsia"/>
          <w:b/>
          <w:sz w:val="24"/>
          <w:lang w:val="en-GB"/>
        </w:rPr>
        <w:t>.2</w:t>
      </w:r>
      <w:r>
        <w:rPr>
          <w:rFonts w:hint="eastAsia" w:eastAsiaTheme="minorEastAsia"/>
          <w:b/>
          <w:sz w:val="24"/>
          <w:lang w:val="en-GB"/>
        </w:rPr>
        <w:t>环境风险潜势划分</w:t>
      </w:r>
    </w:p>
    <w:p>
      <w:pPr>
        <w:pStyle w:val="152"/>
        <w:spacing w:line="500" w:lineRule="exact"/>
        <w:ind w:firstLine="496"/>
        <w:rPr>
          <w:rFonts w:hAnsi="Times New Roman"/>
          <w:spacing w:val="4"/>
          <w:sz w:val="24"/>
        </w:rPr>
      </w:pPr>
      <w:r>
        <w:rPr>
          <w:rFonts w:hint="eastAsia" w:hAnsi="Times New Roman"/>
          <w:spacing w:val="4"/>
          <w:sz w:val="24"/>
        </w:rPr>
        <w:t>根据《建设项目环境风险评价技术导则》（</w:t>
      </w:r>
      <w:r>
        <w:rPr>
          <w:rFonts w:hAnsi="Times New Roman"/>
          <w:spacing w:val="4"/>
          <w:sz w:val="24"/>
        </w:rPr>
        <w:t>HJ169-2018</w:t>
      </w:r>
      <w:r>
        <w:rPr>
          <w:rFonts w:hint="eastAsia" w:hAnsi="Times New Roman"/>
          <w:spacing w:val="4"/>
          <w:sz w:val="24"/>
        </w:rPr>
        <w:t>），本项目环境风险潜势划分见表</w:t>
      </w:r>
      <w:r>
        <w:rPr>
          <w:rFonts w:hAnsi="Times New Roman"/>
          <w:spacing w:val="4"/>
          <w:sz w:val="24"/>
        </w:rPr>
        <w:t>5.</w:t>
      </w:r>
      <w:r>
        <w:rPr>
          <w:rFonts w:hint="eastAsia" w:hAnsi="Times New Roman"/>
          <w:spacing w:val="4"/>
          <w:sz w:val="24"/>
        </w:rPr>
        <w:t>8</w:t>
      </w:r>
      <w:r>
        <w:rPr>
          <w:rFonts w:hAnsi="Times New Roman"/>
          <w:spacing w:val="4"/>
          <w:sz w:val="24"/>
        </w:rPr>
        <w:t>-1</w:t>
      </w:r>
      <w:r>
        <w:rPr>
          <w:rFonts w:hint="eastAsia" w:hAnsi="Times New Roman"/>
          <w:spacing w:val="4"/>
          <w:sz w:val="24"/>
        </w:rPr>
        <w:t>。</w:t>
      </w:r>
    </w:p>
    <w:p>
      <w:pPr>
        <w:spacing w:line="500" w:lineRule="exact"/>
        <w:jc w:val="center"/>
        <w:rPr>
          <w:b/>
          <w:szCs w:val="21"/>
        </w:rPr>
      </w:pPr>
      <w:r>
        <w:rPr>
          <w:rFonts w:hint="eastAsia"/>
          <w:b/>
          <w:szCs w:val="21"/>
        </w:rPr>
        <w:t>表</w:t>
      </w:r>
      <w:r>
        <w:rPr>
          <w:b/>
          <w:szCs w:val="21"/>
        </w:rPr>
        <w:t>5.</w:t>
      </w:r>
      <w:r>
        <w:rPr>
          <w:rFonts w:hint="eastAsia"/>
          <w:b/>
          <w:szCs w:val="21"/>
        </w:rPr>
        <w:t>8</w:t>
      </w:r>
      <w:r>
        <w:rPr>
          <w:b/>
          <w:szCs w:val="21"/>
        </w:rPr>
        <w:t xml:space="preserve">-1  </w:t>
      </w:r>
      <w:r>
        <w:rPr>
          <w:rFonts w:hint="eastAsia"/>
          <w:b/>
          <w:szCs w:val="21"/>
        </w:rPr>
        <w:t>建设项目环境风险潜势划分</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784"/>
        <w:gridCol w:w="1785"/>
        <w:gridCol w:w="178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pct"/>
            <w:vMerge w:val="restart"/>
            <w:tcBorders>
              <w:top w:val="single" w:color="auto" w:sz="12" w:space="0"/>
              <w:left w:val="single" w:color="auto" w:sz="12" w:space="0"/>
              <w:bottom w:val="single" w:color="auto" w:sz="6" w:space="0"/>
              <w:right w:val="single" w:color="auto" w:sz="6" w:space="0"/>
            </w:tcBorders>
            <w:noWrap/>
            <w:vAlign w:val="center"/>
          </w:tcPr>
          <w:p>
            <w:pPr>
              <w:jc w:val="center"/>
              <w:rPr>
                <w:bCs/>
                <w:szCs w:val="21"/>
              </w:rPr>
            </w:pPr>
            <w:r>
              <w:rPr>
                <w:rFonts w:hint="eastAsia"/>
                <w:bCs/>
                <w:szCs w:val="21"/>
              </w:rPr>
              <w:t>环境敏感程度（</w:t>
            </w:r>
            <w:r>
              <w:rPr>
                <w:bCs/>
                <w:szCs w:val="21"/>
              </w:rPr>
              <w:t>E</w:t>
            </w:r>
            <w:r>
              <w:rPr>
                <w:rFonts w:hint="eastAsia"/>
                <w:bCs/>
                <w:szCs w:val="21"/>
              </w:rPr>
              <w:t>）</w:t>
            </w:r>
          </w:p>
        </w:tc>
        <w:tc>
          <w:tcPr>
            <w:tcW w:w="3863" w:type="pct"/>
            <w:gridSpan w:val="4"/>
            <w:tcBorders>
              <w:top w:val="single" w:color="auto" w:sz="12" w:space="0"/>
              <w:left w:val="single" w:color="auto" w:sz="6" w:space="0"/>
              <w:bottom w:val="single" w:color="auto" w:sz="6" w:space="0"/>
              <w:right w:val="single" w:color="auto" w:sz="12" w:space="0"/>
            </w:tcBorders>
            <w:noWrap/>
            <w:vAlign w:val="center"/>
          </w:tcPr>
          <w:p>
            <w:pPr>
              <w:jc w:val="center"/>
              <w:rPr>
                <w:bCs/>
                <w:szCs w:val="21"/>
              </w:rPr>
            </w:pPr>
            <w:r>
              <w:rPr>
                <w:rFonts w:hint="eastAsia"/>
                <w:bCs/>
                <w:szCs w:val="21"/>
              </w:rPr>
              <w:t>危险物质及工艺系统危险性（</w:t>
            </w:r>
            <w:r>
              <w:rPr>
                <w:bCs/>
                <w:szCs w:val="21"/>
              </w:rPr>
              <w:t>P</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op w:val="single" w:color="auto" w:sz="12" w:space="0"/>
              <w:left w:val="single" w:color="auto" w:sz="12" w:space="0"/>
              <w:bottom w:val="single" w:color="auto" w:sz="6" w:space="0"/>
              <w:right w:val="single" w:color="auto" w:sz="6" w:space="0"/>
            </w:tcBorders>
            <w:vAlign w:val="center"/>
          </w:tcPr>
          <w:p>
            <w:pPr>
              <w:widowControl/>
              <w:jc w:val="left"/>
              <w:rPr>
                <w:bCs/>
                <w:szCs w:val="21"/>
              </w:rPr>
            </w:pP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bCs/>
                <w:szCs w:val="21"/>
              </w:rPr>
              <w:t>极高危害（</w:t>
            </w:r>
            <w:r>
              <w:rPr>
                <w:bCs/>
                <w:szCs w:val="21"/>
              </w:rPr>
              <w:t>P1</w:t>
            </w:r>
            <w:r>
              <w:rPr>
                <w:rFonts w:hint="eastAsia"/>
                <w:bCs/>
                <w:szCs w:val="21"/>
              </w:rPr>
              <w:t>）</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bCs/>
                <w:szCs w:val="21"/>
              </w:rPr>
              <w:t>高度危害（</w:t>
            </w:r>
            <w:r>
              <w:rPr>
                <w:bCs/>
                <w:szCs w:val="21"/>
              </w:rPr>
              <w:t>P2</w:t>
            </w:r>
            <w:r>
              <w:rPr>
                <w:rFonts w:hint="eastAsia"/>
                <w:bCs/>
                <w:szCs w:val="21"/>
              </w:rPr>
              <w:t>）</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bCs/>
                <w:szCs w:val="21"/>
              </w:rPr>
              <w:t>中毒危害（</w:t>
            </w:r>
            <w:r>
              <w:rPr>
                <w:bCs/>
                <w:szCs w:val="21"/>
              </w:rPr>
              <w:t>P3</w:t>
            </w:r>
            <w:r>
              <w:rPr>
                <w:rFonts w:hint="eastAsia"/>
                <w:bCs/>
                <w:szCs w:val="21"/>
              </w:rPr>
              <w:t>）</w:t>
            </w:r>
          </w:p>
        </w:tc>
        <w:tc>
          <w:tcPr>
            <w:tcW w:w="968" w:type="pct"/>
            <w:tcBorders>
              <w:top w:val="single" w:color="auto" w:sz="6" w:space="0"/>
              <w:left w:val="single" w:color="auto" w:sz="6" w:space="0"/>
              <w:bottom w:val="single" w:color="auto" w:sz="6" w:space="0"/>
              <w:right w:val="single" w:color="auto" w:sz="12" w:space="0"/>
            </w:tcBorders>
            <w:noWrap/>
            <w:vAlign w:val="center"/>
          </w:tcPr>
          <w:p>
            <w:pPr>
              <w:jc w:val="center"/>
              <w:rPr>
                <w:bCs/>
                <w:szCs w:val="21"/>
              </w:rPr>
            </w:pPr>
            <w:r>
              <w:rPr>
                <w:rFonts w:hint="eastAsia"/>
                <w:bCs/>
                <w:szCs w:val="21"/>
              </w:rPr>
              <w:t>轻度危害（</w:t>
            </w:r>
            <w:r>
              <w:rPr>
                <w:bCs/>
                <w:szCs w:val="21"/>
              </w:rPr>
              <w:t>P4</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pct"/>
            <w:tcBorders>
              <w:top w:val="single" w:color="auto" w:sz="6" w:space="0"/>
              <w:left w:val="single" w:color="auto" w:sz="12" w:space="0"/>
              <w:bottom w:val="single" w:color="auto" w:sz="6" w:space="0"/>
              <w:right w:val="single" w:color="auto" w:sz="6" w:space="0"/>
            </w:tcBorders>
            <w:noWrap/>
            <w:vAlign w:val="center"/>
          </w:tcPr>
          <w:p>
            <w:pPr>
              <w:jc w:val="center"/>
              <w:rPr>
                <w:bCs/>
                <w:szCs w:val="21"/>
              </w:rPr>
            </w:pPr>
            <w:r>
              <w:rPr>
                <w:rFonts w:hint="eastAsia"/>
                <w:bCs/>
                <w:szCs w:val="21"/>
              </w:rPr>
              <w:t>环境敏感程度（</w:t>
            </w:r>
            <w:r>
              <w:rPr>
                <w:bCs/>
                <w:szCs w:val="21"/>
              </w:rPr>
              <w:t>E1</w:t>
            </w:r>
            <w:r>
              <w:rPr>
                <w:rFonts w:hint="eastAsia"/>
                <w:bCs/>
                <w:szCs w:val="21"/>
              </w:rPr>
              <w:t>）</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bCs/>
                <w:szCs w:val="21"/>
              </w:rPr>
              <w:t>IV</w:t>
            </w:r>
            <w:r>
              <w:rPr>
                <w:bCs/>
                <w:szCs w:val="21"/>
                <w:vertAlign w:val="superscript"/>
              </w:rPr>
              <w:t>+</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bCs/>
                <w:szCs w:val="21"/>
              </w:rPr>
              <w:t>IV</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bCs/>
                <w:szCs w:val="21"/>
              </w:rPr>
              <w:t>III</w:t>
            </w:r>
          </w:p>
        </w:tc>
        <w:tc>
          <w:tcPr>
            <w:tcW w:w="968" w:type="pct"/>
            <w:tcBorders>
              <w:top w:val="single" w:color="auto" w:sz="6" w:space="0"/>
              <w:left w:val="single" w:color="auto" w:sz="6" w:space="0"/>
              <w:bottom w:val="single" w:color="auto" w:sz="6" w:space="0"/>
              <w:right w:val="single" w:color="auto" w:sz="12" w:space="0"/>
            </w:tcBorders>
            <w:noWrap/>
            <w:vAlign w:val="center"/>
          </w:tcPr>
          <w:p>
            <w:pPr>
              <w:jc w:val="center"/>
              <w:rPr>
                <w:bCs/>
                <w:szCs w:val="21"/>
              </w:rPr>
            </w:pPr>
            <w:r>
              <w:rPr>
                <w:bCs/>
                <w:szCs w:val="21"/>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pct"/>
            <w:tcBorders>
              <w:top w:val="single" w:color="auto" w:sz="6" w:space="0"/>
              <w:left w:val="single" w:color="auto" w:sz="12" w:space="0"/>
              <w:bottom w:val="single" w:color="auto" w:sz="6" w:space="0"/>
              <w:right w:val="single" w:color="auto" w:sz="6" w:space="0"/>
            </w:tcBorders>
            <w:noWrap/>
            <w:vAlign w:val="center"/>
          </w:tcPr>
          <w:p>
            <w:pPr>
              <w:jc w:val="center"/>
              <w:rPr>
                <w:bCs/>
                <w:szCs w:val="21"/>
              </w:rPr>
            </w:pPr>
            <w:r>
              <w:rPr>
                <w:rFonts w:hint="eastAsia"/>
                <w:bCs/>
                <w:szCs w:val="21"/>
              </w:rPr>
              <w:t>环境敏感程度（</w:t>
            </w:r>
            <w:r>
              <w:rPr>
                <w:bCs/>
                <w:szCs w:val="21"/>
              </w:rPr>
              <w:t>E2</w:t>
            </w:r>
            <w:r>
              <w:rPr>
                <w:rFonts w:hint="eastAsia"/>
                <w:bCs/>
                <w:szCs w:val="21"/>
              </w:rPr>
              <w:t>）</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bCs/>
                <w:szCs w:val="21"/>
              </w:rPr>
              <w:t>IV</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bCs/>
                <w:szCs w:val="21"/>
              </w:rPr>
              <w:t>III</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bCs/>
                <w:szCs w:val="21"/>
              </w:rPr>
              <w:t>III</w:t>
            </w:r>
          </w:p>
        </w:tc>
        <w:tc>
          <w:tcPr>
            <w:tcW w:w="968" w:type="pct"/>
            <w:tcBorders>
              <w:top w:val="single" w:color="auto" w:sz="6" w:space="0"/>
              <w:left w:val="single" w:color="auto" w:sz="6" w:space="0"/>
              <w:bottom w:val="single" w:color="auto" w:sz="6" w:space="0"/>
              <w:right w:val="single" w:color="auto" w:sz="12" w:space="0"/>
            </w:tcBorders>
            <w:noWrap/>
            <w:vAlign w:val="center"/>
          </w:tcPr>
          <w:p>
            <w:pPr>
              <w:jc w:val="center"/>
              <w:rPr>
                <w:bCs/>
                <w:szCs w:val="21"/>
              </w:rPr>
            </w:pPr>
            <w:r>
              <w:rPr>
                <w:bCs/>
                <w:szCs w:val="21"/>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pct"/>
            <w:tcBorders>
              <w:top w:val="single" w:color="auto" w:sz="6" w:space="0"/>
              <w:left w:val="single" w:color="auto" w:sz="12" w:space="0"/>
              <w:bottom w:val="single" w:color="auto" w:sz="6" w:space="0"/>
              <w:right w:val="single" w:color="auto" w:sz="6" w:space="0"/>
            </w:tcBorders>
            <w:noWrap/>
            <w:vAlign w:val="center"/>
          </w:tcPr>
          <w:p>
            <w:pPr>
              <w:jc w:val="center"/>
              <w:rPr>
                <w:bCs/>
                <w:szCs w:val="21"/>
              </w:rPr>
            </w:pPr>
            <w:r>
              <w:rPr>
                <w:rFonts w:hint="eastAsia"/>
                <w:bCs/>
                <w:szCs w:val="21"/>
              </w:rPr>
              <w:t>环境敏感程度（</w:t>
            </w:r>
            <w:r>
              <w:rPr>
                <w:bCs/>
                <w:szCs w:val="21"/>
              </w:rPr>
              <w:t>E3</w:t>
            </w:r>
            <w:r>
              <w:rPr>
                <w:rFonts w:hint="eastAsia"/>
                <w:bCs/>
                <w:szCs w:val="21"/>
              </w:rPr>
              <w:t>）</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bCs/>
                <w:szCs w:val="21"/>
              </w:rPr>
              <w:t>III</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bCs/>
                <w:szCs w:val="21"/>
              </w:rPr>
              <w:t>III</w:t>
            </w:r>
          </w:p>
        </w:tc>
        <w:tc>
          <w:tcPr>
            <w:tcW w:w="964"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bCs/>
                <w:szCs w:val="21"/>
              </w:rPr>
              <w:t>II</w:t>
            </w:r>
          </w:p>
        </w:tc>
        <w:tc>
          <w:tcPr>
            <w:tcW w:w="968" w:type="pct"/>
            <w:tcBorders>
              <w:top w:val="single" w:color="auto" w:sz="6" w:space="0"/>
              <w:left w:val="single" w:color="auto" w:sz="6" w:space="0"/>
              <w:bottom w:val="single" w:color="auto" w:sz="6" w:space="0"/>
              <w:right w:val="single" w:color="auto" w:sz="12" w:space="0"/>
            </w:tcBorders>
            <w:noWrap/>
            <w:vAlign w:val="center"/>
          </w:tcPr>
          <w:p>
            <w:pPr>
              <w:jc w:val="center"/>
              <w:rPr>
                <w:bCs/>
                <w:szCs w:val="21"/>
              </w:rPr>
            </w:pPr>
            <w:r>
              <w:rPr>
                <w:bCs/>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6" w:space="0"/>
              <w:left w:val="single" w:color="auto" w:sz="12" w:space="0"/>
              <w:bottom w:val="single" w:color="auto" w:sz="12" w:space="0"/>
              <w:right w:val="single" w:color="auto" w:sz="12" w:space="0"/>
            </w:tcBorders>
            <w:noWrap/>
            <w:vAlign w:val="center"/>
          </w:tcPr>
          <w:p>
            <w:pPr>
              <w:jc w:val="left"/>
              <w:rPr>
                <w:bCs/>
                <w:szCs w:val="21"/>
              </w:rPr>
            </w:pPr>
            <w:r>
              <w:rPr>
                <w:rFonts w:hint="eastAsia"/>
                <w:bCs/>
                <w:szCs w:val="21"/>
              </w:rPr>
              <w:t>注：</w:t>
            </w:r>
            <w:r>
              <w:rPr>
                <w:bCs/>
                <w:szCs w:val="21"/>
              </w:rPr>
              <w:t>IV</w:t>
            </w:r>
            <w:r>
              <w:rPr>
                <w:bCs/>
                <w:szCs w:val="21"/>
                <w:vertAlign w:val="superscript"/>
              </w:rPr>
              <w:t>+</w:t>
            </w:r>
            <w:r>
              <w:rPr>
                <w:rFonts w:hint="eastAsia"/>
                <w:bCs/>
                <w:szCs w:val="21"/>
              </w:rPr>
              <w:t>为极高环境风险</w:t>
            </w:r>
          </w:p>
        </w:tc>
      </w:tr>
    </w:tbl>
    <w:p>
      <w:pPr>
        <w:pStyle w:val="152"/>
        <w:spacing w:line="500" w:lineRule="exact"/>
        <w:ind w:firstLine="496"/>
        <w:rPr>
          <w:rFonts w:hAnsi="Times New Roman"/>
          <w:spacing w:val="4"/>
          <w:sz w:val="24"/>
        </w:rPr>
      </w:pPr>
      <w:r>
        <w:rPr>
          <w:rFonts w:hint="eastAsia" w:hAnsi="Times New Roman"/>
          <w:spacing w:val="4"/>
          <w:sz w:val="24"/>
        </w:rPr>
        <w:t>（</w:t>
      </w:r>
      <w:r>
        <w:rPr>
          <w:rFonts w:hAnsi="Times New Roman"/>
          <w:spacing w:val="4"/>
          <w:sz w:val="24"/>
        </w:rPr>
        <w:t>1</w:t>
      </w:r>
      <w:r>
        <w:rPr>
          <w:rFonts w:hint="eastAsia" w:hAnsi="Times New Roman"/>
          <w:spacing w:val="4"/>
          <w:sz w:val="24"/>
        </w:rPr>
        <w:t>）危险物质数量与临界量比值（</w:t>
      </w:r>
      <w:r>
        <w:rPr>
          <w:rFonts w:hAnsi="Times New Roman"/>
          <w:spacing w:val="4"/>
          <w:sz w:val="24"/>
        </w:rPr>
        <w:t>Q</w:t>
      </w:r>
      <w:r>
        <w:rPr>
          <w:rFonts w:hint="eastAsia" w:hAnsi="Times New Roman"/>
          <w:spacing w:val="4"/>
          <w:sz w:val="24"/>
        </w:rPr>
        <w:t>）</w:t>
      </w:r>
    </w:p>
    <w:p>
      <w:pPr>
        <w:pStyle w:val="152"/>
        <w:spacing w:line="500" w:lineRule="exact"/>
        <w:ind w:firstLine="496"/>
        <w:rPr>
          <w:rFonts w:hAnsi="Times New Roman"/>
          <w:spacing w:val="4"/>
          <w:sz w:val="24"/>
        </w:rPr>
      </w:pPr>
      <w:r>
        <w:rPr>
          <w:rFonts w:hint="eastAsia" w:hAnsi="Times New Roman"/>
          <w:spacing w:val="4"/>
          <w:sz w:val="24"/>
        </w:rPr>
        <w:t>根据《建设项目环境风险评价技术导则》（</w:t>
      </w:r>
      <w:r>
        <w:rPr>
          <w:rFonts w:hAnsi="Times New Roman"/>
          <w:spacing w:val="4"/>
          <w:sz w:val="24"/>
        </w:rPr>
        <w:t>HJ169-2018</w:t>
      </w:r>
      <w:r>
        <w:rPr>
          <w:rFonts w:hint="eastAsia" w:hAnsi="Times New Roman"/>
          <w:spacing w:val="4"/>
          <w:sz w:val="24"/>
        </w:rPr>
        <w:t>）来进行临界量比值计算。</w:t>
      </w:r>
    </w:p>
    <w:p>
      <w:pPr>
        <w:pStyle w:val="152"/>
        <w:spacing w:line="500" w:lineRule="exact"/>
        <w:ind w:firstLine="420"/>
        <w:rPr>
          <w:rFonts w:hAnsi="Times New Roman"/>
          <w:spacing w:val="4"/>
          <w:sz w:val="24"/>
        </w:rPr>
      </w:pPr>
      <w:r>
        <w:fldChar w:fldCharType="begin"/>
      </w:r>
      <w:r>
        <w:rPr>
          <w:rFonts w:hAnsi="Times New Roman"/>
          <w:spacing w:val="4"/>
          <w:sz w:val="24"/>
        </w:rPr>
        <w:instrText xml:space="preserve"> = 1 \* GB3 </w:instrText>
      </w:r>
      <w:r>
        <w:fldChar w:fldCharType="separate"/>
      </w:r>
      <w:r>
        <w:rPr>
          <w:rFonts w:hint="eastAsia" w:ascii="宋体" w:cs="宋体"/>
          <w:spacing w:val="4"/>
          <w:sz w:val="24"/>
        </w:rPr>
        <w:t>①</w:t>
      </w:r>
      <w:r>
        <w:fldChar w:fldCharType="end"/>
      </w:r>
      <w:r>
        <w:rPr>
          <w:rFonts w:hint="eastAsia" w:hAnsi="Times New Roman"/>
          <w:spacing w:val="4"/>
          <w:sz w:val="24"/>
        </w:rPr>
        <w:t>当只涉及一种危险物质时，计算该物质的总量与其临界量比值，即为</w:t>
      </w:r>
      <w:r>
        <w:rPr>
          <w:rFonts w:hAnsi="Times New Roman"/>
          <w:spacing w:val="4"/>
          <w:sz w:val="24"/>
        </w:rPr>
        <w:t>Q</w:t>
      </w:r>
      <w:r>
        <w:rPr>
          <w:rFonts w:hint="eastAsia" w:hAnsi="Times New Roman"/>
          <w:spacing w:val="4"/>
          <w:sz w:val="24"/>
        </w:rPr>
        <w:t>；</w:t>
      </w:r>
    </w:p>
    <w:p>
      <w:pPr>
        <w:pStyle w:val="152"/>
        <w:spacing w:line="500" w:lineRule="exact"/>
        <w:ind w:firstLine="420"/>
        <w:rPr>
          <w:rFonts w:hAnsi="Times New Roman"/>
          <w:spacing w:val="4"/>
          <w:sz w:val="24"/>
        </w:rPr>
      </w:pPr>
      <w:r>
        <w:fldChar w:fldCharType="begin"/>
      </w:r>
      <w:r>
        <w:rPr>
          <w:rFonts w:hAnsi="Times New Roman"/>
          <w:spacing w:val="4"/>
          <w:sz w:val="24"/>
        </w:rPr>
        <w:instrText xml:space="preserve"> = 2 \* GB3 </w:instrText>
      </w:r>
      <w:r>
        <w:fldChar w:fldCharType="separate"/>
      </w:r>
      <w:r>
        <w:rPr>
          <w:rFonts w:hint="eastAsia" w:ascii="宋体" w:cs="宋体"/>
          <w:spacing w:val="4"/>
          <w:sz w:val="24"/>
        </w:rPr>
        <w:t>②</w:t>
      </w:r>
      <w:r>
        <w:fldChar w:fldCharType="end"/>
      </w:r>
      <w:r>
        <w:rPr>
          <w:rFonts w:hint="eastAsia" w:hAnsi="Times New Roman"/>
          <w:spacing w:val="4"/>
          <w:sz w:val="24"/>
        </w:rPr>
        <w:t>当存在多种危险物质时，计算该物质的总量与其临界量比值，即为</w:t>
      </w:r>
      <w:r>
        <w:rPr>
          <w:rFonts w:hAnsi="Times New Roman"/>
          <w:spacing w:val="4"/>
          <w:sz w:val="24"/>
        </w:rPr>
        <w:t>Q</w:t>
      </w:r>
      <w:r>
        <w:rPr>
          <w:rFonts w:hint="eastAsia" w:hAnsi="Times New Roman"/>
          <w:spacing w:val="4"/>
          <w:sz w:val="24"/>
        </w:rPr>
        <w:t>：</w:t>
      </w:r>
    </w:p>
    <w:p>
      <w:pPr>
        <w:autoSpaceDE w:val="0"/>
        <w:autoSpaceDN w:val="0"/>
        <w:adjustRightInd w:val="0"/>
        <w:spacing w:line="500" w:lineRule="exact"/>
        <w:ind w:firstLine="420" w:firstLineChars="200"/>
        <w:jc w:val="left"/>
        <w:rPr>
          <w:kern w:val="0"/>
          <w:sz w:val="24"/>
        </w:rPr>
      </w:pPr>
      <w:r>
        <w:drawing>
          <wp:anchor distT="0" distB="0" distL="114300" distR="114300" simplePos="0" relativeHeight="251707392" behindDoc="0" locked="0" layoutInCell="1" allowOverlap="1">
            <wp:simplePos x="0" y="0"/>
            <wp:positionH relativeFrom="column">
              <wp:posOffset>1750695</wp:posOffset>
            </wp:positionH>
            <wp:positionV relativeFrom="paragraph">
              <wp:posOffset>57785</wp:posOffset>
            </wp:positionV>
            <wp:extent cx="1971675" cy="561975"/>
            <wp:effectExtent l="19050" t="0" r="9525" b="0"/>
            <wp:wrapTopAndBottom/>
            <wp:docPr id="2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图片 1"/>
                    <pic:cNvPicPr>
                      <a:picLocks noChangeAspect="1" noChangeArrowheads="1"/>
                    </pic:cNvPicPr>
                  </pic:nvPicPr>
                  <pic:blipFill>
                    <a:blip r:embed="rId119"/>
                    <a:srcRect/>
                    <a:stretch>
                      <a:fillRect/>
                    </a:stretch>
                  </pic:blipFill>
                  <pic:spPr>
                    <a:xfrm>
                      <a:off x="0" y="0"/>
                      <a:ext cx="1971675" cy="561975"/>
                    </a:xfrm>
                    <a:prstGeom prst="rect">
                      <a:avLst/>
                    </a:prstGeom>
                    <a:noFill/>
                  </pic:spPr>
                </pic:pic>
              </a:graphicData>
            </a:graphic>
          </wp:anchor>
        </w:drawing>
      </w:r>
      <w:r>
        <w:rPr>
          <w:rFonts w:hint="eastAsia"/>
          <w:kern w:val="0"/>
          <w:sz w:val="24"/>
        </w:rPr>
        <w:t>式中：</w:t>
      </w:r>
      <w:r>
        <w:rPr>
          <w:kern w:val="0"/>
          <w:sz w:val="24"/>
        </w:rPr>
        <w:t>q</w:t>
      </w:r>
      <w:r>
        <w:rPr>
          <w:kern w:val="0"/>
          <w:sz w:val="24"/>
          <w:vertAlign w:val="subscript"/>
        </w:rPr>
        <w:t>1</w:t>
      </w:r>
      <w:r>
        <w:rPr>
          <w:rFonts w:hint="eastAsia"/>
          <w:kern w:val="0"/>
          <w:sz w:val="24"/>
        </w:rPr>
        <w:t>，</w:t>
      </w:r>
      <w:r>
        <w:rPr>
          <w:kern w:val="0"/>
          <w:sz w:val="24"/>
        </w:rPr>
        <w:t>q</w:t>
      </w:r>
      <w:r>
        <w:rPr>
          <w:kern w:val="0"/>
          <w:sz w:val="24"/>
          <w:vertAlign w:val="subscript"/>
        </w:rPr>
        <w:t>2</w:t>
      </w:r>
      <w:r>
        <w:rPr>
          <w:kern w:val="0"/>
          <w:sz w:val="24"/>
        </w:rPr>
        <w:t>……qn—</w:t>
      </w:r>
      <w:r>
        <w:rPr>
          <w:rFonts w:hint="eastAsia"/>
          <w:kern w:val="0"/>
          <w:sz w:val="24"/>
        </w:rPr>
        <w:t>每种危险物的最大存在总量（</w:t>
      </w:r>
      <w:r>
        <w:rPr>
          <w:kern w:val="0"/>
          <w:sz w:val="24"/>
        </w:rPr>
        <w:t>t</w:t>
      </w:r>
      <w:r>
        <w:rPr>
          <w:rFonts w:hint="eastAsia"/>
          <w:kern w:val="0"/>
          <w:sz w:val="24"/>
        </w:rPr>
        <w:t>）；</w:t>
      </w:r>
    </w:p>
    <w:p>
      <w:pPr>
        <w:autoSpaceDE w:val="0"/>
        <w:autoSpaceDN w:val="0"/>
        <w:adjustRightInd w:val="0"/>
        <w:spacing w:line="500" w:lineRule="exact"/>
        <w:ind w:firstLine="1200" w:firstLineChars="500"/>
        <w:jc w:val="left"/>
        <w:rPr>
          <w:kern w:val="0"/>
          <w:sz w:val="24"/>
        </w:rPr>
      </w:pPr>
      <w:r>
        <w:rPr>
          <w:kern w:val="0"/>
          <w:sz w:val="24"/>
        </w:rPr>
        <w:t>Q</w:t>
      </w:r>
      <w:r>
        <w:rPr>
          <w:kern w:val="0"/>
          <w:sz w:val="24"/>
          <w:vertAlign w:val="subscript"/>
        </w:rPr>
        <w:t>1</w:t>
      </w:r>
      <w:r>
        <w:rPr>
          <w:rFonts w:hint="eastAsia"/>
          <w:kern w:val="0"/>
          <w:sz w:val="24"/>
        </w:rPr>
        <w:t>，</w:t>
      </w:r>
      <w:r>
        <w:rPr>
          <w:kern w:val="0"/>
          <w:sz w:val="24"/>
        </w:rPr>
        <w:t>Q</w:t>
      </w:r>
      <w:r>
        <w:rPr>
          <w:kern w:val="0"/>
          <w:sz w:val="24"/>
          <w:vertAlign w:val="subscript"/>
        </w:rPr>
        <w:t>2</w:t>
      </w:r>
      <w:r>
        <w:rPr>
          <w:kern w:val="0"/>
          <w:sz w:val="24"/>
        </w:rPr>
        <w:t>……Qn—</w:t>
      </w:r>
      <w:r>
        <w:rPr>
          <w:rFonts w:hint="eastAsia"/>
          <w:kern w:val="0"/>
          <w:sz w:val="24"/>
        </w:rPr>
        <w:t>每种危险物质的临界量（</w:t>
      </w:r>
      <w:r>
        <w:rPr>
          <w:kern w:val="0"/>
          <w:sz w:val="24"/>
        </w:rPr>
        <w:t>t</w:t>
      </w:r>
      <w:r>
        <w:rPr>
          <w:rFonts w:hint="eastAsia"/>
          <w:kern w:val="0"/>
          <w:sz w:val="24"/>
        </w:rPr>
        <w:t>）。</w:t>
      </w:r>
    </w:p>
    <w:p>
      <w:pPr>
        <w:autoSpaceDE w:val="0"/>
        <w:autoSpaceDN w:val="0"/>
        <w:adjustRightInd w:val="0"/>
        <w:spacing w:line="500" w:lineRule="exact"/>
        <w:ind w:firstLine="1200" w:firstLineChars="500"/>
        <w:jc w:val="left"/>
        <w:rPr>
          <w:kern w:val="0"/>
          <w:sz w:val="24"/>
        </w:rPr>
      </w:pPr>
      <w:r>
        <w:rPr>
          <w:rFonts w:hint="eastAsia"/>
          <w:kern w:val="0"/>
          <w:sz w:val="24"/>
        </w:rPr>
        <w:t>当</w:t>
      </w:r>
      <w:r>
        <w:rPr>
          <w:kern w:val="0"/>
          <w:sz w:val="24"/>
        </w:rPr>
        <w:t>Q</w:t>
      </w:r>
      <w:r>
        <w:rPr>
          <w:rFonts w:hint="eastAsia"/>
          <w:kern w:val="0"/>
          <w:sz w:val="24"/>
        </w:rPr>
        <w:t>＜</w:t>
      </w:r>
      <w:r>
        <w:rPr>
          <w:kern w:val="0"/>
          <w:sz w:val="24"/>
        </w:rPr>
        <w:t>1</w:t>
      </w:r>
      <w:r>
        <w:rPr>
          <w:rFonts w:hint="eastAsia"/>
          <w:kern w:val="0"/>
          <w:sz w:val="24"/>
        </w:rPr>
        <w:t>时，该项目环境风险潜势为</w:t>
      </w:r>
      <w:r>
        <w:rPr>
          <w:rFonts w:hint="eastAsia" w:ascii="宋体" w:hAnsi="宋体" w:cs="宋体"/>
          <w:kern w:val="0"/>
          <w:sz w:val="24"/>
        </w:rPr>
        <w:t>Ⅰ</w:t>
      </w:r>
      <w:r>
        <w:rPr>
          <w:rFonts w:hint="eastAsia"/>
          <w:kern w:val="0"/>
          <w:sz w:val="24"/>
        </w:rPr>
        <w:t>。</w:t>
      </w:r>
    </w:p>
    <w:p>
      <w:pPr>
        <w:spacing w:line="500" w:lineRule="exact"/>
        <w:ind w:firstLine="1200" w:firstLineChars="500"/>
        <w:rPr>
          <w:b/>
          <w:szCs w:val="21"/>
        </w:rPr>
      </w:pPr>
      <w:r>
        <w:rPr>
          <w:rFonts w:hint="eastAsia"/>
          <w:kern w:val="0"/>
          <w:sz w:val="24"/>
        </w:rPr>
        <w:t>当</w:t>
      </w:r>
      <w:r>
        <w:rPr>
          <w:kern w:val="0"/>
          <w:sz w:val="24"/>
        </w:rPr>
        <w:t>Q≥1</w:t>
      </w:r>
      <w:r>
        <w:rPr>
          <w:rFonts w:hint="eastAsia"/>
          <w:kern w:val="0"/>
          <w:sz w:val="24"/>
        </w:rPr>
        <w:t>时，将</w:t>
      </w:r>
      <w:r>
        <w:rPr>
          <w:kern w:val="0"/>
          <w:sz w:val="24"/>
        </w:rPr>
        <w:t>Q</w:t>
      </w:r>
      <w:r>
        <w:rPr>
          <w:rFonts w:hint="eastAsia"/>
          <w:kern w:val="0"/>
          <w:sz w:val="24"/>
        </w:rPr>
        <w:t>值划分为（</w:t>
      </w:r>
      <w:r>
        <w:rPr>
          <w:kern w:val="0"/>
          <w:sz w:val="24"/>
        </w:rPr>
        <w:t>1</w:t>
      </w:r>
      <w:r>
        <w:rPr>
          <w:rFonts w:hint="eastAsia"/>
          <w:kern w:val="0"/>
          <w:sz w:val="24"/>
        </w:rPr>
        <w:t>）</w:t>
      </w:r>
      <w:r>
        <w:rPr>
          <w:kern w:val="0"/>
          <w:sz w:val="24"/>
        </w:rPr>
        <w:t>1≤Q</w:t>
      </w:r>
      <w:r>
        <w:rPr>
          <w:rFonts w:hint="eastAsia"/>
          <w:kern w:val="0"/>
          <w:sz w:val="24"/>
        </w:rPr>
        <w:t>＜</w:t>
      </w:r>
      <w:r>
        <w:rPr>
          <w:kern w:val="0"/>
          <w:sz w:val="24"/>
        </w:rPr>
        <w:t>10</w:t>
      </w:r>
      <w:r>
        <w:rPr>
          <w:rFonts w:hint="eastAsia"/>
          <w:kern w:val="0"/>
          <w:sz w:val="24"/>
        </w:rPr>
        <w:t>；（</w:t>
      </w:r>
      <w:r>
        <w:rPr>
          <w:kern w:val="0"/>
          <w:sz w:val="24"/>
        </w:rPr>
        <w:t>2</w:t>
      </w:r>
      <w:r>
        <w:rPr>
          <w:rFonts w:hint="eastAsia"/>
          <w:kern w:val="0"/>
          <w:sz w:val="24"/>
        </w:rPr>
        <w:t>）</w:t>
      </w:r>
      <w:r>
        <w:rPr>
          <w:kern w:val="0"/>
          <w:sz w:val="24"/>
        </w:rPr>
        <w:t>10≤Q</w:t>
      </w:r>
      <w:r>
        <w:rPr>
          <w:rFonts w:hint="eastAsia"/>
          <w:kern w:val="0"/>
          <w:sz w:val="24"/>
        </w:rPr>
        <w:t>＜</w:t>
      </w:r>
      <w:r>
        <w:rPr>
          <w:kern w:val="0"/>
          <w:sz w:val="24"/>
        </w:rPr>
        <w:t>100</w:t>
      </w:r>
      <w:r>
        <w:rPr>
          <w:rFonts w:hint="eastAsia"/>
          <w:kern w:val="0"/>
          <w:sz w:val="24"/>
        </w:rPr>
        <w:t>；（</w:t>
      </w:r>
      <w:r>
        <w:rPr>
          <w:kern w:val="0"/>
          <w:sz w:val="24"/>
        </w:rPr>
        <w:t>3</w:t>
      </w:r>
      <w:r>
        <w:rPr>
          <w:rFonts w:hint="eastAsia"/>
          <w:kern w:val="0"/>
          <w:sz w:val="24"/>
        </w:rPr>
        <w:t>）</w:t>
      </w:r>
      <w:r>
        <w:rPr>
          <w:kern w:val="0"/>
          <w:sz w:val="24"/>
        </w:rPr>
        <w:t>Q≥100</w:t>
      </w:r>
      <w:r>
        <w:rPr>
          <w:rFonts w:hint="eastAsia"/>
          <w:kern w:val="0"/>
          <w:sz w:val="24"/>
        </w:rPr>
        <w:t>。</w:t>
      </w:r>
    </w:p>
    <w:p>
      <w:pPr>
        <w:spacing w:line="500" w:lineRule="exact"/>
        <w:jc w:val="center"/>
        <w:rPr>
          <w:b/>
          <w:szCs w:val="21"/>
        </w:rPr>
      </w:pPr>
      <w:r>
        <w:rPr>
          <w:rFonts w:hint="eastAsia"/>
          <w:b/>
          <w:szCs w:val="21"/>
        </w:rPr>
        <w:t>表</w:t>
      </w:r>
      <w:r>
        <w:rPr>
          <w:b/>
          <w:szCs w:val="21"/>
        </w:rPr>
        <w:t>5.</w:t>
      </w:r>
      <w:r>
        <w:rPr>
          <w:rFonts w:hint="eastAsia"/>
          <w:b/>
          <w:szCs w:val="21"/>
        </w:rPr>
        <w:t>8</w:t>
      </w:r>
      <w:r>
        <w:rPr>
          <w:b/>
          <w:szCs w:val="21"/>
        </w:rPr>
        <w:t xml:space="preserve">-2   </w:t>
      </w:r>
      <w:r>
        <w:rPr>
          <w:rFonts w:hint="eastAsia"/>
          <w:b/>
          <w:szCs w:val="21"/>
        </w:rPr>
        <w:t>本项目</w:t>
      </w:r>
      <w:r>
        <w:rPr>
          <w:b/>
          <w:szCs w:val="21"/>
        </w:rPr>
        <w:t>Q</w:t>
      </w:r>
      <w:r>
        <w:rPr>
          <w:rFonts w:hint="eastAsia"/>
          <w:b/>
          <w:szCs w:val="21"/>
        </w:rPr>
        <w:t>值计算表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3"/>
        <w:gridCol w:w="2354"/>
        <w:gridCol w:w="1016"/>
        <w:gridCol w:w="1688"/>
        <w:gridCol w:w="1894"/>
        <w:gridCol w:w="14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4" w:type="pct"/>
            <w:tcBorders>
              <w:top w:val="single" w:color="auto" w:sz="12" w:space="0"/>
              <w:left w:val="single" w:color="auto" w:sz="12" w:space="0"/>
              <w:bottom w:val="single" w:color="auto" w:sz="6" w:space="0"/>
              <w:right w:val="single" w:color="auto" w:sz="6" w:space="0"/>
            </w:tcBorders>
            <w:noWrap/>
          </w:tcPr>
          <w:p>
            <w:pPr>
              <w:jc w:val="center"/>
              <w:rPr>
                <w:szCs w:val="21"/>
              </w:rPr>
            </w:pPr>
            <w:r>
              <w:rPr>
                <w:rFonts w:hint="eastAsia"/>
                <w:szCs w:val="21"/>
              </w:rPr>
              <w:t>序号</w:t>
            </w:r>
          </w:p>
        </w:tc>
        <w:tc>
          <w:tcPr>
            <w:tcW w:w="1268" w:type="pct"/>
            <w:tcBorders>
              <w:top w:val="single" w:color="auto" w:sz="12" w:space="0"/>
              <w:left w:val="single" w:color="auto" w:sz="6" w:space="0"/>
              <w:bottom w:val="single" w:color="auto" w:sz="6" w:space="0"/>
              <w:right w:val="single" w:color="auto" w:sz="6" w:space="0"/>
            </w:tcBorders>
            <w:noWrap/>
          </w:tcPr>
          <w:p>
            <w:pPr>
              <w:jc w:val="center"/>
              <w:rPr>
                <w:szCs w:val="21"/>
              </w:rPr>
            </w:pPr>
            <w:r>
              <w:rPr>
                <w:rFonts w:hint="eastAsia"/>
                <w:szCs w:val="21"/>
              </w:rPr>
              <w:t>危险物质名称</w:t>
            </w:r>
          </w:p>
        </w:tc>
        <w:tc>
          <w:tcPr>
            <w:tcW w:w="547" w:type="pct"/>
            <w:tcBorders>
              <w:top w:val="single" w:color="auto" w:sz="12" w:space="0"/>
              <w:left w:val="single" w:color="auto" w:sz="6" w:space="0"/>
              <w:bottom w:val="single" w:color="auto" w:sz="6" w:space="0"/>
              <w:right w:val="single" w:color="auto" w:sz="6" w:space="0"/>
            </w:tcBorders>
            <w:noWrap/>
          </w:tcPr>
          <w:p>
            <w:pPr>
              <w:jc w:val="center"/>
              <w:rPr>
                <w:szCs w:val="21"/>
              </w:rPr>
            </w:pPr>
            <w:r>
              <w:rPr>
                <w:szCs w:val="21"/>
              </w:rPr>
              <w:t>CAS</w:t>
            </w:r>
            <w:r>
              <w:rPr>
                <w:rFonts w:hint="eastAsia"/>
                <w:szCs w:val="21"/>
              </w:rPr>
              <w:t>号</w:t>
            </w:r>
          </w:p>
        </w:tc>
        <w:tc>
          <w:tcPr>
            <w:tcW w:w="909" w:type="pct"/>
            <w:tcBorders>
              <w:top w:val="single" w:color="auto" w:sz="12" w:space="0"/>
              <w:left w:val="single" w:color="auto" w:sz="6" w:space="0"/>
              <w:bottom w:val="single" w:color="auto" w:sz="6" w:space="0"/>
              <w:right w:val="single" w:color="auto" w:sz="6" w:space="0"/>
            </w:tcBorders>
            <w:noWrap/>
          </w:tcPr>
          <w:p>
            <w:pPr>
              <w:jc w:val="center"/>
              <w:rPr>
                <w:szCs w:val="21"/>
              </w:rPr>
            </w:pPr>
            <w:r>
              <w:rPr>
                <w:rFonts w:hint="eastAsia"/>
                <w:szCs w:val="21"/>
              </w:rPr>
              <w:t>临界量</w:t>
            </w:r>
            <w:r>
              <w:rPr>
                <w:szCs w:val="21"/>
              </w:rPr>
              <w:t>/t</w:t>
            </w:r>
          </w:p>
        </w:tc>
        <w:tc>
          <w:tcPr>
            <w:tcW w:w="1020" w:type="pct"/>
            <w:tcBorders>
              <w:top w:val="single" w:color="auto" w:sz="12" w:space="0"/>
              <w:left w:val="single" w:color="auto" w:sz="6" w:space="0"/>
              <w:bottom w:val="single" w:color="auto" w:sz="6" w:space="0"/>
              <w:right w:val="single" w:color="auto" w:sz="6" w:space="0"/>
            </w:tcBorders>
            <w:noWrap/>
          </w:tcPr>
          <w:p>
            <w:pPr>
              <w:jc w:val="center"/>
              <w:rPr>
                <w:szCs w:val="21"/>
              </w:rPr>
            </w:pPr>
            <w:r>
              <w:rPr>
                <w:rFonts w:hint="eastAsia"/>
                <w:szCs w:val="21"/>
              </w:rPr>
              <w:t>项目最大储量</w:t>
            </w:r>
            <w:r>
              <w:rPr>
                <w:szCs w:val="21"/>
              </w:rPr>
              <w:t>/t</w:t>
            </w:r>
          </w:p>
        </w:tc>
        <w:tc>
          <w:tcPr>
            <w:tcW w:w="801" w:type="pct"/>
            <w:tcBorders>
              <w:top w:val="single" w:color="auto" w:sz="12" w:space="0"/>
              <w:left w:val="single" w:color="auto" w:sz="6" w:space="0"/>
              <w:bottom w:val="single" w:color="auto" w:sz="6" w:space="0"/>
              <w:right w:val="single" w:color="auto" w:sz="12" w:space="0"/>
            </w:tcBorders>
            <w:noWrap/>
          </w:tcPr>
          <w:p>
            <w:pPr>
              <w:jc w:val="center"/>
              <w:rPr>
                <w:szCs w:val="21"/>
              </w:rPr>
            </w:pPr>
            <w:r>
              <w:rPr>
                <w:szCs w:val="21"/>
              </w:rPr>
              <w:t>Q</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pct"/>
            <w:tcBorders>
              <w:top w:val="single" w:color="auto" w:sz="6" w:space="0"/>
              <w:left w:val="single" w:color="auto" w:sz="12" w:space="0"/>
              <w:bottom w:val="single" w:color="auto" w:sz="6" w:space="0"/>
              <w:right w:val="single" w:color="auto" w:sz="6" w:space="0"/>
            </w:tcBorders>
            <w:noWrap/>
          </w:tcPr>
          <w:p>
            <w:pPr>
              <w:jc w:val="center"/>
              <w:rPr>
                <w:szCs w:val="21"/>
              </w:rPr>
            </w:pPr>
            <w:r>
              <w:rPr>
                <w:szCs w:val="21"/>
              </w:rPr>
              <w:t>1</w:t>
            </w:r>
          </w:p>
        </w:tc>
        <w:tc>
          <w:tcPr>
            <w:tcW w:w="1268" w:type="pct"/>
            <w:tcBorders>
              <w:top w:val="single" w:color="auto" w:sz="6" w:space="0"/>
              <w:left w:val="single" w:color="auto" w:sz="6" w:space="0"/>
              <w:bottom w:val="single" w:color="auto" w:sz="6" w:space="0"/>
              <w:right w:val="single" w:color="auto" w:sz="6" w:space="0"/>
            </w:tcBorders>
            <w:noWrap/>
          </w:tcPr>
          <w:p>
            <w:pPr>
              <w:jc w:val="center"/>
              <w:rPr>
                <w:szCs w:val="21"/>
              </w:rPr>
            </w:pPr>
            <w:r>
              <w:rPr>
                <w:rFonts w:hint="eastAsia"/>
                <w:szCs w:val="21"/>
              </w:rPr>
              <w:t>油类物质（矿物油）</w:t>
            </w:r>
          </w:p>
        </w:tc>
        <w:tc>
          <w:tcPr>
            <w:tcW w:w="547" w:type="pct"/>
            <w:tcBorders>
              <w:top w:val="single" w:color="auto" w:sz="6" w:space="0"/>
              <w:left w:val="single" w:color="auto" w:sz="6" w:space="0"/>
              <w:bottom w:val="single" w:color="auto" w:sz="6" w:space="0"/>
              <w:right w:val="single" w:color="auto" w:sz="6" w:space="0"/>
            </w:tcBorders>
            <w:noWrap/>
          </w:tcPr>
          <w:p>
            <w:pPr>
              <w:jc w:val="center"/>
              <w:rPr>
                <w:szCs w:val="21"/>
              </w:rPr>
            </w:pPr>
            <w:r>
              <w:rPr>
                <w:szCs w:val="21"/>
              </w:rPr>
              <w:t>/</w:t>
            </w:r>
          </w:p>
        </w:tc>
        <w:tc>
          <w:tcPr>
            <w:tcW w:w="909" w:type="pct"/>
            <w:tcBorders>
              <w:top w:val="single" w:color="auto" w:sz="6" w:space="0"/>
              <w:left w:val="single" w:color="auto" w:sz="6" w:space="0"/>
              <w:bottom w:val="single" w:color="auto" w:sz="6" w:space="0"/>
              <w:right w:val="single" w:color="auto" w:sz="6" w:space="0"/>
            </w:tcBorders>
            <w:noWrap/>
          </w:tcPr>
          <w:p>
            <w:pPr>
              <w:jc w:val="center"/>
              <w:rPr>
                <w:szCs w:val="21"/>
              </w:rPr>
            </w:pPr>
            <w:r>
              <w:rPr>
                <w:szCs w:val="21"/>
              </w:rPr>
              <w:t>2500</w:t>
            </w:r>
          </w:p>
        </w:tc>
        <w:tc>
          <w:tcPr>
            <w:tcW w:w="1020" w:type="pct"/>
            <w:tcBorders>
              <w:top w:val="single" w:color="auto" w:sz="6" w:space="0"/>
              <w:left w:val="single" w:color="auto" w:sz="6" w:space="0"/>
              <w:bottom w:val="single" w:color="auto" w:sz="6" w:space="0"/>
              <w:right w:val="single" w:color="auto" w:sz="6" w:space="0"/>
            </w:tcBorders>
            <w:noWrap/>
          </w:tcPr>
          <w:p>
            <w:pPr>
              <w:jc w:val="center"/>
              <w:rPr>
                <w:szCs w:val="21"/>
              </w:rPr>
            </w:pPr>
            <w:r>
              <w:rPr>
                <w:szCs w:val="21"/>
              </w:rPr>
              <w:t>0.5</w:t>
            </w:r>
          </w:p>
        </w:tc>
        <w:tc>
          <w:tcPr>
            <w:tcW w:w="801"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54" w:type="pct"/>
            <w:tcBorders>
              <w:top w:val="single" w:color="auto" w:sz="6" w:space="0"/>
              <w:left w:val="single" w:color="auto" w:sz="12" w:space="0"/>
              <w:bottom w:val="single" w:color="auto" w:sz="6" w:space="0"/>
              <w:right w:val="single" w:color="auto" w:sz="6" w:space="0"/>
            </w:tcBorders>
            <w:noWrap/>
          </w:tcPr>
          <w:p>
            <w:pPr>
              <w:jc w:val="center"/>
              <w:rPr>
                <w:szCs w:val="21"/>
              </w:rPr>
            </w:pPr>
            <w:r>
              <w:rPr>
                <w:szCs w:val="21"/>
              </w:rPr>
              <w:t>2</w:t>
            </w:r>
          </w:p>
        </w:tc>
        <w:tc>
          <w:tcPr>
            <w:tcW w:w="1268" w:type="pct"/>
            <w:tcBorders>
              <w:top w:val="single" w:color="auto" w:sz="6" w:space="0"/>
              <w:left w:val="single" w:color="auto" w:sz="6" w:space="0"/>
              <w:bottom w:val="single" w:color="auto" w:sz="6" w:space="0"/>
              <w:right w:val="single" w:color="auto" w:sz="6" w:space="0"/>
            </w:tcBorders>
            <w:noWrap/>
          </w:tcPr>
          <w:p>
            <w:pPr>
              <w:jc w:val="center"/>
              <w:rPr>
                <w:szCs w:val="21"/>
              </w:rPr>
            </w:pPr>
            <w:r>
              <w:rPr>
                <w:rFonts w:hint="eastAsia"/>
                <w:szCs w:val="21"/>
              </w:rPr>
              <w:t>天然气</w:t>
            </w:r>
          </w:p>
        </w:tc>
        <w:tc>
          <w:tcPr>
            <w:tcW w:w="547" w:type="pct"/>
            <w:tcBorders>
              <w:top w:val="single" w:color="auto" w:sz="6" w:space="0"/>
              <w:left w:val="single" w:color="auto" w:sz="6" w:space="0"/>
              <w:bottom w:val="single" w:color="auto" w:sz="6" w:space="0"/>
              <w:right w:val="single" w:color="auto" w:sz="6" w:space="0"/>
            </w:tcBorders>
            <w:noWrap/>
          </w:tcPr>
          <w:p>
            <w:pPr>
              <w:jc w:val="center"/>
              <w:rPr>
                <w:szCs w:val="21"/>
              </w:rPr>
            </w:pPr>
            <w:r>
              <w:rPr>
                <w:szCs w:val="21"/>
              </w:rPr>
              <w:t>/</w:t>
            </w:r>
          </w:p>
        </w:tc>
        <w:tc>
          <w:tcPr>
            <w:tcW w:w="909" w:type="pct"/>
            <w:tcBorders>
              <w:top w:val="single" w:color="auto" w:sz="6" w:space="0"/>
              <w:left w:val="single" w:color="auto" w:sz="6" w:space="0"/>
              <w:bottom w:val="single" w:color="auto" w:sz="6" w:space="0"/>
              <w:right w:val="single" w:color="auto" w:sz="6" w:space="0"/>
            </w:tcBorders>
            <w:noWrap/>
          </w:tcPr>
          <w:p>
            <w:pPr>
              <w:jc w:val="center"/>
              <w:rPr>
                <w:szCs w:val="21"/>
              </w:rPr>
            </w:pPr>
            <w:r>
              <w:rPr>
                <w:szCs w:val="21"/>
              </w:rPr>
              <w:t>50</w:t>
            </w:r>
          </w:p>
        </w:tc>
        <w:tc>
          <w:tcPr>
            <w:tcW w:w="1020" w:type="pct"/>
            <w:tcBorders>
              <w:top w:val="single" w:color="auto" w:sz="6" w:space="0"/>
              <w:left w:val="single" w:color="auto" w:sz="6" w:space="0"/>
              <w:bottom w:val="single" w:color="auto" w:sz="6" w:space="0"/>
              <w:right w:val="single" w:color="auto" w:sz="6" w:space="0"/>
            </w:tcBorders>
            <w:noWrap/>
          </w:tcPr>
          <w:p>
            <w:pPr>
              <w:jc w:val="center"/>
              <w:rPr>
                <w:szCs w:val="21"/>
              </w:rPr>
            </w:pPr>
            <w:r>
              <w:rPr>
                <w:szCs w:val="21"/>
              </w:rPr>
              <w:t>2.95</w:t>
            </w:r>
          </w:p>
        </w:tc>
        <w:tc>
          <w:tcPr>
            <w:tcW w:w="801"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0.059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98" w:type="pct"/>
            <w:gridSpan w:val="5"/>
            <w:tcBorders>
              <w:top w:val="single" w:color="auto" w:sz="6" w:space="0"/>
              <w:left w:val="single" w:color="auto" w:sz="12" w:space="0"/>
              <w:bottom w:val="single" w:color="auto" w:sz="12" w:space="0"/>
              <w:right w:val="single" w:color="auto" w:sz="6" w:space="0"/>
            </w:tcBorders>
            <w:noWrap/>
          </w:tcPr>
          <w:p>
            <w:pPr>
              <w:jc w:val="center"/>
              <w:rPr>
                <w:szCs w:val="21"/>
              </w:rPr>
            </w:pPr>
            <w:r>
              <w:rPr>
                <w:rFonts w:hint="eastAsia"/>
                <w:szCs w:val="21"/>
              </w:rPr>
              <w:t>项目环境风险评价</w:t>
            </w:r>
            <w:r>
              <w:rPr>
                <w:szCs w:val="21"/>
              </w:rPr>
              <w:t>Q</w:t>
            </w:r>
            <w:r>
              <w:rPr>
                <w:rFonts w:hint="eastAsia"/>
                <w:szCs w:val="21"/>
              </w:rPr>
              <w:t>值</w:t>
            </w:r>
            <w:r>
              <w:rPr>
                <w:bCs/>
                <w:szCs w:val="21"/>
              </w:rPr>
              <w:t>Ʃ</w:t>
            </w:r>
          </w:p>
        </w:tc>
        <w:tc>
          <w:tcPr>
            <w:tcW w:w="801" w:type="pct"/>
            <w:tcBorders>
              <w:top w:val="single" w:color="auto" w:sz="6" w:space="0"/>
              <w:left w:val="single" w:color="auto" w:sz="6" w:space="0"/>
              <w:bottom w:val="single" w:color="auto" w:sz="12" w:space="0"/>
              <w:right w:val="single" w:color="auto" w:sz="12" w:space="0"/>
            </w:tcBorders>
            <w:noWrap/>
            <w:vAlign w:val="center"/>
          </w:tcPr>
          <w:p>
            <w:pPr>
              <w:jc w:val="center"/>
              <w:rPr>
                <w:szCs w:val="21"/>
              </w:rPr>
            </w:pPr>
            <w:r>
              <w:rPr>
                <w:szCs w:val="21"/>
              </w:rPr>
              <w:t>0.0592</w:t>
            </w:r>
          </w:p>
        </w:tc>
      </w:tr>
    </w:tbl>
    <w:p>
      <w:pPr>
        <w:spacing w:line="500" w:lineRule="exact"/>
        <w:ind w:firstLine="480" w:firstLineChars="200"/>
        <w:rPr>
          <w:bCs/>
          <w:sz w:val="24"/>
        </w:rPr>
      </w:pPr>
      <w:r>
        <w:rPr>
          <w:rFonts w:hint="eastAsia"/>
          <w:bCs/>
          <w:sz w:val="24"/>
        </w:rPr>
        <w:t>（</w:t>
      </w:r>
      <w:r>
        <w:rPr>
          <w:bCs/>
          <w:sz w:val="24"/>
        </w:rPr>
        <w:t>2</w:t>
      </w:r>
      <w:r>
        <w:rPr>
          <w:rFonts w:hint="eastAsia"/>
          <w:bCs/>
          <w:sz w:val="24"/>
        </w:rPr>
        <w:t>）环境风险</w:t>
      </w:r>
      <w:r>
        <w:rPr>
          <w:rFonts w:hint="eastAsia"/>
          <w:sz w:val="24"/>
        </w:rPr>
        <w:t>潜势</w:t>
      </w:r>
      <w:r>
        <w:rPr>
          <w:rFonts w:hint="eastAsia"/>
          <w:bCs/>
          <w:sz w:val="24"/>
        </w:rPr>
        <w:t>划分</w:t>
      </w:r>
    </w:p>
    <w:p>
      <w:pPr>
        <w:autoSpaceDE w:val="0"/>
        <w:autoSpaceDN w:val="0"/>
        <w:adjustRightInd w:val="0"/>
        <w:spacing w:line="500" w:lineRule="exact"/>
        <w:ind w:firstLine="480" w:firstLineChars="200"/>
        <w:jc w:val="left"/>
        <w:rPr>
          <w:bCs/>
          <w:sz w:val="24"/>
        </w:rPr>
      </w:pPr>
      <w:r>
        <w:rPr>
          <w:rFonts w:hint="eastAsia"/>
          <w:bCs/>
          <w:sz w:val="24"/>
        </w:rPr>
        <w:t>本项目</w:t>
      </w:r>
      <w:r>
        <w:rPr>
          <w:kern w:val="0"/>
          <w:sz w:val="24"/>
        </w:rPr>
        <w:t>Q</w:t>
      </w:r>
      <w:r>
        <w:rPr>
          <w:rFonts w:hint="eastAsia"/>
          <w:kern w:val="0"/>
          <w:sz w:val="24"/>
        </w:rPr>
        <w:t>＜</w:t>
      </w:r>
      <w:r>
        <w:rPr>
          <w:kern w:val="0"/>
          <w:sz w:val="24"/>
        </w:rPr>
        <w:t>1</w:t>
      </w:r>
      <w:r>
        <w:rPr>
          <w:rFonts w:hint="eastAsia"/>
          <w:kern w:val="0"/>
          <w:sz w:val="24"/>
        </w:rPr>
        <w:t>，</w:t>
      </w:r>
      <w:r>
        <w:rPr>
          <w:rFonts w:hint="eastAsia"/>
          <w:bCs/>
          <w:sz w:val="24"/>
        </w:rPr>
        <w:t>因此，确定本项目环境风险</w:t>
      </w:r>
      <w:r>
        <w:rPr>
          <w:rFonts w:hint="eastAsia"/>
          <w:sz w:val="24"/>
        </w:rPr>
        <w:t>潜势</w:t>
      </w:r>
      <w:r>
        <w:rPr>
          <w:rFonts w:hint="eastAsia"/>
          <w:bCs/>
          <w:sz w:val="24"/>
        </w:rPr>
        <w:t>为</w:t>
      </w:r>
      <w:r>
        <w:rPr>
          <w:rFonts w:hint="eastAsia" w:ascii="宋体" w:hAnsi="宋体" w:cs="宋体"/>
          <w:kern w:val="0"/>
          <w:sz w:val="24"/>
        </w:rPr>
        <w:t>Ⅰ</w:t>
      </w:r>
      <w:r>
        <w:rPr>
          <w:rFonts w:hint="eastAsia"/>
          <w:bCs/>
          <w:sz w:val="24"/>
        </w:rPr>
        <w:t>。</w:t>
      </w:r>
    </w:p>
    <w:p>
      <w:pPr>
        <w:spacing w:line="500" w:lineRule="exact"/>
        <w:ind w:firstLine="480" w:firstLineChars="200"/>
        <w:rPr>
          <w:sz w:val="24"/>
        </w:rPr>
      </w:pPr>
      <w:r>
        <w:rPr>
          <w:rFonts w:hint="eastAsia"/>
          <w:sz w:val="24"/>
        </w:rPr>
        <w:t>（</w:t>
      </w:r>
      <w:r>
        <w:rPr>
          <w:sz w:val="24"/>
        </w:rPr>
        <w:t>3</w:t>
      </w:r>
      <w:r>
        <w:rPr>
          <w:rFonts w:hint="eastAsia"/>
          <w:sz w:val="24"/>
        </w:rPr>
        <w:t>）评价等级</w:t>
      </w:r>
    </w:p>
    <w:p>
      <w:pPr>
        <w:spacing w:line="500" w:lineRule="exact"/>
        <w:ind w:firstLine="480" w:firstLineChars="200"/>
        <w:rPr>
          <w:sz w:val="24"/>
        </w:rPr>
      </w:pPr>
      <w:r>
        <w:rPr>
          <w:rFonts w:hint="eastAsia"/>
          <w:sz w:val="24"/>
        </w:rPr>
        <w:t>根据《建设项目环境风险评价技术导则》（</w:t>
      </w:r>
      <w:r>
        <w:rPr>
          <w:sz w:val="24"/>
        </w:rPr>
        <w:t>HJ/T169-2018</w:t>
      </w:r>
      <w:r>
        <w:rPr>
          <w:rFonts w:hint="eastAsia"/>
          <w:sz w:val="24"/>
        </w:rPr>
        <w:t>）中的划分依据和原则，本项目环境风险潜势</w:t>
      </w:r>
      <w:r>
        <w:rPr>
          <w:rFonts w:hint="eastAsia"/>
          <w:bCs/>
          <w:sz w:val="24"/>
        </w:rPr>
        <w:t>为</w:t>
      </w:r>
      <w:r>
        <w:rPr>
          <w:rFonts w:hint="eastAsia" w:ascii="宋体" w:hAnsi="宋体" w:cs="宋体"/>
          <w:kern w:val="0"/>
          <w:sz w:val="24"/>
        </w:rPr>
        <w:t>Ⅰ</w:t>
      </w:r>
      <w:r>
        <w:rPr>
          <w:rFonts w:hint="eastAsia"/>
          <w:sz w:val="24"/>
        </w:rPr>
        <w:t>。根据《建设项目环境风险评价技术导则》（</w:t>
      </w:r>
      <w:r>
        <w:rPr>
          <w:sz w:val="24"/>
        </w:rPr>
        <w:t>HJ/T169-2018</w:t>
      </w:r>
      <w:r>
        <w:rPr>
          <w:rFonts w:hint="eastAsia"/>
          <w:sz w:val="24"/>
        </w:rPr>
        <w:t>）中表</w:t>
      </w:r>
      <w:r>
        <w:rPr>
          <w:sz w:val="24"/>
        </w:rPr>
        <w:t>1</w:t>
      </w:r>
      <w:r>
        <w:rPr>
          <w:rFonts w:hint="eastAsia"/>
          <w:sz w:val="24"/>
        </w:rPr>
        <w:t>评价工作等级划分表，本次评价确定环境风险评价等级为简单分析。评价工作等级划分见表</w:t>
      </w:r>
      <w:r>
        <w:rPr>
          <w:sz w:val="24"/>
        </w:rPr>
        <w:t>5.</w:t>
      </w:r>
      <w:r>
        <w:rPr>
          <w:rFonts w:hint="eastAsia"/>
          <w:sz w:val="24"/>
        </w:rPr>
        <w:t>8</w:t>
      </w:r>
      <w:r>
        <w:rPr>
          <w:sz w:val="24"/>
        </w:rPr>
        <w:t>-3</w:t>
      </w:r>
      <w:r>
        <w:rPr>
          <w:rFonts w:hint="eastAsia"/>
          <w:sz w:val="24"/>
        </w:rPr>
        <w:t>。</w:t>
      </w:r>
    </w:p>
    <w:p>
      <w:pPr>
        <w:spacing w:line="500" w:lineRule="exact"/>
        <w:jc w:val="center"/>
        <w:rPr>
          <w:b/>
          <w:szCs w:val="21"/>
        </w:rPr>
      </w:pPr>
      <w:r>
        <w:rPr>
          <w:rFonts w:hint="eastAsia"/>
          <w:b/>
          <w:szCs w:val="21"/>
        </w:rPr>
        <w:t>表</w:t>
      </w:r>
      <w:r>
        <w:rPr>
          <w:b/>
          <w:szCs w:val="21"/>
        </w:rPr>
        <w:t>5.</w:t>
      </w:r>
      <w:r>
        <w:rPr>
          <w:rFonts w:hint="eastAsia"/>
          <w:b/>
          <w:szCs w:val="21"/>
        </w:rPr>
        <w:t>8</w:t>
      </w:r>
      <w:r>
        <w:rPr>
          <w:b/>
          <w:szCs w:val="21"/>
        </w:rPr>
        <w:t xml:space="preserve">-3  </w:t>
      </w:r>
      <w:r>
        <w:rPr>
          <w:rFonts w:hint="eastAsia"/>
          <w:b/>
          <w:szCs w:val="21"/>
        </w:rPr>
        <w:t>评价工作等级划分表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72"/>
        <w:gridCol w:w="1857"/>
        <w:gridCol w:w="2035"/>
        <w:gridCol w:w="1857"/>
        <w:gridCol w:w="18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01" w:type="pct"/>
            <w:tcBorders>
              <w:top w:val="single" w:color="auto" w:sz="12" w:space="0"/>
              <w:left w:val="single" w:color="auto" w:sz="12" w:space="0"/>
              <w:bottom w:val="single" w:color="auto" w:sz="6" w:space="0"/>
              <w:right w:val="single" w:color="auto" w:sz="6" w:space="0"/>
            </w:tcBorders>
            <w:noWrap/>
            <w:vAlign w:val="center"/>
          </w:tcPr>
          <w:p>
            <w:pPr>
              <w:jc w:val="center"/>
              <w:rPr>
                <w:szCs w:val="21"/>
              </w:rPr>
            </w:pPr>
            <w:r>
              <w:rPr>
                <w:rFonts w:hint="eastAsia"/>
                <w:szCs w:val="21"/>
              </w:rPr>
              <w:t>环境风险潜势</w:t>
            </w:r>
          </w:p>
        </w:tc>
        <w:tc>
          <w:tcPr>
            <w:tcW w:w="1000" w:type="pct"/>
            <w:tcBorders>
              <w:top w:val="single" w:color="auto" w:sz="12" w:space="0"/>
              <w:left w:val="single" w:color="auto" w:sz="6" w:space="0"/>
              <w:bottom w:val="single" w:color="auto" w:sz="6" w:space="0"/>
              <w:right w:val="single" w:color="auto" w:sz="6" w:space="0"/>
            </w:tcBorders>
            <w:noWrap/>
            <w:vAlign w:val="center"/>
          </w:tcPr>
          <w:p>
            <w:pPr>
              <w:jc w:val="center"/>
              <w:rPr>
                <w:szCs w:val="21"/>
              </w:rPr>
            </w:pPr>
            <w:r>
              <w:rPr>
                <w:szCs w:val="21"/>
              </w:rPr>
              <w:t>IV</w:t>
            </w:r>
            <w:r>
              <w:rPr>
                <w:rFonts w:hint="eastAsia"/>
                <w:szCs w:val="21"/>
              </w:rPr>
              <w:t>、</w:t>
            </w:r>
            <w:r>
              <w:rPr>
                <w:szCs w:val="21"/>
              </w:rPr>
              <w:t>IV+</w:t>
            </w:r>
          </w:p>
        </w:tc>
        <w:tc>
          <w:tcPr>
            <w:tcW w:w="1096" w:type="pct"/>
            <w:tcBorders>
              <w:top w:val="single" w:color="auto" w:sz="12" w:space="0"/>
              <w:left w:val="single" w:color="auto" w:sz="6" w:space="0"/>
              <w:bottom w:val="single" w:color="auto" w:sz="6" w:space="0"/>
              <w:right w:val="single" w:color="auto" w:sz="6" w:space="0"/>
            </w:tcBorders>
            <w:noWrap/>
            <w:vAlign w:val="center"/>
          </w:tcPr>
          <w:p>
            <w:pPr>
              <w:jc w:val="center"/>
              <w:rPr>
                <w:szCs w:val="21"/>
              </w:rPr>
            </w:pPr>
            <w:r>
              <w:rPr>
                <w:szCs w:val="21"/>
              </w:rPr>
              <w:t>III</w:t>
            </w:r>
          </w:p>
        </w:tc>
        <w:tc>
          <w:tcPr>
            <w:tcW w:w="1000" w:type="pct"/>
            <w:tcBorders>
              <w:top w:val="single" w:color="auto" w:sz="12" w:space="0"/>
              <w:left w:val="single" w:color="auto" w:sz="6" w:space="0"/>
              <w:bottom w:val="single" w:color="auto" w:sz="6" w:space="0"/>
              <w:right w:val="single" w:color="auto" w:sz="6" w:space="0"/>
            </w:tcBorders>
            <w:noWrap/>
            <w:vAlign w:val="center"/>
          </w:tcPr>
          <w:p>
            <w:pPr>
              <w:jc w:val="center"/>
              <w:rPr>
                <w:szCs w:val="21"/>
              </w:rPr>
            </w:pPr>
            <w:r>
              <w:rPr>
                <w:szCs w:val="21"/>
              </w:rPr>
              <w:t>II</w:t>
            </w:r>
          </w:p>
        </w:tc>
        <w:tc>
          <w:tcPr>
            <w:tcW w:w="1001" w:type="pct"/>
            <w:tcBorders>
              <w:top w:val="single" w:color="auto" w:sz="12" w:space="0"/>
              <w:left w:val="single" w:color="auto" w:sz="6" w:space="0"/>
              <w:bottom w:val="single" w:color="auto" w:sz="6" w:space="0"/>
              <w:right w:val="single" w:color="auto" w:sz="12" w:space="0"/>
            </w:tcBorders>
            <w:noWrap/>
            <w:vAlign w:val="center"/>
          </w:tcPr>
          <w:p>
            <w:pPr>
              <w:jc w:val="center"/>
              <w:rPr>
                <w:szCs w:val="21"/>
              </w:rPr>
            </w:pPr>
            <w:r>
              <w:rPr>
                <w:szCs w:val="21"/>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01" w:type="pct"/>
            <w:tcBorders>
              <w:top w:val="single" w:color="auto" w:sz="6" w:space="0"/>
              <w:left w:val="single" w:color="auto" w:sz="12" w:space="0"/>
              <w:bottom w:val="single" w:color="auto" w:sz="12" w:space="0"/>
              <w:right w:val="single" w:color="auto" w:sz="6" w:space="0"/>
            </w:tcBorders>
            <w:noWrap/>
            <w:vAlign w:val="center"/>
          </w:tcPr>
          <w:p>
            <w:pPr>
              <w:jc w:val="center"/>
              <w:rPr>
                <w:szCs w:val="21"/>
              </w:rPr>
            </w:pPr>
            <w:r>
              <w:rPr>
                <w:rFonts w:hint="eastAsia"/>
                <w:szCs w:val="21"/>
              </w:rPr>
              <w:t>评价工作等级</w:t>
            </w:r>
          </w:p>
        </w:tc>
        <w:tc>
          <w:tcPr>
            <w:tcW w:w="1000" w:type="pct"/>
            <w:tcBorders>
              <w:top w:val="single" w:color="auto" w:sz="6" w:space="0"/>
              <w:left w:val="single" w:color="auto" w:sz="6" w:space="0"/>
              <w:bottom w:val="single" w:color="auto" w:sz="12" w:space="0"/>
              <w:right w:val="single" w:color="auto" w:sz="6" w:space="0"/>
            </w:tcBorders>
            <w:noWrap/>
            <w:vAlign w:val="center"/>
          </w:tcPr>
          <w:p>
            <w:pPr>
              <w:jc w:val="center"/>
              <w:rPr>
                <w:szCs w:val="21"/>
              </w:rPr>
            </w:pPr>
            <w:r>
              <w:rPr>
                <w:rFonts w:hint="eastAsia"/>
                <w:szCs w:val="21"/>
              </w:rPr>
              <w:t>一</w:t>
            </w:r>
          </w:p>
        </w:tc>
        <w:tc>
          <w:tcPr>
            <w:tcW w:w="1096" w:type="pct"/>
            <w:tcBorders>
              <w:top w:val="single" w:color="auto" w:sz="6" w:space="0"/>
              <w:left w:val="single" w:color="auto" w:sz="6" w:space="0"/>
              <w:bottom w:val="single" w:color="auto" w:sz="12" w:space="0"/>
              <w:right w:val="single" w:color="auto" w:sz="6" w:space="0"/>
            </w:tcBorders>
            <w:noWrap/>
            <w:vAlign w:val="center"/>
          </w:tcPr>
          <w:p>
            <w:pPr>
              <w:jc w:val="center"/>
              <w:rPr>
                <w:szCs w:val="21"/>
              </w:rPr>
            </w:pPr>
            <w:r>
              <w:rPr>
                <w:rFonts w:hint="eastAsia"/>
                <w:szCs w:val="21"/>
              </w:rPr>
              <w:t>二</w:t>
            </w:r>
          </w:p>
        </w:tc>
        <w:tc>
          <w:tcPr>
            <w:tcW w:w="1000" w:type="pct"/>
            <w:tcBorders>
              <w:top w:val="single" w:color="auto" w:sz="6" w:space="0"/>
              <w:left w:val="single" w:color="auto" w:sz="6" w:space="0"/>
              <w:bottom w:val="single" w:color="auto" w:sz="12" w:space="0"/>
              <w:right w:val="single" w:color="auto" w:sz="6" w:space="0"/>
            </w:tcBorders>
            <w:noWrap/>
            <w:vAlign w:val="center"/>
          </w:tcPr>
          <w:p>
            <w:pPr>
              <w:jc w:val="center"/>
              <w:rPr>
                <w:szCs w:val="21"/>
              </w:rPr>
            </w:pPr>
            <w:r>
              <w:rPr>
                <w:rFonts w:hint="eastAsia"/>
                <w:szCs w:val="21"/>
              </w:rPr>
              <w:t>三</w:t>
            </w:r>
          </w:p>
        </w:tc>
        <w:tc>
          <w:tcPr>
            <w:tcW w:w="1001" w:type="pct"/>
            <w:tcBorders>
              <w:top w:val="single" w:color="auto" w:sz="6" w:space="0"/>
              <w:left w:val="single" w:color="auto" w:sz="6" w:space="0"/>
              <w:bottom w:val="single" w:color="auto" w:sz="12" w:space="0"/>
              <w:right w:val="single" w:color="auto" w:sz="12" w:space="0"/>
            </w:tcBorders>
            <w:noWrap/>
            <w:vAlign w:val="center"/>
          </w:tcPr>
          <w:p>
            <w:pPr>
              <w:jc w:val="center"/>
              <w:rPr>
                <w:szCs w:val="21"/>
              </w:rPr>
            </w:pPr>
            <w:r>
              <w:rPr>
                <w:rFonts w:hint="eastAsia"/>
                <w:szCs w:val="21"/>
              </w:rPr>
              <w:t>简单分析</w:t>
            </w:r>
          </w:p>
        </w:tc>
      </w:tr>
    </w:tbl>
    <w:p>
      <w:pPr>
        <w:spacing w:line="500" w:lineRule="exact"/>
        <w:outlineLvl w:val="2"/>
        <w:rPr>
          <w:rFonts w:eastAsiaTheme="minorEastAsia"/>
          <w:b/>
          <w:sz w:val="24"/>
          <w:lang w:val="en-GB"/>
        </w:rPr>
      </w:pPr>
      <w:r>
        <w:rPr>
          <w:rFonts w:eastAsiaTheme="minorEastAsia"/>
          <w:b/>
          <w:sz w:val="24"/>
          <w:lang w:val="en-GB"/>
        </w:rPr>
        <w:t>5.</w:t>
      </w:r>
      <w:r>
        <w:rPr>
          <w:rFonts w:hint="eastAsia" w:eastAsiaTheme="minorEastAsia"/>
          <w:b/>
          <w:sz w:val="24"/>
        </w:rPr>
        <w:t>8</w:t>
      </w:r>
      <w:r>
        <w:rPr>
          <w:rFonts w:eastAsiaTheme="minorEastAsia"/>
          <w:b/>
          <w:sz w:val="24"/>
          <w:lang w:val="en-GB"/>
        </w:rPr>
        <w:t>.3</w:t>
      </w:r>
      <w:r>
        <w:rPr>
          <w:rFonts w:hint="eastAsia" w:eastAsiaTheme="minorEastAsia"/>
          <w:b/>
          <w:sz w:val="24"/>
          <w:lang w:val="en-GB"/>
        </w:rPr>
        <w:t>环境敏感目标调查</w:t>
      </w:r>
    </w:p>
    <w:p>
      <w:pPr>
        <w:adjustRightInd w:val="0"/>
        <w:snapToGrid w:val="0"/>
        <w:spacing w:line="500" w:lineRule="exact"/>
        <w:ind w:firstLine="480" w:firstLineChars="200"/>
        <w:rPr>
          <w:spacing w:val="4"/>
          <w:sz w:val="24"/>
        </w:rPr>
      </w:pPr>
      <w:r>
        <w:rPr>
          <w:rFonts w:hint="eastAsia"/>
          <w:sz w:val="24"/>
        </w:rPr>
        <w:t>根据本项目的工程特性，类比同类型项目的风险分析，</w:t>
      </w:r>
      <w:r>
        <w:rPr>
          <w:rFonts w:hint="eastAsia"/>
          <w:spacing w:val="4"/>
          <w:sz w:val="24"/>
        </w:rPr>
        <w:t>机械设备和车辆使用的油类物质泄露或燃烧以及天然气泄露或燃烧对环境造成的影响，</w:t>
      </w:r>
      <w:r>
        <w:rPr>
          <w:rFonts w:hint="eastAsia"/>
          <w:sz w:val="24"/>
        </w:rPr>
        <w:t>确定</w:t>
      </w:r>
      <w:r>
        <w:rPr>
          <w:rFonts w:hint="eastAsia"/>
          <w:spacing w:val="4"/>
          <w:sz w:val="24"/>
        </w:rPr>
        <w:t>油类以及天然气储罐物质泄露或燃烧</w:t>
      </w:r>
      <w:r>
        <w:rPr>
          <w:rFonts w:hint="eastAsia"/>
          <w:sz w:val="24"/>
        </w:rPr>
        <w:t>为风险控制主要环节，因此本项目敏感目标主要为周围的</w:t>
      </w:r>
      <w:r>
        <w:rPr>
          <w:rFonts w:hint="eastAsia"/>
          <w:spacing w:val="4"/>
          <w:sz w:val="24"/>
        </w:rPr>
        <w:t>村庄南窑沟村及北窑沟村、</w:t>
      </w:r>
      <w:r>
        <w:rPr>
          <w:rFonts w:hint="eastAsia"/>
          <w:sz w:val="24"/>
        </w:rPr>
        <w:t>下风向地表植被等。</w:t>
      </w:r>
    </w:p>
    <w:p>
      <w:pPr>
        <w:spacing w:line="500" w:lineRule="exact"/>
        <w:outlineLvl w:val="2"/>
        <w:rPr>
          <w:rFonts w:eastAsiaTheme="minorEastAsia"/>
          <w:b/>
          <w:sz w:val="24"/>
          <w:lang w:val="en-GB"/>
        </w:rPr>
      </w:pPr>
      <w:r>
        <w:rPr>
          <w:rFonts w:eastAsiaTheme="minorEastAsia"/>
          <w:b/>
          <w:sz w:val="24"/>
          <w:lang w:val="en-GB"/>
        </w:rPr>
        <w:t>5.</w:t>
      </w:r>
      <w:r>
        <w:rPr>
          <w:rFonts w:hint="eastAsia" w:eastAsiaTheme="minorEastAsia"/>
          <w:b/>
          <w:sz w:val="24"/>
        </w:rPr>
        <w:t>8</w:t>
      </w:r>
      <w:r>
        <w:rPr>
          <w:rFonts w:eastAsiaTheme="minorEastAsia"/>
          <w:b/>
          <w:sz w:val="24"/>
          <w:lang w:val="en-GB"/>
        </w:rPr>
        <w:t>.4</w:t>
      </w:r>
      <w:r>
        <w:rPr>
          <w:rFonts w:hint="eastAsia" w:eastAsiaTheme="minorEastAsia"/>
          <w:b/>
          <w:sz w:val="24"/>
          <w:lang w:val="en-GB"/>
        </w:rPr>
        <w:t>环境风险识别</w:t>
      </w:r>
    </w:p>
    <w:p>
      <w:pPr>
        <w:adjustRightInd w:val="0"/>
        <w:snapToGrid w:val="0"/>
        <w:spacing w:line="500" w:lineRule="exact"/>
        <w:ind w:firstLine="480" w:firstLineChars="200"/>
        <w:rPr>
          <w:sz w:val="24"/>
        </w:rPr>
      </w:pPr>
      <w:r>
        <w:rPr>
          <w:rFonts w:hint="eastAsia"/>
          <w:sz w:val="24"/>
        </w:rPr>
        <w:t>根据本项目的工程特性，类比同类型项目的风险分析，确定天然气储罐及油类物质泄露或燃烧为风险控制主要环节。</w:t>
      </w:r>
    </w:p>
    <w:p>
      <w:pPr>
        <w:adjustRightInd w:val="0"/>
        <w:snapToGrid w:val="0"/>
        <w:spacing w:line="500" w:lineRule="exact"/>
        <w:ind w:firstLine="480" w:firstLineChars="200"/>
        <w:rPr>
          <w:sz w:val="24"/>
        </w:rPr>
      </w:pPr>
      <w:r>
        <w:rPr>
          <w:rFonts w:hint="eastAsia"/>
          <w:sz w:val="24"/>
        </w:rPr>
        <w:t>本项目风险物质油类物质主要为机械设备检修产生废矿物油等，储存量约</w:t>
      </w:r>
      <w:r>
        <w:rPr>
          <w:sz w:val="24"/>
        </w:rPr>
        <w:t>0.5t</w:t>
      </w:r>
      <w:r>
        <w:rPr>
          <w:rFonts w:hint="eastAsia"/>
          <w:sz w:val="24"/>
        </w:rPr>
        <w:t>，日常储存在工业场地的危废暂存间内。</w:t>
      </w:r>
    </w:p>
    <w:p>
      <w:pPr>
        <w:adjustRightInd w:val="0"/>
        <w:snapToGrid w:val="0"/>
        <w:spacing w:line="500" w:lineRule="exact"/>
        <w:ind w:firstLine="480" w:firstLineChars="200"/>
      </w:pPr>
      <w:r>
        <w:rPr>
          <w:rFonts w:hint="eastAsia"/>
          <w:sz w:val="24"/>
        </w:rPr>
        <w:t>液化天然气储罐配套采暖锅炉，仅在冬季采暖期有液化天然气的储存，最大储存量约</w:t>
      </w:r>
      <w:r>
        <w:rPr>
          <w:sz w:val="24"/>
        </w:rPr>
        <w:t>2.95t</w:t>
      </w:r>
      <w:r>
        <w:rPr>
          <w:rFonts w:hint="eastAsia"/>
          <w:sz w:val="24"/>
        </w:rPr>
        <w:t>。</w:t>
      </w:r>
    </w:p>
    <w:p>
      <w:pPr>
        <w:spacing w:line="500" w:lineRule="exact"/>
        <w:outlineLvl w:val="2"/>
        <w:rPr>
          <w:rFonts w:eastAsiaTheme="minorEastAsia"/>
          <w:b/>
          <w:sz w:val="24"/>
          <w:lang w:val="en-GB"/>
        </w:rPr>
      </w:pPr>
      <w:r>
        <w:rPr>
          <w:rFonts w:eastAsiaTheme="minorEastAsia"/>
          <w:b/>
          <w:sz w:val="24"/>
          <w:lang w:val="en-GB"/>
        </w:rPr>
        <w:t>5.</w:t>
      </w:r>
      <w:r>
        <w:rPr>
          <w:rFonts w:hint="eastAsia" w:eastAsiaTheme="minorEastAsia"/>
          <w:b/>
          <w:sz w:val="24"/>
        </w:rPr>
        <w:t>8</w:t>
      </w:r>
      <w:r>
        <w:rPr>
          <w:rFonts w:eastAsiaTheme="minorEastAsia"/>
          <w:b/>
          <w:sz w:val="24"/>
          <w:lang w:val="en-GB"/>
        </w:rPr>
        <w:t>.</w:t>
      </w:r>
      <w:r>
        <w:rPr>
          <w:rFonts w:eastAsiaTheme="minorEastAsia"/>
          <w:b/>
          <w:sz w:val="24"/>
        </w:rPr>
        <w:t>5</w:t>
      </w:r>
      <w:r>
        <w:rPr>
          <w:rFonts w:hint="eastAsia" w:eastAsiaTheme="minorEastAsia"/>
          <w:b/>
          <w:sz w:val="24"/>
          <w:lang w:val="en-GB"/>
        </w:rPr>
        <w:t>环境风险分析</w:t>
      </w:r>
    </w:p>
    <w:p>
      <w:pPr>
        <w:adjustRightInd w:val="0"/>
        <w:snapToGrid w:val="0"/>
        <w:spacing w:line="500" w:lineRule="exact"/>
        <w:ind w:firstLine="480" w:firstLineChars="200"/>
      </w:pPr>
      <w:r>
        <w:rPr>
          <w:rFonts w:hint="eastAsia"/>
          <w:sz w:val="24"/>
        </w:rPr>
        <w:t>事故情况下，当油桶泄露时，油类物质可能通过场地地面入渗地下，或者流入附近冲沟，污染地表水和周围土壤。当油类物质遇明火出现燃烧等情况时，燃烧废气造成大气污染，消防废水的排放造成地表水和土壤污染。液化天然气泄露遇明火可能发生火灾、爆炸等事故，消防废水的排放造成地表水和土壤污染。</w:t>
      </w:r>
    </w:p>
    <w:p>
      <w:pPr>
        <w:spacing w:line="500" w:lineRule="exact"/>
        <w:outlineLvl w:val="2"/>
        <w:rPr>
          <w:rFonts w:eastAsiaTheme="minorEastAsia"/>
          <w:b/>
          <w:sz w:val="24"/>
          <w:lang w:val="en-GB"/>
        </w:rPr>
      </w:pPr>
      <w:r>
        <w:rPr>
          <w:rFonts w:eastAsiaTheme="minorEastAsia"/>
          <w:b/>
          <w:sz w:val="24"/>
          <w:lang w:val="en-GB"/>
        </w:rPr>
        <w:t>5.</w:t>
      </w:r>
      <w:r>
        <w:rPr>
          <w:rFonts w:hint="eastAsia" w:eastAsiaTheme="minorEastAsia"/>
          <w:b/>
          <w:sz w:val="24"/>
        </w:rPr>
        <w:t>8</w:t>
      </w:r>
      <w:r>
        <w:rPr>
          <w:rFonts w:eastAsiaTheme="minorEastAsia"/>
          <w:b/>
          <w:sz w:val="24"/>
          <w:lang w:val="en-GB"/>
        </w:rPr>
        <w:t>.</w:t>
      </w:r>
      <w:r>
        <w:rPr>
          <w:rFonts w:eastAsiaTheme="minorEastAsia"/>
          <w:b/>
          <w:sz w:val="24"/>
        </w:rPr>
        <w:t>6</w:t>
      </w:r>
      <w:r>
        <w:rPr>
          <w:rFonts w:hint="eastAsia" w:eastAsiaTheme="minorEastAsia"/>
          <w:b/>
          <w:sz w:val="24"/>
          <w:lang w:val="en-GB"/>
        </w:rPr>
        <w:t>环境风险防范措施及应急要求</w:t>
      </w:r>
    </w:p>
    <w:p>
      <w:pPr>
        <w:adjustRightInd w:val="0"/>
        <w:snapToGrid w:val="0"/>
        <w:spacing w:line="500" w:lineRule="exact"/>
        <w:ind w:firstLine="496" w:firstLineChars="200"/>
        <w:rPr>
          <w:spacing w:val="4"/>
          <w:sz w:val="24"/>
        </w:rPr>
      </w:pPr>
      <w:r>
        <w:rPr>
          <w:rFonts w:hint="eastAsia"/>
          <w:spacing w:val="4"/>
          <w:sz w:val="24"/>
        </w:rPr>
        <w:t>（</w:t>
      </w:r>
      <w:r>
        <w:rPr>
          <w:spacing w:val="4"/>
          <w:sz w:val="24"/>
        </w:rPr>
        <w:t>1</w:t>
      </w:r>
      <w:r>
        <w:rPr>
          <w:rFonts w:hint="eastAsia"/>
          <w:spacing w:val="4"/>
          <w:sz w:val="24"/>
        </w:rPr>
        <w:t>）建设和管理必须遵守《中华人民共和国矿山安全法》、《中华人民共和国矿山安全法实施条例》。</w:t>
      </w:r>
    </w:p>
    <w:p>
      <w:pPr>
        <w:adjustRightInd w:val="0"/>
        <w:snapToGrid w:val="0"/>
        <w:spacing w:line="500" w:lineRule="exact"/>
        <w:ind w:firstLine="496" w:firstLineChars="200"/>
        <w:rPr>
          <w:spacing w:val="4"/>
          <w:sz w:val="24"/>
        </w:rPr>
      </w:pPr>
      <w:r>
        <w:rPr>
          <w:rFonts w:hint="eastAsia"/>
          <w:spacing w:val="4"/>
          <w:sz w:val="24"/>
        </w:rPr>
        <w:t>（</w:t>
      </w:r>
      <w:r>
        <w:rPr>
          <w:spacing w:val="4"/>
          <w:sz w:val="24"/>
        </w:rPr>
        <w:t>2</w:t>
      </w:r>
      <w:r>
        <w:rPr>
          <w:rFonts w:hint="eastAsia"/>
          <w:spacing w:val="4"/>
          <w:sz w:val="24"/>
        </w:rPr>
        <w:t>）落实安全生产责任制，明确安全生产职责，加强监管，及时发现隐患。</w:t>
      </w:r>
    </w:p>
    <w:p>
      <w:pPr>
        <w:adjustRightInd w:val="0"/>
        <w:snapToGrid w:val="0"/>
        <w:spacing w:line="500" w:lineRule="exact"/>
        <w:ind w:firstLine="496" w:firstLineChars="200"/>
        <w:rPr>
          <w:spacing w:val="4"/>
          <w:sz w:val="24"/>
        </w:rPr>
      </w:pPr>
      <w:r>
        <w:rPr>
          <w:rFonts w:hint="eastAsia"/>
          <w:spacing w:val="4"/>
          <w:sz w:val="24"/>
        </w:rPr>
        <w:t>（</w:t>
      </w:r>
      <w:r>
        <w:rPr>
          <w:spacing w:val="4"/>
          <w:sz w:val="24"/>
        </w:rPr>
        <w:t>3</w:t>
      </w:r>
      <w:r>
        <w:rPr>
          <w:rFonts w:hint="eastAsia"/>
          <w:spacing w:val="4"/>
          <w:sz w:val="24"/>
        </w:rPr>
        <w:t>）为了防患于未然，防止或减缓环境风险及其危害，企业首先应制定相应的环境风险应急预案，以便在突发事故出现时，有计划、有步骤的及时处理突发事件，必要时进行环境风险事故演习，通过演习，增强员工环境风险事故应急意识，同时对预案进行必要的修订，使预案更加切合实际，便于操作。</w:t>
      </w:r>
    </w:p>
    <w:p>
      <w:pPr>
        <w:adjustRightInd w:val="0"/>
        <w:snapToGrid w:val="0"/>
        <w:spacing w:line="500" w:lineRule="exact"/>
        <w:ind w:firstLine="496" w:firstLineChars="200"/>
        <w:rPr>
          <w:spacing w:val="4"/>
          <w:sz w:val="24"/>
        </w:rPr>
      </w:pPr>
      <w:r>
        <w:rPr>
          <w:rFonts w:hint="eastAsia"/>
          <w:spacing w:val="4"/>
          <w:sz w:val="24"/>
        </w:rPr>
        <w:t>（</w:t>
      </w:r>
      <w:r>
        <w:rPr>
          <w:spacing w:val="4"/>
          <w:sz w:val="24"/>
        </w:rPr>
        <w:t>4</w:t>
      </w:r>
      <w:r>
        <w:rPr>
          <w:rFonts w:hint="eastAsia"/>
          <w:spacing w:val="4"/>
          <w:sz w:val="24"/>
        </w:rPr>
        <w:t>）矿井范围内发生重大事故时，本预案与《矿井重大安全事故预防措施和应急预案》一并执行。矿调度室及相关抢救单位要做好抢救记录和演练记录，并按一体化文件要求进行评审。</w:t>
      </w:r>
    </w:p>
    <w:p>
      <w:pPr>
        <w:pStyle w:val="99"/>
        <w:spacing w:line="500" w:lineRule="exact"/>
        <w:ind w:firstLine="496" w:firstLineChars="200"/>
        <w:rPr>
          <w:rFonts w:ascii="Times New Roman" w:hAnsi="Times New Roman" w:eastAsia="宋体" w:cs="Times New Roman"/>
          <w:color w:val="auto"/>
          <w:spacing w:val="4"/>
          <w:szCs w:val="24"/>
        </w:rPr>
      </w:pPr>
      <w:r>
        <w:rPr>
          <w:rFonts w:hint="eastAsia" w:ascii="Times New Roman" w:hAnsi="Times New Roman" w:eastAsia="宋体" w:cs="Times New Roman"/>
          <w:color w:val="auto"/>
          <w:spacing w:val="4"/>
          <w:szCs w:val="24"/>
        </w:rPr>
        <w:t>（</w:t>
      </w:r>
      <w:r>
        <w:rPr>
          <w:rFonts w:ascii="Times New Roman" w:hAnsi="Times New Roman" w:eastAsia="宋体" w:cs="Times New Roman"/>
          <w:color w:val="auto"/>
          <w:spacing w:val="4"/>
          <w:szCs w:val="24"/>
        </w:rPr>
        <w:t>5</w:t>
      </w:r>
      <w:r>
        <w:rPr>
          <w:rFonts w:hint="eastAsia" w:ascii="Times New Roman" w:hAnsi="Times New Roman" w:eastAsia="宋体" w:cs="Times New Roman"/>
          <w:color w:val="auto"/>
          <w:spacing w:val="4"/>
          <w:szCs w:val="24"/>
        </w:rPr>
        <w:t>）一旦发生事故，及时向有关部门反映，并及时通知周边群众，采取有效处理措施，最大限度降低对周围环境和群众生命财产的危害。</w:t>
      </w:r>
    </w:p>
    <w:p>
      <w:pPr>
        <w:pStyle w:val="99"/>
        <w:spacing w:line="500" w:lineRule="exact"/>
        <w:ind w:firstLine="496" w:firstLineChars="200"/>
        <w:rPr>
          <w:rFonts w:ascii="Times New Roman" w:hAnsi="Times New Roman" w:eastAsia="宋体" w:cs="Times New Roman"/>
          <w:color w:val="auto"/>
          <w:szCs w:val="24"/>
        </w:rPr>
      </w:pPr>
      <w:r>
        <w:rPr>
          <w:rFonts w:hint="eastAsia" w:ascii="Times New Roman" w:hAnsi="Times New Roman" w:eastAsia="宋体" w:cs="Times New Roman"/>
          <w:color w:val="auto"/>
          <w:spacing w:val="4"/>
          <w:szCs w:val="24"/>
        </w:rPr>
        <w:t>（</w:t>
      </w:r>
      <w:r>
        <w:rPr>
          <w:rFonts w:ascii="Times New Roman" w:hAnsi="Times New Roman" w:eastAsia="宋体" w:cs="Times New Roman"/>
          <w:color w:val="auto"/>
          <w:spacing w:val="4"/>
          <w:szCs w:val="24"/>
        </w:rPr>
        <w:t>6</w:t>
      </w:r>
      <w:r>
        <w:rPr>
          <w:rFonts w:hint="eastAsia" w:ascii="Times New Roman" w:hAnsi="Times New Roman" w:eastAsia="宋体" w:cs="Times New Roman"/>
          <w:color w:val="auto"/>
          <w:spacing w:val="4"/>
          <w:szCs w:val="24"/>
        </w:rPr>
        <w:t>）危废暂存间</w:t>
      </w:r>
      <w:r>
        <w:rPr>
          <w:rFonts w:hint="eastAsia" w:ascii="Times New Roman" w:hAnsi="Times New Roman" w:eastAsia="宋体" w:cs="Times New Roman"/>
          <w:color w:val="auto"/>
          <w:szCs w:val="24"/>
        </w:rPr>
        <w:t>地面防渗，设置防渗围堰，设禁止明火标志，定期检查油桶，油类物质泄露或燃烧的几率很小。</w:t>
      </w:r>
    </w:p>
    <w:p>
      <w:pPr>
        <w:spacing w:line="500" w:lineRule="exact"/>
        <w:outlineLvl w:val="2"/>
        <w:rPr>
          <w:rFonts w:eastAsiaTheme="minorEastAsia"/>
          <w:b/>
          <w:sz w:val="24"/>
          <w:lang w:val="en-GB"/>
        </w:rPr>
      </w:pPr>
      <w:r>
        <w:rPr>
          <w:rFonts w:eastAsiaTheme="minorEastAsia"/>
          <w:b/>
          <w:sz w:val="24"/>
          <w:lang w:val="en-GB"/>
        </w:rPr>
        <w:t>5.</w:t>
      </w:r>
      <w:r>
        <w:rPr>
          <w:rFonts w:hint="eastAsia" w:eastAsiaTheme="minorEastAsia"/>
          <w:b/>
          <w:sz w:val="24"/>
        </w:rPr>
        <w:t>8</w:t>
      </w:r>
      <w:r>
        <w:rPr>
          <w:rFonts w:eastAsiaTheme="minorEastAsia"/>
          <w:b/>
          <w:sz w:val="24"/>
          <w:lang w:val="en-GB"/>
        </w:rPr>
        <w:t>.</w:t>
      </w:r>
      <w:r>
        <w:rPr>
          <w:rFonts w:eastAsiaTheme="minorEastAsia"/>
          <w:b/>
          <w:sz w:val="24"/>
        </w:rPr>
        <w:t>7</w:t>
      </w:r>
      <w:r>
        <w:rPr>
          <w:rFonts w:hint="eastAsia" w:eastAsiaTheme="minorEastAsia"/>
          <w:b/>
          <w:sz w:val="24"/>
          <w:lang w:val="en-GB"/>
        </w:rPr>
        <w:t>环境风险分析结论</w:t>
      </w:r>
    </w:p>
    <w:p>
      <w:pPr>
        <w:adjustRightInd w:val="0"/>
        <w:snapToGrid w:val="0"/>
        <w:spacing w:line="500" w:lineRule="exact"/>
        <w:ind w:firstLine="480" w:firstLineChars="200"/>
        <w:rPr>
          <w:spacing w:val="4"/>
          <w:sz w:val="24"/>
        </w:rPr>
      </w:pPr>
      <w:r>
        <w:rPr>
          <w:rFonts w:hint="eastAsia"/>
          <w:sz w:val="24"/>
        </w:rPr>
        <w:t>综上所述，本项目可能出现的风险为</w:t>
      </w:r>
      <w:r>
        <w:rPr>
          <w:rFonts w:hint="eastAsia"/>
          <w:spacing w:val="4"/>
          <w:sz w:val="24"/>
        </w:rPr>
        <w:t>机械设备和车辆检修产生的油类物质泄露或燃烧对环境造成影响以及液化天然气储罐泄露或燃烧对环境造成影响，天然气储罐以及油类物质泄露或燃烧</w:t>
      </w:r>
      <w:r>
        <w:rPr>
          <w:rFonts w:hint="eastAsia"/>
          <w:sz w:val="24"/>
        </w:rPr>
        <w:t>为风险控制主要环节，敏感目标主要为周围的村庄南窑沟村及北窑沟村、下风向地表植被等。</w:t>
      </w:r>
    </w:p>
    <w:p>
      <w:pPr>
        <w:spacing w:line="500" w:lineRule="exact"/>
        <w:ind w:firstLine="480" w:firstLineChars="200"/>
        <w:rPr>
          <w:sz w:val="24"/>
        </w:rPr>
      </w:pPr>
      <w:r>
        <w:rPr>
          <w:rFonts w:hint="eastAsia"/>
          <w:bCs/>
          <w:sz w:val="24"/>
        </w:rPr>
        <w:t>根据环境风险</w:t>
      </w:r>
      <w:r>
        <w:rPr>
          <w:rFonts w:hint="eastAsia"/>
          <w:sz w:val="24"/>
        </w:rPr>
        <w:t>潜势</w:t>
      </w:r>
      <w:r>
        <w:rPr>
          <w:rFonts w:hint="eastAsia"/>
          <w:bCs/>
          <w:sz w:val="24"/>
        </w:rPr>
        <w:t>划分，本项目</w:t>
      </w:r>
      <w:r>
        <w:rPr>
          <w:kern w:val="0"/>
          <w:sz w:val="24"/>
        </w:rPr>
        <w:t>Q</w:t>
      </w:r>
      <w:r>
        <w:rPr>
          <w:rFonts w:hint="eastAsia"/>
          <w:kern w:val="0"/>
          <w:sz w:val="24"/>
        </w:rPr>
        <w:t>＜</w:t>
      </w:r>
      <w:r>
        <w:rPr>
          <w:kern w:val="0"/>
          <w:sz w:val="24"/>
        </w:rPr>
        <w:t>1</w:t>
      </w:r>
      <w:r>
        <w:rPr>
          <w:rFonts w:hint="eastAsia"/>
          <w:bCs/>
          <w:sz w:val="24"/>
        </w:rPr>
        <w:t>，确定本项目环境风险</w:t>
      </w:r>
      <w:r>
        <w:rPr>
          <w:rFonts w:hint="eastAsia"/>
          <w:sz w:val="24"/>
        </w:rPr>
        <w:t>潜势</w:t>
      </w:r>
      <w:r>
        <w:rPr>
          <w:rFonts w:hint="eastAsia"/>
          <w:bCs/>
          <w:sz w:val="24"/>
        </w:rPr>
        <w:t>为</w:t>
      </w:r>
      <w:r>
        <w:rPr>
          <w:rFonts w:hint="eastAsia" w:ascii="宋体" w:hAnsi="宋体" w:cs="宋体"/>
          <w:kern w:val="0"/>
          <w:sz w:val="24"/>
        </w:rPr>
        <w:t>Ⅰ</w:t>
      </w:r>
      <w:r>
        <w:rPr>
          <w:rFonts w:hint="eastAsia"/>
          <w:bCs/>
          <w:sz w:val="24"/>
        </w:rPr>
        <w:t>。</w:t>
      </w:r>
      <w:r>
        <w:rPr>
          <w:rFonts w:hint="eastAsia"/>
          <w:sz w:val="24"/>
        </w:rPr>
        <w:t>环境风险评价等级为简单分析。在采取相应防范措施的基础上风险事故危害较小。从环境风险角度分析，本项目的环境风险措施可行。</w:t>
      </w:r>
    </w:p>
    <w:p>
      <w:pPr>
        <w:spacing w:line="500" w:lineRule="exact"/>
        <w:ind w:firstLine="480" w:firstLineChars="200"/>
        <w:rPr>
          <w:sz w:val="24"/>
        </w:rPr>
      </w:pPr>
      <w:r>
        <w:rPr>
          <w:rFonts w:hint="eastAsia"/>
          <w:sz w:val="24"/>
        </w:rPr>
        <w:t>本项目环境风险简单分析内容表见表</w:t>
      </w:r>
      <w:r>
        <w:rPr>
          <w:sz w:val="24"/>
        </w:rPr>
        <w:t>5.</w:t>
      </w:r>
      <w:r>
        <w:rPr>
          <w:rFonts w:hint="eastAsia"/>
          <w:sz w:val="24"/>
        </w:rPr>
        <w:t>8</w:t>
      </w:r>
      <w:r>
        <w:rPr>
          <w:sz w:val="24"/>
        </w:rPr>
        <w:t>-4</w:t>
      </w:r>
      <w:r>
        <w:rPr>
          <w:rFonts w:hint="eastAsia"/>
          <w:sz w:val="24"/>
        </w:rPr>
        <w:t>。</w:t>
      </w:r>
    </w:p>
    <w:p>
      <w:pPr>
        <w:spacing w:line="500" w:lineRule="exact"/>
        <w:jc w:val="center"/>
        <w:rPr>
          <w:b/>
          <w:bCs/>
          <w:szCs w:val="21"/>
        </w:rPr>
      </w:pPr>
      <w:r>
        <w:rPr>
          <w:rFonts w:hint="eastAsia"/>
          <w:b/>
          <w:bCs/>
          <w:szCs w:val="21"/>
        </w:rPr>
        <w:t>表</w:t>
      </w:r>
      <w:r>
        <w:rPr>
          <w:b/>
          <w:bCs/>
          <w:szCs w:val="21"/>
        </w:rPr>
        <w:t>5.</w:t>
      </w:r>
      <w:r>
        <w:rPr>
          <w:rFonts w:hint="eastAsia"/>
          <w:b/>
          <w:bCs/>
          <w:szCs w:val="21"/>
        </w:rPr>
        <w:t>8</w:t>
      </w:r>
      <w:r>
        <w:rPr>
          <w:b/>
          <w:bCs/>
          <w:szCs w:val="21"/>
        </w:rPr>
        <w:t xml:space="preserve">-4  </w:t>
      </w:r>
      <w:r>
        <w:rPr>
          <w:rFonts w:hint="eastAsia"/>
          <w:b/>
          <w:bCs/>
          <w:szCs w:val="21"/>
        </w:rPr>
        <w:t>环境风险简单分析内容表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16"/>
        <w:gridCol w:w="1312"/>
        <w:gridCol w:w="1877"/>
        <w:gridCol w:w="1277"/>
        <w:gridCol w:w="1163"/>
        <w:gridCol w:w="14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2" w:type="pct"/>
            <w:tcBorders>
              <w:top w:val="single" w:color="auto" w:sz="12" w:space="0"/>
              <w:left w:val="single" w:color="auto" w:sz="12" w:space="0"/>
              <w:bottom w:val="single" w:color="auto" w:sz="6" w:space="0"/>
              <w:right w:val="single" w:color="auto" w:sz="6" w:space="0"/>
            </w:tcBorders>
            <w:noWrap/>
            <w:vAlign w:val="center"/>
          </w:tcPr>
          <w:p>
            <w:pPr>
              <w:jc w:val="left"/>
              <w:rPr>
                <w:spacing w:val="4"/>
                <w:szCs w:val="21"/>
              </w:rPr>
            </w:pPr>
            <w:r>
              <w:rPr>
                <w:rFonts w:hint="eastAsia"/>
                <w:spacing w:val="4"/>
                <w:szCs w:val="21"/>
              </w:rPr>
              <w:t>建设项目名称</w:t>
            </w:r>
          </w:p>
        </w:tc>
        <w:tc>
          <w:tcPr>
            <w:tcW w:w="4057" w:type="pct"/>
            <w:gridSpan w:val="5"/>
            <w:tcBorders>
              <w:top w:val="single" w:color="auto" w:sz="12" w:space="0"/>
              <w:left w:val="single" w:color="auto" w:sz="6" w:space="0"/>
              <w:bottom w:val="single" w:color="auto" w:sz="6" w:space="0"/>
              <w:right w:val="single" w:color="auto" w:sz="12" w:space="0"/>
            </w:tcBorders>
            <w:noWrap/>
            <w:vAlign w:val="center"/>
          </w:tcPr>
          <w:p>
            <w:pPr>
              <w:pStyle w:val="39"/>
              <w:spacing w:line="240" w:lineRule="auto"/>
              <w:ind w:firstLine="436"/>
              <w:rPr>
                <w:rFonts w:ascii="Times New Roman" w:hAnsi="Times New Roman"/>
                <w:spacing w:val="4"/>
                <w:sz w:val="21"/>
                <w:szCs w:val="21"/>
              </w:rPr>
            </w:pPr>
            <w:r>
              <w:rPr>
                <w:rFonts w:hint="eastAsia" w:ascii="Times New Roman" w:hAnsi="Times New Roman"/>
                <w:spacing w:val="4"/>
                <w:sz w:val="21"/>
                <w:szCs w:val="21"/>
              </w:rPr>
              <w:t>山西煤炭运销集团新工煤业有限公司120万t/a矿井兼并重组整合项目变更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2" w:type="pct"/>
            <w:tcBorders>
              <w:top w:val="single" w:color="auto" w:sz="6" w:space="0"/>
              <w:left w:val="single" w:color="auto" w:sz="12" w:space="0"/>
              <w:bottom w:val="single" w:color="auto" w:sz="6" w:space="0"/>
              <w:right w:val="single" w:color="auto" w:sz="6" w:space="0"/>
            </w:tcBorders>
            <w:noWrap/>
            <w:vAlign w:val="center"/>
          </w:tcPr>
          <w:p>
            <w:pPr>
              <w:jc w:val="center"/>
              <w:rPr>
                <w:szCs w:val="21"/>
              </w:rPr>
            </w:pPr>
            <w:r>
              <w:rPr>
                <w:rFonts w:hint="eastAsia"/>
                <w:szCs w:val="21"/>
              </w:rPr>
              <w:t>建设地点</w:t>
            </w:r>
          </w:p>
        </w:tc>
        <w:tc>
          <w:tcPr>
            <w:tcW w:w="747" w:type="pct"/>
            <w:tcBorders>
              <w:top w:val="single" w:color="auto" w:sz="6" w:space="0"/>
              <w:left w:val="single" w:color="auto" w:sz="6" w:space="0"/>
              <w:bottom w:val="single" w:color="auto" w:sz="6" w:space="0"/>
              <w:right w:val="single" w:color="auto" w:sz="6" w:space="0"/>
            </w:tcBorders>
            <w:noWrap/>
            <w:vAlign w:val="center"/>
          </w:tcPr>
          <w:p>
            <w:pPr>
              <w:jc w:val="left"/>
              <w:rPr>
                <w:spacing w:val="4"/>
                <w:szCs w:val="21"/>
              </w:rPr>
            </w:pPr>
            <w:r>
              <w:rPr>
                <w:rFonts w:hint="eastAsia"/>
                <w:spacing w:val="4"/>
                <w:szCs w:val="21"/>
              </w:rPr>
              <w:t>（山西）省</w:t>
            </w:r>
          </w:p>
        </w:tc>
        <w:tc>
          <w:tcPr>
            <w:tcW w:w="1104" w:type="pct"/>
            <w:tcBorders>
              <w:top w:val="single" w:color="auto" w:sz="6" w:space="0"/>
              <w:left w:val="single" w:color="auto" w:sz="6" w:space="0"/>
              <w:bottom w:val="single" w:color="auto" w:sz="6" w:space="0"/>
              <w:right w:val="single" w:color="auto" w:sz="6" w:space="0"/>
            </w:tcBorders>
            <w:noWrap/>
            <w:vAlign w:val="center"/>
          </w:tcPr>
          <w:p>
            <w:pPr>
              <w:jc w:val="center"/>
              <w:rPr>
                <w:szCs w:val="21"/>
              </w:rPr>
            </w:pPr>
            <w:r>
              <w:rPr>
                <w:rFonts w:hint="eastAsia"/>
                <w:szCs w:val="21"/>
              </w:rPr>
              <w:t>（吕梁）市</w:t>
            </w:r>
          </w:p>
        </w:tc>
        <w:tc>
          <w:tcPr>
            <w:tcW w:w="725" w:type="pct"/>
            <w:tcBorders>
              <w:top w:val="single" w:color="auto" w:sz="6" w:space="0"/>
              <w:left w:val="single" w:color="auto" w:sz="6" w:space="0"/>
              <w:bottom w:val="single" w:color="auto" w:sz="6" w:space="0"/>
              <w:right w:val="single" w:color="auto" w:sz="6" w:space="0"/>
            </w:tcBorders>
            <w:noWrap/>
            <w:vAlign w:val="center"/>
          </w:tcPr>
          <w:p>
            <w:pPr>
              <w:jc w:val="left"/>
              <w:rPr>
                <w:spacing w:val="4"/>
                <w:szCs w:val="21"/>
              </w:rPr>
            </w:pPr>
            <w:r>
              <w:rPr>
                <w:rFonts w:hint="eastAsia"/>
                <w:spacing w:val="4"/>
                <w:szCs w:val="21"/>
              </w:rPr>
              <w:t>（）区</w:t>
            </w:r>
          </w:p>
        </w:tc>
        <w:tc>
          <w:tcPr>
            <w:tcW w:w="653" w:type="pct"/>
            <w:tcBorders>
              <w:top w:val="single" w:color="auto" w:sz="6" w:space="0"/>
              <w:left w:val="single" w:color="auto" w:sz="6" w:space="0"/>
              <w:bottom w:val="single" w:color="auto" w:sz="6" w:space="0"/>
              <w:right w:val="single" w:color="auto" w:sz="6" w:space="0"/>
            </w:tcBorders>
            <w:noWrap/>
            <w:vAlign w:val="center"/>
          </w:tcPr>
          <w:p>
            <w:pPr>
              <w:jc w:val="left"/>
              <w:rPr>
                <w:spacing w:val="4"/>
                <w:szCs w:val="21"/>
              </w:rPr>
            </w:pPr>
            <w:r>
              <w:rPr>
                <w:rFonts w:hint="eastAsia"/>
                <w:spacing w:val="4"/>
                <w:szCs w:val="21"/>
              </w:rPr>
              <w:t>（临）县</w:t>
            </w:r>
          </w:p>
        </w:tc>
        <w:tc>
          <w:tcPr>
            <w:tcW w:w="826" w:type="pct"/>
            <w:tcBorders>
              <w:top w:val="single" w:color="auto" w:sz="6" w:space="0"/>
              <w:left w:val="single" w:color="auto" w:sz="6" w:space="0"/>
              <w:bottom w:val="single" w:color="auto" w:sz="6" w:space="0"/>
              <w:right w:val="single" w:color="auto" w:sz="12" w:space="0"/>
            </w:tcBorders>
            <w:noWrap/>
            <w:vAlign w:val="center"/>
          </w:tcPr>
          <w:p>
            <w:pPr>
              <w:jc w:val="left"/>
              <w:rPr>
                <w:spacing w:val="4"/>
                <w:szCs w:val="21"/>
              </w:rPr>
            </w:pPr>
            <w:r>
              <w:rPr>
                <w:rFonts w:hint="eastAsia"/>
                <w:spacing w:val="4"/>
                <w:szCs w:val="21"/>
              </w:rPr>
              <w:t>（）园区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42" w:type="pct"/>
            <w:tcBorders>
              <w:top w:val="single" w:color="auto" w:sz="6" w:space="0"/>
              <w:left w:val="single" w:color="auto" w:sz="12" w:space="0"/>
              <w:bottom w:val="single" w:color="auto" w:sz="6" w:space="0"/>
              <w:right w:val="single" w:color="auto" w:sz="6" w:space="0"/>
            </w:tcBorders>
            <w:noWrap/>
            <w:vAlign w:val="center"/>
          </w:tcPr>
          <w:p>
            <w:pPr>
              <w:jc w:val="center"/>
              <w:rPr>
                <w:szCs w:val="21"/>
              </w:rPr>
            </w:pPr>
            <w:r>
              <w:rPr>
                <w:rFonts w:hint="eastAsia"/>
                <w:szCs w:val="21"/>
              </w:rPr>
              <w:t>地理坐标</w:t>
            </w:r>
          </w:p>
        </w:tc>
        <w:tc>
          <w:tcPr>
            <w:tcW w:w="747" w:type="pct"/>
            <w:tcBorders>
              <w:top w:val="single" w:color="auto" w:sz="6" w:space="0"/>
              <w:left w:val="single" w:color="auto" w:sz="6" w:space="0"/>
              <w:bottom w:val="single" w:color="auto" w:sz="6" w:space="0"/>
              <w:right w:val="single" w:color="auto" w:sz="6" w:space="0"/>
            </w:tcBorders>
            <w:noWrap/>
            <w:vAlign w:val="center"/>
          </w:tcPr>
          <w:p>
            <w:pPr>
              <w:jc w:val="center"/>
              <w:rPr>
                <w:szCs w:val="21"/>
              </w:rPr>
            </w:pPr>
            <w:r>
              <w:rPr>
                <w:rFonts w:hint="eastAsia"/>
                <w:szCs w:val="21"/>
              </w:rPr>
              <w:t>经度</w:t>
            </w:r>
          </w:p>
        </w:tc>
        <w:tc>
          <w:tcPr>
            <w:tcW w:w="1104" w:type="pct"/>
            <w:tcBorders>
              <w:top w:val="single" w:color="auto" w:sz="6" w:space="0"/>
              <w:left w:val="single" w:color="auto" w:sz="6" w:space="0"/>
              <w:bottom w:val="single" w:color="auto" w:sz="6" w:space="0"/>
              <w:right w:val="single" w:color="auto" w:sz="6" w:space="0"/>
            </w:tcBorders>
            <w:noWrap/>
            <w:vAlign w:val="center"/>
          </w:tcPr>
          <w:p>
            <w:pPr>
              <w:ind w:left="-105" w:leftChars="-50" w:right="-105" w:rightChars="-50"/>
              <w:jc w:val="center"/>
              <w:rPr>
                <w:szCs w:val="21"/>
              </w:rPr>
            </w:pPr>
            <w:r>
              <w:rPr>
                <w:rFonts w:hint="eastAsia"/>
                <w:szCs w:val="21"/>
              </w:rPr>
              <w:t>工业场地</w:t>
            </w:r>
            <w:r>
              <w:rPr>
                <w:szCs w:val="21"/>
              </w:rPr>
              <w:t>11</w:t>
            </w:r>
            <w:r>
              <w:rPr>
                <w:rFonts w:hint="eastAsia"/>
                <w:szCs w:val="21"/>
              </w:rPr>
              <w:t>0</w:t>
            </w:r>
            <w:r>
              <w:rPr>
                <w:szCs w:val="21"/>
              </w:rPr>
              <w:t>.</w:t>
            </w:r>
            <w:r>
              <w:rPr>
                <w:rFonts w:hint="eastAsia"/>
                <w:szCs w:val="21"/>
              </w:rPr>
              <w:t>935022</w:t>
            </w:r>
            <w:r>
              <w:rPr>
                <w:szCs w:val="21"/>
              </w:rPr>
              <w:t>°</w:t>
            </w:r>
          </w:p>
        </w:tc>
        <w:tc>
          <w:tcPr>
            <w:tcW w:w="725" w:type="pct"/>
            <w:tcBorders>
              <w:top w:val="single" w:color="auto" w:sz="6" w:space="0"/>
              <w:left w:val="single" w:color="auto" w:sz="6" w:space="0"/>
              <w:bottom w:val="single" w:color="auto" w:sz="6" w:space="0"/>
              <w:right w:val="single" w:color="auto" w:sz="6" w:space="0"/>
            </w:tcBorders>
            <w:noWrap/>
            <w:vAlign w:val="center"/>
          </w:tcPr>
          <w:p>
            <w:pPr>
              <w:jc w:val="center"/>
              <w:rPr>
                <w:szCs w:val="21"/>
              </w:rPr>
            </w:pPr>
            <w:r>
              <w:rPr>
                <w:rFonts w:hint="eastAsia"/>
                <w:szCs w:val="21"/>
              </w:rPr>
              <w:t>纬度</w:t>
            </w:r>
          </w:p>
        </w:tc>
        <w:tc>
          <w:tcPr>
            <w:tcW w:w="1480" w:type="pct"/>
            <w:gridSpan w:val="2"/>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rFonts w:hint="eastAsia"/>
                <w:szCs w:val="21"/>
              </w:rPr>
              <w:t>工业场地</w:t>
            </w:r>
          </w:p>
          <w:p>
            <w:pPr>
              <w:jc w:val="center"/>
              <w:rPr>
                <w:szCs w:val="21"/>
              </w:rPr>
            </w:pPr>
            <w:r>
              <w:rPr>
                <w:rFonts w:hint="eastAsia"/>
                <w:szCs w:val="21"/>
              </w:rPr>
              <w:t>37.650904</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2" w:type="pct"/>
            <w:tcBorders>
              <w:top w:val="single" w:color="auto" w:sz="6" w:space="0"/>
              <w:left w:val="single" w:color="auto" w:sz="12" w:space="0"/>
              <w:bottom w:val="single" w:color="auto" w:sz="6" w:space="0"/>
              <w:right w:val="single" w:color="auto" w:sz="6" w:space="0"/>
            </w:tcBorders>
            <w:noWrap/>
            <w:vAlign w:val="center"/>
          </w:tcPr>
          <w:p>
            <w:pPr>
              <w:jc w:val="center"/>
              <w:rPr>
                <w:szCs w:val="21"/>
              </w:rPr>
            </w:pPr>
            <w:r>
              <w:rPr>
                <w:rFonts w:hint="eastAsia"/>
                <w:szCs w:val="21"/>
              </w:rPr>
              <w:t>主要危险物质及分布</w:t>
            </w:r>
          </w:p>
        </w:tc>
        <w:tc>
          <w:tcPr>
            <w:tcW w:w="4057" w:type="pct"/>
            <w:gridSpan w:val="5"/>
            <w:tcBorders>
              <w:top w:val="single" w:color="auto" w:sz="6" w:space="0"/>
              <w:left w:val="single" w:color="auto" w:sz="6" w:space="0"/>
              <w:bottom w:val="single" w:color="auto" w:sz="6" w:space="0"/>
              <w:right w:val="single" w:color="auto" w:sz="12" w:space="0"/>
            </w:tcBorders>
            <w:noWrap/>
            <w:vAlign w:val="center"/>
          </w:tcPr>
          <w:p>
            <w:pPr>
              <w:tabs>
                <w:tab w:val="left" w:pos="4660"/>
              </w:tabs>
              <w:jc w:val="center"/>
              <w:rPr>
                <w:rFonts w:ascii="宋体" w:hAnsi="宋体" w:cs="宋体"/>
                <w:szCs w:val="21"/>
              </w:rPr>
            </w:pPr>
            <w:r>
              <w:rPr>
                <w:rFonts w:hint="eastAsia" w:ascii="宋体" w:hAnsi="宋体" w:cs="宋体"/>
                <w:szCs w:val="21"/>
              </w:rPr>
              <w:t>废矿物油，工业场地危废暂存间</w:t>
            </w:r>
          </w:p>
          <w:p>
            <w:pPr>
              <w:pStyle w:val="99"/>
              <w:jc w:val="center"/>
              <w:rPr>
                <w:color w:val="auto"/>
                <w:kern w:val="2"/>
              </w:rPr>
            </w:pPr>
            <w:r>
              <w:rPr>
                <w:rFonts w:hint="eastAsia" w:ascii="宋体" w:hAnsi="宋体" w:eastAsia="宋体" w:cs="宋体"/>
                <w:color w:val="auto"/>
                <w:kern w:val="2"/>
                <w:sz w:val="21"/>
                <w:szCs w:val="21"/>
              </w:rPr>
              <w:t>液化天然气储罐，锅炉房北侧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2" w:type="pct"/>
            <w:tcBorders>
              <w:top w:val="single" w:color="auto" w:sz="6" w:space="0"/>
              <w:left w:val="single" w:color="auto" w:sz="12" w:space="0"/>
              <w:bottom w:val="single" w:color="auto" w:sz="6" w:space="0"/>
              <w:right w:val="single" w:color="auto" w:sz="6" w:space="0"/>
            </w:tcBorders>
            <w:noWrap/>
            <w:vAlign w:val="center"/>
          </w:tcPr>
          <w:p>
            <w:pPr>
              <w:jc w:val="center"/>
              <w:rPr>
                <w:szCs w:val="21"/>
              </w:rPr>
            </w:pPr>
            <w:r>
              <w:rPr>
                <w:rFonts w:hint="eastAsia"/>
                <w:szCs w:val="21"/>
              </w:rPr>
              <w:t>环境影响途径及危害后果（大气、地表水、地下水等）</w:t>
            </w:r>
          </w:p>
        </w:tc>
        <w:tc>
          <w:tcPr>
            <w:tcW w:w="4057" w:type="pct"/>
            <w:gridSpan w:val="5"/>
            <w:tcBorders>
              <w:top w:val="single" w:color="auto" w:sz="6" w:space="0"/>
              <w:left w:val="single" w:color="auto" w:sz="6" w:space="0"/>
              <w:bottom w:val="single" w:color="auto" w:sz="6" w:space="0"/>
              <w:right w:val="single" w:color="auto" w:sz="12" w:space="0"/>
            </w:tcBorders>
            <w:noWrap/>
            <w:vAlign w:val="center"/>
          </w:tcPr>
          <w:p>
            <w:pPr>
              <w:tabs>
                <w:tab w:val="left" w:pos="4660"/>
              </w:tabs>
              <w:jc w:val="center"/>
            </w:pPr>
            <w:r>
              <w:rPr>
                <w:rFonts w:hint="eastAsia"/>
              </w:rPr>
              <w:t>油类物质泄露或燃烧，</w:t>
            </w:r>
          </w:p>
          <w:p>
            <w:pPr>
              <w:pStyle w:val="99"/>
              <w:jc w:val="center"/>
              <w:rPr>
                <w:color w:val="auto"/>
                <w:kern w:val="2"/>
              </w:rPr>
            </w:pPr>
            <w:r>
              <w:rPr>
                <w:rFonts w:hint="eastAsia" w:ascii="Times New Roman" w:hAnsi="Times New Roman" w:eastAsia="宋体" w:cs="Times New Roman"/>
                <w:color w:val="auto"/>
                <w:kern w:val="2"/>
                <w:sz w:val="21"/>
                <w:szCs w:val="21"/>
              </w:rPr>
              <w:t>天然气储罐泄露或燃烧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75" w:hRule="atLeast"/>
        </w:trPr>
        <w:tc>
          <w:tcPr>
            <w:tcW w:w="942" w:type="pct"/>
            <w:tcBorders>
              <w:top w:val="single" w:color="auto" w:sz="6" w:space="0"/>
              <w:left w:val="single" w:color="auto" w:sz="12" w:space="0"/>
              <w:bottom w:val="single" w:color="auto" w:sz="6" w:space="0"/>
              <w:right w:val="single" w:color="auto" w:sz="6" w:space="0"/>
            </w:tcBorders>
            <w:noWrap/>
            <w:vAlign w:val="center"/>
          </w:tcPr>
          <w:p>
            <w:pPr>
              <w:jc w:val="center"/>
              <w:rPr>
                <w:szCs w:val="21"/>
              </w:rPr>
            </w:pPr>
            <w:r>
              <w:rPr>
                <w:rFonts w:hint="eastAsia"/>
                <w:szCs w:val="21"/>
              </w:rPr>
              <w:t>风险防范</w:t>
            </w:r>
          </w:p>
          <w:p>
            <w:pPr>
              <w:jc w:val="center"/>
              <w:rPr>
                <w:szCs w:val="21"/>
              </w:rPr>
            </w:pPr>
            <w:r>
              <w:rPr>
                <w:rFonts w:hint="eastAsia"/>
                <w:szCs w:val="21"/>
              </w:rPr>
              <w:t>措施要求</w:t>
            </w:r>
          </w:p>
        </w:tc>
        <w:tc>
          <w:tcPr>
            <w:tcW w:w="4057" w:type="pct"/>
            <w:gridSpan w:val="5"/>
            <w:tcBorders>
              <w:top w:val="single" w:color="auto" w:sz="6" w:space="0"/>
              <w:left w:val="single" w:color="auto" w:sz="6" w:space="0"/>
              <w:bottom w:val="single" w:color="auto" w:sz="6" w:space="0"/>
              <w:right w:val="single" w:color="auto" w:sz="12" w:space="0"/>
            </w:tcBorders>
            <w:noWrap/>
            <w:vAlign w:val="center"/>
          </w:tcPr>
          <w:p>
            <w:pPr>
              <w:jc w:val="left"/>
              <w:rPr>
                <w:spacing w:val="4"/>
                <w:szCs w:val="21"/>
              </w:rPr>
            </w:pPr>
            <w:r>
              <w:rPr>
                <w:szCs w:val="21"/>
              </w:rPr>
              <w:t>1</w:t>
            </w:r>
            <w:r>
              <w:rPr>
                <w:rFonts w:hint="eastAsia"/>
                <w:szCs w:val="21"/>
              </w:rPr>
              <w:t>、遵守安全法规，加强管理；</w:t>
            </w:r>
            <w:r>
              <w:rPr>
                <w:szCs w:val="21"/>
              </w:rPr>
              <w:t>2</w:t>
            </w:r>
            <w:r>
              <w:rPr>
                <w:rFonts w:hint="eastAsia"/>
                <w:szCs w:val="21"/>
              </w:rPr>
              <w:t>、编制应急预案；</w:t>
            </w:r>
            <w:r>
              <w:rPr>
                <w:szCs w:val="21"/>
              </w:rPr>
              <w:t>3</w:t>
            </w:r>
            <w:r>
              <w:rPr>
                <w:rFonts w:hint="eastAsia"/>
                <w:szCs w:val="21"/>
              </w:rPr>
              <w:t>、出现事故及时反映，并及时采取有效措施；</w:t>
            </w:r>
            <w:r>
              <w:rPr>
                <w:szCs w:val="21"/>
              </w:rPr>
              <w:t>4</w:t>
            </w:r>
            <w:r>
              <w:rPr>
                <w:rFonts w:hint="eastAsia"/>
                <w:szCs w:val="21"/>
              </w:rPr>
              <w:t>、危废暂存间地面防渗，设置防渗围堰，设禁止明火标志，定期检查油桶。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5000" w:type="pct"/>
            <w:gridSpan w:val="6"/>
            <w:tcBorders>
              <w:top w:val="single" w:color="auto" w:sz="6" w:space="0"/>
              <w:left w:val="single" w:color="auto" w:sz="12" w:space="0"/>
              <w:bottom w:val="single" w:color="auto" w:sz="6" w:space="0"/>
              <w:right w:val="single" w:color="auto" w:sz="12" w:space="0"/>
            </w:tcBorders>
            <w:noWrap/>
            <w:vAlign w:val="center"/>
          </w:tcPr>
          <w:p>
            <w:pPr>
              <w:jc w:val="left"/>
              <w:rPr>
                <w:spacing w:val="4"/>
                <w:szCs w:val="21"/>
              </w:rPr>
            </w:pPr>
            <w:r>
              <w:rPr>
                <w:rFonts w:hint="eastAsia"/>
                <w:spacing w:val="4"/>
                <w:szCs w:val="21"/>
              </w:rPr>
              <w:t>填表说明（列出相关信息及评价说明）</w:t>
            </w:r>
          </w:p>
          <w:p>
            <w:pPr>
              <w:jc w:val="left"/>
              <w:rPr>
                <w:spacing w:val="4"/>
                <w:szCs w:val="21"/>
              </w:rPr>
            </w:pPr>
            <w:r>
              <w:rPr>
                <w:rFonts w:hint="eastAsia"/>
                <w:spacing w:val="4"/>
                <w:szCs w:val="21"/>
              </w:rPr>
              <w:t>项目</w:t>
            </w:r>
            <w:r>
              <w:rPr>
                <w:spacing w:val="4"/>
                <w:szCs w:val="21"/>
              </w:rPr>
              <w:t>Q</w:t>
            </w:r>
            <w:r>
              <w:rPr>
                <w:rFonts w:hint="eastAsia"/>
                <w:spacing w:val="4"/>
                <w:szCs w:val="21"/>
              </w:rPr>
              <w:t>值＜</w:t>
            </w:r>
            <w:r>
              <w:rPr>
                <w:spacing w:val="4"/>
                <w:szCs w:val="21"/>
              </w:rPr>
              <w:t>1</w:t>
            </w:r>
            <w:r>
              <w:rPr>
                <w:rFonts w:hint="eastAsia"/>
                <w:spacing w:val="4"/>
                <w:szCs w:val="21"/>
              </w:rPr>
              <w:t>，环境风险潜势为</w:t>
            </w:r>
            <w:r>
              <w:rPr>
                <w:spacing w:val="4"/>
                <w:szCs w:val="21"/>
              </w:rPr>
              <w:t>I</w:t>
            </w:r>
            <w:r>
              <w:rPr>
                <w:rFonts w:hint="eastAsia"/>
                <w:spacing w:val="4"/>
                <w:szCs w:val="21"/>
              </w:rPr>
              <w:t>类，判定项目风险评价级别为</w:t>
            </w:r>
            <w:r>
              <w:rPr>
                <w:spacing w:val="4"/>
                <w:szCs w:val="21"/>
              </w:rPr>
              <w:t>“</w:t>
            </w:r>
            <w:r>
              <w:rPr>
                <w:rFonts w:hint="eastAsia"/>
                <w:spacing w:val="4"/>
                <w:szCs w:val="21"/>
              </w:rPr>
              <w:t>简单分析</w:t>
            </w:r>
            <w:r>
              <w:rPr>
                <w:spacing w:val="4"/>
                <w:szCs w:val="21"/>
              </w:rPr>
              <w:t>”</w:t>
            </w:r>
            <w:r>
              <w:rPr>
                <w:rFonts w:hint="eastAsia"/>
                <w:spacing w:val="4"/>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00" w:type="pct"/>
            <w:gridSpan w:val="6"/>
            <w:tcBorders>
              <w:top w:val="single" w:color="auto" w:sz="6" w:space="0"/>
              <w:left w:val="single" w:color="auto" w:sz="12" w:space="0"/>
              <w:bottom w:val="single" w:color="auto" w:sz="12" w:space="0"/>
              <w:right w:val="single" w:color="auto" w:sz="12" w:space="0"/>
            </w:tcBorders>
            <w:noWrap/>
            <w:vAlign w:val="center"/>
          </w:tcPr>
          <w:p>
            <w:pPr>
              <w:jc w:val="left"/>
              <w:rPr>
                <w:spacing w:val="4"/>
                <w:szCs w:val="21"/>
              </w:rPr>
            </w:pPr>
            <w:r>
              <w:rPr>
                <w:rFonts w:hint="eastAsia"/>
                <w:spacing w:val="4"/>
                <w:szCs w:val="21"/>
              </w:rPr>
              <w:t>注：</w:t>
            </w:r>
            <w:r>
              <w:rPr>
                <w:spacing w:val="4"/>
                <w:szCs w:val="21"/>
              </w:rPr>
              <w:t>“□”</w:t>
            </w:r>
            <w:r>
              <w:rPr>
                <w:rFonts w:hint="eastAsia"/>
                <w:spacing w:val="4"/>
                <w:szCs w:val="21"/>
              </w:rPr>
              <w:t>为勾选项；</w:t>
            </w:r>
            <w:r>
              <w:rPr>
                <w:spacing w:val="4"/>
                <w:szCs w:val="21"/>
              </w:rPr>
              <w:t>“_____”</w:t>
            </w:r>
            <w:r>
              <w:rPr>
                <w:rFonts w:hint="eastAsia"/>
                <w:spacing w:val="4"/>
                <w:szCs w:val="21"/>
              </w:rPr>
              <w:t>为填写项</w:t>
            </w:r>
          </w:p>
        </w:tc>
      </w:tr>
      <w:bookmarkEnd w:id="277"/>
      <w:bookmarkEnd w:id="278"/>
    </w:tbl>
    <w:p>
      <w:pPr>
        <w:spacing w:line="360" w:lineRule="auto"/>
        <w:ind w:firstLine="480" w:firstLineChars="200"/>
        <w:rPr>
          <w:rFonts w:eastAsiaTheme="minorEastAsia"/>
          <w:sz w:val="24"/>
        </w:rPr>
        <w:sectPr>
          <w:headerReference r:id="rId32" w:type="default"/>
          <w:footerReference r:id="rId33" w:type="default"/>
          <w:pgSz w:w="11906" w:h="16838"/>
          <w:pgMar w:top="1701" w:right="1418" w:bottom="1701" w:left="1418" w:header="1134" w:footer="992" w:gutter="0"/>
          <w:cols w:space="425" w:num="1"/>
          <w:docGrid w:linePitch="312" w:charSpace="0"/>
        </w:sectPr>
      </w:pPr>
    </w:p>
    <w:p>
      <w:pPr>
        <w:pStyle w:val="2"/>
        <w:spacing w:before="0" w:after="0" w:line="360" w:lineRule="auto"/>
        <w:jc w:val="center"/>
        <w:rPr>
          <w:rFonts w:eastAsiaTheme="minorEastAsia"/>
        </w:rPr>
      </w:pPr>
      <w:bookmarkStart w:id="279" w:name="_Toc71551948"/>
      <w:r>
        <w:rPr>
          <w:rFonts w:eastAsiaTheme="minorEastAsia"/>
        </w:rPr>
        <w:t>6、环境保护措施及可行性分析</w:t>
      </w:r>
      <w:bookmarkEnd w:id="279"/>
    </w:p>
    <w:p>
      <w:pPr>
        <w:pStyle w:val="3"/>
        <w:spacing w:before="0" w:after="0" w:line="500" w:lineRule="exact"/>
        <w:rPr>
          <w:rFonts w:ascii="Times New Roman" w:hAnsi="Times New Roman" w:eastAsiaTheme="minorEastAsia"/>
          <w:bCs w:val="0"/>
          <w:sz w:val="28"/>
        </w:rPr>
      </w:pPr>
      <w:bookmarkStart w:id="280" w:name="_Toc75912438"/>
      <w:bookmarkStart w:id="281" w:name="_Toc78171677"/>
      <w:bookmarkStart w:id="282" w:name="_Toc10354"/>
      <w:bookmarkStart w:id="283" w:name="_Toc26203280"/>
      <w:bookmarkStart w:id="284" w:name="_Toc71551949"/>
      <w:bookmarkStart w:id="285" w:name="_Toc19554"/>
      <w:r>
        <w:rPr>
          <w:rFonts w:ascii="Times New Roman" w:hAnsi="Times New Roman" w:eastAsiaTheme="minorEastAsia"/>
          <w:bCs w:val="0"/>
          <w:sz w:val="28"/>
        </w:rPr>
        <w:t>6.1</w:t>
      </w:r>
      <w:bookmarkEnd w:id="280"/>
      <w:bookmarkEnd w:id="281"/>
      <w:r>
        <w:rPr>
          <w:rFonts w:hint="eastAsia" w:ascii="Times New Roman" w:hAnsi="Times New Roman" w:eastAsiaTheme="minorEastAsia"/>
          <w:bCs w:val="0"/>
          <w:sz w:val="28"/>
        </w:rPr>
        <w:t>建设期环境保护措施</w:t>
      </w:r>
      <w:bookmarkEnd w:id="282"/>
      <w:bookmarkEnd w:id="283"/>
      <w:bookmarkEnd w:id="284"/>
      <w:bookmarkEnd w:id="285"/>
    </w:p>
    <w:p>
      <w:pPr>
        <w:spacing w:line="500" w:lineRule="exact"/>
        <w:outlineLvl w:val="2"/>
        <w:rPr>
          <w:rFonts w:eastAsiaTheme="minorEastAsia"/>
          <w:b/>
          <w:sz w:val="24"/>
          <w:lang w:val="en-GB"/>
        </w:rPr>
      </w:pPr>
      <w:r>
        <w:rPr>
          <w:rFonts w:eastAsiaTheme="minorEastAsia"/>
          <w:b/>
          <w:sz w:val="24"/>
          <w:lang w:val="en-GB"/>
        </w:rPr>
        <w:t>6.1.1</w:t>
      </w:r>
      <w:r>
        <w:rPr>
          <w:rFonts w:hint="eastAsia" w:eastAsiaTheme="minorEastAsia"/>
          <w:b/>
          <w:sz w:val="24"/>
          <w:lang w:val="en-GB"/>
        </w:rPr>
        <w:t>建设期环境空气保护措施</w:t>
      </w:r>
    </w:p>
    <w:p>
      <w:pPr>
        <w:spacing w:line="500" w:lineRule="exact"/>
        <w:ind w:firstLine="480"/>
        <w:rPr>
          <w:sz w:val="24"/>
        </w:rPr>
      </w:pPr>
      <w:r>
        <w:rPr>
          <w:rFonts w:hint="eastAsia"/>
          <w:sz w:val="24"/>
        </w:rPr>
        <w:t>根据《国务院关于印发大气污染防治行动计划的通知》、《山西省环境保护厅关于加强建筑施工扬尘排污费核定征收工作的通知》，针对本项目施工期产生的扬尘，本报告提出以下防治措施：</w:t>
      </w:r>
    </w:p>
    <w:p>
      <w:pPr>
        <w:pStyle w:val="128"/>
        <w:spacing w:line="500" w:lineRule="exact"/>
        <w:ind w:firstLine="480"/>
        <w:rPr>
          <w:rFonts w:ascii="Times New Roman" w:hAnsi="Times New Roman"/>
          <w:szCs w:val="24"/>
        </w:rPr>
      </w:pPr>
      <w:r>
        <w:rPr>
          <w:rFonts w:hint="eastAsia" w:ascii="Times New Roman" w:hAnsi="Times New Roman"/>
          <w:szCs w:val="24"/>
        </w:rPr>
        <w:t>（</w:t>
      </w:r>
      <w:r>
        <w:rPr>
          <w:rFonts w:ascii="Times New Roman" w:hAnsi="Times New Roman"/>
          <w:szCs w:val="24"/>
        </w:rPr>
        <w:t>1</w:t>
      </w:r>
      <w:r>
        <w:rPr>
          <w:rFonts w:hint="eastAsia" w:ascii="Times New Roman" w:hAnsi="Times New Roman"/>
          <w:szCs w:val="24"/>
        </w:rPr>
        <w:t>）施工扬尘防治措施</w:t>
      </w:r>
    </w:p>
    <w:p>
      <w:pPr>
        <w:pStyle w:val="128"/>
        <w:spacing w:line="500" w:lineRule="exact"/>
        <w:ind w:firstLine="480"/>
        <w:rPr>
          <w:rFonts w:ascii="Times New Roman" w:hAnsi="Times New Roman"/>
          <w:szCs w:val="24"/>
        </w:rPr>
      </w:pPr>
      <w:r>
        <w:rPr>
          <w:rFonts w:ascii="Times New Roman" w:hAnsi="Times New Roman"/>
          <w:szCs w:val="24"/>
        </w:rPr>
        <w:t>A</w:t>
      </w:r>
      <w:r>
        <w:rPr>
          <w:rFonts w:hint="eastAsia" w:ascii="Times New Roman" w:hAnsi="Times New Roman"/>
          <w:szCs w:val="24"/>
        </w:rPr>
        <w:t>、施工单位应根据《建设工程施工现场管理规定》的规定设置现场平面布置图、工程概况牌、安全生产牌、文明施工牌、环境保护牌、管理人员名单及监督电话等；</w:t>
      </w:r>
    </w:p>
    <w:p>
      <w:pPr>
        <w:pStyle w:val="128"/>
        <w:spacing w:line="500" w:lineRule="exact"/>
        <w:ind w:firstLine="480"/>
        <w:rPr>
          <w:rFonts w:ascii="Times New Roman" w:hAnsi="Times New Roman"/>
          <w:szCs w:val="24"/>
        </w:rPr>
      </w:pPr>
      <w:r>
        <w:rPr>
          <w:rFonts w:ascii="Times New Roman" w:hAnsi="Times New Roman"/>
          <w:szCs w:val="24"/>
        </w:rPr>
        <w:t>B</w:t>
      </w:r>
      <w:r>
        <w:rPr>
          <w:rFonts w:hint="eastAsia" w:ascii="Times New Roman" w:hAnsi="Times New Roman"/>
          <w:szCs w:val="24"/>
        </w:rPr>
        <w:t>、施工现场入口处设置围挡，围挡必须由硬质材料制作，任意两块围挡以及围挡与防溢座间间距不能有大于</w:t>
      </w:r>
      <w:r>
        <w:rPr>
          <w:rFonts w:ascii="Times New Roman" w:hAnsi="Times New Roman"/>
          <w:szCs w:val="24"/>
        </w:rPr>
        <w:t>0.5cm</w:t>
      </w:r>
      <w:r>
        <w:rPr>
          <w:rFonts w:hint="eastAsia" w:ascii="Times New Roman" w:hAnsi="Times New Roman"/>
          <w:szCs w:val="24"/>
        </w:rPr>
        <w:t>的缝隙，围挡不得有明显破损的漏洞；</w:t>
      </w:r>
    </w:p>
    <w:p>
      <w:pPr>
        <w:pStyle w:val="128"/>
        <w:spacing w:line="500" w:lineRule="exact"/>
        <w:ind w:firstLine="480"/>
        <w:rPr>
          <w:rFonts w:ascii="Times New Roman" w:hAnsi="Times New Roman"/>
          <w:szCs w:val="24"/>
        </w:rPr>
      </w:pPr>
      <w:r>
        <w:rPr>
          <w:rFonts w:ascii="Times New Roman" w:hAnsi="Times New Roman"/>
          <w:szCs w:val="24"/>
        </w:rPr>
        <w:t>C</w:t>
      </w:r>
      <w:r>
        <w:rPr>
          <w:rFonts w:hint="eastAsia" w:ascii="Times New Roman" w:hAnsi="Times New Roman"/>
          <w:szCs w:val="24"/>
        </w:rPr>
        <w:t>、遇到干燥易起尘的土方工程作业时，应辅以洒水压尘，尽量缩短起尘操作时间。遇到四级及四级以上大风天气，应停止土方作业，同时作业处覆以防尘网；施工现场定期喷洒，保证地面湿润，不起尘；</w:t>
      </w:r>
    </w:p>
    <w:p>
      <w:pPr>
        <w:pStyle w:val="128"/>
        <w:spacing w:line="500" w:lineRule="exact"/>
        <w:ind w:firstLine="480"/>
        <w:rPr>
          <w:rFonts w:ascii="Times New Roman" w:hAnsi="Times New Roman"/>
          <w:szCs w:val="24"/>
        </w:rPr>
      </w:pPr>
      <w:r>
        <w:rPr>
          <w:rFonts w:ascii="Times New Roman" w:hAnsi="Times New Roman"/>
          <w:szCs w:val="24"/>
        </w:rPr>
        <w:t>D</w:t>
      </w:r>
      <w:r>
        <w:rPr>
          <w:rFonts w:hint="eastAsia" w:ascii="Times New Roman" w:hAnsi="Times New Roman"/>
          <w:szCs w:val="24"/>
        </w:rPr>
        <w:t>、施工过程中使用水泥、石灰、砂石等容易产生扬尘的建筑材料，应采取设置专门的堆蓬，并使用防尘布对原料进行遮盖；</w:t>
      </w:r>
    </w:p>
    <w:p>
      <w:pPr>
        <w:pStyle w:val="128"/>
        <w:spacing w:line="500" w:lineRule="exact"/>
        <w:ind w:firstLine="480"/>
        <w:rPr>
          <w:rFonts w:ascii="Times New Roman" w:hAnsi="Times New Roman"/>
          <w:szCs w:val="24"/>
        </w:rPr>
      </w:pPr>
      <w:r>
        <w:rPr>
          <w:rFonts w:ascii="Times New Roman" w:hAnsi="Times New Roman"/>
          <w:szCs w:val="24"/>
        </w:rPr>
        <w:t>E</w:t>
      </w:r>
      <w:r>
        <w:rPr>
          <w:rFonts w:hint="eastAsia" w:ascii="Times New Roman" w:hAnsi="Times New Roman"/>
          <w:szCs w:val="24"/>
        </w:rPr>
        <w:t>、使用外购商品混凝土，施工现场不设混凝土搅拌站；</w:t>
      </w:r>
    </w:p>
    <w:p>
      <w:pPr>
        <w:pStyle w:val="128"/>
        <w:spacing w:line="500" w:lineRule="exact"/>
        <w:ind w:firstLine="480"/>
        <w:rPr>
          <w:rFonts w:ascii="Times New Roman" w:hAnsi="Times New Roman"/>
          <w:szCs w:val="24"/>
        </w:rPr>
      </w:pPr>
      <w:r>
        <w:rPr>
          <w:rFonts w:ascii="Times New Roman" w:hAnsi="Times New Roman"/>
          <w:szCs w:val="24"/>
        </w:rPr>
        <w:t>F</w:t>
      </w:r>
      <w:r>
        <w:rPr>
          <w:rFonts w:hint="eastAsia" w:ascii="Times New Roman" w:hAnsi="Times New Roman"/>
          <w:szCs w:val="24"/>
        </w:rPr>
        <w:t>、施工过程产生的弃土、弃料及其他建筑垃圾，应及时清运。有砂石、灰土、灰浆所有易扬尘物料都必须以不透水的隔尘布完全覆盖或放置在顶部和四周均有遮蔽的范围内；</w:t>
      </w:r>
    </w:p>
    <w:p>
      <w:pPr>
        <w:pStyle w:val="128"/>
        <w:spacing w:line="500" w:lineRule="exact"/>
        <w:ind w:firstLine="480"/>
        <w:rPr>
          <w:rFonts w:ascii="Times New Roman" w:hAnsi="Times New Roman"/>
          <w:szCs w:val="24"/>
        </w:rPr>
      </w:pPr>
      <w:r>
        <w:rPr>
          <w:rFonts w:ascii="Times New Roman" w:hAnsi="Times New Roman"/>
          <w:szCs w:val="24"/>
        </w:rPr>
        <w:t>G</w:t>
      </w:r>
      <w:r>
        <w:rPr>
          <w:rFonts w:hint="eastAsia" w:ascii="Times New Roman" w:hAnsi="Times New Roman"/>
          <w:szCs w:val="24"/>
        </w:rPr>
        <w:t>、实施建筑施工全过程控制：确保建筑施工扬尘达到</w:t>
      </w:r>
      <w:r>
        <w:rPr>
          <w:rFonts w:ascii="Times New Roman" w:hAnsi="Times New Roman"/>
          <w:szCs w:val="24"/>
        </w:rPr>
        <w:t>“6</w:t>
      </w:r>
      <w:r>
        <w:rPr>
          <w:rFonts w:hint="eastAsia" w:ascii="Times New Roman" w:hAnsi="Times New Roman"/>
          <w:szCs w:val="24"/>
        </w:rPr>
        <w:t>个</w:t>
      </w:r>
      <w:r>
        <w:rPr>
          <w:rFonts w:ascii="Times New Roman" w:hAnsi="Times New Roman"/>
          <w:szCs w:val="24"/>
        </w:rPr>
        <w:t>100%”</w:t>
      </w:r>
      <w:r>
        <w:rPr>
          <w:rFonts w:hint="eastAsia" w:ascii="Times New Roman" w:hAnsi="Times New Roman"/>
          <w:szCs w:val="24"/>
        </w:rPr>
        <w:t>，即工地周边</w:t>
      </w:r>
      <w:r>
        <w:rPr>
          <w:rFonts w:ascii="Times New Roman" w:hAnsi="Times New Roman"/>
          <w:szCs w:val="24"/>
        </w:rPr>
        <w:t>100%</w:t>
      </w:r>
      <w:r>
        <w:rPr>
          <w:rFonts w:hint="eastAsia" w:ascii="Times New Roman" w:hAnsi="Times New Roman"/>
          <w:szCs w:val="24"/>
        </w:rPr>
        <w:t>围挡、物料堆放</w:t>
      </w:r>
      <w:r>
        <w:rPr>
          <w:rFonts w:ascii="Times New Roman" w:hAnsi="Times New Roman"/>
          <w:szCs w:val="24"/>
        </w:rPr>
        <w:t>100%</w:t>
      </w:r>
      <w:r>
        <w:rPr>
          <w:rFonts w:hint="eastAsia" w:ascii="Times New Roman" w:hAnsi="Times New Roman"/>
          <w:szCs w:val="24"/>
        </w:rPr>
        <w:t>覆盖、出入车辆</w:t>
      </w:r>
      <w:r>
        <w:rPr>
          <w:rFonts w:ascii="Times New Roman" w:hAnsi="Times New Roman"/>
          <w:szCs w:val="24"/>
        </w:rPr>
        <w:t>100%</w:t>
      </w:r>
      <w:r>
        <w:rPr>
          <w:rFonts w:hint="eastAsia" w:ascii="Times New Roman" w:hAnsi="Times New Roman"/>
          <w:szCs w:val="24"/>
        </w:rPr>
        <w:t>冲洗、施工现场地面</w:t>
      </w:r>
      <w:r>
        <w:rPr>
          <w:rFonts w:ascii="Times New Roman" w:hAnsi="Times New Roman"/>
          <w:szCs w:val="24"/>
        </w:rPr>
        <w:t>100%</w:t>
      </w:r>
      <w:r>
        <w:rPr>
          <w:rFonts w:hint="eastAsia" w:ascii="Times New Roman" w:hAnsi="Times New Roman"/>
          <w:szCs w:val="24"/>
        </w:rPr>
        <w:t>硬化、拆迁工地</w:t>
      </w:r>
      <w:r>
        <w:rPr>
          <w:rFonts w:ascii="Times New Roman" w:hAnsi="Times New Roman"/>
          <w:szCs w:val="24"/>
        </w:rPr>
        <w:t>100%</w:t>
      </w:r>
      <w:r>
        <w:rPr>
          <w:rFonts w:hint="eastAsia" w:ascii="Times New Roman" w:hAnsi="Times New Roman"/>
          <w:szCs w:val="24"/>
        </w:rPr>
        <w:t>湿法作业、渣土车辆</w:t>
      </w:r>
      <w:r>
        <w:rPr>
          <w:rFonts w:ascii="Times New Roman" w:hAnsi="Times New Roman"/>
          <w:szCs w:val="24"/>
        </w:rPr>
        <w:t>100%</w:t>
      </w:r>
      <w:r>
        <w:rPr>
          <w:rFonts w:hint="eastAsia" w:ascii="Times New Roman" w:hAnsi="Times New Roman"/>
          <w:szCs w:val="24"/>
        </w:rPr>
        <w:t>密闭运输。</w:t>
      </w:r>
    </w:p>
    <w:p>
      <w:pPr>
        <w:pStyle w:val="128"/>
        <w:spacing w:line="500" w:lineRule="exact"/>
        <w:ind w:firstLine="480"/>
        <w:rPr>
          <w:rFonts w:ascii="Times New Roman" w:hAnsi="Times New Roman"/>
          <w:szCs w:val="24"/>
        </w:rPr>
      </w:pPr>
      <w:r>
        <w:rPr>
          <w:rFonts w:hint="eastAsia" w:ascii="Times New Roman" w:hAnsi="Times New Roman"/>
          <w:szCs w:val="24"/>
        </w:rPr>
        <w:t>（</w:t>
      </w:r>
      <w:r>
        <w:rPr>
          <w:rFonts w:ascii="Times New Roman" w:hAnsi="Times New Roman"/>
          <w:szCs w:val="24"/>
        </w:rPr>
        <w:t>2</w:t>
      </w:r>
      <w:r>
        <w:rPr>
          <w:rFonts w:hint="eastAsia" w:ascii="Times New Roman" w:hAnsi="Times New Roman"/>
          <w:szCs w:val="24"/>
        </w:rPr>
        <w:t>）运输扬尘措施</w:t>
      </w:r>
    </w:p>
    <w:p>
      <w:pPr>
        <w:pStyle w:val="128"/>
        <w:spacing w:line="500" w:lineRule="exact"/>
        <w:ind w:firstLine="480"/>
        <w:rPr>
          <w:rFonts w:ascii="Times New Roman" w:hAnsi="Times New Roman"/>
          <w:szCs w:val="24"/>
        </w:rPr>
      </w:pPr>
      <w:r>
        <w:rPr>
          <w:rFonts w:ascii="Times New Roman" w:hAnsi="Times New Roman"/>
          <w:szCs w:val="24"/>
        </w:rPr>
        <w:t>A</w:t>
      </w:r>
      <w:r>
        <w:rPr>
          <w:rFonts w:hint="eastAsia" w:ascii="Times New Roman" w:hAnsi="Times New Roman"/>
          <w:szCs w:val="24"/>
        </w:rPr>
        <w:t>、施工场地内道路使用碎石铺设，道路清扫时必须采取洒水措施。</w:t>
      </w:r>
    </w:p>
    <w:p>
      <w:pPr>
        <w:pStyle w:val="128"/>
        <w:spacing w:line="500" w:lineRule="exact"/>
        <w:ind w:firstLine="480"/>
        <w:rPr>
          <w:rFonts w:ascii="Times New Roman" w:hAnsi="Times New Roman"/>
          <w:szCs w:val="24"/>
        </w:rPr>
      </w:pPr>
      <w:r>
        <w:rPr>
          <w:rFonts w:ascii="Times New Roman" w:hAnsi="Times New Roman"/>
          <w:szCs w:val="24"/>
        </w:rPr>
        <w:t>B</w:t>
      </w:r>
      <w:r>
        <w:rPr>
          <w:rFonts w:hint="eastAsia" w:ascii="Times New Roman" w:hAnsi="Times New Roman"/>
          <w:szCs w:val="24"/>
        </w:rPr>
        <w:t>、进出工地的物料、渣土、垃圾运输车辆，应尽可能采用密闭车斗，并保证物料不遗撒外漏。若无密闭车斗，物料、垃圾、渣土的装载高度不得超过车辆槽帮上沿，车斗应用苫布遮盖严实。苫布边缘至少要遮住槽帮上沿以下</w:t>
      </w:r>
      <w:r>
        <w:rPr>
          <w:rFonts w:ascii="Times New Roman" w:hAnsi="Times New Roman"/>
          <w:szCs w:val="24"/>
        </w:rPr>
        <w:t>15</w:t>
      </w:r>
      <w:r>
        <w:rPr>
          <w:rFonts w:hint="eastAsia" w:ascii="Times New Roman" w:hAnsi="Times New Roman"/>
          <w:szCs w:val="24"/>
        </w:rPr>
        <w:t>厘米，保证物料、渣土、垃圾等不露出。</w:t>
      </w:r>
    </w:p>
    <w:p>
      <w:pPr>
        <w:pStyle w:val="128"/>
        <w:spacing w:line="500" w:lineRule="exact"/>
        <w:ind w:firstLine="480"/>
        <w:rPr>
          <w:rFonts w:ascii="Times New Roman" w:hAnsi="Times New Roman"/>
          <w:szCs w:val="24"/>
        </w:rPr>
      </w:pPr>
      <w:r>
        <w:rPr>
          <w:rFonts w:ascii="Times New Roman" w:hAnsi="Times New Roman"/>
          <w:szCs w:val="24"/>
        </w:rPr>
        <w:t>C</w:t>
      </w:r>
      <w:r>
        <w:rPr>
          <w:rFonts w:hint="eastAsia" w:ascii="Times New Roman" w:hAnsi="Times New Roman"/>
          <w:szCs w:val="24"/>
        </w:rPr>
        <w:t>、运输车辆驶出工地前，应对车身、车槽、轮胎等部位进行清理或清洗以保证清洁上路。评价要求企业对进场道路进行硬化；限制汽车超载，运输车辆加盖篷布，避免车辆沿路抛洒；运输道路路面要经常清扫和洒水，保持路面清洁和一定的空气湿度；运输道路两侧设置绿化带，减少起尘量。</w:t>
      </w:r>
    </w:p>
    <w:p>
      <w:pPr>
        <w:spacing w:line="500" w:lineRule="exact"/>
        <w:ind w:firstLine="480"/>
        <w:rPr>
          <w:sz w:val="24"/>
        </w:rPr>
      </w:pPr>
      <w:r>
        <w:rPr>
          <w:rFonts w:hint="eastAsia"/>
          <w:sz w:val="24"/>
        </w:rPr>
        <w:t>在采取以上措施以后，施工期产生的大气污染物对周围环境产生的影响很小。</w:t>
      </w:r>
    </w:p>
    <w:p>
      <w:pPr>
        <w:spacing w:line="500" w:lineRule="exact"/>
        <w:outlineLvl w:val="2"/>
        <w:rPr>
          <w:rFonts w:eastAsiaTheme="minorEastAsia"/>
          <w:b/>
          <w:sz w:val="24"/>
          <w:lang w:val="en-GB"/>
        </w:rPr>
      </w:pPr>
      <w:r>
        <w:rPr>
          <w:rFonts w:eastAsiaTheme="minorEastAsia"/>
          <w:b/>
          <w:sz w:val="24"/>
          <w:lang w:val="en-GB"/>
        </w:rPr>
        <w:t>6.1.2</w:t>
      </w:r>
      <w:r>
        <w:rPr>
          <w:rFonts w:hint="eastAsia" w:eastAsiaTheme="minorEastAsia"/>
          <w:b/>
          <w:sz w:val="24"/>
          <w:lang w:val="en-GB"/>
        </w:rPr>
        <w:t>建设期水污染防治措施</w:t>
      </w:r>
    </w:p>
    <w:p>
      <w:pPr>
        <w:spacing w:line="500" w:lineRule="exact"/>
        <w:ind w:firstLine="496" w:firstLineChars="200"/>
        <w:rPr>
          <w:spacing w:val="4"/>
          <w:sz w:val="24"/>
        </w:rPr>
      </w:pPr>
      <w:r>
        <w:rPr>
          <w:rFonts w:hint="eastAsia"/>
          <w:spacing w:val="4"/>
          <w:sz w:val="24"/>
        </w:rPr>
        <w:t>建设期的废水主要有施工区的冲洗与设备清洗废水以及施工队伍排放的生活污水。环评提出的水污染防治措施：</w:t>
      </w:r>
    </w:p>
    <w:p>
      <w:pPr>
        <w:spacing w:line="500" w:lineRule="exact"/>
        <w:ind w:firstLine="496" w:firstLineChars="200"/>
        <w:rPr>
          <w:spacing w:val="4"/>
          <w:sz w:val="24"/>
        </w:rPr>
      </w:pPr>
      <w:r>
        <w:rPr>
          <w:rFonts w:hint="eastAsia"/>
          <w:spacing w:val="4"/>
          <w:sz w:val="24"/>
        </w:rPr>
        <w:t>（</w:t>
      </w:r>
      <w:r>
        <w:rPr>
          <w:spacing w:val="4"/>
          <w:sz w:val="24"/>
        </w:rPr>
        <w:t>1</w:t>
      </w:r>
      <w:r>
        <w:rPr>
          <w:rFonts w:hint="eastAsia"/>
          <w:spacing w:val="4"/>
          <w:sz w:val="24"/>
        </w:rPr>
        <w:t>）工程建设期应设置生活污水临时集中收集池，经过除油、沉淀等简易处理后用于场地洒水抑尘，不得随地泼洒。施工人员集中居住地应设防渗旱厕，并经常喷洒灭蝇药剂。</w:t>
      </w:r>
    </w:p>
    <w:p>
      <w:pPr>
        <w:spacing w:line="500" w:lineRule="exact"/>
        <w:ind w:firstLine="496" w:firstLineChars="200"/>
        <w:rPr>
          <w:spacing w:val="4"/>
          <w:sz w:val="24"/>
        </w:rPr>
      </w:pPr>
      <w:r>
        <w:rPr>
          <w:rFonts w:hint="eastAsia"/>
          <w:spacing w:val="4"/>
          <w:sz w:val="24"/>
        </w:rPr>
        <w:t>（</w:t>
      </w:r>
      <w:r>
        <w:rPr>
          <w:spacing w:val="4"/>
          <w:sz w:val="24"/>
        </w:rPr>
        <w:t>2</w:t>
      </w:r>
      <w:r>
        <w:rPr>
          <w:rFonts w:hint="eastAsia"/>
          <w:spacing w:val="4"/>
          <w:sz w:val="24"/>
        </w:rPr>
        <w:t>）施工单位要对露天堆放的施工材料、土堆、沙堆等要用棚布覆盖，避免在下雨天物料随雨水流失，产生不必要的污染。</w:t>
      </w:r>
    </w:p>
    <w:p>
      <w:pPr>
        <w:spacing w:line="500" w:lineRule="exact"/>
        <w:ind w:firstLine="496" w:firstLineChars="200"/>
        <w:rPr>
          <w:spacing w:val="4"/>
          <w:sz w:val="24"/>
        </w:rPr>
      </w:pPr>
      <w:r>
        <w:rPr>
          <w:rFonts w:hint="eastAsia"/>
          <w:spacing w:val="4"/>
          <w:sz w:val="24"/>
        </w:rPr>
        <w:t>（</w:t>
      </w:r>
      <w:r>
        <w:rPr>
          <w:spacing w:val="4"/>
          <w:sz w:val="24"/>
        </w:rPr>
        <w:t>3</w:t>
      </w:r>
      <w:r>
        <w:rPr>
          <w:rFonts w:hint="eastAsia"/>
          <w:spacing w:val="4"/>
          <w:sz w:val="24"/>
        </w:rPr>
        <w:t>）根据建设施工废水处置的实际情况，有效处理和利用的问题不大，但存在着施工单位施工随意性强，操作管理不规范的情况，使部分不应排放的废水流失，而造成一定的环境污染。对此，评价要求本工程建设中应重点加强监督管理，且应在业主单位、工程监理单位、当地环境保护主管单位的配合下进行。</w:t>
      </w:r>
    </w:p>
    <w:p>
      <w:pPr>
        <w:spacing w:line="500" w:lineRule="exact"/>
        <w:outlineLvl w:val="2"/>
        <w:rPr>
          <w:rFonts w:eastAsiaTheme="minorEastAsia"/>
          <w:b/>
          <w:sz w:val="24"/>
          <w:lang w:val="en-GB"/>
        </w:rPr>
      </w:pPr>
      <w:r>
        <w:rPr>
          <w:rFonts w:eastAsiaTheme="minorEastAsia"/>
          <w:b/>
          <w:sz w:val="24"/>
          <w:lang w:val="en-GB"/>
        </w:rPr>
        <w:t>6.1.3</w:t>
      </w:r>
      <w:r>
        <w:rPr>
          <w:rFonts w:hint="eastAsia" w:eastAsiaTheme="minorEastAsia"/>
          <w:b/>
          <w:sz w:val="24"/>
          <w:lang w:val="en-GB"/>
        </w:rPr>
        <w:t>建设期固体废物防治措施</w:t>
      </w:r>
    </w:p>
    <w:p>
      <w:pPr>
        <w:spacing w:line="360" w:lineRule="auto"/>
        <w:ind w:firstLine="480" w:firstLineChars="200"/>
        <w:rPr>
          <w:rFonts w:eastAsiaTheme="minorEastAsia"/>
          <w:sz w:val="24"/>
        </w:rPr>
      </w:pPr>
      <w:r>
        <w:rPr>
          <w:rFonts w:eastAsiaTheme="minorEastAsia"/>
          <w:sz w:val="24"/>
        </w:rPr>
        <w:t>建设期产生固体废物主要为井筒开拓产生的</w:t>
      </w:r>
      <w:r>
        <w:rPr>
          <w:rFonts w:hint="eastAsia" w:eastAsiaTheme="minorEastAsia"/>
          <w:sz w:val="24"/>
        </w:rPr>
        <w:t>掘进矸石、工业场地施工产生的建筑垃圾和</w:t>
      </w:r>
      <w:r>
        <w:rPr>
          <w:rFonts w:eastAsiaTheme="minorEastAsia"/>
          <w:sz w:val="24"/>
        </w:rPr>
        <w:t>施工人员少量的生活垃圾。</w:t>
      </w:r>
    </w:p>
    <w:p>
      <w:pPr>
        <w:spacing w:line="360" w:lineRule="auto"/>
        <w:ind w:firstLine="480" w:firstLineChars="200"/>
        <w:rPr>
          <w:rFonts w:eastAsiaTheme="minorEastAsia"/>
          <w:sz w:val="24"/>
        </w:rPr>
      </w:pPr>
      <w:r>
        <w:rPr>
          <w:rFonts w:eastAsiaTheme="minorEastAsia"/>
          <w:sz w:val="24"/>
        </w:rPr>
        <w:t>施工期产生的可回收废料，如钢筋头、废木板等，应责定施工单位回收</w:t>
      </w:r>
      <w:r>
        <w:rPr>
          <w:rFonts w:hint="eastAsia" w:eastAsiaTheme="minorEastAsia"/>
          <w:sz w:val="24"/>
        </w:rPr>
        <w:t>；</w:t>
      </w:r>
      <w:r>
        <w:rPr>
          <w:rFonts w:eastAsiaTheme="minorEastAsia"/>
          <w:sz w:val="24"/>
        </w:rPr>
        <w:t>生活垃圾运</w:t>
      </w:r>
      <w:r>
        <w:rPr>
          <w:rFonts w:hint="eastAsia" w:eastAsiaTheme="minorEastAsia"/>
          <w:sz w:val="24"/>
        </w:rPr>
        <w:t>送至</w:t>
      </w:r>
      <w:r>
        <w:rPr>
          <w:rFonts w:eastAsiaTheme="minorEastAsia"/>
          <w:sz w:val="24"/>
        </w:rPr>
        <w:t>当地环卫部门指定地点处置</w:t>
      </w:r>
      <w:r>
        <w:rPr>
          <w:rFonts w:hint="eastAsia" w:eastAsiaTheme="minorEastAsia"/>
          <w:sz w:val="24"/>
        </w:rPr>
        <w:t>；建筑垃圾运送至指定的建筑垃圾堆场；掘进矸石优先</w:t>
      </w:r>
      <w:r>
        <w:rPr>
          <w:rFonts w:eastAsiaTheme="minorEastAsia"/>
          <w:sz w:val="24"/>
        </w:rPr>
        <w:t>送往</w:t>
      </w:r>
      <w:r>
        <w:rPr>
          <w:rFonts w:hint="eastAsia"/>
          <w:sz w:val="24"/>
        </w:rPr>
        <w:t>矸石优先送往山西华光发电有限责任公司综合利用，利用不畅时送至原环评批复的临时矸石场填埋。</w:t>
      </w:r>
    </w:p>
    <w:p>
      <w:pPr>
        <w:spacing w:line="500" w:lineRule="exact"/>
        <w:outlineLvl w:val="2"/>
        <w:rPr>
          <w:rFonts w:eastAsiaTheme="minorEastAsia"/>
          <w:b/>
          <w:sz w:val="24"/>
          <w:lang w:val="en-GB"/>
        </w:rPr>
      </w:pPr>
      <w:r>
        <w:rPr>
          <w:rFonts w:eastAsiaTheme="minorEastAsia"/>
          <w:b/>
          <w:sz w:val="24"/>
          <w:lang w:val="en-GB"/>
        </w:rPr>
        <w:t>6.1.4</w:t>
      </w:r>
      <w:r>
        <w:rPr>
          <w:rFonts w:hint="eastAsia" w:eastAsiaTheme="minorEastAsia"/>
          <w:b/>
          <w:sz w:val="24"/>
          <w:lang w:val="en-GB"/>
        </w:rPr>
        <w:t>建设期噪声污染防治措施</w:t>
      </w:r>
    </w:p>
    <w:p>
      <w:pPr>
        <w:spacing w:line="500" w:lineRule="exact"/>
        <w:ind w:firstLine="496" w:firstLineChars="200"/>
        <w:rPr>
          <w:spacing w:val="4"/>
          <w:sz w:val="24"/>
        </w:rPr>
      </w:pPr>
      <w:r>
        <w:rPr>
          <w:rFonts w:hint="eastAsia"/>
          <w:spacing w:val="4"/>
          <w:sz w:val="24"/>
        </w:rPr>
        <w:t>建设期噪声主要是施工现场的各类施工机械产生的噪声（包括建设井筒的凿井设备噪声和地面建构筑物的施工噪声）以及建筑物料运输造成的交通噪声。评价要求施工单位采取以下噪声防治措施：</w:t>
      </w:r>
    </w:p>
    <w:p>
      <w:pPr>
        <w:spacing w:line="500" w:lineRule="exact"/>
        <w:ind w:firstLine="496" w:firstLineChars="200"/>
        <w:rPr>
          <w:spacing w:val="4"/>
          <w:sz w:val="24"/>
        </w:rPr>
      </w:pPr>
      <w:r>
        <w:rPr>
          <w:rFonts w:hint="eastAsia"/>
          <w:spacing w:val="4"/>
          <w:sz w:val="24"/>
        </w:rPr>
        <w:t>（</w:t>
      </w:r>
      <w:r>
        <w:rPr>
          <w:spacing w:val="4"/>
          <w:sz w:val="24"/>
        </w:rPr>
        <w:t>1</w:t>
      </w:r>
      <w:r>
        <w:rPr>
          <w:rFonts w:hint="eastAsia"/>
          <w:spacing w:val="4"/>
          <w:sz w:val="24"/>
        </w:rPr>
        <w:t>）合理安排施工时间：制定施工计划时，应尽可能避免高噪声设备同时施工；高噪声的作业应尽量安排在白天进行，减少夜间施工量，避免对周围村庄居民生活产生不良影响。</w:t>
      </w:r>
    </w:p>
    <w:p>
      <w:pPr>
        <w:spacing w:line="500" w:lineRule="exact"/>
        <w:ind w:firstLine="496" w:firstLineChars="200"/>
        <w:rPr>
          <w:spacing w:val="4"/>
          <w:sz w:val="24"/>
        </w:rPr>
      </w:pPr>
      <w:r>
        <w:rPr>
          <w:rFonts w:hint="eastAsia"/>
          <w:spacing w:val="4"/>
          <w:sz w:val="24"/>
        </w:rPr>
        <w:t>（</w:t>
      </w:r>
      <w:r>
        <w:rPr>
          <w:spacing w:val="4"/>
          <w:sz w:val="24"/>
        </w:rPr>
        <w:t>2</w:t>
      </w:r>
      <w:r>
        <w:rPr>
          <w:rFonts w:hint="eastAsia"/>
          <w:spacing w:val="4"/>
          <w:sz w:val="24"/>
        </w:rPr>
        <w:t>）合理布局施工现场：避免同一地点安排大量动力机械设备，以免局部声级过高。</w:t>
      </w:r>
    </w:p>
    <w:p>
      <w:pPr>
        <w:spacing w:line="500" w:lineRule="exact"/>
        <w:ind w:firstLine="496" w:firstLineChars="200"/>
        <w:rPr>
          <w:spacing w:val="4"/>
          <w:sz w:val="24"/>
        </w:rPr>
      </w:pPr>
      <w:r>
        <w:rPr>
          <w:rFonts w:hint="eastAsia"/>
          <w:spacing w:val="4"/>
          <w:sz w:val="24"/>
        </w:rPr>
        <w:t>（</w:t>
      </w:r>
      <w:r>
        <w:rPr>
          <w:spacing w:val="4"/>
          <w:sz w:val="24"/>
        </w:rPr>
        <w:t>3</w:t>
      </w:r>
      <w:r>
        <w:rPr>
          <w:rFonts w:hint="eastAsia"/>
          <w:spacing w:val="4"/>
          <w:sz w:val="24"/>
        </w:rPr>
        <w:t>）降低设备噪声级：设备选型上尽量采用低噪声设备，如以液压机械代替燃油机械，振捣器采用高频振捣器等；对动力机械设备要定期进行维护和保养，使其一直保持良好的状态，减轻因设备运行状态不佳而造成的噪声污染。闲置不用的设备应立即关闭。</w:t>
      </w:r>
    </w:p>
    <w:p>
      <w:pPr>
        <w:spacing w:line="500" w:lineRule="exact"/>
        <w:ind w:firstLine="496" w:firstLineChars="200"/>
        <w:rPr>
          <w:spacing w:val="4"/>
          <w:sz w:val="24"/>
        </w:rPr>
      </w:pPr>
      <w:r>
        <w:rPr>
          <w:rFonts w:hint="eastAsia"/>
          <w:spacing w:val="4"/>
          <w:sz w:val="24"/>
        </w:rPr>
        <w:t>（</w:t>
      </w:r>
      <w:r>
        <w:rPr>
          <w:spacing w:val="4"/>
          <w:sz w:val="24"/>
        </w:rPr>
        <w:t>4</w:t>
      </w:r>
      <w:r>
        <w:rPr>
          <w:rFonts w:hint="eastAsia"/>
          <w:spacing w:val="4"/>
          <w:sz w:val="24"/>
        </w:rPr>
        <w:t>）运输要采用车况良好的车辆，并应注意定期维修和养护；在乡村路段要限制鸣笛；一般情况应禁止夜间运输。</w:t>
      </w:r>
    </w:p>
    <w:p>
      <w:pPr>
        <w:spacing w:line="500" w:lineRule="exact"/>
        <w:outlineLvl w:val="2"/>
        <w:rPr>
          <w:rFonts w:eastAsiaTheme="minorEastAsia"/>
          <w:b/>
          <w:sz w:val="24"/>
          <w:lang w:val="en-GB"/>
        </w:rPr>
      </w:pPr>
      <w:r>
        <w:rPr>
          <w:rFonts w:eastAsiaTheme="minorEastAsia"/>
          <w:b/>
          <w:sz w:val="24"/>
          <w:lang w:val="en-GB"/>
        </w:rPr>
        <w:t>6.1.5</w:t>
      </w:r>
      <w:r>
        <w:rPr>
          <w:rFonts w:hint="eastAsia" w:eastAsiaTheme="minorEastAsia"/>
          <w:b/>
          <w:sz w:val="24"/>
          <w:lang w:val="en-GB"/>
        </w:rPr>
        <w:t>建设期生态环境保护措施</w:t>
      </w:r>
    </w:p>
    <w:p>
      <w:pPr>
        <w:pStyle w:val="149"/>
        <w:ind w:firstLine="480"/>
        <w:rPr>
          <w:spacing w:val="4"/>
        </w:rPr>
      </w:pPr>
      <w:r>
        <w:rPr>
          <w:rFonts w:hint="eastAsia"/>
          <w:sz w:val="24"/>
        </w:rPr>
        <w:t>建设期对当地生态环境的破坏主要表现在场地挖填、地面建构筑物及道路建设时对土地扰动作用，造成地貌的改变、植被的破坏、短期内使水土流失加剧，对局部生态环境有不利影响。</w:t>
      </w:r>
    </w:p>
    <w:p>
      <w:pPr>
        <w:spacing w:line="500" w:lineRule="exact"/>
        <w:ind w:firstLine="496" w:firstLineChars="200"/>
        <w:rPr>
          <w:spacing w:val="4"/>
          <w:sz w:val="24"/>
        </w:rPr>
      </w:pPr>
      <w:r>
        <w:rPr>
          <w:rFonts w:hint="eastAsia"/>
          <w:spacing w:val="4"/>
          <w:sz w:val="24"/>
        </w:rPr>
        <w:t>环评提出的防治措施：</w:t>
      </w:r>
    </w:p>
    <w:p>
      <w:pPr>
        <w:spacing w:line="500" w:lineRule="exact"/>
        <w:ind w:firstLine="496" w:firstLineChars="200"/>
        <w:rPr>
          <w:spacing w:val="4"/>
          <w:sz w:val="24"/>
        </w:rPr>
      </w:pPr>
      <w:r>
        <w:rPr>
          <w:rFonts w:hint="eastAsia"/>
          <w:spacing w:val="4"/>
          <w:sz w:val="24"/>
        </w:rPr>
        <w:t>（</w:t>
      </w:r>
      <w:r>
        <w:rPr>
          <w:spacing w:val="4"/>
          <w:sz w:val="24"/>
        </w:rPr>
        <w:t>1</w:t>
      </w:r>
      <w:r>
        <w:rPr>
          <w:rFonts w:hint="eastAsia"/>
          <w:spacing w:val="4"/>
          <w:sz w:val="24"/>
        </w:rPr>
        <w:t>）土壤与植被的保护与恢复措施</w:t>
      </w:r>
    </w:p>
    <w:p>
      <w:pPr>
        <w:spacing w:line="500" w:lineRule="exact"/>
        <w:ind w:firstLine="496" w:firstLineChars="200"/>
        <w:rPr>
          <w:spacing w:val="4"/>
          <w:sz w:val="24"/>
        </w:rPr>
      </w:pPr>
      <w:r>
        <w:rPr>
          <w:rFonts w:hint="eastAsia" w:ascii="宋体" w:hAnsi="宋体" w:cs="宋体"/>
          <w:spacing w:val="4"/>
          <w:sz w:val="24"/>
        </w:rPr>
        <w:t>①</w:t>
      </w:r>
      <w:r>
        <w:rPr>
          <w:rFonts w:hint="eastAsia"/>
          <w:spacing w:val="4"/>
          <w:sz w:val="24"/>
        </w:rPr>
        <w:t>施工时应采取尽量少占地、少破坏植被的原则，各施工活动应严格控制在施工区域内进行，以免造成周围植被、土壤的大面积破坏和干扰动物的栖息环境。对于植被生长较好的地段，尽量不要在这些地段设置临时工棚，料场等。</w:t>
      </w:r>
    </w:p>
    <w:p>
      <w:pPr>
        <w:spacing w:line="500" w:lineRule="exact"/>
        <w:ind w:firstLine="496" w:firstLineChars="200"/>
        <w:rPr>
          <w:spacing w:val="4"/>
          <w:sz w:val="24"/>
        </w:rPr>
      </w:pPr>
      <w:r>
        <w:rPr>
          <w:rFonts w:hint="eastAsia" w:ascii="宋体" w:hAnsi="宋体" w:cs="宋体"/>
          <w:spacing w:val="4"/>
          <w:sz w:val="24"/>
        </w:rPr>
        <w:t>②</w:t>
      </w:r>
      <w:r>
        <w:rPr>
          <w:rFonts w:hint="eastAsia"/>
          <w:spacing w:val="4"/>
          <w:sz w:val="24"/>
        </w:rPr>
        <w:t>对于临时占地及新开辟的临时便道等破坏区，项目建设结束后应进行植被恢复。凡受到施工车辆、机械破坏的地方均要进行土地平整、耕翻疏松</w:t>
      </w:r>
      <w:r>
        <w:rPr>
          <w:spacing w:val="4"/>
          <w:sz w:val="24"/>
        </w:rPr>
        <w:t>(</w:t>
      </w:r>
      <w:r>
        <w:rPr>
          <w:rFonts w:hint="eastAsia"/>
          <w:spacing w:val="4"/>
          <w:sz w:val="24"/>
        </w:rPr>
        <w:t>要求深翻表土</w:t>
      </w:r>
      <w:r>
        <w:rPr>
          <w:spacing w:val="4"/>
          <w:sz w:val="24"/>
        </w:rPr>
        <w:t>30</w:t>
      </w:r>
      <w:r>
        <w:rPr>
          <w:rFonts w:hint="eastAsia"/>
          <w:spacing w:val="4"/>
          <w:sz w:val="24"/>
        </w:rPr>
        <w:t>～</w:t>
      </w:r>
      <w:r>
        <w:rPr>
          <w:spacing w:val="4"/>
          <w:sz w:val="24"/>
        </w:rPr>
        <w:t>40cm)</w:t>
      </w:r>
      <w:r>
        <w:rPr>
          <w:rFonts w:hint="eastAsia"/>
          <w:spacing w:val="4"/>
          <w:sz w:val="24"/>
        </w:rPr>
        <w:t>，并在适当季节进行植树、种草工作，保持地表原有的稳定状态。</w:t>
      </w:r>
    </w:p>
    <w:p>
      <w:pPr>
        <w:spacing w:line="500" w:lineRule="exact"/>
        <w:ind w:firstLine="496" w:firstLineChars="200"/>
        <w:rPr>
          <w:spacing w:val="4"/>
          <w:sz w:val="24"/>
        </w:rPr>
      </w:pPr>
      <w:r>
        <w:rPr>
          <w:rFonts w:hint="eastAsia" w:ascii="宋体" w:hAnsi="宋体" w:cs="宋体"/>
          <w:spacing w:val="4"/>
          <w:sz w:val="24"/>
        </w:rPr>
        <w:t>③</w:t>
      </w:r>
      <w:r>
        <w:rPr>
          <w:rFonts w:hint="eastAsia"/>
          <w:spacing w:val="4"/>
          <w:sz w:val="24"/>
        </w:rPr>
        <w:t>应加强对施工人员生态环境保护意识的教育，严禁在规定的施工范围外随意砍伐树木。对于施工过程中破坏的乔木和灌丛，要制定补偿措施，损失多少必须补偿多少，进行原地补充或异地补充。</w:t>
      </w:r>
    </w:p>
    <w:p>
      <w:pPr>
        <w:spacing w:line="500" w:lineRule="exact"/>
        <w:ind w:firstLine="496" w:firstLineChars="200"/>
        <w:rPr>
          <w:spacing w:val="4"/>
          <w:sz w:val="24"/>
        </w:rPr>
      </w:pPr>
      <w:r>
        <w:rPr>
          <w:rFonts w:hint="eastAsia"/>
          <w:spacing w:val="4"/>
          <w:sz w:val="24"/>
        </w:rPr>
        <w:t>（</w:t>
      </w:r>
      <w:r>
        <w:rPr>
          <w:spacing w:val="4"/>
          <w:sz w:val="24"/>
        </w:rPr>
        <w:t>2</w:t>
      </w:r>
      <w:r>
        <w:rPr>
          <w:rFonts w:hint="eastAsia"/>
          <w:spacing w:val="4"/>
          <w:sz w:val="24"/>
        </w:rPr>
        <w:t>）土壤侵蚀的防治对策措施</w:t>
      </w:r>
    </w:p>
    <w:p>
      <w:pPr>
        <w:spacing w:line="500" w:lineRule="exact"/>
        <w:ind w:firstLine="496" w:firstLineChars="200"/>
        <w:rPr>
          <w:spacing w:val="4"/>
          <w:sz w:val="24"/>
        </w:rPr>
      </w:pPr>
      <w:r>
        <w:rPr>
          <w:rFonts w:hint="eastAsia" w:ascii="宋体" w:hAnsi="宋体" w:cs="宋体"/>
          <w:spacing w:val="4"/>
          <w:sz w:val="24"/>
        </w:rPr>
        <w:t>①</w:t>
      </w:r>
      <w:r>
        <w:rPr>
          <w:rFonts w:hint="eastAsia"/>
          <w:spacing w:val="4"/>
          <w:sz w:val="24"/>
        </w:rPr>
        <w:t>在地面施工过程中，应避免在大风季节以及暴雨时节作业。对施工破坏区，施工完毕，要及时平整土地，并种植适宜的植物，以防止发生新的土壤侵蚀。</w:t>
      </w:r>
    </w:p>
    <w:p>
      <w:pPr>
        <w:spacing w:line="500" w:lineRule="exact"/>
        <w:ind w:firstLine="496" w:firstLineChars="200"/>
        <w:rPr>
          <w:spacing w:val="4"/>
          <w:sz w:val="24"/>
        </w:rPr>
      </w:pPr>
      <w:r>
        <w:rPr>
          <w:rFonts w:hint="eastAsia" w:ascii="宋体" w:hAnsi="宋体" w:cs="宋体"/>
          <w:spacing w:val="4"/>
          <w:sz w:val="24"/>
        </w:rPr>
        <w:t>②</w:t>
      </w:r>
      <w:r>
        <w:rPr>
          <w:rFonts w:hint="eastAsia"/>
          <w:spacing w:val="4"/>
          <w:sz w:val="24"/>
        </w:rPr>
        <w:t>施工期应先建设各种排水设施，将雨水及时排走，避免在场地形成水漫流，导致水土流失增加。</w:t>
      </w:r>
    </w:p>
    <w:p>
      <w:pPr>
        <w:pStyle w:val="3"/>
        <w:spacing w:before="0" w:after="0" w:line="500" w:lineRule="exact"/>
        <w:rPr>
          <w:rFonts w:ascii="Times New Roman" w:hAnsi="Times New Roman" w:eastAsiaTheme="minorEastAsia"/>
          <w:bCs w:val="0"/>
          <w:sz w:val="28"/>
        </w:rPr>
      </w:pPr>
      <w:bookmarkStart w:id="286" w:name="_Toc19176"/>
      <w:bookmarkStart w:id="287" w:name="_Toc26203281"/>
      <w:bookmarkStart w:id="288" w:name="_Toc22573"/>
      <w:bookmarkStart w:id="289" w:name="_Toc71551950"/>
      <w:r>
        <w:rPr>
          <w:rFonts w:ascii="Times New Roman" w:hAnsi="Times New Roman" w:eastAsiaTheme="minorEastAsia"/>
          <w:bCs w:val="0"/>
          <w:sz w:val="28"/>
        </w:rPr>
        <w:t>6.2</w:t>
      </w:r>
      <w:r>
        <w:rPr>
          <w:rFonts w:hint="eastAsia" w:ascii="Times New Roman" w:hAnsi="Times New Roman" w:eastAsiaTheme="minorEastAsia"/>
          <w:bCs w:val="0"/>
          <w:sz w:val="28"/>
        </w:rPr>
        <w:t>运营期环境保护措施及可行性论证</w:t>
      </w:r>
      <w:bookmarkEnd w:id="286"/>
      <w:bookmarkEnd w:id="287"/>
      <w:bookmarkEnd w:id="288"/>
      <w:bookmarkEnd w:id="289"/>
    </w:p>
    <w:p>
      <w:pPr>
        <w:spacing w:line="500" w:lineRule="exact"/>
        <w:outlineLvl w:val="2"/>
        <w:rPr>
          <w:rFonts w:eastAsiaTheme="minorEastAsia"/>
          <w:b/>
          <w:sz w:val="24"/>
          <w:lang w:val="en-GB"/>
        </w:rPr>
      </w:pPr>
      <w:r>
        <w:rPr>
          <w:rFonts w:eastAsiaTheme="minorEastAsia"/>
          <w:b/>
          <w:sz w:val="24"/>
          <w:lang w:val="en-GB"/>
        </w:rPr>
        <w:t>6.</w:t>
      </w:r>
      <w:r>
        <w:rPr>
          <w:rFonts w:hint="eastAsia" w:eastAsiaTheme="minorEastAsia"/>
          <w:b/>
          <w:sz w:val="24"/>
          <w:lang w:val="en-GB"/>
        </w:rPr>
        <w:t>2</w:t>
      </w:r>
      <w:r>
        <w:rPr>
          <w:rFonts w:eastAsiaTheme="minorEastAsia"/>
          <w:b/>
          <w:sz w:val="24"/>
          <w:lang w:val="en-GB"/>
        </w:rPr>
        <w:t>.1</w:t>
      </w:r>
      <w:r>
        <w:rPr>
          <w:rFonts w:hint="eastAsia" w:eastAsiaTheme="minorEastAsia"/>
          <w:b/>
          <w:sz w:val="24"/>
          <w:lang w:val="en-GB"/>
        </w:rPr>
        <w:t>环境空气保护措施</w:t>
      </w:r>
    </w:p>
    <w:p>
      <w:pPr>
        <w:pStyle w:val="149"/>
        <w:ind w:firstLine="480"/>
        <w:rPr>
          <w:sz w:val="24"/>
        </w:rPr>
      </w:pPr>
      <w:bookmarkStart w:id="290" w:name="_Toc480708233"/>
      <w:r>
        <w:rPr>
          <w:rFonts w:hint="eastAsia"/>
          <w:sz w:val="24"/>
        </w:rPr>
        <w:t>本项目开采方式为地下开采方式，变更后运营期大气污染源主要为燃气锅炉产生的烟尘、二氧化硫、氮氧化物，道路运输扬尘等。</w:t>
      </w:r>
    </w:p>
    <w:p>
      <w:pPr>
        <w:spacing w:line="500" w:lineRule="exact"/>
        <w:ind w:firstLine="480" w:firstLineChars="200"/>
        <w:rPr>
          <w:sz w:val="24"/>
        </w:rPr>
      </w:pPr>
      <w:r>
        <w:rPr>
          <w:rFonts w:hint="eastAsia"/>
          <w:sz w:val="24"/>
        </w:rPr>
        <w:t>（1）运输道路扬尘</w:t>
      </w:r>
    </w:p>
    <w:p>
      <w:pPr>
        <w:spacing w:line="500" w:lineRule="exact"/>
        <w:ind w:firstLine="480" w:firstLineChars="200"/>
        <w:rPr>
          <w:sz w:val="24"/>
        </w:rPr>
      </w:pPr>
      <w:r>
        <w:rPr>
          <w:rFonts w:hint="eastAsia"/>
          <w:sz w:val="24"/>
        </w:rPr>
        <w:t>运输过程中道路扬尘和物料散落是主要粉尘污染源，为了控制汽车运输产生的道路扬尘，环评规定矿区进场道路采用混凝土硬化，道路两侧进行绿化；并在矿区工业场地出入口设车辆轮胎清洗平台；并设专用洒水车，在运输道路定期洒水降尘，保持路面清洁和相对湿度；对外运输汽车加盖篷布，限制超载。通过以上粉尘控制效率</w:t>
      </w:r>
      <w:r>
        <w:rPr>
          <w:sz w:val="24"/>
        </w:rPr>
        <w:t>85%</w:t>
      </w:r>
      <w:r>
        <w:rPr>
          <w:rFonts w:hint="eastAsia"/>
          <w:sz w:val="24"/>
        </w:rPr>
        <w:t>。</w:t>
      </w:r>
    </w:p>
    <w:p>
      <w:pPr>
        <w:spacing w:line="500" w:lineRule="exact"/>
        <w:ind w:firstLine="480" w:firstLineChars="200"/>
        <w:rPr>
          <w:sz w:val="24"/>
        </w:rPr>
      </w:pPr>
      <w:r>
        <w:rPr>
          <w:rFonts w:hint="eastAsia"/>
          <w:sz w:val="24"/>
        </w:rPr>
        <w:t>该项目经采取以上措施后，粉尘无组织排放量有效减少，能够满足</w:t>
      </w:r>
      <w:r>
        <w:rPr>
          <w:rFonts w:hint="eastAsia" w:eastAsiaTheme="minorEastAsia"/>
          <w:sz w:val="24"/>
        </w:rPr>
        <w:t>《煤炭工业污染物排放标准》（</w:t>
      </w:r>
      <w:r>
        <w:rPr>
          <w:rFonts w:eastAsiaTheme="minorEastAsia"/>
          <w:sz w:val="24"/>
        </w:rPr>
        <w:t>GB20426-2006</w:t>
      </w:r>
      <w:r>
        <w:rPr>
          <w:rFonts w:hint="eastAsia" w:eastAsiaTheme="minorEastAsia"/>
          <w:sz w:val="24"/>
        </w:rPr>
        <w:t>）</w:t>
      </w:r>
      <w:r>
        <w:rPr>
          <w:rFonts w:hint="eastAsia"/>
          <w:sz w:val="24"/>
        </w:rPr>
        <w:t>中无组织排放监控浓度限值，粉尘排放污染防治措施可行。</w:t>
      </w:r>
    </w:p>
    <w:p>
      <w:pPr>
        <w:spacing w:line="500" w:lineRule="exact"/>
        <w:ind w:firstLine="480" w:firstLineChars="200"/>
        <w:rPr>
          <w:sz w:val="24"/>
        </w:rPr>
      </w:pPr>
      <w:r>
        <w:rPr>
          <w:rFonts w:hint="eastAsia"/>
          <w:sz w:val="24"/>
        </w:rPr>
        <w:t>（2）锅炉</w:t>
      </w:r>
    </w:p>
    <w:p>
      <w:pPr>
        <w:spacing w:line="500" w:lineRule="exact"/>
        <w:ind w:firstLine="480" w:firstLineChars="200"/>
        <w:rPr>
          <w:rFonts w:eastAsiaTheme="minorEastAsia"/>
          <w:sz w:val="24"/>
        </w:rPr>
      </w:pPr>
      <w:r>
        <w:rPr>
          <w:rFonts w:hint="eastAsia"/>
          <w:sz w:val="24"/>
        </w:rPr>
        <w:t>工业场地锅炉房设置</w:t>
      </w:r>
      <w:r>
        <w:rPr>
          <w:sz w:val="24"/>
        </w:rPr>
        <w:t>2</w:t>
      </w:r>
      <w:r>
        <w:rPr>
          <w:rFonts w:hint="eastAsia"/>
          <w:sz w:val="24"/>
        </w:rPr>
        <w:t>台</w:t>
      </w:r>
      <w:r>
        <w:rPr>
          <w:rFonts w:hint="eastAsia" w:hAnsiTheme="minorEastAsia" w:eastAsiaTheme="minorEastAsia"/>
          <w:color w:val="FF0000"/>
          <w:kern w:val="0"/>
          <w:sz w:val="24"/>
        </w:rPr>
        <w:t>超低氮</w:t>
      </w:r>
      <w:r>
        <w:rPr>
          <w:rFonts w:hAnsiTheme="minorEastAsia" w:eastAsiaTheme="minorEastAsia"/>
          <w:color w:val="FF0000"/>
          <w:kern w:val="0"/>
          <w:sz w:val="24"/>
        </w:rPr>
        <w:t>LSS8-1.25</w:t>
      </w:r>
      <w:r>
        <w:rPr>
          <w:rFonts w:hint="eastAsia" w:hAnsiTheme="minorEastAsia" w:eastAsiaTheme="minorEastAsia"/>
          <w:color w:val="FF0000"/>
          <w:kern w:val="0"/>
          <w:sz w:val="24"/>
        </w:rPr>
        <w:t>型燃气蒸汽锅炉</w:t>
      </w:r>
      <w:r>
        <w:rPr>
          <w:rFonts w:hint="eastAsia"/>
          <w:sz w:val="24"/>
        </w:rPr>
        <w:t>，</w:t>
      </w:r>
      <w:r>
        <w:rPr>
          <w:rFonts w:hint="eastAsia" w:hAnsiTheme="minorEastAsia" w:eastAsiaTheme="minorEastAsia"/>
          <w:kern w:val="0"/>
          <w:sz w:val="24"/>
        </w:rPr>
        <w:t>其中</w:t>
      </w:r>
      <w:r>
        <w:rPr>
          <w:rFonts w:hint="eastAsia"/>
          <w:sz w:val="24"/>
        </w:rPr>
        <w:t>采暖期2台锅炉同时运行，非采暖期运行1台锅炉。</w:t>
      </w:r>
      <w:r>
        <w:rPr>
          <w:rFonts w:hint="eastAsia" w:eastAsiaTheme="minorEastAsia"/>
          <w:sz w:val="24"/>
        </w:rPr>
        <w:t>锅炉烟气可以满足《锅炉大气污染物排放标准》（</w:t>
      </w:r>
      <w:r>
        <w:rPr>
          <w:rFonts w:eastAsiaTheme="minorEastAsia"/>
          <w:sz w:val="24"/>
        </w:rPr>
        <w:t>DB14/1929-2019</w:t>
      </w:r>
      <w:r>
        <w:rPr>
          <w:rFonts w:hint="eastAsia" w:eastAsiaTheme="minorEastAsia"/>
          <w:sz w:val="24"/>
        </w:rPr>
        <w:t>）中表</w:t>
      </w:r>
      <w:r>
        <w:rPr>
          <w:rFonts w:eastAsiaTheme="minorEastAsia"/>
          <w:sz w:val="24"/>
        </w:rPr>
        <w:t>3</w:t>
      </w:r>
      <w:r>
        <w:rPr>
          <w:rFonts w:hint="eastAsia" w:eastAsiaTheme="minorEastAsia"/>
          <w:sz w:val="24"/>
        </w:rPr>
        <w:t>标准限值要求。</w:t>
      </w:r>
    </w:p>
    <w:p>
      <w:pPr>
        <w:tabs>
          <w:tab w:val="right" w:pos="8967"/>
        </w:tabs>
        <w:spacing w:line="480" w:lineRule="atLeast"/>
        <w:ind w:firstLine="480" w:firstLineChars="200"/>
        <w:rPr>
          <w:sz w:val="24"/>
        </w:rPr>
      </w:pPr>
      <w:r>
        <w:rPr>
          <w:rFonts w:hint="eastAsia"/>
          <w:sz w:val="24"/>
        </w:rPr>
        <w:t>本项目低氮燃烧的原理是分级燃烧。在第一阶段，将从主燃烧器供入炉膛的空气量减少到总燃烧空气量的</w:t>
      </w:r>
      <w:r>
        <w:rPr>
          <w:sz w:val="24"/>
        </w:rPr>
        <w:t>70</w:t>
      </w:r>
      <w:r>
        <w:rPr>
          <w:rFonts w:hint="eastAsia"/>
          <w:sz w:val="24"/>
        </w:rPr>
        <w:t>－</w:t>
      </w:r>
      <w:r>
        <w:rPr>
          <w:sz w:val="24"/>
        </w:rPr>
        <w:t>75%</w:t>
      </w:r>
      <w:r>
        <w:rPr>
          <w:rFonts w:hint="eastAsia"/>
          <w:sz w:val="24"/>
        </w:rPr>
        <w:t>（相当于理论空气量的</w:t>
      </w:r>
      <w:r>
        <w:rPr>
          <w:sz w:val="24"/>
        </w:rPr>
        <w:t>80%</w:t>
      </w:r>
      <w:r>
        <w:rPr>
          <w:rFonts w:hint="eastAsia"/>
          <w:sz w:val="24"/>
        </w:rPr>
        <w:t>），使燃料先在缺氧的富燃料燃烧条件下燃烧。此时第一级燃烧区内过量空气系数</w:t>
      </w:r>
      <w:r>
        <w:rPr>
          <w:sz w:val="24"/>
        </w:rPr>
        <w:t>α</w:t>
      </w:r>
      <w:r>
        <w:rPr>
          <w:rFonts w:hint="eastAsia"/>
          <w:sz w:val="24"/>
        </w:rPr>
        <w:t>＜</w:t>
      </w:r>
      <w:r>
        <w:rPr>
          <w:sz w:val="24"/>
        </w:rPr>
        <w:t>1</w:t>
      </w:r>
      <w:r>
        <w:rPr>
          <w:rFonts w:hint="eastAsia"/>
          <w:sz w:val="24"/>
        </w:rPr>
        <w:t>，因而降低了燃烧区内的燃烧速度和温度水平。因此，不但延迟了燃烧过程，而且在还原性气氛中降低了生成</w:t>
      </w:r>
      <w:r>
        <w:rPr>
          <w:sz w:val="24"/>
        </w:rPr>
        <w:t>NOx</w:t>
      </w:r>
      <w:r>
        <w:rPr>
          <w:rFonts w:hint="eastAsia"/>
          <w:sz w:val="24"/>
        </w:rPr>
        <w:t>的反应率，抑制了</w:t>
      </w:r>
      <w:r>
        <w:rPr>
          <w:sz w:val="24"/>
        </w:rPr>
        <w:t>NOx</w:t>
      </w:r>
      <w:r>
        <w:rPr>
          <w:rFonts w:hint="eastAsia"/>
          <w:sz w:val="24"/>
        </w:rPr>
        <w:t>在这一燃烧中的生成量。为了完成全部燃烧过程，完全燃烧所需的其余空气则通过布置在主燃烧器上方的专门空气喷口</w:t>
      </w:r>
      <w:r>
        <w:rPr>
          <w:sz w:val="24"/>
        </w:rPr>
        <w:t>OFA</w:t>
      </w:r>
      <w:r>
        <w:rPr>
          <w:rFonts w:hint="eastAsia"/>
          <w:sz w:val="24"/>
        </w:rPr>
        <w:t>（</w:t>
      </w:r>
      <w:r>
        <w:rPr>
          <w:sz w:val="24"/>
        </w:rPr>
        <w:t>air fire over</w:t>
      </w:r>
      <w:r>
        <w:rPr>
          <w:rFonts w:hint="eastAsia"/>
          <w:sz w:val="24"/>
        </w:rPr>
        <w:t>）</w:t>
      </w:r>
      <w:r>
        <w:rPr>
          <w:sz w:val="24"/>
        </w:rPr>
        <w:t>――</w:t>
      </w:r>
      <w:r>
        <w:rPr>
          <w:rFonts w:hint="eastAsia"/>
          <w:sz w:val="24"/>
        </w:rPr>
        <w:t>称为</w:t>
      </w:r>
      <w:r>
        <w:rPr>
          <w:sz w:val="24"/>
        </w:rPr>
        <w:t>"</w:t>
      </w:r>
      <w:r>
        <w:rPr>
          <w:rFonts w:hint="eastAsia"/>
          <w:sz w:val="24"/>
        </w:rPr>
        <w:t>火上风</w:t>
      </w:r>
      <w:r>
        <w:rPr>
          <w:sz w:val="24"/>
        </w:rPr>
        <w:t>"</w:t>
      </w:r>
      <w:r>
        <w:rPr>
          <w:rFonts w:hint="eastAsia"/>
          <w:sz w:val="24"/>
        </w:rPr>
        <w:t>喷口送入炉膛，与第一级燃烧区在</w:t>
      </w:r>
      <w:r>
        <w:rPr>
          <w:sz w:val="24"/>
        </w:rPr>
        <w:t>"</w:t>
      </w:r>
      <w:r>
        <w:rPr>
          <w:rFonts w:hint="eastAsia"/>
          <w:sz w:val="24"/>
        </w:rPr>
        <w:t>贫氧燃烧</w:t>
      </w:r>
      <w:r>
        <w:rPr>
          <w:sz w:val="24"/>
        </w:rPr>
        <w:t>"</w:t>
      </w:r>
      <w:r>
        <w:rPr>
          <w:rFonts w:hint="eastAsia"/>
          <w:sz w:val="24"/>
        </w:rPr>
        <w:t>条件下所产生的烟气混合，在</w:t>
      </w:r>
      <w:r>
        <w:rPr>
          <w:sz w:val="24"/>
        </w:rPr>
        <w:t>α</w:t>
      </w:r>
      <w:r>
        <w:rPr>
          <w:rFonts w:hint="eastAsia"/>
          <w:sz w:val="24"/>
        </w:rPr>
        <w:t>＞</w:t>
      </w:r>
      <w:r>
        <w:rPr>
          <w:sz w:val="24"/>
        </w:rPr>
        <w:t>1</w:t>
      </w:r>
      <w:r>
        <w:rPr>
          <w:rFonts w:hint="eastAsia"/>
          <w:sz w:val="24"/>
        </w:rPr>
        <w:t>的条件下完成全部燃烧过程，由此可以降低氮氧化物的产生浓度。</w:t>
      </w:r>
    </w:p>
    <w:p>
      <w:pPr>
        <w:spacing w:line="500" w:lineRule="exact"/>
        <w:outlineLvl w:val="2"/>
        <w:rPr>
          <w:rFonts w:eastAsiaTheme="minorEastAsia"/>
          <w:b/>
          <w:sz w:val="24"/>
          <w:lang w:val="en-GB"/>
        </w:rPr>
      </w:pPr>
      <w:r>
        <w:rPr>
          <w:rFonts w:eastAsiaTheme="minorEastAsia"/>
          <w:b/>
          <w:sz w:val="24"/>
          <w:lang w:val="en-GB"/>
        </w:rPr>
        <w:t>6.2</w:t>
      </w:r>
      <w:r>
        <w:rPr>
          <w:rFonts w:hint="eastAsia" w:eastAsiaTheme="minorEastAsia"/>
          <w:b/>
          <w:sz w:val="24"/>
          <w:lang w:val="en-GB"/>
        </w:rPr>
        <w:t>.2</w:t>
      </w:r>
      <w:r>
        <w:rPr>
          <w:rFonts w:eastAsiaTheme="minorEastAsia"/>
          <w:b/>
          <w:sz w:val="24"/>
          <w:lang w:val="en-GB"/>
        </w:rPr>
        <w:t>水污染防治措施可行性分析</w:t>
      </w:r>
      <w:bookmarkEnd w:id="290"/>
    </w:p>
    <w:p>
      <w:pPr>
        <w:pStyle w:val="5"/>
        <w:spacing w:before="0" w:after="0"/>
        <w:rPr>
          <w:rFonts w:ascii="Times New Roman" w:hAnsi="Times New Roman" w:cs="Times New Roman" w:eastAsiaTheme="minorEastAsia"/>
          <w:bCs w:val="0"/>
          <w:sz w:val="24"/>
          <w:szCs w:val="24"/>
          <w:lang w:val="en-GB"/>
        </w:rPr>
      </w:pPr>
      <w:r>
        <w:rPr>
          <w:rFonts w:ascii="Times New Roman" w:hAnsi="Times New Roman" w:cs="Times New Roman" w:eastAsiaTheme="minorEastAsia"/>
          <w:bCs w:val="0"/>
          <w:sz w:val="24"/>
          <w:szCs w:val="24"/>
          <w:lang w:val="en-GB"/>
        </w:rPr>
        <w:t>6.2.</w:t>
      </w:r>
      <w:r>
        <w:rPr>
          <w:rFonts w:hint="eastAsia" w:ascii="Times New Roman" w:hAnsi="Times New Roman" w:cs="Times New Roman" w:eastAsiaTheme="minorEastAsia"/>
          <w:bCs w:val="0"/>
          <w:sz w:val="24"/>
          <w:szCs w:val="24"/>
          <w:lang w:val="en-GB"/>
        </w:rPr>
        <w:t>2.</w:t>
      </w:r>
      <w:r>
        <w:rPr>
          <w:rFonts w:ascii="Times New Roman" w:hAnsi="Times New Roman" w:cs="Times New Roman" w:eastAsiaTheme="minorEastAsia"/>
          <w:bCs w:val="0"/>
          <w:sz w:val="24"/>
          <w:szCs w:val="24"/>
          <w:lang w:val="en-GB"/>
        </w:rPr>
        <w:t>1矿井水</w:t>
      </w:r>
    </w:p>
    <w:p>
      <w:pPr>
        <w:pStyle w:val="10"/>
        <w:spacing w:after="0" w:line="360" w:lineRule="auto"/>
        <w:ind w:firstLine="480" w:firstLineChars="200"/>
        <w:rPr>
          <w:bCs/>
          <w:sz w:val="24"/>
        </w:rPr>
      </w:pPr>
      <w:r>
        <w:rPr>
          <w:rFonts w:hint="eastAsia"/>
          <w:bCs/>
          <w:sz w:val="24"/>
        </w:rPr>
        <w:t>本矿井生产能力达到12</w:t>
      </w:r>
      <w:r>
        <w:rPr>
          <w:bCs/>
          <w:sz w:val="24"/>
        </w:rPr>
        <w:t>0</w:t>
      </w:r>
      <w:r>
        <w:rPr>
          <w:rFonts w:hint="eastAsia"/>
          <w:bCs/>
          <w:sz w:val="24"/>
        </w:rPr>
        <w:t>万</w:t>
      </w:r>
      <w:r>
        <w:rPr>
          <w:bCs/>
          <w:sz w:val="24"/>
        </w:rPr>
        <w:t>t/a</w:t>
      </w:r>
      <w:r>
        <w:rPr>
          <w:rFonts w:hint="eastAsia"/>
          <w:bCs/>
          <w:sz w:val="24"/>
        </w:rPr>
        <w:t>时，</w:t>
      </w:r>
      <w:r>
        <w:rPr>
          <w:rFonts w:eastAsiaTheme="minorEastAsia"/>
          <w:sz w:val="24"/>
        </w:rPr>
        <w:t>4</w:t>
      </w:r>
      <w:r>
        <w:rPr>
          <w:rFonts w:hAnsiTheme="minorEastAsia" w:eastAsiaTheme="minorEastAsia"/>
          <w:sz w:val="24"/>
        </w:rPr>
        <w:t>、</w:t>
      </w:r>
      <w:r>
        <w:rPr>
          <w:rFonts w:eastAsiaTheme="minorEastAsia"/>
          <w:sz w:val="24"/>
        </w:rPr>
        <w:t>5</w:t>
      </w:r>
      <w:r>
        <w:rPr>
          <w:rFonts w:hAnsiTheme="minorEastAsia" w:eastAsiaTheme="minorEastAsia"/>
          <w:sz w:val="24"/>
        </w:rPr>
        <w:t>号煤层矿井正常涌水量</w:t>
      </w:r>
      <w:r>
        <w:rPr>
          <w:rFonts w:eastAsiaTheme="minorEastAsia"/>
          <w:sz w:val="24"/>
        </w:rPr>
        <w:t>576m</w:t>
      </w:r>
      <w:r>
        <w:rPr>
          <w:rFonts w:eastAsiaTheme="minorEastAsia"/>
          <w:sz w:val="24"/>
          <w:vertAlign w:val="superscript"/>
        </w:rPr>
        <w:t>3</w:t>
      </w:r>
      <w:r>
        <w:rPr>
          <w:rFonts w:eastAsiaTheme="minorEastAsia"/>
          <w:sz w:val="24"/>
        </w:rPr>
        <w:t>/d</w:t>
      </w:r>
      <w:r>
        <w:rPr>
          <w:rFonts w:hAnsiTheme="minorEastAsia" w:eastAsiaTheme="minorEastAsia"/>
          <w:sz w:val="24"/>
        </w:rPr>
        <w:t>，最大涌水量</w:t>
      </w:r>
      <w:r>
        <w:rPr>
          <w:rFonts w:eastAsiaTheme="minorEastAsia"/>
          <w:sz w:val="24"/>
        </w:rPr>
        <w:t>1152m</w:t>
      </w:r>
      <w:r>
        <w:rPr>
          <w:rFonts w:eastAsiaTheme="minorEastAsia"/>
          <w:sz w:val="24"/>
          <w:vertAlign w:val="superscript"/>
        </w:rPr>
        <w:t>3</w:t>
      </w:r>
      <w:r>
        <w:rPr>
          <w:rFonts w:eastAsiaTheme="minorEastAsia"/>
          <w:sz w:val="24"/>
        </w:rPr>
        <w:t>/d</w:t>
      </w:r>
      <w:r>
        <w:rPr>
          <w:rFonts w:hAnsiTheme="minorEastAsia" w:eastAsiaTheme="minorEastAsia"/>
          <w:sz w:val="24"/>
        </w:rPr>
        <w:t>。</w:t>
      </w:r>
      <w:r>
        <w:rPr>
          <w:rFonts w:eastAsiaTheme="minorEastAsia"/>
          <w:sz w:val="24"/>
        </w:rPr>
        <w:t>8</w:t>
      </w:r>
      <w:r>
        <w:rPr>
          <w:rFonts w:hAnsiTheme="minorEastAsia" w:eastAsiaTheme="minorEastAsia"/>
          <w:sz w:val="24"/>
        </w:rPr>
        <w:t>、</w:t>
      </w:r>
      <w:r>
        <w:rPr>
          <w:rFonts w:eastAsiaTheme="minorEastAsia"/>
          <w:sz w:val="24"/>
        </w:rPr>
        <w:t>9</w:t>
      </w:r>
      <w:r>
        <w:rPr>
          <w:rFonts w:hAnsiTheme="minorEastAsia" w:eastAsiaTheme="minorEastAsia"/>
          <w:sz w:val="24"/>
        </w:rPr>
        <w:t>号煤层矿井正常涌水量</w:t>
      </w:r>
      <w:r>
        <w:rPr>
          <w:rFonts w:eastAsiaTheme="minorEastAsia"/>
          <w:sz w:val="24"/>
        </w:rPr>
        <w:t>960m</w:t>
      </w:r>
      <w:r>
        <w:rPr>
          <w:rFonts w:eastAsiaTheme="minorEastAsia"/>
          <w:sz w:val="24"/>
          <w:vertAlign w:val="superscript"/>
        </w:rPr>
        <w:t>3</w:t>
      </w:r>
      <w:r>
        <w:rPr>
          <w:rFonts w:eastAsiaTheme="minorEastAsia"/>
          <w:sz w:val="24"/>
        </w:rPr>
        <w:t>/d</w:t>
      </w:r>
      <w:r>
        <w:rPr>
          <w:rFonts w:hAnsiTheme="minorEastAsia" w:eastAsiaTheme="minorEastAsia"/>
          <w:sz w:val="24"/>
        </w:rPr>
        <w:t>，最大涌水量</w:t>
      </w:r>
      <w:r>
        <w:rPr>
          <w:rFonts w:eastAsiaTheme="minorEastAsia"/>
          <w:sz w:val="24"/>
        </w:rPr>
        <w:t>1920m</w:t>
      </w:r>
      <w:r>
        <w:rPr>
          <w:rFonts w:eastAsiaTheme="minorEastAsia"/>
          <w:sz w:val="24"/>
          <w:vertAlign w:val="superscript"/>
        </w:rPr>
        <w:t>3</w:t>
      </w:r>
      <w:r>
        <w:rPr>
          <w:rFonts w:eastAsiaTheme="minorEastAsia"/>
          <w:sz w:val="24"/>
        </w:rPr>
        <w:t>/d</w:t>
      </w:r>
      <w:r>
        <w:rPr>
          <w:rFonts w:hAnsiTheme="minorEastAsia" w:eastAsiaTheme="minorEastAsia"/>
          <w:sz w:val="24"/>
        </w:rPr>
        <w:t>。</w:t>
      </w:r>
      <w:r>
        <w:rPr>
          <w:rFonts w:hint="eastAsia"/>
          <w:bCs/>
          <w:sz w:val="24"/>
        </w:rPr>
        <w:t>本项目配套建设一座污水处理站，处理能力6120</w:t>
      </w:r>
      <w:r>
        <w:rPr>
          <w:bCs/>
          <w:sz w:val="24"/>
        </w:rPr>
        <w:t>m</w:t>
      </w:r>
      <w:r>
        <w:rPr>
          <w:bCs/>
          <w:sz w:val="24"/>
          <w:vertAlign w:val="superscript"/>
        </w:rPr>
        <w:t>3</w:t>
      </w:r>
      <w:r>
        <w:rPr>
          <w:bCs/>
          <w:sz w:val="24"/>
        </w:rPr>
        <w:t>/</w:t>
      </w:r>
      <w:r>
        <w:rPr>
          <w:rFonts w:hint="eastAsia"/>
          <w:bCs/>
          <w:sz w:val="24"/>
        </w:rPr>
        <w:t>d，</w:t>
      </w:r>
      <w:r>
        <w:rPr>
          <w:rFonts w:hint="eastAsia" w:hAnsiTheme="minorEastAsia" w:eastAsiaTheme="minorEastAsia"/>
          <w:sz w:val="24"/>
        </w:rPr>
        <w:t>矿井水处理采用“高效旋流过滤、压力式超滤”处理工艺</w:t>
      </w:r>
      <w:r>
        <w:rPr>
          <w:rFonts w:hint="eastAsia"/>
          <w:bCs/>
          <w:sz w:val="24"/>
        </w:rPr>
        <w:t>，矿井水经处理后达到</w:t>
      </w:r>
      <w:r>
        <w:rPr>
          <w:rFonts w:hint="eastAsia"/>
          <w:spacing w:val="4"/>
          <w:sz w:val="24"/>
        </w:rPr>
        <w:t>《煤矿井下消防、洒水设计规范》（</w:t>
      </w:r>
      <w:r>
        <w:rPr>
          <w:spacing w:val="4"/>
          <w:sz w:val="24"/>
        </w:rPr>
        <w:t>GB50383-2016</w:t>
      </w:r>
      <w:r>
        <w:rPr>
          <w:rFonts w:hint="eastAsia"/>
          <w:spacing w:val="4"/>
          <w:sz w:val="24"/>
        </w:rPr>
        <w:t>）中的标准</w:t>
      </w:r>
      <w:r>
        <w:rPr>
          <w:rFonts w:hint="eastAsia"/>
          <w:bCs/>
          <w:sz w:val="24"/>
        </w:rPr>
        <w:t>，开采4、5号煤层时，处理达标后的矿井水全部回用于井下生产用水；开采8、9号煤层时，处理达标后的矿井水部分回用于井下生产用水，采暖季多余部分回用于洗车平台用水，非采暖季多余部分回用于锅炉补充用水，处理后的矿井水全部回用，不外排。</w:t>
      </w:r>
    </w:p>
    <w:p>
      <w:pPr>
        <w:pStyle w:val="10"/>
        <w:spacing w:after="0" w:line="500" w:lineRule="exact"/>
        <w:ind w:firstLine="480" w:firstLineChars="200"/>
        <w:rPr>
          <w:bCs/>
          <w:sz w:val="24"/>
        </w:rPr>
      </w:pPr>
      <w:r>
        <w:rPr>
          <w:rFonts w:hint="eastAsia"/>
          <w:bCs/>
          <w:sz w:val="24"/>
        </w:rPr>
        <w:t>矿井水处理站主要设备清单见表</w:t>
      </w:r>
      <w:r>
        <w:rPr>
          <w:bCs/>
          <w:sz w:val="24"/>
        </w:rPr>
        <w:t>6.2-1</w:t>
      </w:r>
      <w:r>
        <w:rPr>
          <w:rFonts w:hint="eastAsia"/>
          <w:bCs/>
          <w:sz w:val="24"/>
        </w:rPr>
        <w:t>，工艺流程图见图</w:t>
      </w:r>
      <w:r>
        <w:rPr>
          <w:bCs/>
          <w:sz w:val="24"/>
        </w:rPr>
        <w:t>6.2-1</w:t>
      </w:r>
      <w:r>
        <w:rPr>
          <w:rFonts w:hint="eastAsia"/>
          <w:bCs/>
          <w:sz w:val="24"/>
        </w:rPr>
        <w:t>。</w:t>
      </w:r>
    </w:p>
    <w:p>
      <w:pPr>
        <w:pStyle w:val="10"/>
        <w:spacing w:after="0" w:line="500" w:lineRule="exact"/>
        <w:ind w:firstLine="480" w:firstLineChars="200"/>
        <w:rPr>
          <w:bCs/>
          <w:kern w:val="0"/>
          <w:sz w:val="24"/>
        </w:rPr>
      </w:pPr>
      <w:r>
        <w:rPr>
          <w:bCs/>
          <w:kern w:val="0"/>
          <w:sz w:val="24"/>
        </w:rPr>
        <w:drawing>
          <wp:anchor distT="0" distB="0" distL="114300" distR="114300" simplePos="0" relativeHeight="251708416" behindDoc="0" locked="0" layoutInCell="1" allowOverlap="1">
            <wp:simplePos x="0" y="0"/>
            <wp:positionH relativeFrom="column">
              <wp:posOffset>23495</wp:posOffset>
            </wp:positionH>
            <wp:positionV relativeFrom="paragraph">
              <wp:posOffset>182245</wp:posOffset>
            </wp:positionV>
            <wp:extent cx="5762625" cy="1943100"/>
            <wp:effectExtent l="19050" t="0" r="9525" b="0"/>
            <wp:wrapNone/>
            <wp:docPr id="212" name="图片 212" descr="C:\Users\Administrator\AppData\Roaming\feiq\RichOle\36461946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C:\Users\Administrator\AppData\Roaming\feiq\RichOle\3646194643.bmp"/>
                    <pic:cNvPicPr>
                      <a:picLocks noChangeAspect="1" noChangeArrowheads="1"/>
                    </pic:cNvPicPr>
                  </pic:nvPicPr>
                  <pic:blipFill>
                    <a:blip r:embed="rId120"/>
                    <a:srcRect/>
                    <a:stretch>
                      <a:fillRect/>
                    </a:stretch>
                  </pic:blipFill>
                  <pic:spPr>
                    <a:xfrm>
                      <a:off x="0" y="0"/>
                      <a:ext cx="5762625" cy="1943100"/>
                    </a:xfrm>
                    <a:prstGeom prst="rect">
                      <a:avLst/>
                    </a:prstGeom>
                    <a:noFill/>
                    <a:ln w="9525">
                      <a:noFill/>
                      <a:miter lim="800000"/>
                      <a:headEnd/>
                      <a:tailEnd/>
                    </a:ln>
                  </pic:spPr>
                </pic:pic>
              </a:graphicData>
            </a:graphic>
          </wp:anchor>
        </w:drawing>
      </w: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40" w:lineRule="exact"/>
        <w:ind w:firstLine="843" w:firstLineChars="400"/>
        <w:jc w:val="center"/>
        <w:rPr>
          <w:b/>
          <w:szCs w:val="21"/>
        </w:rPr>
      </w:pPr>
      <w:r>
        <w:rPr>
          <w:rFonts w:hint="eastAsia"/>
          <w:b/>
          <w:szCs w:val="21"/>
        </w:rPr>
        <w:t>图</w:t>
      </w:r>
      <w:r>
        <w:rPr>
          <w:b/>
          <w:szCs w:val="21"/>
        </w:rPr>
        <w:t xml:space="preserve">6.2-1    </w:t>
      </w:r>
      <w:r>
        <w:rPr>
          <w:rFonts w:hint="eastAsia"/>
          <w:b/>
          <w:szCs w:val="21"/>
        </w:rPr>
        <w:t>矿井水处理工艺流程图</w:t>
      </w:r>
    </w:p>
    <w:p>
      <w:pPr>
        <w:spacing w:line="700" w:lineRule="exact"/>
        <w:jc w:val="center"/>
        <w:rPr>
          <w:rFonts w:ascii="华文中宋" w:hAnsi="华文中宋"/>
          <w:b/>
          <w:kern w:val="28"/>
          <w:szCs w:val="21"/>
        </w:rPr>
      </w:pPr>
      <w:r>
        <w:rPr>
          <w:rFonts w:hint="eastAsia" w:ascii="华文中宋" w:hAnsi="华文中宋"/>
          <w:b/>
          <w:kern w:val="28"/>
          <w:szCs w:val="21"/>
        </w:rPr>
        <w:t>表6.2-1 矿井水处理站主要构筑物及设备一览表</w:t>
      </w:r>
    </w:p>
    <w:tbl>
      <w:tblPr>
        <w:tblStyle w:val="24"/>
        <w:tblW w:w="978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59"/>
        <w:gridCol w:w="1276"/>
        <w:gridCol w:w="1134"/>
        <w:gridCol w:w="1134"/>
        <w:gridCol w:w="311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6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序号</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项目名称</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构 筑 物</w:t>
            </w:r>
          </w:p>
        </w:tc>
        <w:tc>
          <w:tcPr>
            <w:tcW w:w="410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华文中宋" w:hAnsi="华文中宋" w:eastAsia="华文中宋"/>
                <w:sz w:val="18"/>
                <w:szCs w:val="18"/>
              </w:rPr>
            </w:pPr>
            <w:r>
              <w:rPr>
                <w:rFonts w:hint="eastAsia" w:ascii="华文中宋" w:hAnsi="华文中宋"/>
                <w:sz w:val="18"/>
                <w:szCs w:val="18"/>
              </w:rPr>
              <w:t>长（m）×宽（m）×高（m）</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华文中宋" w:hAnsi="华文中宋" w:eastAsia="华文中宋"/>
                <w:sz w:val="18"/>
                <w:szCs w:val="18"/>
              </w:rPr>
            </w:pPr>
            <w:r>
              <w:rPr>
                <w:rFonts w:hint="eastAsia" w:ascii="华文中宋" w:hAnsi="华文中宋"/>
                <w:sz w:val="18"/>
                <w:szCs w:val="18"/>
              </w:rPr>
              <w:t>面积（m</w:t>
            </w:r>
            <w:r>
              <w:rPr>
                <w:rFonts w:hint="eastAsia" w:ascii="华文中宋" w:hAnsi="华文中宋"/>
                <w:sz w:val="18"/>
                <w:szCs w:val="18"/>
                <w:vertAlign w:val="superscript"/>
              </w:rPr>
              <w:t>2</w:t>
            </w:r>
            <w:r>
              <w:rPr>
                <w:rFonts w:hint="eastAsia" w:ascii="华文中宋" w:hAnsi="华文中宋"/>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华文中宋" w:hAnsi="华文中宋" w:eastAsia="华文中宋"/>
                <w:sz w:val="18"/>
                <w:szCs w:val="18"/>
              </w:rPr>
            </w:pPr>
            <w:r>
              <w:rPr>
                <w:rFonts w:hint="eastAsia" w:ascii="华文中宋" w:hAnsi="华文中宋"/>
                <w:sz w:val="18"/>
                <w:szCs w:val="18"/>
              </w:rPr>
              <w:t>体积（m</w:t>
            </w:r>
            <w:r>
              <w:rPr>
                <w:rFonts w:hint="eastAsia" w:ascii="华文中宋" w:hAnsi="华文中宋"/>
                <w:sz w:val="18"/>
                <w:szCs w:val="18"/>
                <w:vertAlign w:val="superscript"/>
              </w:rPr>
              <w:t>3</w:t>
            </w:r>
            <w:r>
              <w:rPr>
                <w:rFonts w:hint="eastAsia" w:ascii="华文中宋" w:hAnsi="华文中宋"/>
                <w:sz w:val="18"/>
                <w:szCs w:val="18"/>
              </w:rPr>
              <w:t>）</w:t>
            </w:r>
          </w:p>
        </w:tc>
        <w:tc>
          <w:tcPr>
            <w:tcW w:w="31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规格型号</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5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初沉调节池车间</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32×18×5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576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2880</w:t>
            </w: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1.1</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初沉调节池</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28×14×4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bCs/>
                <w:sz w:val="18"/>
                <w:szCs w:val="18"/>
              </w:rPr>
            </w:pPr>
            <w:r>
              <w:rPr>
                <w:rFonts w:hint="eastAsia" w:ascii="华文中宋" w:hAnsi="华文中宋"/>
                <w:bCs/>
                <w:sz w:val="18"/>
                <w:szCs w:val="18"/>
              </w:rPr>
              <w:t>392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bCs/>
                <w:sz w:val="18"/>
                <w:szCs w:val="18"/>
              </w:rPr>
            </w:pPr>
            <w:r>
              <w:rPr>
                <w:rFonts w:hint="eastAsia" w:ascii="华文中宋" w:hAnsi="华文中宋"/>
                <w:bCs/>
                <w:sz w:val="18"/>
                <w:szCs w:val="18"/>
              </w:rPr>
              <w:t>1568</w:t>
            </w: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吸泥机</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HJX1-6</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rPr>
        <w:tc>
          <w:tcPr>
            <w:tcW w:w="5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联合建筑</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18×8.7×10.5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bCs/>
                <w:sz w:val="18"/>
                <w:szCs w:val="18"/>
              </w:rPr>
            </w:pPr>
            <w:r>
              <w:rPr>
                <w:rFonts w:hint="eastAsia" w:ascii="华文中宋" w:hAnsi="华文中宋"/>
                <w:bCs/>
                <w:sz w:val="18"/>
                <w:szCs w:val="18"/>
              </w:rPr>
              <w:t>156.6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bCs/>
                <w:sz w:val="18"/>
                <w:szCs w:val="18"/>
              </w:rPr>
            </w:pPr>
            <w:r>
              <w:rPr>
                <w:rFonts w:hint="eastAsia" w:ascii="华文中宋" w:hAnsi="华文中宋"/>
                <w:bCs/>
                <w:sz w:val="18"/>
                <w:szCs w:val="18"/>
              </w:rPr>
              <w:t>1644.3</w:t>
            </w: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提升水泵DFG125-200B/2/22</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eastAsia="华文中宋"/>
                <w:sz w:val="18"/>
                <w:szCs w:val="18"/>
              </w:rPr>
              <w:t>3</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矿井水净化综合间</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40×18×5.5</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720</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3960</w:t>
            </w: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高效旋流过滤器Q=130~150</w:t>
            </w:r>
            <w:r>
              <w:rPr>
                <w:rFonts w:hint="eastAsia" w:ascii="华文中宋" w:hAnsi="华文中宋"/>
                <w:color w:val="000000"/>
                <w:szCs w:val="21"/>
              </w:rPr>
              <w:t xml:space="preserve"> </w:t>
            </w:r>
            <w:r>
              <w:rPr>
                <w:rFonts w:hint="eastAsia" w:ascii="华文中宋" w:hAnsi="华文中宋"/>
                <w:sz w:val="18"/>
                <w:szCs w:val="18"/>
              </w:rPr>
              <w:t>m3/h</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高效膜前过滤器</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Q=130~150</w:t>
            </w:r>
            <w:r>
              <w:rPr>
                <w:rFonts w:hint="eastAsia" w:ascii="华文中宋" w:hAnsi="华文中宋"/>
                <w:color w:val="000000"/>
                <w:szCs w:val="21"/>
              </w:rPr>
              <w:t xml:space="preserve"> </w:t>
            </w:r>
            <w:r>
              <w:rPr>
                <w:rFonts w:hint="eastAsia" w:ascii="华文中宋" w:hAnsi="华文中宋"/>
                <w:sz w:val="18"/>
                <w:szCs w:val="18"/>
              </w:rPr>
              <w:t>m3/h</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鼓风机</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风量5 m3/min</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超滤设备</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进水：130m3/h，出水：117 m3/h</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PAC、PAM加药设备</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板框式压滤机</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单台过滤面积200m2</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4</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清水池</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12×9.5×4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114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456</w:t>
            </w: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反冲洗水泵</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Q=160m3/h H=32m  N=32kW</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5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5</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排水池</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12×4.5×4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54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216</w:t>
            </w: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排水泵</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50QW40-15-4  N=4kW</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5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6</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煤泥池</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12×4×4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48</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192</w:t>
            </w: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 xml:space="preserve">煤泥泵Q=50m3/h，H=70m，N=22kW </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5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7</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超滤产水池</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12×8.5×4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bCs/>
                <w:sz w:val="18"/>
                <w:szCs w:val="18"/>
              </w:rPr>
            </w:pPr>
            <w:r>
              <w:rPr>
                <w:rFonts w:hint="eastAsia" w:ascii="华文中宋" w:hAnsi="华文中宋"/>
                <w:bCs/>
                <w:sz w:val="18"/>
                <w:szCs w:val="18"/>
              </w:rPr>
              <w:t>102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bCs/>
                <w:sz w:val="18"/>
                <w:szCs w:val="18"/>
              </w:rPr>
            </w:pPr>
            <w:r>
              <w:rPr>
                <w:rFonts w:hint="eastAsia" w:ascii="华文中宋" w:hAnsi="华文中宋"/>
                <w:bCs/>
                <w:sz w:val="18"/>
                <w:szCs w:val="18"/>
              </w:rPr>
              <w:t>408</w:t>
            </w: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6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8</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回用泵房及消毒间</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12×6.5×7</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78</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546</w:t>
            </w: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变频回用水泵</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DFG65-160(Ⅰ)/2/7.5</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31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二氧化氯发生器</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BT-100 N=1.0kW</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bl>
    <w:p>
      <w:pPr>
        <w:spacing w:line="500" w:lineRule="exact"/>
        <w:ind w:firstLine="480" w:firstLineChars="200"/>
        <w:rPr>
          <w:sz w:val="24"/>
        </w:rPr>
      </w:pPr>
      <w:r>
        <w:rPr>
          <w:rFonts w:hint="eastAsia"/>
          <w:sz w:val="24"/>
        </w:rPr>
        <w:t>类比同类矿井水处理工艺的处理效率，本项目矿井水处理站的进出水水质及处理效率见表</w:t>
      </w:r>
      <w:r>
        <w:rPr>
          <w:sz w:val="24"/>
        </w:rPr>
        <w:t>6.2-2</w:t>
      </w:r>
      <w:r>
        <w:rPr>
          <w:rFonts w:hint="eastAsia"/>
          <w:sz w:val="24"/>
        </w:rPr>
        <w:t>。</w:t>
      </w:r>
    </w:p>
    <w:p>
      <w:pPr>
        <w:pStyle w:val="96"/>
        <w:spacing w:before="156"/>
        <w:rPr>
          <w:rFonts w:ascii="Times New Roman" w:hAnsi="Times New Roman"/>
          <w:spacing w:val="0"/>
          <w:szCs w:val="20"/>
        </w:rPr>
      </w:pPr>
      <w:r>
        <w:rPr>
          <w:rFonts w:hint="eastAsia" w:ascii="Times New Roman" w:hAnsi="Times New Roman"/>
          <w:spacing w:val="0"/>
          <w:szCs w:val="20"/>
        </w:rPr>
        <w:t>表</w:t>
      </w:r>
      <w:r>
        <w:rPr>
          <w:rFonts w:ascii="Times New Roman" w:hAnsi="Times New Roman"/>
          <w:spacing w:val="0"/>
          <w:szCs w:val="20"/>
        </w:rPr>
        <w:t>6.2-2</w:t>
      </w:r>
      <w:r>
        <w:rPr>
          <w:rFonts w:hint="eastAsia" w:ascii="Times New Roman" w:hAnsi="Times New Roman"/>
          <w:spacing w:val="0"/>
          <w:szCs w:val="20"/>
        </w:rPr>
        <w:t>矿井水处理站进出水水质及处理效率一览表</w:t>
      </w:r>
      <w:r>
        <w:rPr>
          <w:rFonts w:hint="eastAsia" w:ascii="Times New Roman" w:hAnsi="Times New Roman"/>
          <w:spacing w:val="0"/>
          <w:szCs w:val="20"/>
          <w:lang w:val="en-GB"/>
        </w:rPr>
        <w:t>（单位：</w:t>
      </w:r>
      <w:r>
        <w:rPr>
          <w:rFonts w:ascii="Times New Roman" w:hAnsi="Times New Roman"/>
          <w:spacing w:val="0"/>
          <w:szCs w:val="20"/>
          <w:lang w:val="en-GB"/>
        </w:rPr>
        <w:t>mg/L</w:t>
      </w:r>
      <w:r>
        <w:rPr>
          <w:rFonts w:hint="eastAsia" w:ascii="Times New Roman" w:hAnsi="Times New Roman"/>
          <w:spacing w:val="0"/>
          <w:szCs w:val="20"/>
          <w:lang w:val="en-GB"/>
        </w:rPr>
        <w:t>）</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26"/>
        <w:gridCol w:w="1053"/>
        <w:gridCol w:w="769"/>
        <w:gridCol w:w="1037"/>
        <w:gridCol w:w="846"/>
        <w:gridCol w:w="9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272" w:type="pct"/>
            <w:tcBorders>
              <w:top w:val="single" w:color="auto" w:sz="12" w:space="0"/>
              <w:left w:val="single" w:color="auto" w:sz="12" w:space="0"/>
              <w:bottom w:val="single" w:color="auto" w:sz="4" w:space="0"/>
              <w:right w:val="single" w:color="auto" w:sz="4" w:space="0"/>
            </w:tcBorders>
            <w:noWrap/>
            <w:vAlign w:val="center"/>
          </w:tcPr>
          <w:p>
            <w:pPr>
              <w:widowControl/>
              <w:jc w:val="center"/>
              <w:rPr>
                <w:kern w:val="0"/>
                <w:szCs w:val="21"/>
              </w:rPr>
            </w:pPr>
            <w:r>
              <w:rPr>
                <w:rFonts w:hint="eastAsia"/>
                <w:kern w:val="0"/>
                <w:szCs w:val="21"/>
              </w:rPr>
              <w:t>水质指标</w:t>
            </w:r>
          </w:p>
        </w:tc>
        <w:tc>
          <w:tcPr>
            <w:tcW w:w="611" w:type="pct"/>
            <w:tcBorders>
              <w:top w:val="single" w:color="auto" w:sz="12"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COD</w:t>
            </w:r>
          </w:p>
        </w:tc>
        <w:tc>
          <w:tcPr>
            <w:tcW w:w="458" w:type="pct"/>
            <w:tcBorders>
              <w:top w:val="single" w:color="auto" w:sz="12" w:space="0"/>
              <w:left w:val="single" w:color="auto" w:sz="4" w:space="0"/>
              <w:bottom w:val="single" w:color="auto" w:sz="4" w:space="0"/>
              <w:right w:val="single" w:color="auto" w:sz="4" w:space="0"/>
            </w:tcBorders>
            <w:noWrap/>
            <w:vAlign w:val="center"/>
          </w:tcPr>
          <w:p>
            <w:pPr>
              <w:widowControl/>
              <w:jc w:val="center"/>
              <w:rPr>
                <w:kern w:val="0"/>
                <w:szCs w:val="21"/>
              </w:rPr>
            </w:pPr>
            <w:r>
              <w:rPr>
                <w:rFonts w:hint="eastAsia"/>
                <w:kern w:val="0"/>
                <w:szCs w:val="21"/>
              </w:rPr>
              <w:t>氨氮</w:t>
            </w:r>
          </w:p>
        </w:tc>
        <w:tc>
          <w:tcPr>
            <w:tcW w:w="602" w:type="pct"/>
            <w:tcBorders>
              <w:top w:val="single" w:color="auto" w:sz="12" w:space="0"/>
              <w:left w:val="single" w:color="auto" w:sz="4" w:space="0"/>
              <w:bottom w:val="single" w:color="auto" w:sz="4" w:space="0"/>
              <w:right w:val="single" w:color="auto" w:sz="4" w:space="0"/>
            </w:tcBorders>
            <w:noWrap/>
            <w:vAlign w:val="center"/>
          </w:tcPr>
          <w:p>
            <w:pPr>
              <w:widowControl/>
              <w:jc w:val="center"/>
              <w:rPr>
                <w:kern w:val="0"/>
                <w:szCs w:val="21"/>
              </w:rPr>
            </w:pPr>
            <w:r>
              <w:rPr>
                <w:rFonts w:hint="eastAsia"/>
                <w:kern w:val="0"/>
                <w:szCs w:val="21"/>
              </w:rPr>
              <w:t>氟化物</w:t>
            </w:r>
          </w:p>
        </w:tc>
        <w:tc>
          <w:tcPr>
            <w:tcW w:w="456" w:type="pct"/>
            <w:tcBorders>
              <w:top w:val="single" w:color="auto" w:sz="12" w:space="0"/>
              <w:left w:val="single" w:color="auto" w:sz="4" w:space="0"/>
              <w:bottom w:val="single" w:color="auto" w:sz="4" w:space="0"/>
              <w:right w:val="single" w:color="auto" w:sz="4" w:space="0"/>
            </w:tcBorders>
            <w:noWrap/>
            <w:vAlign w:val="center"/>
          </w:tcPr>
          <w:p>
            <w:pPr>
              <w:widowControl/>
              <w:jc w:val="center"/>
              <w:rPr>
                <w:kern w:val="0"/>
                <w:szCs w:val="21"/>
              </w:rPr>
            </w:pPr>
            <w:r>
              <w:rPr>
                <w:rFonts w:hint="eastAsia"/>
                <w:kern w:val="0"/>
                <w:szCs w:val="21"/>
              </w:rPr>
              <w:t>石油类</w:t>
            </w:r>
          </w:p>
        </w:tc>
        <w:tc>
          <w:tcPr>
            <w:tcW w:w="601" w:type="pct"/>
            <w:tcBorders>
              <w:top w:val="single" w:color="auto" w:sz="12" w:space="0"/>
              <w:left w:val="single" w:color="auto" w:sz="4" w:space="0"/>
              <w:bottom w:val="single" w:color="auto" w:sz="4" w:space="0"/>
              <w:right w:val="single" w:color="auto" w:sz="12" w:space="0"/>
            </w:tcBorders>
            <w:noWrap/>
            <w:vAlign w:val="center"/>
          </w:tcPr>
          <w:p>
            <w:pPr>
              <w:widowControl/>
              <w:jc w:val="center"/>
              <w:rPr>
                <w:kern w:val="0"/>
                <w:szCs w:val="21"/>
              </w:rPr>
            </w:pPr>
            <w:r>
              <w:rPr>
                <w:kern w:val="0"/>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2" w:type="pct"/>
            <w:tcBorders>
              <w:top w:val="single" w:color="auto" w:sz="4" w:space="0"/>
              <w:left w:val="single" w:color="auto" w:sz="12" w:space="0"/>
              <w:bottom w:val="single" w:color="auto" w:sz="4" w:space="0"/>
              <w:right w:val="single" w:color="auto" w:sz="4" w:space="0"/>
            </w:tcBorders>
            <w:noWrap/>
            <w:vAlign w:val="center"/>
          </w:tcPr>
          <w:p>
            <w:pPr>
              <w:widowControl/>
              <w:jc w:val="center"/>
              <w:rPr>
                <w:kern w:val="0"/>
                <w:szCs w:val="21"/>
              </w:rPr>
            </w:pPr>
            <w:r>
              <w:rPr>
                <w:rFonts w:hint="eastAsia"/>
                <w:kern w:val="0"/>
                <w:szCs w:val="21"/>
              </w:rPr>
              <w:t>总进水</w:t>
            </w:r>
          </w:p>
        </w:tc>
        <w:tc>
          <w:tcPr>
            <w:tcW w:w="611"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120</w:t>
            </w:r>
          </w:p>
        </w:tc>
        <w:tc>
          <w:tcPr>
            <w:tcW w:w="458"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5.5</w:t>
            </w:r>
          </w:p>
        </w:tc>
        <w:tc>
          <w:tcPr>
            <w:tcW w:w="602"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5.3</w:t>
            </w:r>
          </w:p>
        </w:tc>
        <w:tc>
          <w:tcPr>
            <w:tcW w:w="456"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0.75</w:t>
            </w:r>
          </w:p>
        </w:tc>
        <w:tc>
          <w:tcPr>
            <w:tcW w:w="601" w:type="pct"/>
            <w:tcBorders>
              <w:top w:val="single" w:color="auto" w:sz="4" w:space="0"/>
              <w:left w:val="single" w:color="auto" w:sz="4" w:space="0"/>
              <w:bottom w:val="single" w:color="auto" w:sz="4" w:space="0"/>
              <w:right w:val="single" w:color="auto" w:sz="12" w:space="0"/>
            </w:tcBorders>
            <w:noWrap/>
            <w:vAlign w:val="center"/>
          </w:tcPr>
          <w:p>
            <w:pPr>
              <w:widowControl/>
              <w:jc w:val="center"/>
              <w:rPr>
                <w:kern w:val="0"/>
                <w:szCs w:val="21"/>
              </w:rPr>
            </w:pPr>
            <w:r>
              <w:rPr>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2" w:type="pct"/>
            <w:tcBorders>
              <w:top w:val="single" w:color="auto" w:sz="4" w:space="0"/>
              <w:left w:val="single" w:color="auto" w:sz="12" w:space="0"/>
              <w:bottom w:val="single" w:color="auto" w:sz="4" w:space="0"/>
              <w:right w:val="single" w:color="auto" w:sz="4" w:space="0"/>
            </w:tcBorders>
            <w:noWrap/>
            <w:vAlign w:val="center"/>
          </w:tcPr>
          <w:p>
            <w:pPr>
              <w:widowControl/>
              <w:jc w:val="center"/>
              <w:rPr>
                <w:kern w:val="0"/>
                <w:szCs w:val="21"/>
              </w:rPr>
            </w:pPr>
            <w:r>
              <w:rPr>
                <w:rFonts w:hint="eastAsia"/>
                <w:kern w:val="0"/>
                <w:szCs w:val="21"/>
              </w:rPr>
              <w:t>总出水</w:t>
            </w:r>
          </w:p>
        </w:tc>
        <w:tc>
          <w:tcPr>
            <w:tcW w:w="611"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18</w:t>
            </w:r>
          </w:p>
        </w:tc>
        <w:tc>
          <w:tcPr>
            <w:tcW w:w="458"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0.25</w:t>
            </w:r>
          </w:p>
        </w:tc>
        <w:tc>
          <w:tcPr>
            <w:tcW w:w="602"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0.95</w:t>
            </w:r>
          </w:p>
        </w:tc>
        <w:tc>
          <w:tcPr>
            <w:tcW w:w="456"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0.05</w:t>
            </w:r>
          </w:p>
        </w:tc>
        <w:tc>
          <w:tcPr>
            <w:tcW w:w="601" w:type="pct"/>
            <w:tcBorders>
              <w:top w:val="single" w:color="auto" w:sz="4" w:space="0"/>
              <w:left w:val="single" w:color="auto" w:sz="4" w:space="0"/>
              <w:bottom w:val="single" w:color="auto" w:sz="4" w:space="0"/>
              <w:right w:val="single" w:color="auto" w:sz="12" w:space="0"/>
            </w:tcBorders>
            <w:noWrap/>
            <w:vAlign w:val="center"/>
          </w:tcPr>
          <w:p>
            <w:pPr>
              <w:widowControl/>
              <w:jc w:val="center"/>
              <w:rPr>
                <w:kern w:val="0"/>
                <w:szCs w:val="21"/>
              </w:rPr>
            </w:pPr>
            <w:r>
              <w:rPr>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2" w:type="pct"/>
            <w:tcBorders>
              <w:top w:val="single" w:color="auto" w:sz="4" w:space="0"/>
              <w:left w:val="single" w:color="auto" w:sz="12" w:space="0"/>
              <w:bottom w:val="single" w:color="auto" w:sz="4" w:space="0"/>
              <w:right w:val="single" w:color="auto" w:sz="4" w:space="0"/>
            </w:tcBorders>
            <w:noWrap/>
            <w:vAlign w:val="center"/>
          </w:tcPr>
          <w:p>
            <w:pPr>
              <w:widowControl/>
              <w:jc w:val="center"/>
              <w:rPr>
                <w:kern w:val="0"/>
                <w:szCs w:val="21"/>
              </w:rPr>
            </w:pPr>
            <w:r>
              <w:rPr>
                <w:rFonts w:hint="eastAsia"/>
                <w:kern w:val="0"/>
                <w:szCs w:val="21"/>
              </w:rPr>
              <w:t>总去除效率</w:t>
            </w:r>
          </w:p>
        </w:tc>
        <w:tc>
          <w:tcPr>
            <w:tcW w:w="611"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85%</w:t>
            </w:r>
          </w:p>
        </w:tc>
        <w:tc>
          <w:tcPr>
            <w:tcW w:w="458"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85%</w:t>
            </w:r>
          </w:p>
        </w:tc>
        <w:tc>
          <w:tcPr>
            <w:tcW w:w="602"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82.1%</w:t>
            </w:r>
          </w:p>
        </w:tc>
        <w:tc>
          <w:tcPr>
            <w:tcW w:w="456"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93.3%</w:t>
            </w:r>
          </w:p>
        </w:tc>
        <w:tc>
          <w:tcPr>
            <w:tcW w:w="601" w:type="pct"/>
            <w:tcBorders>
              <w:top w:val="single" w:color="auto" w:sz="4" w:space="0"/>
              <w:left w:val="single" w:color="auto" w:sz="4" w:space="0"/>
              <w:bottom w:val="single" w:color="auto" w:sz="4" w:space="0"/>
              <w:right w:val="single" w:color="auto" w:sz="12" w:space="0"/>
            </w:tcBorders>
            <w:noWrap/>
            <w:vAlign w:val="center"/>
          </w:tcPr>
          <w:p>
            <w:pPr>
              <w:widowControl/>
              <w:jc w:val="center"/>
              <w:rPr>
                <w:kern w:val="0"/>
                <w:szCs w:val="21"/>
              </w:rPr>
            </w:pPr>
            <w:r>
              <w:rPr>
                <w:kern w:val="0"/>
                <w:szCs w:val="21"/>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2" w:type="pct"/>
            <w:tcBorders>
              <w:top w:val="single" w:color="auto" w:sz="4" w:space="0"/>
              <w:left w:val="single" w:color="auto" w:sz="12" w:space="0"/>
              <w:bottom w:val="single" w:color="auto" w:sz="4" w:space="0"/>
              <w:right w:val="single" w:color="auto" w:sz="4" w:space="0"/>
            </w:tcBorders>
            <w:noWrap/>
            <w:vAlign w:val="center"/>
          </w:tcPr>
          <w:p>
            <w:pPr>
              <w:widowControl/>
              <w:jc w:val="center"/>
              <w:rPr>
                <w:kern w:val="0"/>
                <w:szCs w:val="21"/>
              </w:rPr>
            </w:pPr>
            <w:r>
              <w:rPr>
                <w:rFonts w:hint="eastAsia"/>
                <w:kern w:val="0"/>
                <w:szCs w:val="21"/>
              </w:rPr>
              <w:t>《煤炭洗选工程设计规范》洗煤用水水质</w:t>
            </w:r>
          </w:p>
        </w:tc>
        <w:tc>
          <w:tcPr>
            <w:tcW w:w="611"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w:t>
            </w:r>
          </w:p>
        </w:tc>
        <w:tc>
          <w:tcPr>
            <w:tcW w:w="458"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w:t>
            </w:r>
          </w:p>
        </w:tc>
        <w:tc>
          <w:tcPr>
            <w:tcW w:w="602"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w:t>
            </w:r>
          </w:p>
        </w:tc>
        <w:tc>
          <w:tcPr>
            <w:tcW w:w="456"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w:t>
            </w:r>
          </w:p>
        </w:tc>
        <w:tc>
          <w:tcPr>
            <w:tcW w:w="601" w:type="pct"/>
            <w:tcBorders>
              <w:top w:val="single" w:color="auto" w:sz="4" w:space="0"/>
              <w:left w:val="single" w:color="auto" w:sz="4" w:space="0"/>
              <w:bottom w:val="single" w:color="auto" w:sz="4" w:space="0"/>
              <w:right w:val="single" w:color="auto" w:sz="12" w:space="0"/>
            </w:tcBorders>
            <w:noWrap/>
            <w:vAlign w:val="center"/>
          </w:tcPr>
          <w:p>
            <w:pPr>
              <w:widowControl/>
              <w:jc w:val="center"/>
              <w:rPr>
                <w:kern w:val="0"/>
                <w:szCs w:val="21"/>
              </w:rPr>
            </w:pPr>
            <w:r>
              <w:rPr>
                <w:bCs/>
                <w:szCs w:val="21"/>
              </w:rPr>
              <w:t>≤</w:t>
            </w:r>
            <w:r>
              <w:rPr>
                <w:kern w:val="0"/>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2" w:type="pct"/>
            <w:tcBorders>
              <w:top w:val="single" w:color="auto" w:sz="4" w:space="0"/>
              <w:left w:val="single" w:color="auto" w:sz="12" w:space="0"/>
              <w:bottom w:val="single" w:color="auto" w:sz="4" w:space="0"/>
              <w:right w:val="single" w:color="auto" w:sz="4" w:space="0"/>
            </w:tcBorders>
            <w:noWrap/>
            <w:vAlign w:val="center"/>
          </w:tcPr>
          <w:p>
            <w:pPr>
              <w:widowControl/>
              <w:jc w:val="center"/>
              <w:rPr>
                <w:kern w:val="0"/>
                <w:szCs w:val="21"/>
              </w:rPr>
            </w:pPr>
            <w:r>
              <w:rPr>
                <w:rFonts w:hint="eastAsia"/>
                <w:szCs w:val="21"/>
              </w:rPr>
              <w:t>《煤矿井下消防、洒水设计规范》消防洒水水质</w:t>
            </w:r>
          </w:p>
        </w:tc>
        <w:tc>
          <w:tcPr>
            <w:tcW w:w="611"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w:t>
            </w:r>
          </w:p>
        </w:tc>
        <w:tc>
          <w:tcPr>
            <w:tcW w:w="458"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w:t>
            </w:r>
          </w:p>
        </w:tc>
        <w:tc>
          <w:tcPr>
            <w:tcW w:w="602"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w:t>
            </w:r>
          </w:p>
        </w:tc>
        <w:tc>
          <w:tcPr>
            <w:tcW w:w="456" w:type="pct"/>
            <w:tcBorders>
              <w:top w:val="single" w:color="auto" w:sz="4" w:space="0"/>
              <w:left w:val="single" w:color="auto" w:sz="4" w:space="0"/>
              <w:bottom w:val="single" w:color="auto" w:sz="4" w:space="0"/>
              <w:right w:val="single" w:color="auto" w:sz="4" w:space="0"/>
            </w:tcBorders>
            <w:noWrap/>
            <w:vAlign w:val="center"/>
          </w:tcPr>
          <w:p>
            <w:pPr>
              <w:widowControl/>
              <w:jc w:val="center"/>
              <w:rPr>
                <w:kern w:val="0"/>
                <w:szCs w:val="21"/>
              </w:rPr>
            </w:pPr>
            <w:r>
              <w:rPr>
                <w:kern w:val="0"/>
                <w:szCs w:val="21"/>
              </w:rPr>
              <w:t>--</w:t>
            </w:r>
          </w:p>
        </w:tc>
        <w:tc>
          <w:tcPr>
            <w:tcW w:w="601" w:type="pct"/>
            <w:tcBorders>
              <w:top w:val="single" w:color="auto" w:sz="4" w:space="0"/>
              <w:left w:val="single" w:color="auto" w:sz="4" w:space="0"/>
              <w:bottom w:val="single" w:color="auto" w:sz="4" w:space="0"/>
              <w:right w:val="single" w:color="auto" w:sz="12" w:space="0"/>
            </w:tcBorders>
            <w:noWrap/>
            <w:vAlign w:val="center"/>
          </w:tcPr>
          <w:p>
            <w:pPr>
              <w:widowControl/>
              <w:jc w:val="center"/>
              <w:rPr>
                <w:bCs/>
                <w:szCs w:val="21"/>
              </w:rPr>
            </w:pPr>
            <w:r>
              <w:rPr>
                <w:bCs/>
                <w:szCs w:val="21"/>
              </w:rPr>
              <w:t>≤</w:t>
            </w:r>
            <w:r>
              <w:rPr>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2" w:type="pct"/>
            <w:tcBorders>
              <w:top w:val="single" w:color="auto" w:sz="4" w:space="0"/>
              <w:left w:val="single" w:color="auto" w:sz="12" w:space="0"/>
              <w:bottom w:val="single" w:color="auto" w:sz="12" w:space="0"/>
              <w:right w:val="single" w:color="auto" w:sz="4" w:space="0"/>
            </w:tcBorders>
            <w:noWrap/>
            <w:vAlign w:val="center"/>
          </w:tcPr>
          <w:p>
            <w:pPr>
              <w:widowControl/>
              <w:jc w:val="center"/>
              <w:rPr>
                <w:spacing w:val="4"/>
                <w:szCs w:val="21"/>
              </w:rPr>
            </w:pPr>
            <w:r>
              <w:rPr>
                <w:rFonts w:hint="eastAsia"/>
                <w:spacing w:val="4"/>
                <w:szCs w:val="21"/>
              </w:rPr>
              <w:t>《地表水环境质量标准》</w:t>
            </w:r>
          </w:p>
          <w:p>
            <w:pPr>
              <w:widowControl/>
              <w:jc w:val="center"/>
              <w:rPr>
                <w:kern w:val="0"/>
                <w:szCs w:val="21"/>
              </w:rPr>
            </w:pPr>
            <w:r>
              <w:rPr>
                <w:rFonts w:hint="eastAsia" w:ascii="宋体" w:hAnsi="宋体" w:cs="宋体"/>
                <w:szCs w:val="21"/>
              </w:rPr>
              <w:t>Ⅲ</w:t>
            </w:r>
            <w:r>
              <w:rPr>
                <w:rFonts w:hint="eastAsia"/>
                <w:szCs w:val="21"/>
              </w:rPr>
              <w:t>类</w:t>
            </w:r>
          </w:p>
        </w:tc>
        <w:tc>
          <w:tcPr>
            <w:tcW w:w="611" w:type="pct"/>
            <w:tcBorders>
              <w:top w:val="single" w:color="auto" w:sz="4" w:space="0"/>
              <w:left w:val="single" w:color="auto" w:sz="4" w:space="0"/>
              <w:bottom w:val="single" w:color="auto" w:sz="12" w:space="0"/>
              <w:right w:val="single" w:color="auto" w:sz="4" w:space="0"/>
            </w:tcBorders>
            <w:noWrap/>
            <w:vAlign w:val="center"/>
          </w:tcPr>
          <w:p>
            <w:pPr>
              <w:widowControl/>
              <w:jc w:val="center"/>
              <w:rPr>
                <w:kern w:val="0"/>
                <w:szCs w:val="21"/>
              </w:rPr>
            </w:pPr>
            <w:r>
              <w:rPr>
                <w:bCs/>
                <w:szCs w:val="21"/>
              </w:rPr>
              <w:t>≤</w:t>
            </w:r>
            <w:r>
              <w:rPr>
                <w:kern w:val="0"/>
                <w:szCs w:val="21"/>
              </w:rPr>
              <w:t>20</w:t>
            </w:r>
          </w:p>
        </w:tc>
        <w:tc>
          <w:tcPr>
            <w:tcW w:w="458" w:type="pct"/>
            <w:tcBorders>
              <w:top w:val="single" w:color="auto" w:sz="4" w:space="0"/>
              <w:left w:val="single" w:color="auto" w:sz="4" w:space="0"/>
              <w:bottom w:val="single" w:color="auto" w:sz="12" w:space="0"/>
              <w:right w:val="single" w:color="auto" w:sz="4" w:space="0"/>
            </w:tcBorders>
            <w:noWrap/>
            <w:vAlign w:val="center"/>
          </w:tcPr>
          <w:p>
            <w:pPr>
              <w:widowControl/>
              <w:jc w:val="center"/>
              <w:rPr>
                <w:kern w:val="0"/>
                <w:szCs w:val="21"/>
              </w:rPr>
            </w:pPr>
            <w:r>
              <w:rPr>
                <w:bCs/>
                <w:szCs w:val="21"/>
              </w:rPr>
              <w:t>≤</w:t>
            </w:r>
            <w:r>
              <w:rPr>
                <w:kern w:val="0"/>
                <w:szCs w:val="21"/>
              </w:rPr>
              <w:t>1.0</w:t>
            </w:r>
          </w:p>
        </w:tc>
        <w:tc>
          <w:tcPr>
            <w:tcW w:w="602" w:type="pct"/>
            <w:tcBorders>
              <w:top w:val="single" w:color="auto" w:sz="4" w:space="0"/>
              <w:left w:val="single" w:color="auto" w:sz="4" w:space="0"/>
              <w:bottom w:val="single" w:color="auto" w:sz="12" w:space="0"/>
              <w:right w:val="single" w:color="auto" w:sz="4" w:space="0"/>
            </w:tcBorders>
            <w:noWrap/>
            <w:vAlign w:val="center"/>
          </w:tcPr>
          <w:p>
            <w:pPr>
              <w:widowControl/>
              <w:jc w:val="center"/>
              <w:rPr>
                <w:kern w:val="0"/>
                <w:szCs w:val="21"/>
              </w:rPr>
            </w:pPr>
            <w:r>
              <w:rPr>
                <w:bCs/>
                <w:szCs w:val="21"/>
              </w:rPr>
              <w:t>≤</w:t>
            </w:r>
            <w:r>
              <w:rPr>
                <w:kern w:val="0"/>
                <w:szCs w:val="21"/>
              </w:rPr>
              <w:t>1.0</w:t>
            </w:r>
          </w:p>
        </w:tc>
        <w:tc>
          <w:tcPr>
            <w:tcW w:w="456" w:type="pct"/>
            <w:tcBorders>
              <w:top w:val="single" w:color="auto" w:sz="4" w:space="0"/>
              <w:left w:val="single" w:color="auto" w:sz="4" w:space="0"/>
              <w:bottom w:val="single" w:color="auto" w:sz="12" w:space="0"/>
              <w:right w:val="single" w:color="auto" w:sz="4" w:space="0"/>
            </w:tcBorders>
            <w:noWrap/>
            <w:vAlign w:val="center"/>
          </w:tcPr>
          <w:p>
            <w:pPr>
              <w:widowControl/>
              <w:jc w:val="center"/>
              <w:rPr>
                <w:kern w:val="0"/>
                <w:szCs w:val="21"/>
              </w:rPr>
            </w:pPr>
            <w:r>
              <w:rPr>
                <w:bCs/>
                <w:szCs w:val="21"/>
              </w:rPr>
              <w:t>≤</w:t>
            </w:r>
            <w:r>
              <w:rPr>
                <w:kern w:val="0"/>
                <w:szCs w:val="21"/>
              </w:rPr>
              <w:t>0.05</w:t>
            </w:r>
          </w:p>
        </w:tc>
        <w:tc>
          <w:tcPr>
            <w:tcW w:w="601" w:type="pct"/>
            <w:tcBorders>
              <w:top w:val="single" w:color="auto" w:sz="4" w:space="0"/>
              <w:left w:val="single" w:color="auto" w:sz="4" w:space="0"/>
              <w:bottom w:val="single" w:color="auto" w:sz="12" w:space="0"/>
              <w:right w:val="single" w:color="auto" w:sz="12" w:space="0"/>
            </w:tcBorders>
            <w:noWrap/>
            <w:vAlign w:val="center"/>
          </w:tcPr>
          <w:p>
            <w:pPr>
              <w:widowControl/>
              <w:jc w:val="center"/>
              <w:rPr>
                <w:bCs/>
                <w:szCs w:val="21"/>
              </w:rPr>
            </w:pPr>
            <w:r>
              <w:rPr>
                <w:bCs/>
                <w:szCs w:val="21"/>
              </w:rPr>
              <w:t>--</w:t>
            </w:r>
          </w:p>
        </w:tc>
      </w:tr>
    </w:tbl>
    <w:p>
      <w:pPr>
        <w:pStyle w:val="5"/>
        <w:spacing w:before="0" w:after="0"/>
        <w:rPr>
          <w:rFonts w:ascii="Times New Roman" w:hAnsi="Times New Roman" w:cs="Times New Roman" w:eastAsiaTheme="minorEastAsia"/>
          <w:bCs w:val="0"/>
          <w:sz w:val="24"/>
          <w:szCs w:val="24"/>
          <w:lang w:val="en-GB"/>
        </w:rPr>
      </w:pPr>
      <w:r>
        <w:rPr>
          <w:rFonts w:ascii="Times New Roman" w:hAnsi="Times New Roman" w:cs="Times New Roman" w:eastAsiaTheme="minorEastAsia"/>
          <w:bCs w:val="0"/>
          <w:sz w:val="24"/>
          <w:szCs w:val="24"/>
          <w:lang w:val="en-GB"/>
        </w:rPr>
        <w:t>6.2.2</w:t>
      </w:r>
      <w:r>
        <w:rPr>
          <w:rFonts w:hint="eastAsia" w:ascii="Times New Roman" w:hAnsi="Times New Roman" w:cs="Times New Roman" w:eastAsiaTheme="minorEastAsia"/>
          <w:bCs w:val="0"/>
          <w:sz w:val="24"/>
          <w:szCs w:val="24"/>
          <w:lang w:val="en-GB"/>
        </w:rPr>
        <w:t>.2</w:t>
      </w:r>
      <w:r>
        <w:rPr>
          <w:rFonts w:ascii="Times New Roman" w:hAnsi="Times New Roman" w:cs="Times New Roman" w:eastAsiaTheme="minorEastAsia"/>
          <w:bCs w:val="0"/>
          <w:sz w:val="24"/>
          <w:szCs w:val="24"/>
          <w:lang w:val="en-GB"/>
        </w:rPr>
        <w:t>生活污水</w:t>
      </w:r>
    </w:p>
    <w:p>
      <w:pPr>
        <w:spacing w:line="360" w:lineRule="auto"/>
        <w:ind w:firstLine="480" w:firstLineChars="200"/>
        <w:rPr>
          <w:rFonts w:eastAsiaTheme="minorEastAsia"/>
          <w:sz w:val="24"/>
        </w:rPr>
      </w:pPr>
      <w:r>
        <w:rPr>
          <w:rFonts w:hint="eastAsia" w:eastAsiaTheme="minorEastAsia"/>
          <w:sz w:val="24"/>
        </w:rPr>
        <w:t>矿井生活污水处理站规模为450m</w:t>
      </w:r>
      <w:r>
        <w:rPr>
          <w:rFonts w:hint="eastAsia" w:eastAsiaTheme="minorEastAsia"/>
          <w:sz w:val="24"/>
          <w:vertAlign w:val="superscript"/>
        </w:rPr>
        <w:t>3</w:t>
      </w:r>
      <w:r>
        <w:rPr>
          <w:rFonts w:hint="eastAsia" w:eastAsiaTheme="minorEastAsia"/>
          <w:sz w:val="24"/>
        </w:rPr>
        <w:t>/d，该处理站采用AA0同步脱氮除磷生物处理工艺+臭氧氧化、活性炭过滤组合深度处理工艺，处理后的水经消毒处理，全部回收利用。</w:t>
      </w:r>
    </w:p>
    <w:p>
      <w:pPr>
        <w:spacing w:line="500" w:lineRule="exact"/>
        <w:ind w:firstLine="480" w:firstLineChars="200"/>
        <w:rPr>
          <w:bCs/>
          <w:sz w:val="24"/>
        </w:rPr>
      </w:pPr>
      <w:r>
        <w:rPr>
          <w:rFonts w:hint="eastAsia"/>
          <w:bCs/>
          <w:sz w:val="24"/>
        </w:rPr>
        <w:t>生活污水处理站主要设备清单见表</w:t>
      </w:r>
      <w:r>
        <w:rPr>
          <w:bCs/>
          <w:sz w:val="24"/>
        </w:rPr>
        <w:t>6.2</w:t>
      </w:r>
      <w:r>
        <w:rPr>
          <w:rFonts w:hint="eastAsia"/>
          <w:bCs/>
          <w:sz w:val="24"/>
        </w:rPr>
        <w:t>-3，工艺流程图见图</w:t>
      </w:r>
      <w:r>
        <w:rPr>
          <w:bCs/>
          <w:sz w:val="24"/>
        </w:rPr>
        <w:t>6.2-</w:t>
      </w:r>
      <w:r>
        <w:rPr>
          <w:rFonts w:hint="eastAsia"/>
          <w:bCs/>
          <w:sz w:val="24"/>
        </w:rPr>
        <w:t>2。</w:t>
      </w:r>
    </w:p>
    <w:p>
      <w:pPr>
        <w:spacing w:line="360" w:lineRule="auto"/>
        <w:rPr>
          <w:rFonts w:ascii="华文中宋" w:hAnsi="华文中宋"/>
          <w:b/>
          <w:kern w:val="28"/>
          <w:szCs w:val="21"/>
        </w:rPr>
      </w:pPr>
      <w:r>
        <w:rPr>
          <w:rFonts w:hint="eastAsia" w:ascii="华文中宋" w:hAnsi="华文中宋"/>
          <w:b/>
          <w:kern w:val="28"/>
          <w:szCs w:val="21"/>
        </w:rPr>
        <w:drawing>
          <wp:anchor distT="0" distB="0" distL="114300" distR="114300" simplePos="0" relativeHeight="251709440" behindDoc="0" locked="0" layoutInCell="1" allowOverlap="1">
            <wp:simplePos x="0" y="0"/>
            <wp:positionH relativeFrom="column">
              <wp:posOffset>61595</wp:posOffset>
            </wp:positionH>
            <wp:positionV relativeFrom="paragraph">
              <wp:posOffset>91440</wp:posOffset>
            </wp:positionV>
            <wp:extent cx="5762625" cy="1438275"/>
            <wp:effectExtent l="19050" t="0" r="9525" b="0"/>
            <wp:wrapNone/>
            <wp:docPr id="218" name="图片 218" descr="C:\Users\Administrator\AppData\Roaming\feiq\RichOle\25377396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C:\Users\Administrator\AppData\Roaming\feiq\RichOle\2537739630.bmp"/>
                    <pic:cNvPicPr>
                      <a:picLocks noChangeAspect="1" noChangeArrowheads="1"/>
                    </pic:cNvPicPr>
                  </pic:nvPicPr>
                  <pic:blipFill>
                    <a:blip r:embed="rId121"/>
                    <a:srcRect/>
                    <a:stretch>
                      <a:fillRect/>
                    </a:stretch>
                  </pic:blipFill>
                  <pic:spPr>
                    <a:xfrm>
                      <a:off x="0" y="0"/>
                      <a:ext cx="5762625" cy="1438275"/>
                    </a:xfrm>
                    <a:prstGeom prst="rect">
                      <a:avLst/>
                    </a:prstGeom>
                    <a:noFill/>
                    <a:ln w="9525">
                      <a:noFill/>
                      <a:miter lim="800000"/>
                      <a:headEnd/>
                      <a:tailEnd/>
                    </a:ln>
                  </pic:spPr>
                </pic:pic>
              </a:graphicData>
            </a:graphic>
          </wp:anchor>
        </w:drawing>
      </w:r>
    </w:p>
    <w:p>
      <w:pPr>
        <w:spacing w:line="360" w:lineRule="auto"/>
        <w:rPr>
          <w:rFonts w:ascii="华文中宋" w:hAnsi="华文中宋"/>
          <w:b/>
          <w:kern w:val="28"/>
          <w:szCs w:val="21"/>
        </w:rPr>
      </w:pPr>
    </w:p>
    <w:p>
      <w:pPr>
        <w:spacing w:line="360" w:lineRule="auto"/>
        <w:rPr>
          <w:rFonts w:ascii="华文中宋" w:hAnsi="华文中宋"/>
          <w:b/>
          <w:kern w:val="28"/>
          <w:szCs w:val="21"/>
        </w:rPr>
      </w:pPr>
    </w:p>
    <w:p>
      <w:pPr>
        <w:spacing w:line="360" w:lineRule="auto"/>
        <w:rPr>
          <w:rFonts w:ascii="华文中宋" w:hAnsi="华文中宋"/>
          <w:b/>
          <w:kern w:val="28"/>
          <w:szCs w:val="21"/>
        </w:rPr>
      </w:pPr>
    </w:p>
    <w:p>
      <w:pPr>
        <w:spacing w:line="360" w:lineRule="auto"/>
        <w:rPr>
          <w:rFonts w:ascii="华文中宋" w:hAnsi="华文中宋"/>
          <w:b/>
          <w:kern w:val="28"/>
          <w:szCs w:val="21"/>
        </w:rPr>
      </w:pPr>
    </w:p>
    <w:p>
      <w:pPr>
        <w:spacing w:line="360" w:lineRule="auto"/>
        <w:jc w:val="center"/>
        <w:rPr>
          <w:rFonts w:eastAsiaTheme="minorEastAsia"/>
          <w:b/>
          <w:szCs w:val="21"/>
        </w:rPr>
      </w:pPr>
      <w:r>
        <w:rPr>
          <w:rFonts w:hint="eastAsia" w:ascii="华文中宋" w:hAnsi="华文中宋"/>
          <w:b/>
          <w:kern w:val="28"/>
          <w:szCs w:val="21"/>
        </w:rPr>
        <w:t>图6.2-2生活污水处理工艺流程图</w:t>
      </w:r>
    </w:p>
    <w:p>
      <w:pPr>
        <w:spacing w:line="360" w:lineRule="auto"/>
        <w:jc w:val="center"/>
        <w:rPr>
          <w:rFonts w:ascii="华文中宋" w:hAnsi="华文中宋"/>
          <w:b/>
          <w:szCs w:val="21"/>
        </w:rPr>
      </w:pPr>
      <w:r>
        <w:rPr>
          <w:rFonts w:hint="eastAsia" w:ascii="华文中宋" w:hAnsi="华文中宋"/>
          <w:b/>
          <w:kern w:val="28"/>
          <w:szCs w:val="21"/>
        </w:rPr>
        <w:t>表6.2-3生活污水处理站主要构筑物及设备一览表</w:t>
      </w:r>
    </w:p>
    <w:tbl>
      <w:tblPr>
        <w:tblStyle w:val="24"/>
        <w:tblW w:w="978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983"/>
        <w:gridCol w:w="1985"/>
        <w:gridCol w:w="1134"/>
        <w:gridCol w:w="1134"/>
        <w:gridCol w:w="1984"/>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6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序号</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项目名称</w:t>
            </w:r>
          </w:p>
        </w:tc>
        <w:tc>
          <w:tcPr>
            <w:tcW w:w="425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构 筑 物</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华文中宋" w:hAnsi="华文中宋" w:eastAsia="华文中宋"/>
                <w:sz w:val="18"/>
                <w:szCs w:val="18"/>
              </w:rPr>
            </w:pPr>
            <w:r>
              <w:rPr>
                <w:rFonts w:hint="eastAsia" w:ascii="华文中宋" w:hAnsi="华文中宋"/>
                <w:sz w:val="18"/>
                <w:szCs w:val="18"/>
              </w:rPr>
              <w:t>长（m）X宽（m）X高（m）</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华文中宋" w:hAnsi="华文中宋" w:eastAsia="华文中宋"/>
                <w:sz w:val="18"/>
                <w:szCs w:val="18"/>
              </w:rPr>
            </w:pPr>
            <w:r>
              <w:rPr>
                <w:rFonts w:hint="eastAsia" w:ascii="华文中宋" w:hAnsi="华文中宋"/>
                <w:sz w:val="18"/>
                <w:szCs w:val="18"/>
              </w:rPr>
              <w:t>面积（m</w:t>
            </w:r>
            <w:r>
              <w:rPr>
                <w:rFonts w:hint="eastAsia" w:ascii="华文中宋" w:hAnsi="华文中宋"/>
                <w:sz w:val="18"/>
                <w:szCs w:val="18"/>
                <w:vertAlign w:val="superscript"/>
              </w:rPr>
              <w:t>2</w:t>
            </w:r>
            <w:r>
              <w:rPr>
                <w:rFonts w:hint="eastAsia" w:ascii="华文中宋" w:hAnsi="华文中宋"/>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华文中宋" w:hAnsi="华文中宋" w:eastAsia="华文中宋"/>
                <w:sz w:val="18"/>
                <w:szCs w:val="18"/>
              </w:rPr>
            </w:pPr>
            <w:r>
              <w:rPr>
                <w:rFonts w:hint="eastAsia" w:ascii="华文中宋" w:hAnsi="华文中宋"/>
                <w:sz w:val="18"/>
                <w:szCs w:val="18"/>
              </w:rPr>
              <w:t>体积（m</w:t>
            </w:r>
            <w:r>
              <w:rPr>
                <w:rFonts w:hint="eastAsia" w:ascii="华文中宋" w:hAnsi="华文中宋"/>
                <w:sz w:val="18"/>
                <w:szCs w:val="18"/>
                <w:vertAlign w:val="superscript"/>
              </w:rPr>
              <w:t>3</w:t>
            </w:r>
            <w:r>
              <w:rPr>
                <w:rFonts w:hint="eastAsia" w:ascii="华文中宋" w:hAnsi="华文中宋"/>
                <w:sz w:val="18"/>
                <w:szCs w:val="18"/>
              </w:rPr>
              <w:t>）</w:t>
            </w:r>
          </w:p>
        </w:tc>
        <w:tc>
          <w:tcPr>
            <w:tcW w:w="19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规格型号</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6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污水调节池</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7×5×6.2</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35</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217</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污水提升泵</w:t>
            </w:r>
          </w:p>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50QW10-10-0.75</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9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机械格栅FH500</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w:t>
            </w: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污水处理综合间</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27×16×6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bCs/>
                <w:sz w:val="18"/>
                <w:szCs w:val="18"/>
              </w:rPr>
            </w:pPr>
            <w:r>
              <w:rPr>
                <w:rFonts w:hint="eastAsia" w:ascii="华文中宋" w:hAnsi="华文中宋"/>
                <w:bCs/>
                <w:sz w:val="18"/>
                <w:szCs w:val="18"/>
              </w:rPr>
              <w:t>432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bCs/>
                <w:sz w:val="18"/>
                <w:szCs w:val="18"/>
              </w:rPr>
            </w:pPr>
            <w:r>
              <w:rPr>
                <w:rFonts w:hint="eastAsia" w:ascii="华文中宋" w:hAnsi="华文中宋"/>
                <w:bCs/>
                <w:sz w:val="18"/>
                <w:szCs w:val="18"/>
              </w:rPr>
              <w:t>2592</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AAO一体化污水处理设备（单套：Q=200m3/d）</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3</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污水深度处理车间</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27×16×6</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432</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2592</w:t>
            </w:r>
          </w:p>
        </w:tc>
        <w:tc>
          <w:tcPr>
            <w:tcW w:w="19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变频回用水泵</w:t>
            </w:r>
          </w:p>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DFG50-200（I）2/5.5</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sz w:val="18"/>
                <w:szCs w:val="18"/>
              </w:rPr>
            </w:pPr>
          </w:p>
        </w:tc>
        <w:tc>
          <w:tcPr>
            <w:tcW w:w="19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臭氧氧化处理成套设备处理能力：Q=400m</w:t>
            </w:r>
            <w:r>
              <w:rPr>
                <w:rFonts w:hint="eastAsia" w:ascii="华文中宋" w:hAnsi="华文中宋"/>
                <w:sz w:val="18"/>
                <w:szCs w:val="18"/>
                <w:vertAlign w:val="superscript"/>
              </w:rPr>
              <w:t>3</w:t>
            </w:r>
            <w:r>
              <w:rPr>
                <w:rFonts w:hint="eastAsia" w:ascii="华文中宋" w:hAnsi="华文中宋"/>
                <w:sz w:val="18"/>
                <w:szCs w:val="18"/>
              </w:rPr>
              <w:t>/d，N=30Kw</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color w:val="0000CC"/>
                <w:sz w:val="18"/>
                <w:szCs w:val="18"/>
              </w:rPr>
            </w:pPr>
            <w:r>
              <w:rPr>
                <w:rFonts w:hint="eastAsia" w:ascii="华文中宋" w:hAnsi="华文中宋"/>
                <w:color w:val="0000CC"/>
                <w:sz w:val="18"/>
                <w:szCs w:val="18"/>
              </w:rPr>
              <w:t>4</w:t>
            </w: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风井场地地埋式一体化污水处理设备</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直径：1.20米</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1.13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1.70</w:t>
            </w:r>
          </w:p>
        </w:tc>
        <w:tc>
          <w:tcPr>
            <w:tcW w:w="19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0.6T/d</w:t>
            </w:r>
          </w:p>
        </w:tc>
        <w:tc>
          <w:tcPr>
            <w:tcW w:w="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华文中宋" w:hAnsi="华文中宋" w:eastAsia="华文中宋"/>
                <w:sz w:val="18"/>
                <w:szCs w:val="18"/>
              </w:rPr>
            </w:pPr>
            <w:r>
              <w:rPr>
                <w:rFonts w:hint="eastAsia" w:ascii="华文中宋" w:hAnsi="华文中宋"/>
                <w:sz w:val="18"/>
                <w:szCs w:val="18"/>
              </w:rPr>
              <w:t>1套</w:t>
            </w:r>
          </w:p>
        </w:tc>
      </w:tr>
    </w:tbl>
    <w:p>
      <w:pPr>
        <w:pStyle w:val="5"/>
        <w:spacing w:before="0" w:after="0"/>
        <w:rPr>
          <w:rFonts w:ascii="Times New Roman" w:hAnsi="Times New Roman" w:cs="Times New Roman" w:eastAsiaTheme="minorEastAsia"/>
          <w:bCs w:val="0"/>
          <w:sz w:val="24"/>
          <w:szCs w:val="24"/>
          <w:lang w:val="en-GB"/>
        </w:rPr>
      </w:pPr>
      <w:r>
        <w:rPr>
          <w:rFonts w:ascii="Times New Roman" w:hAnsi="Times New Roman" w:cs="Times New Roman" w:eastAsiaTheme="minorEastAsia"/>
          <w:bCs w:val="0"/>
          <w:sz w:val="24"/>
          <w:szCs w:val="24"/>
          <w:lang w:val="en-GB"/>
        </w:rPr>
        <w:t>6.2.2.3</w:t>
      </w:r>
      <w:r>
        <w:rPr>
          <w:rFonts w:hint="eastAsia" w:ascii="Times New Roman" w:hAnsi="Times New Roman" w:cs="Times New Roman" w:eastAsiaTheme="minorEastAsia"/>
          <w:bCs w:val="0"/>
          <w:sz w:val="24"/>
          <w:szCs w:val="24"/>
          <w:lang w:val="en-GB"/>
        </w:rPr>
        <w:t>洗车废水</w:t>
      </w:r>
    </w:p>
    <w:p>
      <w:pPr>
        <w:pStyle w:val="10"/>
        <w:spacing w:after="0" w:line="500" w:lineRule="exact"/>
        <w:ind w:firstLine="480" w:firstLineChars="200"/>
        <w:rPr>
          <w:sz w:val="24"/>
        </w:rPr>
      </w:pPr>
      <w:r>
        <w:rPr>
          <w:rFonts w:hint="eastAsia"/>
          <w:bCs/>
          <w:sz w:val="24"/>
        </w:rPr>
        <w:t>车辆清洗废水中主要污染物为</w:t>
      </w:r>
      <w:r>
        <w:rPr>
          <w:bCs/>
          <w:sz w:val="24"/>
        </w:rPr>
        <w:t>SS</w:t>
      </w:r>
      <w:r>
        <w:rPr>
          <w:rFonts w:hint="eastAsia"/>
          <w:bCs/>
          <w:sz w:val="24"/>
        </w:rPr>
        <w:t>、</w:t>
      </w:r>
      <w:r>
        <w:rPr>
          <w:bCs/>
          <w:sz w:val="24"/>
        </w:rPr>
        <w:t>CODcr</w:t>
      </w:r>
      <w:r>
        <w:rPr>
          <w:rFonts w:hint="eastAsia"/>
          <w:bCs/>
          <w:sz w:val="24"/>
        </w:rPr>
        <w:t>和石油类等，</w:t>
      </w:r>
      <w:r>
        <w:rPr>
          <w:rFonts w:hint="eastAsia"/>
          <w:sz w:val="24"/>
        </w:rPr>
        <w:t>洗车废水均</w:t>
      </w:r>
      <w:r>
        <w:rPr>
          <w:rFonts w:hint="eastAsia"/>
          <w:spacing w:val="4"/>
          <w:sz w:val="24"/>
        </w:rPr>
        <w:t>进入循环沉淀池，沉淀后回用，不外排。</w:t>
      </w:r>
    </w:p>
    <w:p>
      <w:pPr>
        <w:pStyle w:val="10"/>
        <w:spacing w:after="0" w:line="500" w:lineRule="exact"/>
        <w:ind w:firstLine="480" w:firstLineChars="200"/>
        <w:rPr>
          <w:sz w:val="24"/>
        </w:rPr>
      </w:pPr>
      <w:r>
        <w:rPr>
          <w:rFonts w:hint="eastAsia"/>
          <w:sz w:val="24"/>
        </w:rPr>
        <w:t>综上所述，该项目产生的矿井涌水经处理后能够满足</w:t>
      </w:r>
      <w:r>
        <w:rPr>
          <w:rFonts w:hint="eastAsia"/>
          <w:spacing w:val="4"/>
          <w:sz w:val="24"/>
        </w:rPr>
        <w:t>《煤矿井下消防、洒水设计规范》（</w:t>
      </w:r>
      <w:r>
        <w:rPr>
          <w:spacing w:val="4"/>
          <w:sz w:val="24"/>
        </w:rPr>
        <w:t>GB50383-2016</w:t>
      </w:r>
      <w:r>
        <w:rPr>
          <w:rFonts w:hint="eastAsia"/>
          <w:spacing w:val="4"/>
          <w:sz w:val="24"/>
        </w:rPr>
        <w:t>）中的标准，经处理后全部回用不外排</w:t>
      </w:r>
      <w:r>
        <w:rPr>
          <w:rFonts w:hint="eastAsia"/>
          <w:sz w:val="24"/>
        </w:rPr>
        <w:t>，生活污水经处理后能够满足《城市污水再生利用</w:t>
      </w:r>
      <w:r>
        <w:rPr>
          <w:sz w:val="24"/>
        </w:rPr>
        <w:t xml:space="preserve"> </w:t>
      </w:r>
      <w:r>
        <w:rPr>
          <w:rFonts w:hint="eastAsia"/>
          <w:sz w:val="24"/>
        </w:rPr>
        <w:t>城市杂用水水质》（</w:t>
      </w:r>
      <w:r>
        <w:rPr>
          <w:sz w:val="24"/>
        </w:rPr>
        <w:t>GB/T18920-2002</w:t>
      </w:r>
      <w:r>
        <w:rPr>
          <w:rFonts w:hint="eastAsia"/>
          <w:sz w:val="24"/>
        </w:rPr>
        <w:t>）中的道路清扫、绿化等标准限值，并全部回用；洗车废水</w:t>
      </w:r>
      <w:r>
        <w:rPr>
          <w:rFonts w:hint="eastAsia"/>
          <w:spacing w:val="4"/>
          <w:sz w:val="24"/>
        </w:rPr>
        <w:t>经循环沉淀池沉淀后回用，不外排。</w:t>
      </w:r>
      <w:r>
        <w:rPr>
          <w:rFonts w:hint="eastAsia"/>
          <w:sz w:val="24"/>
        </w:rPr>
        <w:t>因此本项目废水在采取上述相应的治理措施后，能够保证废水合理利用及达标排放，治理措施可行。</w:t>
      </w:r>
    </w:p>
    <w:p>
      <w:pPr>
        <w:spacing w:line="500" w:lineRule="exact"/>
        <w:outlineLvl w:val="2"/>
        <w:rPr>
          <w:rFonts w:eastAsiaTheme="minorEastAsia"/>
          <w:b/>
          <w:sz w:val="24"/>
          <w:lang w:val="en-GB"/>
        </w:rPr>
      </w:pPr>
      <w:r>
        <w:rPr>
          <w:rFonts w:eastAsiaTheme="minorEastAsia"/>
          <w:b/>
          <w:sz w:val="24"/>
          <w:lang w:val="en-GB"/>
        </w:rPr>
        <w:t>6.</w:t>
      </w:r>
      <w:r>
        <w:rPr>
          <w:rFonts w:hint="eastAsia" w:eastAsiaTheme="minorEastAsia"/>
          <w:b/>
          <w:sz w:val="24"/>
          <w:lang w:val="en-GB"/>
        </w:rPr>
        <w:t>2.</w:t>
      </w:r>
      <w:r>
        <w:rPr>
          <w:rFonts w:eastAsiaTheme="minorEastAsia"/>
          <w:b/>
          <w:sz w:val="24"/>
          <w:lang w:val="en-GB"/>
        </w:rPr>
        <w:t>3地下水控制措施可行性分析</w:t>
      </w:r>
    </w:p>
    <w:p>
      <w:pPr>
        <w:spacing w:line="360" w:lineRule="auto"/>
        <w:ind w:firstLine="480" w:firstLineChars="200"/>
        <w:rPr>
          <w:rFonts w:eastAsiaTheme="minorEastAsia"/>
          <w:snapToGrid w:val="0"/>
          <w:sz w:val="24"/>
        </w:rPr>
      </w:pPr>
      <w:r>
        <w:rPr>
          <w:rFonts w:eastAsiaTheme="minorEastAsia"/>
          <w:snapToGrid w:val="0"/>
          <w:sz w:val="24"/>
        </w:rPr>
        <w:t>地下水环境保护措施与对策按照“源头控制、分区防控、污染监控、应急响应”，重点突出饮用水水质安全的原则。</w:t>
      </w:r>
    </w:p>
    <w:p>
      <w:pPr>
        <w:pStyle w:val="5"/>
        <w:spacing w:before="0" w:after="0"/>
        <w:rPr>
          <w:rFonts w:ascii="Times New Roman" w:hAnsi="Times New Roman" w:cs="Times New Roman" w:eastAsiaTheme="minorEastAsia"/>
          <w:bCs w:val="0"/>
          <w:sz w:val="24"/>
          <w:szCs w:val="24"/>
          <w:lang w:val="en-GB"/>
        </w:rPr>
      </w:pPr>
      <w:r>
        <w:rPr>
          <w:rFonts w:ascii="Times New Roman" w:hAnsi="Times New Roman" w:cs="Times New Roman" w:eastAsiaTheme="minorEastAsia"/>
          <w:bCs w:val="0"/>
          <w:sz w:val="24"/>
          <w:szCs w:val="24"/>
          <w:lang w:val="en-GB"/>
        </w:rPr>
        <w:t>6.</w:t>
      </w:r>
      <w:r>
        <w:rPr>
          <w:rFonts w:hint="eastAsia" w:ascii="Times New Roman" w:hAnsi="Times New Roman" w:cs="Times New Roman" w:eastAsiaTheme="minorEastAsia"/>
          <w:bCs w:val="0"/>
          <w:sz w:val="24"/>
          <w:szCs w:val="24"/>
          <w:lang w:val="en-GB"/>
        </w:rPr>
        <w:t>2.</w:t>
      </w:r>
      <w:r>
        <w:rPr>
          <w:rFonts w:ascii="Times New Roman" w:hAnsi="Times New Roman" w:cs="Times New Roman" w:eastAsiaTheme="minorEastAsia"/>
          <w:bCs w:val="0"/>
          <w:sz w:val="24"/>
          <w:szCs w:val="24"/>
          <w:lang w:val="en-GB"/>
        </w:rPr>
        <w:t>3.1源头控制措施</w:t>
      </w:r>
    </w:p>
    <w:p>
      <w:pPr>
        <w:spacing w:line="500" w:lineRule="exact"/>
        <w:ind w:firstLine="480" w:firstLineChars="200"/>
        <w:rPr>
          <w:sz w:val="24"/>
          <w:szCs w:val="20"/>
        </w:rPr>
      </w:pPr>
      <w:r>
        <w:rPr>
          <w:rFonts w:hint="eastAsia"/>
          <w:sz w:val="24"/>
          <w:szCs w:val="20"/>
        </w:rPr>
        <w:t>（</w:t>
      </w:r>
      <w:r>
        <w:rPr>
          <w:sz w:val="24"/>
          <w:szCs w:val="20"/>
        </w:rPr>
        <w:t>1</w:t>
      </w:r>
      <w:r>
        <w:rPr>
          <w:rFonts w:hint="eastAsia"/>
          <w:sz w:val="24"/>
          <w:szCs w:val="20"/>
        </w:rPr>
        <w:t>）污废水综合利用</w:t>
      </w:r>
    </w:p>
    <w:p>
      <w:pPr>
        <w:spacing w:line="500" w:lineRule="exact"/>
        <w:ind w:firstLine="480" w:firstLineChars="200"/>
        <w:rPr>
          <w:snapToGrid w:val="0"/>
          <w:sz w:val="24"/>
          <w:szCs w:val="20"/>
        </w:rPr>
      </w:pPr>
      <w:r>
        <w:rPr>
          <w:rFonts w:hint="eastAsia"/>
          <w:snapToGrid w:val="0"/>
          <w:sz w:val="24"/>
          <w:szCs w:val="20"/>
        </w:rPr>
        <w:t>采矿产生的污废水主要为生活污水、矿井水，本矿正常情况下</w:t>
      </w:r>
      <w:r>
        <w:rPr>
          <w:rFonts w:hint="eastAsia"/>
          <w:sz w:val="24"/>
          <w:szCs w:val="20"/>
        </w:rPr>
        <w:t>生活污水全部综合利用不排放，矿井水经处理后达标排放。正常工况下工业场地对地下水无直接污废水排放污染，少量矿井水达标排放对水环境污染影响较小。</w:t>
      </w:r>
    </w:p>
    <w:p>
      <w:pPr>
        <w:spacing w:line="500" w:lineRule="exact"/>
        <w:ind w:firstLine="480" w:firstLineChars="200"/>
        <w:rPr>
          <w:snapToGrid w:val="0"/>
          <w:sz w:val="24"/>
          <w:szCs w:val="20"/>
        </w:rPr>
      </w:pPr>
      <w:r>
        <w:rPr>
          <w:rFonts w:hint="eastAsia"/>
          <w:snapToGrid w:val="0"/>
          <w:sz w:val="24"/>
          <w:szCs w:val="20"/>
        </w:rPr>
        <w:t>（</w:t>
      </w:r>
      <w:r>
        <w:rPr>
          <w:snapToGrid w:val="0"/>
          <w:sz w:val="24"/>
          <w:szCs w:val="20"/>
        </w:rPr>
        <w:t>2</w:t>
      </w:r>
      <w:r>
        <w:rPr>
          <w:rFonts w:hint="eastAsia"/>
          <w:snapToGrid w:val="0"/>
          <w:sz w:val="24"/>
          <w:szCs w:val="20"/>
        </w:rPr>
        <w:t>）工业场地水污染防治措施</w:t>
      </w:r>
    </w:p>
    <w:p>
      <w:pPr>
        <w:spacing w:line="500" w:lineRule="exact"/>
        <w:ind w:firstLine="480" w:firstLineChars="200"/>
        <w:rPr>
          <w:snapToGrid w:val="0"/>
          <w:sz w:val="24"/>
          <w:szCs w:val="20"/>
        </w:rPr>
      </w:pPr>
      <w:r>
        <w:rPr>
          <w:rFonts w:hint="eastAsia"/>
          <w:snapToGrid w:val="0"/>
          <w:sz w:val="24"/>
          <w:szCs w:val="20"/>
        </w:rPr>
        <w:t>建设单位对所有工业场地进行硬化，根据不同功能分区进行了分区防渗处理，设置雨水收集池，场地内不散装物料堆放场地，以避免雨水冲刷或淋溶，消除由此造成地下水环境污染。厂区道路全部为水泥路面，可以加强对路面的清扫，以减少路面遗撒造成的污染；厂区内按照要求进行绿化。</w:t>
      </w:r>
    </w:p>
    <w:p>
      <w:pPr>
        <w:spacing w:line="500" w:lineRule="exact"/>
        <w:ind w:firstLine="480" w:firstLineChars="200"/>
        <w:rPr>
          <w:snapToGrid w:val="0"/>
          <w:sz w:val="24"/>
          <w:szCs w:val="20"/>
        </w:rPr>
      </w:pPr>
      <w:r>
        <w:rPr>
          <w:rFonts w:hint="eastAsia"/>
          <w:snapToGrid w:val="0"/>
          <w:sz w:val="24"/>
          <w:szCs w:val="20"/>
        </w:rPr>
        <w:t>（</w:t>
      </w:r>
      <w:r>
        <w:rPr>
          <w:snapToGrid w:val="0"/>
          <w:sz w:val="24"/>
          <w:szCs w:val="20"/>
        </w:rPr>
        <w:t>3</w:t>
      </w:r>
      <w:r>
        <w:rPr>
          <w:rFonts w:hint="eastAsia"/>
          <w:snapToGrid w:val="0"/>
          <w:sz w:val="24"/>
          <w:szCs w:val="20"/>
        </w:rPr>
        <w:t>）奥灰水污染防治措施</w:t>
      </w:r>
    </w:p>
    <w:p>
      <w:pPr>
        <w:spacing w:line="500" w:lineRule="exact"/>
        <w:ind w:firstLine="480" w:firstLineChars="200"/>
        <w:rPr>
          <w:bCs/>
        </w:rPr>
      </w:pPr>
      <w:r>
        <w:rPr>
          <w:rFonts w:hint="eastAsia"/>
          <w:bCs/>
          <w:snapToGrid w:val="0"/>
          <w:sz w:val="24"/>
          <w:szCs w:val="20"/>
          <w:lang w:val="de-DE"/>
        </w:rPr>
        <w:t>修建井下集水池（防渗），收集工作面废水及顶板淋水，并对矿井水进行及时抽排与处理，保证处理水质达标，尽可能的减小污染物在井下的滞留时间，减小污水下渗对奥灰水水质的影响。</w:t>
      </w:r>
    </w:p>
    <w:p>
      <w:pPr>
        <w:pStyle w:val="5"/>
        <w:spacing w:before="0" w:after="0"/>
        <w:rPr>
          <w:rFonts w:ascii="Times New Roman" w:hAnsi="Times New Roman" w:cs="Times New Roman" w:eastAsiaTheme="minorEastAsia"/>
          <w:bCs w:val="0"/>
          <w:sz w:val="24"/>
          <w:szCs w:val="24"/>
          <w:lang w:val="en-GB"/>
        </w:rPr>
      </w:pPr>
      <w:r>
        <w:rPr>
          <w:rFonts w:ascii="Times New Roman" w:hAnsi="Times New Roman" w:cs="Times New Roman" w:eastAsiaTheme="minorEastAsia"/>
          <w:bCs w:val="0"/>
          <w:sz w:val="24"/>
          <w:szCs w:val="24"/>
          <w:lang w:val="en-GB"/>
        </w:rPr>
        <w:t>6.</w:t>
      </w:r>
      <w:r>
        <w:rPr>
          <w:rFonts w:hint="eastAsia" w:ascii="Times New Roman" w:hAnsi="Times New Roman" w:cs="Times New Roman" w:eastAsiaTheme="minorEastAsia"/>
          <w:bCs w:val="0"/>
          <w:sz w:val="24"/>
          <w:szCs w:val="24"/>
          <w:lang w:val="en-GB"/>
        </w:rPr>
        <w:t>2.</w:t>
      </w:r>
      <w:r>
        <w:rPr>
          <w:rFonts w:ascii="Times New Roman" w:hAnsi="Times New Roman" w:cs="Times New Roman" w:eastAsiaTheme="minorEastAsia"/>
          <w:bCs w:val="0"/>
          <w:sz w:val="24"/>
          <w:szCs w:val="24"/>
          <w:lang w:val="en-GB"/>
        </w:rPr>
        <w:t>3.2分区防渗措施</w:t>
      </w:r>
    </w:p>
    <w:p>
      <w:pPr>
        <w:spacing w:line="360" w:lineRule="auto"/>
        <w:ind w:firstLine="480" w:firstLineChars="200"/>
        <w:rPr>
          <w:rFonts w:eastAsiaTheme="minorEastAsia"/>
          <w:snapToGrid w:val="0"/>
          <w:sz w:val="24"/>
        </w:rPr>
      </w:pPr>
      <w:r>
        <w:rPr>
          <w:rFonts w:eastAsiaTheme="minorEastAsia"/>
          <w:snapToGrid w:val="0"/>
          <w:sz w:val="24"/>
        </w:rPr>
        <w:t>根据工业场地的包气带防污性能、设计的污水处理设置及污染物类型，场地内地下水污染防渗分区可划分为3个区：</w:t>
      </w:r>
    </w:p>
    <w:p>
      <w:pPr>
        <w:spacing w:line="360" w:lineRule="auto"/>
        <w:ind w:firstLine="480" w:firstLineChars="200"/>
        <w:rPr>
          <w:rFonts w:eastAsiaTheme="minorEastAsia"/>
          <w:snapToGrid w:val="0"/>
          <w:sz w:val="24"/>
        </w:rPr>
      </w:pPr>
      <w:r>
        <w:rPr>
          <w:rFonts w:eastAsiaTheme="minorEastAsia"/>
          <w:snapToGrid w:val="0"/>
          <w:sz w:val="24"/>
        </w:rPr>
        <w:fldChar w:fldCharType="begin"/>
      </w:r>
      <w:r>
        <w:rPr>
          <w:rFonts w:eastAsiaTheme="minorEastAsia"/>
          <w:snapToGrid w:val="0"/>
          <w:sz w:val="24"/>
        </w:rPr>
        <w:instrText xml:space="preserve"> = 1 \* ROMAN </w:instrText>
      </w:r>
      <w:r>
        <w:rPr>
          <w:rFonts w:eastAsiaTheme="minorEastAsia"/>
          <w:snapToGrid w:val="0"/>
          <w:sz w:val="24"/>
        </w:rPr>
        <w:fldChar w:fldCharType="separate"/>
      </w:r>
      <w:r>
        <w:rPr>
          <w:rFonts w:eastAsiaTheme="minorEastAsia"/>
          <w:snapToGrid w:val="0"/>
          <w:sz w:val="24"/>
        </w:rPr>
        <w:t>I</w:t>
      </w:r>
      <w:r>
        <w:rPr>
          <w:rFonts w:eastAsiaTheme="minorEastAsia"/>
          <w:snapToGrid w:val="0"/>
          <w:sz w:val="24"/>
        </w:rPr>
        <w:fldChar w:fldCharType="end"/>
      </w:r>
      <w:r>
        <w:rPr>
          <w:rFonts w:eastAsiaTheme="minorEastAsia"/>
          <w:snapToGrid w:val="0"/>
          <w:sz w:val="24"/>
        </w:rPr>
        <w:t>区(一般防渗区)：矿井水处理间和生活污水处理间，污染物为基本水质因子，防渗技术要求等效黏土防渗层Mb≥1.5m，入渗系数≤1 × 10</w:t>
      </w:r>
      <w:r>
        <w:rPr>
          <w:rFonts w:eastAsiaTheme="minorEastAsia"/>
          <w:snapToGrid w:val="0"/>
          <w:sz w:val="24"/>
          <w:vertAlign w:val="superscript"/>
        </w:rPr>
        <w:t xml:space="preserve">-7 </w:t>
      </w:r>
      <w:r>
        <w:rPr>
          <w:rFonts w:eastAsiaTheme="minorEastAsia"/>
          <w:snapToGrid w:val="0"/>
          <w:sz w:val="24"/>
        </w:rPr>
        <w:t>cm/s ;</w:t>
      </w:r>
    </w:p>
    <w:p>
      <w:pPr>
        <w:spacing w:line="360" w:lineRule="auto"/>
        <w:ind w:firstLine="480" w:firstLineChars="200"/>
        <w:rPr>
          <w:rFonts w:eastAsiaTheme="minorEastAsia"/>
          <w:snapToGrid w:val="0"/>
          <w:sz w:val="24"/>
        </w:rPr>
      </w:pPr>
      <w:r>
        <w:rPr>
          <w:rFonts w:eastAsiaTheme="minorEastAsia"/>
          <w:snapToGrid w:val="0"/>
          <w:sz w:val="24"/>
        </w:rPr>
        <w:fldChar w:fldCharType="begin"/>
      </w:r>
      <w:r>
        <w:rPr>
          <w:rFonts w:eastAsiaTheme="minorEastAsia"/>
          <w:snapToGrid w:val="0"/>
          <w:sz w:val="24"/>
        </w:rPr>
        <w:instrText xml:space="preserve"> = 2 \* ROMAN </w:instrText>
      </w:r>
      <w:r>
        <w:rPr>
          <w:rFonts w:eastAsiaTheme="minorEastAsia"/>
          <w:snapToGrid w:val="0"/>
          <w:sz w:val="24"/>
        </w:rPr>
        <w:fldChar w:fldCharType="separate"/>
      </w:r>
      <w:r>
        <w:rPr>
          <w:rFonts w:eastAsiaTheme="minorEastAsia"/>
          <w:snapToGrid w:val="0"/>
          <w:sz w:val="24"/>
        </w:rPr>
        <w:t>II</w:t>
      </w:r>
      <w:r>
        <w:rPr>
          <w:rFonts w:eastAsiaTheme="minorEastAsia"/>
          <w:snapToGrid w:val="0"/>
          <w:sz w:val="24"/>
        </w:rPr>
        <w:fldChar w:fldCharType="end"/>
      </w:r>
      <w:r>
        <w:rPr>
          <w:rFonts w:eastAsiaTheme="minorEastAsia"/>
          <w:snapToGrid w:val="0"/>
          <w:sz w:val="24"/>
        </w:rPr>
        <w:t>区(简单防渗区)：项目厂区其他区域，由于该范围内无污染源，进行一般地面硬化即可。</w:t>
      </w:r>
    </w:p>
    <w:p>
      <w:pPr>
        <w:spacing w:line="360" w:lineRule="auto"/>
        <w:ind w:firstLine="480" w:firstLineChars="200"/>
        <w:rPr>
          <w:rFonts w:eastAsiaTheme="minorEastAsia"/>
          <w:snapToGrid w:val="0"/>
          <w:sz w:val="24"/>
        </w:rPr>
      </w:pPr>
      <w:r>
        <w:rPr>
          <w:rFonts w:eastAsiaTheme="minorEastAsia"/>
          <w:snapToGrid w:val="0"/>
          <w:sz w:val="24"/>
        </w:rPr>
        <w:t>III区(重点防渗区)：危废暂存间两座，面积分别为250m</w:t>
      </w:r>
      <w:r>
        <w:rPr>
          <w:rFonts w:eastAsiaTheme="minorEastAsia"/>
          <w:snapToGrid w:val="0"/>
          <w:sz w:val="24"/>
          <w:vertAlign w:val="superscript"/>
        </w:rPr>
        <w:t>2</w:t>
      </w:r>
      <w:r>
        <w:rPr>
          <w:rFonts w:eastAsiaTheme="minorEastAsia"/>
          <w:snapToGrid w:val="0"/>
          <w:sz w:val="24"/>
        </w:rPr>
        <w:t>和35m</w:t>
      </w:r>
      <w:r>
        <w:rPr>
          <w:rFonts w:eastAsiaTheme="minorEastAsia"/>
          <w:snapToGrid w:val="0"/>
          <w:sz w:val="24"/>
          <w:vertAlign w:val="superscript"/>
        </w:rPr>
        <w:t>2</w:t>
      </w:r>
      <w:r>
        <w:rPr>
          <w:rFonts w:eastAsiaTheme="minorEastAsia"/>
          <w:snapToGrid w:val="0"/>
          <w:sz w:val="24"/>
        </w:rPr>
        <w:t>，防渗层可采用lm厚粘土层(渗透系数≤1 × 10</w:t>
      </w:r>
      <w:r>
        <w:rPr>
          <w:rFonts w:eastAsiaTheme="minorEastAsia"/>
          <w:snapToGrid w:val="0"/>
          <w:sz w:val="24"/>
          <w:vertAlign w:val="superscript"/>
        </w:rPr>
        <w:t xml:space="preserve">-7 </w:t>
      </w:r>
      <w:r>
        <w:rPr>
          <w:rFonts w:eastAsiaTheme="minorEastAsia"/>
          <w:snapToGrid w:val="0"/>
          <w:sz w:val="24"/>
        </w:rPr>
        <w:t>cm/s，或采用2mm厚高密度聚乙烯材料(渗透系数≤1 × 10</w:t>
      </w:r>
      <w:r>
        <w:rPr>
          <w:rFonts w:eastAsiaTheme="minorEastAsia"/>
          <w:snapToGrid w:val="0"/>
          <w:sz w:val="24"/>
          <w:vertAlign w:val="superscript"/>
        </w:rPr>
        <w:t xml:space="preserve">-10 </w:t>
      </w:r>
      <w:r>
        <w:rPr>
          <w:rFonts w:eastAsiaTheme="minorEastAsia"/>
          <w:snapToGrid w:val="0"/>
          <w:sz w:val="24"/>
        </w:rPr>
        <w:t>cm/s。</w:t>
      </w:r>
    </w:p>
    <w:p>
      <w:pPr>
        <w:pStyle w:val="5"/>
        <w:spacing w:before="0" w:after="0"/>
        <w:rPr>
          <w:rFonts w:ascii="Times New Roman" w:hAnsi="Times New Roman" w:cs="Times New Roman" w:eastAsiaTheme="minorEastAsia"/>
          <w:bCs w:val="0"/>
          <w:sz w:val="24"/>
          <w:szCs w:val="24"/>
          <w:lang w:val="en-GB"/>
        </w:rPr>
      </w:pPr>
      <w:r>
        <w:rPr>
          <w:rFonts w:ascii="Times New Roman" w:hAnsi="Times New Roman" w:cs="Times New Roman" w:eastAsiaTheme="minorEastAsia"/>
          <w:bCs w:val="0"/>
          <w:sz w:val="24"/>
          <w:szCs w:val="24"/>
          <w:lang w:val="en-GB"/>
        </w:rPr>
        <w:t>6.</w:t>
      </w:r>
      <w:r>
        <w:rPr>
          <w:rFonts w:hint="eastAsia" w:ascii="Times New Roman" w:hAnsi="Times New Roman" w:cs="Times New Roman" w:eastAsiaTheme="minorEastAsia"/>
          <w:bCs w:val="0"/>
          <w:sz w:val="24"/>
          <w:szCs w:val="24"/>
          <w:lang w:val="en-GB"/>
        </w:rPr>
        <w:t>2.</w:t>
      </w:r>
      <w:r>
        <w:rPr>
          <w:rFonts w:ascii="Times New Roman" w:hAnsi="Times New Roman" w:cs="Times New Roman" w:eastAsiaTheme="minorEastAsia"/>
          <w:bCs w:val="0"/>
          <w:sz w:val="24"/>
          <w:szCs w:val="24"/>
          <w:lang w:val="en-GB"/>
        </w:rPr>
        <w:t>3.3地下水污染跟踪监测</w:t>
      </w:r>
    </w:p>
    <w:p>
      <w:pPr>
        <w:widowControl/>
        <w:spacing w:line="500" w:lineRule="exact"/>
        <w:ind w:firstLine="480" w:firstLineChars="200"/>
        <w:rPr>
          <w:kern w:val="0"/>
          <w:sz w:val="24"/>
        </w:rPr>
      </w:pPr>
      <w:bookmarkStart w:id="291" w:name="_Toc351651155"/>
      <w:bookmarkStart w:id="292" w:name="_Toc480708234"/>
      <w:r>
        <w:rPr>
          <w:rFonts w:hint="eastAsia"/>
          <w:kern w:val="0"/>
          <w:sz w:val="24"/>
        </w:rPr>
        <w:t>（</w:t>
      </w:r>
      <w:r>
        <w:rPr>
          <w:kern w:val="0"/>
          <w:sz w:val="24"/>
        </w:rPr>
        <w:t>1</w:t>
      </w:r>
      <w:r>
        <w:rPr>
          <w:rFonts w:hint="eastAsia"/>
          <w:kern w:val="0"/>
          <w:sz w:val="24"/>
        </w:rPr>
        <w:t>）监测点的布置</w:t>
      </w:r>
    </w:p>
    <w:p>
      <w:pPr>
        <w:widowControl/>
        <w:spacing w:line="500" w:lineRule="exact"/>
        <w:ind w:firstLine="480" w:firstLineChars="200"/>
        <w:rPr>
          <w:kern w:val="0"/>
          <w:sz w:val="24"/>
        </w:rPr>
      </w:pPr>
      <w:r>
        <w:rPr>
          <w:rFonts w:hint="eastAsia"/>
          <w:kern w:val="0"/>
          <w:sz w:val="24"/>
        </w:rPr>
        <w:t>太长村水井</w:t>
      </w:r>
    </w:p>
    <w:p>
      <w:pPr>
        <w:widowControl/>
        <w:spacing w:line="500" w:lineRule="exact"/>
        <w:ind w:firstLine="480" w:firstLineChars="200"/>
        <w:rPr>
          <w:kern w:val="0"/>
          <w:sz w:val="24"/>
        </w:rPr>
      </w:pPr>
      <w:r>
        <w:rPr>
          <w:rFonts w:hint="eastAsia"/>
          <w:kern w:val="0"/>
          <w:sz w:val="24"/>
        </w:rPr>
        <w:t>（</w:t>
      </w:r>
      <w:r>
        <w:rPr>
          <w:kern w:val="0"/>
          <w:sz w:val="24"/>
        </w:rPr>
        <w:t>2</w:t>
      </w:r>
      <w:r>
        <w:rPr>
          <w:rFonts w:hint="eastAsia"/>
          <w:kern w:val="0"/>
          <w:sz w:val="24"/>
        </w:rPr>
        <w:t>）监测频率</w:t>
      </w:r>
    </w:p>
    <w:p>
      <w:pPr>
        <w:widowControl/>
        <w:spacing w:line="500" w:lineRule="exact"/>
        <w:ind w:firstLine="480" w:firstLineChars="200"/>
        <w:rPr>
          <w:kern w:val="0"/>
          <w:sz w:val="24"/>
        </w:rPr>
      </w:pPr>
      <w:r>
        <w:rPr>
          <w:rFonts w:hint="eastAsia"/>
          <w:kern w:val="0"/>
          <w:sz w:val="24"/>
        </w:rPr>
        <w:t>每年一次</w:t>
      </w:r>
    </w:p>
    <w:p>
      <w:pPr>
        <w:widowControl/>
        <w:spacing w:line="500" w:lineRule="exact"/>
        <w:ind w:firstLine="480" w:firstLineChars="200"/>
        <w:rPr>
          <w:kern w:val="0"/>
          <w:sz w:val="24"/>
        </w:rPr>
      </w:pPr>
      <w:r>
        <w:rPr>
          <w:rFonts w:hint="eastAsia"/>
          <w:kern w:val="0"/>
          <w:sz w:val="24"/>
        </w:rPr>
        <w:t>（</w:t>
      </w:r>
      <w:r>
        <w:rPr>
          <w:kern w:val="0"/>
          <w:sz w:val="24"/>
        </w:rPr>
        <w:t>3</w:t>
      </w:r>
      <w:r>
        <w:rPr>
          <w:rFonts w:hint="eastAsia"/>
          <w:kern w:val="0"/>
          <w:sz w:val="24"/>
        </w:rPr>
        <w:t>）监测因子</w:t>
      </w:r>
    </w:p>
    <w:p>
      <w:pPr>
        <w:spacing w:line="500" w:lineRule="exact"/>
        <w:ind w:firstLine="480" w:firstLineChars="200"/>
      </w:pPr>
      <w:r>
        <w:rPr>
          <w:sz w:val="24"/>
          <w:szCs w:val="20"/>
        </w:rPr>
        <w:t>pH</w:t>
      </w:r>
      <w:r>
        <w:rPr>
          <w:rFonts w:hint="eastAsia"/>
          <w:sz w:val="24"/>
          <w:szCs w:val="20"/>
        </w:rPr>
        <w:t>、总硬度、溶解性总固体、氟化物、氨氮、硝酸盐氮、细菌总数、亚硝酸盐氮、大肠菌群、总砷、铁、锰、汞、耗氧量、硫酸盐、六价铬、挥发酚、氰化物、铅、镉、氯化物、石油类</w:t>
      </w:r>
    </w:p>
    <w:p>
      <w:pPr>
        <w:widowControl/>
        <w:spacing w:line="500" w:lineRule="exact"/>
        <w:ind w:firstLine="480" w:firstLineChars="200"/>
        <w:rPr>
          <w:kern w:val="0"/>
          <w:sz w:val="24"/>
        </w:rPr>
      </w:pPr>
      <w:r>
        <w:rPr>
          <w:rFonts w:hint="eastAsia"/>
          <w:kern w:val="0"/>
          <w:sz w:val="24"/>
        </w:rPr>
        <w:t>（</w:t>
      </w:r>
      <w:r>
        <w:rPr>
          <w:kern w:val="0"/>
          <w:sz w:val="24"/>
        </w:rPr>
        <w:t>4</w:t>
      </w:r>
      <w:r>
        <w:rPr>
          <w:rFonts w:hint="eastAsia"/>
          <w:kern w:val="0"/>
          <w:sz w:val="24"/>
        </w:rPr>
        <w:t>）监测方法</w:t>
      </w:r>
    </w:p>
    <w:p>
      <w:pPr>
        <w:widowControl/>
        <w:spacing w:line="500" w:lineRule="exact"/>
        <w:ind w:firstLine="480" w:firstLineChars="200"/>
        <w:rPr>
          <w:kern w:val="0"/>
          <w:sz w:val="24"/>
        </w:rPr>
      </w:pPr>
      <w:r>
        <w:rPr>
          <w:rFonts w:hint="eastAsia"/>
          <w:kern w:val="0"/>
          <w:sz w:val="24"/>
        </w:rPr>
        <w:t>对于水位观测，原则采取固定时间，固定人员，固定测量工具进行观测，测量工具可选用测绳或测钟。鉴于水位观测频率大，建议矿方委托专人经培训后进行上岗观测，矿方按时收集数据。</w:t>
      </w:r>
    </w:p>
    <w:p>
      <w:pPr>
        <w:widowControl/>
        <w:spacing w:line="500" w:lineRule="exact"/>
        <w:ind w:firstLine="480" w:firstLineChars="200"/>
        <w:rPr>
          <w:kern w:val="0"/>
          <w:sz w:val="24"/>
        </w:rPr>
      </w:pPr>
      <w:r>
        <w:rPr>
          <w:rFonts w:hint="eastAsia"/>
          <w:kern w:val="0"/>
          <w:sz w:val="24"/>
        </w:rPr>
        <w:t>对于水质监测，建议矿方委托有资质监测单位进行监测。</w:t>
      </w:r>
    </w:p>
    <w:p>
      <w:pPr>
        <w:spacing w:line="500" w:lineRule="exact"/>
        <w:ind w:left="1" w:firstLine="480" w:firstLineChars="200"/>
        <w:rPr>
          <w:kern w:val="0"/>
          <w:sz w:val="24"/>
          <w:szCs w:val="20"/>
        </w:rPr>
      </w:pPr>
      <w:r>
        <w:rPr>
          <w:rFonts w:hint="eastAsia"/>
          <w:kern w:val="0"/>
          <w:sz w:val="24"/>
          <w:szCs w:val="20"/>
        </w:rPr>
        <w:t>（</w:t>
      </w:r>
      <w:r>
        <w:rPr>
          <w:kern w:val="0"/>
          <w:sz w:val="24"/>
          <w:szCs w:val="20"/>
        </w:rPr>
        <w:t>5</w:t>
      </w:r>
      <w:r>
        <w:rPr>
          <w:rFonts w:hint="eastAsia"/>
          <w:kern w:val="0"/>
          <w:sz w:val="24"/>
          <w:szCs w:val="20"/>
        </w:rPr>
        <w:t>）监测数据管理</w:t>
      </w:r>
    </w:p>
    <w:p>
      <w:pPr>
        <w:spacing w:line="500" w:lineRule="exact"/>
        <w:ind w:left="1" w:firstLine="480" w:firstLineChars="200"/>
        <w:rPr>
          <w:kern w:val="0"/>
          <w:sz w:val="24"/>
          <w:szCs w:val="20"/>
        </w:rPr>
      </w:pPr>
      <w:r>
        <w:rPr>
          <w:rFonts w:hint="eastAsia"/>
          <w:kern w:val="0"/>
          <w:sz w:val="24"/>
          <w:szCs w:val="20"/>
        </w:rPr>
        <w:t>监测数据资料应及时汇总整理，建立长期动态监测档案，并定期向厂安全环保部门汇报。对于常规监测数据应该进行公开，如发现异常或者发生事故，应加密监测频次，并分析导致水质污染的原因及污染来源，及时合理采取应对措施。</w:t>
      </w:r>
    </w:p>
    <w:p>
      <w:pPr>
        <w:pStyle w:val="5"/>
        <w:spacing w:before="0" w:after="0"/>
        <w:rPr>
          <w:rFonts w:ascii="Times New Roman" w:hAnsi="Times New Roman" w:cs="Times New Roman" w:eastAsiaTheme="minorEastAsia"/>
          <w:bCs w:val="0"/>
          <w:sz w:val="24"/>
          <w:szCs w:val="24"/>
          <w:lang w:val="en-GB"/>
        </w:rPr>
      </w:pPr>
      <w:r>
        <w:rPr>
          <w:rFonts w:ascii="Times New Roman" w:hAnsi="Times New Roman" w:cs="Times New Roman" w:eastAsiaTheme="minorEastAsia"/>
          <w:bCs w:val="0"/>
          <w:sz w:val="24"/>
          <w:szCs w:val="24"/>
          <w:lang w:val="en-GB"/>
        </w:rPr>
        <w:t>6.</w:t>
      </w:r>
      <w:r>
        <w:rPr>
          <w:rFonts w:hint="eastAsia" w:ascii="Times New Roman" w:hAnsi="Times New Roman" w:cs="Times New Roman" w:eastAsiaTheme="minorEastAsia"/>
          <w:bCs w:val="0"/>
          <w:sz w:val="24"/>
          <w:szCs w:val="24"/>
          <w:lang w:val="en-GB"/>
        </w:rPr>
        <w:t>2.</w:t>
      </w:r>
      <w:r>
        <w:rPr>
          <w:rFonts w:ascii="Times New Roman" w:hAnsi="Times New Roman" w:cs="Times New Roman" w:eastAsiaTheme="minorEastAsia"/>
          <w:bCs w:val="0"/>
          <w:sz w:val="24"/>
          <w:szCs w:val="24"/>
          <w:lang w:val="en-GB"/>
        </w:rPr>
        <w:t>3.4应急响应</w:t>
      </w:r>
    </w:p>
    <w:p>
      <w:pPr>
        <w:spacing w:line="360" w:lineRule="auto"/>
        <w:ind w:firstLine="480" w:firstLineChars="200"/>
        <w:rPr>
          <w:rFonts w:eastAsiaTheme="minorEastAsia"/>
          <w:snapToGrid w:val="0"/>
          <w:sz w:val="24"/>
        </w:rPr>
      </w:pPr>
      <w:r>
        <w:rPr>
          <w:rFonts w:eastAsiaTheme="minorEastAsia"/>
          <w:snapToGrid w:val="0"/>
          <w:sz w:val="24"/>
        </w:rPr>
        <w:t>（1）风险应急预案</w:t>
      </w:r>
    </w:p>
    <w:p>
      <w:pPr>
        <w:spacing w:line="360" w:lineRule="auto"/>
        <w:ind w:firstLine="480" w:firstLineChars="200"/>
        <w:rPr>
          <w:rFonts w:eastAsiaTheme="minorEastAsia"/>
          <w:snapToGrid w:val="0"/>
          <w:sz w:val="24"/>
        </w:rPr>
      </w:pPr>
      <w:r>
        <w:rPr>
          <w:rFonts w:eastAsiaTheme="minorEastAsia"/>
          <w:snapToGrid w:val="0"/>
          <w:sz w:val="24"/>
        </w:rPr>
        <w:t>制定事故状况应急预案的目的是为了在发生风险事故时，能以最快的速度发挥最针大的效能，有序地实施救援，尽快控制事态的发展，降低事故对潜水含水层的污染。对应急工作需要，参照相关技术导则，结合地下水污染治理的技术特点，制定地下水污染应急治理程序见下图。</w:t>
      </w:r>
    </w:p>
    <w:p>
      <w:pPr>
        <w:spacing w:line="360" w:lineRule="auto"/>
        <w:ind w:firstLine="480" w:firstLineChars="200"/>
        <w:rPr>
          <w:rFonts w:eastAsiaTheme="minorEastAsia"/>
          <w:snapToGrid w:val="0"/>
          <w:sz w:val="24"/>
        </w:rPr>
      </w:pPr>
      <w:r>
        <w:rPr>
          <w:rFonts w:eastAsiaTheme="minorEastAsia"/>
          <w:snapToGrid w:val="0"/>
          <w:sz w:val="24"/>
        </w:rPr>
        <w:t>（2）应急管理</w:t>
      </w:r>
    </w:p>
    <w:p>
      <w:pPr>
        <w:spacing w:line="360" w:lineRule="auto"/>
        <w:ind w:firstLine="480" w:firstLineChars="200"/>
        <w:rPr>
          <w:rFonts w:eastAsiaTheme="minorEastAsia"/>
          <w:snapToGrid w:val="0"/>
          <w:sz w:val="24"/>
        </w:rPr>
      </w:pPr>
      <w:r>
        <w:rPr>
          <w:rFonts w:eastAsiaTheme="minorEastAsia"/>
          <w:snapToGrid w:val="0"/>
          <w:sz w:val="24"/>
        </w:rPr>
        <w:t>在突发地下水污染事故情况下，建议采取以下应急管理措施，以保护地下水环境:</w:t>
      </w:r>
    </w:p>
    <w:p>
      <w:pPr>
        <w:spacing w:line="360" w:lineRule="auto"/>
        <w:ind w:firstLine="480" w:firstLineChars="200"/>
        <w:rPr>
          <w:rFonts w:eastAsiaTheme="minorEastAsia"/>
          <w:snapToGrid w:val="0"/>
          <w:sz w:val="24"/>
        </w:rPr>
      </w:pPr>
      <w:r>
        <w:rPr>
          <w:rFonts w:hint="eastAsia" w:ascii="宋体" w:hAnsi="宋体" w:cs="宋体"/>
          <w:snapToGrid w:val="0"/>
          <w:sz w:val="24"/>
        </w:rPr>
        <w:t>①</w:t>
      </w:r>
      <w:r>
        <w:rPr>
          <w:rFonts w:eastAsiaTheme="minorEastAsia"/>
          <w:snapToGrid w:val="0"/>
          <w:sz w:val="24"/>
        </w:rPr>
        <w:t>立即启动应急预案;</w:t>
      </w:r>
    </w:p>
    <w:p>
      <w:pPr>
        <w:spacing w:line="360" w:lineRule="auto"/>
        <w:ind w:firstLine="480" w:firstLineChars="200"/>
        <w:rPr>
          <w:rFonts w:eastAsiaTheme="minorEastAsia"/>
          <w:snapToGrid w:val="0"/>
          <w:sz w:val="24"/>
        </w:rPr>
      </w:pPr>
      <w:r>
        <w:rPr>
          <w:rFonts w:hint="eastAsia" w:ascii="宋体" w:hAnsi="宋体" w:cs="宋体"/>
          <w:snapToGrid w:val="0"/>
          <w:sz w:val="24"/>
        </w:rPr>
        <w:t>②</w:t>
      </w:r>
      <w:r>
        <w:rPr>
          <w:rFonts w:eastAsiaTheme="minorEastAsia"/>
          <w:snapToGrid w:val="0"/>
          <w:sz w:val="24"/>
        </w:rPr>
        <w:t>查明并切断污染源。</w:t>
      </w:r>
    </w:p>
    <w:p>
      <w:pPr>
        <w:spacing w:line="360" w:lineRule="auto"/>
        <w:ind w:firstLine="480" w:firstLineChars="200"/>
        <w:rPr>
          <w:rFonts w:eastAsiaTheme="minorEastAsia"/>
          <w:snapToGrid w:val="0"/>
          <w:sz w:val="24"/>
        </w:rPr>
      </w:pPr>
      <w:r>
        <w:rPr>
          <w:rFonts w:hint="eastAsia" w:ascii="宋体" w:hAnsi="宋体" w:cs="宋体"/>
          <w:snapToGrid w:val="0"/>
          <w:sz w:val="24"/>
        </w:rPr>
        <w:t>③</w:t>
      </w:r>
      <w:r>
        <w:rPr>
          <w:rFonts w:eastAsiaTheme="minorEastAsia"/>
          <w:snapToGrid w:val="0"/>
          <w:sz w:val="24"/>
        </w:rPr>
        <w:t>查明地下水污染深度、范围和程度;</w:t>
      </w:r>
    </w:p>
    <w:p>
      <w:pPr>
        <w:spacing w:line="360" w:lineRule="auto"/>
        <w:ind w:firstLine="480" w:firstLineChars="200"/>
        <w:rPr>
          <w:rFonts w:eastAsiaTheme="minorEastAsia"/>
          <w:snapToGrid w:val="0"/>
          <w:sz w:val="24"/>
        </w:rPr>
      </w:pPr>
      <w:r>
        <w:rPr>
          <w:rFonts w:hint="eastAsia" w:ascii="宋体" w:hAnsi="宋体" w:cs="宋体"/>
          <w:snapToGrid w:val="0"/>
          <w:sz w:val="24"/>
        </w:rPr>
        <w:t>④</w:t>
      </w:r>
      <w:r>
        <w:rPr>
          <w:rFonts w:eastAsiaTheme="minorEastAsia"/>
          <w:snapToGrid w:val="0"/>
          <w:sz w:val="24"/>
        </w:rPr>
        <w:t>依据查明的地下水污染情况，合理布置浅井，并进行试抽水工作;</w:t>
      </w:r>
    </w:p>
    <w:p>
      <w:pPr>
        <w:spacing w:line="360" w:lineRule="auto"/>
        <w:ind w:firstLine="480" w:firstLineChars="200"/>
        <w:rPr>
          <w:rFonts w:eastAsiaTheme="minorEastAsia"/>
          <w:snapToGrid w:val="0"/>
          <w:sz w:val="24"/>
        </w:rPr>
      </w:pPr>
      <w:r>
        <w:rPr>
          <w:rFonts w:hint="eastAsia" w:ascii="宋体" w:hAnsi="宋体" w:cs="宋体"/>
          <w:snapToGrid w:val="0"/>
          <w:sz w:val="24"/>
        </w:rPr>
        <w:t>⑤</w:t>
      </w:r>
      <w:r>
        <w:rPr>
          <w:rFonts w:eastAsiaTheme="minorEastAsia"/>
          <w:snapToGrid w:val="0"/>
          <w:sz w:val="24"/>
        </w:rPr>
        <w:t>依据抽水设计方案进行施工，抽出被污染的地下水体;</w:t>
      </w:r>
    </w:p>
    <w:p>
      <w:pPr>
        <w:spacing w:line="360" w:lineRule="auto"/>
        <w:ind w:firstLine="480" w:firstLineChars="200"/>
        <w:rPr>
          <w:rFonts w:eastAsiaTheme="minorEastAsia"/>
          <w:snapToGrid w:val="0"/>
          <w:sz w:val="24"/>
        </w:rPr>
      </w:pPr>
      <w:r>
        <w:rPr>
          <w:rFonts w:hint="eastAsia" w:ascii="宋体" w:hAnsi="宋体" w:cs="宋体"/>
          <w:snapToGrid w:val="0"/>
          <w:sz w:val="24"/>
        </w:rPr>
        <w:t>⑥</w:t>
      </w:r>
      <w:r>
        <w:rPr>
          <w:rFonts w:eastAsiaTheme="minorEastAsia"/>
          <w:snapToGrid w:val="0"/>
          <w:sz w:val="24"/>
        </w:rPr>
        <w:t>将抽出的地下水进行集中收集处理，并送实验室进行化验分析;</w:t>
      </w:r>
    </w:p>
    <w:p>
      <w:pPr>
        <w:spacing w:line="360" w:lineRule="auto"/>
        <w:ind w:firstLine="480" w:firstLineChars="200"/>
        <w:rPr>
          <w:rFonts w:eastAsiaTheme="minorEastAsia"/>
          <w:snapToGrid w:val="0"/>
          <w:sz w:val="24"/>
        </w:rPr>
      </w:pPr>
      <w:r>
        <w:rPr>
          <w:rFonts w:hint="eastAsia" w:ascii="宋体" w:hAnsi="宋体" w:cs="宋体"/>
          <w:snapToGrid w:val="0"/>
          <w:sz w:val="24"/>
        </w:rPr>
        <w:t>⑦</w:t>
      </w:r>
      <w:r>
        <w:rPr>
          <w:rFonts w:eastAsiaTheme="minorEastAsia"/>
          <w:snapToGrid w:val="0"/>
          <w:sz w:val="24"/>
        </w:rPr>
        <w:t>监测孔中的特征污染物浓度满足《地下水质量标准》相关级别标准后，逐步停止抽水，并进行土壤修复治理工作。</w:t>
      </w:r>
    </w:p>
    <w:p>
      <w:pPr>
        <w:spacing w:line="360" w:lineRule="auto"/>
        <w:ind w:firstLine="480" w:firstLineChars="200"/>
        <w:rPr>
          <w:rFonts w:eastAsiaTheme="minorEastAsia"/>
          <w:snapToGrid w:val="0"/>
          <w:sz w:val="24"/>
        </w:rPr>
      </w:pPr>
      <w:r>
        <w:rPr>
          <w:rFonts w:eastAsiaTheme="minorEastAsia"/>
          <w:snapToGrid w:val="0"/>
          <w:sz w:val="24"/>
        </w:rPr>
        <w:t>（3）应急保障</w:t>
      </w:r>
    </w:p>
    <w:p>
      <w:pPr>
        <w:spacing w:line="360" w:lineRule="auto"/>
        <w:ind w:firstLine="480" w:firstLineChars="200"/>
        <w:rPr>
          <w:rFonts w:eastAsiaTheme="minorEastAsia"/>
          <w:snapToGrid w:val="0"/>
          <w:sz w:val="24"/>
        </w:rPr>
      </w:pPr>
      <w:r>
        <w:rPr>
          <w:rFonts w:hint="eastAsia" w:ascii="宋体" w:hAnsi="宋体" w:cs="宋体"/>
          <w:snapToGrid w:val="0"/>
          <w:sz w:val="24"/>
        </w:rPr>
        <w:t>①</w:t>
      </w:r>
      <w:r>
        <w:rPr>
          <w:rFonts w:eastAsiaTheme="minorEastAsia"/>
          <w:snapToGrid w:val="0"/>
          <w:sz w:val="24"/>
        </w:rPr>
        <w:t>人力资源保障:明确各类应急响应的人力资源，包括专业应急队伍、兼职应急队伍的组织与保障方案。</w:t>
      </w:r>
    </w:p>
    <w:p>
      <w:pPr>
        <w:spacing w:line="360" w:lineRule="auto"/>
        <w:ind w:firstLine="480" w:firstLineChars="200"/>
        <w:rPr>
          <w:rFonts w:eastAsiaTheme="minorEastAsia"/>
          <w:snapToGrid w:val="0"/>
          <w:sz w:val="24"/>
        </w:rPr>
      </w:pPr>
      <w:r>
        <w:rPr>
          <w:rFonts w:hint="eastAsia" w:ascii="宋体" w:hAnsi="宋体" w:cs="宋体"/>
          <w:snapToGrid w:val="0"/>
          <w:sz w:val="24"/>
        </w:rPr>
        <w:t>②</w:t>
      </w:r>
      <w:r>
        <w:rPr>
          <w:rFonts w:eastAsiaTheme="minorEastAsia"/>
          <w:snapToGrid w:val="0"/>
          <w:sz w:val="24"/>
        </w:rPr>
        <w:t>财力保障:明确应急专项经费来源、使用范围、数量和监督管理措施，保障应急状态时应急经费的及时到位。</w:t>
      </w:r>
    </w:p>
    <w:p>
      <w:pPr>
        <w:spacing w:line="360" w:lineRule="auto"/>
        <w:ind w:firstLine="480" w:firstLineChars="200"/>
        <w:rPr>
          <w:rFonts w:eastAsiaTheme="minorEastAsia"/>
          <w:snapToGrid w:val="0"/>
          <w:sz w:val="24"/>
        </w:rPr>
      </w:pPr>
      <w:r>
        <w:rPr>
          <w:rFonts w:hint="eastAsia" w:ascii="宋体" w:hAnsi="宋体" w:cs="宋体"/>
          <w:snapToGrid w:val="0"/>
          <w:sz w:val="24"/>
        </w:rPr>
        <w:t>③</w:t>
      </w:r>
      <w:r>
        <w:rPr>
          <w:rFonts w:eastAsiaTheme="minorEastAsia"/>
          <w:snapToGrid w:val="0"/>
          <w:sz w:val="24"/>
        </w:rPr>
        <w:t>物资保障:明确应急救援需要使用的应急物资、应急监测仪器、防护器材、装备的类型、数量、性能、存放位置、管理责任人等内容。</w:t>
      </w: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p>
    <w:p>
      <w:pPr>
        <w:spacing w:line="360" w:lineRule="auto"/>
        <w:ind w:firstLine="480" w:firstLineChars="200"/>
        <w:rPr>
          <w:rFonts w:eastAsiaTheme="minorEastAsia"/>
          <w:snapToGrid w:val="0"/>
          <w:sz w:val="24"/>
        </w:rPr>
      </w:pPr>
      <w:r>
        <w:rPr>
          <w:rFonts w:eastAsiaTheme="minorEastAsia"/>
          <w:sz w:val="24"/>
        </w:rPr>
        <w:drawing>
          <wp:anchor distT="0" distB="0" distL="114300" distR="114300" simplePos="0" relativeHeight="251704320" behindDoc="0" locked="0" layoutInCell="1" allowOverlap="1">
            <wp:simplePos x="0" y="0"/>
            <wp:positionH relativeFrom="column">
              <wp:posOffset>837565</wp:posOffset>
            </wp:positionH>
            <wp:positionV relativeFrom="paragraph">
              <wp:posOffset>117475</wp:posOffset>
            </wp:positionV>
            <wp:extent cx="4516120" cy="4989195"/>
            <wp:effectExtent l="19050" t="0" r="0" b="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122" cstate="print"/>
                    <a:srcRect t="728"/>
                    <a:stretch>
                      <a:fillRect/>
                    </a:stretch>
                  </pic:blipFill>
                  <pic:spPr>
                    <a:xfrm>
                      <a:off x="0" y="0"/>
                      <a:ext cx="4516374" cy="4988966"/>
                    </a:xfrm>
                    <a:prstGeom prst="rect">
                      <a:avLst/>
                    </a:prstGeom>
                    <a:noFill/>
                    <a:ln w="9525">
                      <a:noFill/>
                      <a:miter lim="800000"/>
                      <a:headEnd/>
                      <a:tailEnd/>
                    </a:ln>
                  </pic:spPr>
                </pic:pic>
              </a:graphicData>
            </a:graphic>
          </wp:anchor>
        </w:drawing>
      </w:r>
      <w:r>
        <w:rPr>
          <w:rFonts w:eastAsiaTheme="minorEastAsia"/>
          <w:sz w:val="24"/>
        </w:rPr>
        <w:pict>
          <v:rect id="_x0000_s17475" o:spid="_x0000_s17475" o:spt="1" style="position:absolute;left:0pt;margin-left:18.6pt;margin-top:4.9pt;height:18.75pt;width:139.5pt;z-index:251676672;mso-width-relative:page;mso-height-relative:page;" stroked="f" coordsize="21600,21600">
            <v:path/>
            <v:fill focussize="0,0"/>
            <v:stroke on="f"/>
            <v:imagedata o:title=""/>
            <o:lock v:ext="edit"/>
            <v:textbox>
              <w:txbxContent>
                <w:p/>
              </w:txbxContent>
            </v:textbox>
          </v:rect>
        </w:pict>
      </w:r>
      <w:r>
        <w:rPr>
          <w:rFonts w:eastAsiaTheme="minorEastAsia"/>
          <w:sz w:val="24"/>
        </w:rPr>
        <w:pict>
          <v:rect id="_x0000_s17476" o:spid="_x0000_s17476" o:spt="1" style="position:absolute;left:0pt;margin-left:278.6pt;margin-top:1.05pt;height:18.75pt;width:171.75pt;z-index:251677696;mso-width-relative:page;mso-height-relative:page;" stroked="f" coordsize="21600,21600">
            <v:path/>
            <v:fill focussize="0,0"/>
            <v:stroke on="f"/>
            <v:imagedata o:title=""/>
            <o:lock v:ext="edit"/>
            <v:textbox>
              <w:txbxContent>
                <w:p/>
              </w:txbxContent>
            </v:textbox>
          </v:rect>
        </w:pict>
      </w: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p>
    <w:p>
      <w:pPr>
        <w:spacing w:line="360" w:lineRule="auto"/>
        <w:ind w:firstLine="422" w:firstLineChars="200"/>
        <w:jc w:val="center"/>
        <w:rPr>
          <w:rFonts w:eastAsiaTheme="minorEastAsia"/>
          <w:b/>
          <w:snapToGrid w:val="0"/>
          <w:szCs w:val="21"/>
        </w:rPr>
      </w:pPr>
      <w:r>
        <w:rPr>
          <w:rFonts w:eastAsiaTheme="minorEastAsia"/>
          <w:b/>
          <w:snapToGrid w:val="0"/>
          <w:szCs w:val="21"/>
        </w:rPr>
        <w:t>图6.</w:t>
      </w:r>
      <w:r>
        <w:rPr>
          <w:rFonts w:hint="eastAsia" w:eastAsiaTheme="minorEastAsia"/>
          <w:b/>
          <w:snapToGrid w:val="0"/>
          <w:szCs w:val="21"/>
        </w:rPr>
        <w:t>2</w:t>
      </w:r>
      <w:r>
        <w:rPr>
          <w:rFonts w:eastAsiaTheme="minorEastAsia"/>
          <w:b/>
          <w:snapToGrid w:val="0"/>
          <w:szCs w:val="21"/>
        </w:rPr>
        <w:t>-1  地下水应急治理程序</w:t>
      </w:r>
    </w:p>
    <w:p>
      <w:pPr>
        <w:spacing w:line="500" w:lineRule="exact"/>
        <w:outlineLvl w:val="2"/>
        <w:rPr>
          <w:rFonts w:eastAsiaTheme="minorEastAsia"/>
          <w:b/>
          <w:sz w:val="24"/>
          <w:lang w:val="en-GB"/>
        </w:rPr>
      </w:pPr>
      <w:r>
        <w:rPr>
          <w:rFonts w:eastAsiaTheme="minorEastAsia"/>
          <w:b/>
          <w:sz w:val="24"/>
          <w:lang w:val="en-GB"/>
        </w:rPr>
        <w:t>6.</w:t>
      </w:r>
      <w:bookmarkEnd w:id="291"/>
      <w:r>
        <w:rPr>
          <w:rFonts w:hint="eastAsia" w:eastAsiaTheme="minorEastAsia"/>
          <w:b/>
          <w:sz w:val="24"/>
          <w:lang w:val="en-GB"/>
        </w:rPr>
        <w:t>2.</w:t>
      </w:r>
      <w:r>
        <w:rPr>
          <w:rFonts w:eastAsiaTheme="minorEastAsia"/>
          <w:b/>
          <w:sz w:val="24"/>
          <w:lang w:val="en-GB"/>
        </w:rPr>
        <w:t>4噪声控制措施可行性分析</w:t>
      </w:r>
      <w:bookmarkEnd w:id="292"/>
    </w:p>
    <w:p>
      <w:pPr>
        <w:pStyle w:val="7"/>
        <w:spacing w:line="500" w:lineRule="exact"/>
        <w:ind w:firstLine="480"/>
        <w:rPr>
          <w:sz w:val="24"/>
        </w:rPr>
      </w:pPr>
      <w:bookmarkStart w:id="293" w:name="_Toc351651156"/>
      <w:bookmarkStart w:id="294" w:name="_Toc480708235"/>
      <w:r>
        <w:rPr>
          <w:rFonts w:hint="eastAsia"/>
          <w:sz w:val="24"/>
        </w:rPr>
        <w:t>本项目噪声主要来源于工业场地空压机、回风井通风机、水泵、筛分等设备运行和生产过程中产生的噪声。针对本项目产噪设备特点，并结合本项目现存在的噪声污染问题，提出以下防治措施：</w:t>
      </w:r>
    </w:p>
    <w:p>
      <w:pPr>
        <w:pStyle w:val="7"/>
        <w:spacing w:line="500" w:lineRule="exact"/>
        <w:ind w:firstLine="480"/>
        <w:rPr>
          <w:sz w:val="24"/>
        </w:rPr>
      </w:pPr>
      <w:r>
        <w:rPr>
          <w:rFonts w:hint="eastAsia" w:ascii="宋体" w:hAnsi="宋体" w:cs="宋体"/>
          <w:sz w:val="24"/>
        </w:rPr>
        <w:t>⑴</w:t>
      </w:r>
      <w:r>
        <w:rPr>
          <w:rFonts w:hint="eastAsia"/>
          <w:sz w:val="24"/>
        </w:rPr>
        <w:t>选用低噪声设备，并进行基础减振。</w:t>
      </w:r>
    </w:p>
    <w:p>
      <w:pPr>
        <w:pStyle w:val="7"/>
        <w:spacing w:line="500" w:lineRule="exact"/>
        <w:ind w:firstLine="480"/>
        <w:rPr>
          <w:sz w:val="24"/>
        </w:rPr>
      </w:pPr>
      <w:r>
        <w:rPr>
          <w:rFonts w:hint="eastAsia" w:ascii="宋体" w:hAnsi="宋体" w:cs="宋体"/>
          <w:sz w:val="24"/>
        </w:rPr>
        <w:t>⑵</w:t>
      </w:r>
      <w:r>
        <w:rPr>
          <w:rFonts w:hint="eastAsia"/>
          <w:sz w:val="24"/>
        </w:rPr>
        <w:t>将空压机、筛分机等设备置于厂房内，采取密闭隔声、减振等措施，并在房间内墙壁装吸声材料。</w:t>
      </w:r>
    </w:p>
    <w:p>
      <w:pPr>
        <w:pStyle w:val="7"/>
        <w:spacing w:line="500" w:lineRule="exact"/>
        <w:ind w:firstLine="480"/>
        <w:rPr>
          <w:sz w:val="24"/>
        </w:rPr>
      </w:pPr>
      <w:r>
        <w:rPr>
          <w:rFonts w:hint="eastAsia" w:ascii="宋体" w:hAnsi="宋体" w:cs="宋体"/>
          <w:sz w:val="24"/>
        </w:rPr>
        <w:t>⑶</w:t>
      </w:r>
      <w:r>
        <w:rPr>
          <w:rFonts w:hint="eastAsia"/>
          <w:sz w:val="24"/>
        </w:rPr>
        <w:t>个人防护，应充分重视操作人员的劳动保护，为其发放特制耳塞、耳罩，并设置操作人员值班室，避免操作人员长期处于高噪声环境中。</w:t>
      </w:r>
    </w:p>
    <w:p>
      <w:pPr>
        <w:pStyle w:val="7"/>
        <w:spacing w:line="500" w:lineRule="exact"/>
        <w:ind w:firstLine="480"/>
        <w:rPr>
          <w:sz w:val="24"/>
        </w:rPr>
      </w:pPr>
      <w:r>
        <w:rPr>
          <w:rFonts w:hint="eastAsia" w:ascii="宋体" w:hAnsi="宋体" w:cs="宋体"/>
          <w:sz w:val="24"/>
        </w:rPr>
        <w:t>⑷</w:t>
      </w:r>
      <w:r>
        <w:rPr>
          <w:rFonts w:hint="eastAsia"/>
          <w:sz w:val="24"/>
        </w:rPr>
        <w:t>矿区及道路两旁进行绿化，可减少噪声对周围环境的污染。</w:t>
      </w:r>
    </w:p>
    <w:p>
      <w:pPr>
        <w:pStyle w:val="7"/>
        <w:spacing w:line="500" w:lineRule="exact"/>
        <w:ind w:firstLine="480"/>
        <w:rPr>
          <w:sz w:val="24"/>
        </w:rPr>
      </w:pPr>
      <w:r>
        <w:rPr>
          <w:rFonts w:hint="eastAsia" w:ascii="宋体" w:hAnsi="宋体" w:cs="宋体"/>
          <w:sz w:val="24"/>
        </w:rPr>
        <w:t>⑸</w:t>
      </w:r>
      <w:r>
        <w:rPr>
          <w:rFonts w:hint="eastAsia"/>
          <w:sz w:val="24"/>
        </w:rPr>
        <w:t>运输噪声，对进入矿区的机动车辆，采取限制鸣笛措施，减少交通噪声。</w:t>
      </w:r>
    </w:p>
    <w:p>
      <w:pPr>
        <w:pStyle w:val="7"/>
        <w:spacing w:line="500" w:lineRule="exact"/>
        <w:ind w:firstLine="480"/>
        <w:rPr>
          <w:sz w:val="24"/>
          <w:lang w:val="en-GB"/>
        </w:rPr>
      </w:pPr>
      <w:r>
        <w:rPr>
          <w:rFonts w:hint="eastAsia"/>
          <w:sz w:val="24"/>
          <w:lang w:val="en-GB"/>
        </w:rPr>
        <w:t>经采取上述有效降噪措施、并经厂房隔声和距离衰减后，根据场界噪声预测结果，场界噪声符合《工业企业环境噪声排放标准》（</w:t>
      </w:r>
      <w:r>
        <w:rPr>
          <w:sz w:val="24"/>
          <w:lang w:val="en-GB"/>
        </w:rPr>
        <w:t>GB12348-2008</w:t>
      </w:r>
      <w:r>
        <w:rPr>
          <w:rFonts w:hint="eastAsia"/>
          <w:sz w:val="24"/>
          <w:lang w:val="en-GB"/>
        </w:rPr>
        <w:t>）</w:t>
      </w:r>
      <w:r>
        <w:rPr>
          <w:sz w:val="24"/>
        </w:rPr>
        <w:t>2</w:t>
      </w:r>
      <w:r>
        <w:rPr>
          <w:rFonts w:hint="eastAsia"/>
          <w:sz w:val="24"/>
          <w:lang w:val="en-GB"/>
        </w:rPr>
        <w:t>类标准要求，治理措施可行。</w:t>
      </w:r>
    </w:p>
    <w:p>
      <w:pPr>
        <w:spacing w:line="500" w:lineRule="exact"/>
        <w:outlineLvl w:val="2"/>
        <w:rPr>
          <w:rFonts w:eastAsiaTheme="minorEastAsia"/>
          <w:b/>
          <w:sz w:val="24"/>
          <w:lang w:val="en-GB"/>
        </w:rPr>
      </w:pPr>
      <w:r>
        <w:rPr>
          <w:rFonts w:eastAsiaTheme="minorEastAsia"/>
          <w:b/>
          <w:sz w:val="24"/>
          <w:lang w:val="en-GB"/>
        </w:rPr>
        <w:t>6.</w:t>
      </w:r>
      <w:r>
        <w:rPr>
          <w:rFonts w:hint="eastAsia" w:eastAsiaTheme="minorEastAsia"/>
          <w:b/>
          <w:sz w:val="24"/>
          <w:lang w:val="en-GB"/>
        </w:rPr>
        <w:t>2.</w:t>
      </w:r>
      <w:r>
        <w:rPr>
          <w:rFonts w:eastAsiaTheme="minorEastAsia"/>
          <w:b/>
          <w:sz w:val="24"/>
          <w:lang w:val="en-GB"/>
        </w:rPr>
        <w:t>5土壤环境保护措施分析</w:t>
      </w:r>
    </w:p>
    <w:p>
      <w:pPr>
        <w:spacing w:line="360" w:lineRule="auto"/>
        <w:ind w:firstLine="480" w:firstLineChars="200"/>
        <w:rPr>
          <w:rFonts w:eastAsiaTheme="minorEastAsia"/>
        </w:rPr>
      </w:pPr>
      <w:r>
        <w:rPr>
          <w:rFonts w:eastAsiaTheme="minorEastAsia"/>
          <w:sz w:val="24"/>
        </w:rPr>
        <w:t>本项目存在污染的场地主要有主工业广场内储煤场、筛分车间、</w:t>
      </w:r>
      <w:r>
        <w:rPr>
          <w:rFonts w:hint="eastAsia" w:eastAsiaTheme="minorEastAsia"/>
          <w:sz w:val="24"/>
        </w:rPr>
        <w:t>危废暂存间</w:t>
      </w:r>
      <w:r>
        <w:rPr>
          <w:rFonts w:eastAsiaTheme="minorEastAsia"/>
          <w:sz w:val="24"/>
        </w:rPr>
        <w:t>、矿井水处理站和生活污水处理站等。土壤污染途径主要为有组织废气和无组织污染物通过降水、扩散和重力作用降落至地面，渗透入土壤产生影响；废水外排入河流后，再作为农业灌溉用水，土壤受到污染；固体废弃物在堆存、掩埋过程中产生的渗滤液进入到土壤，也会导致土质和土壤结构的改造，危害土壤环境。本次评价着重分析有组织粉尘通过降水、扩散和重力作用降落至地面，渗透入土壤会对周边土壤造成污染。</w:t>
      </w:r>
    </w:p>
    <w:p>
      <w:pPr>
        <w:pStyle w:val="128"/>
        <w:ind w:firstLine="480"/>
        <w:rPr>
          <w:rFonts w:ascii="Times New Roman" w:hAnsi="Times New Roman" w:cs="Times New Roman"/>
        </w:rPr>
      </w:pPr>
      <w:r>
        <w:rPr>
          <w:rFonts w:ascii="Times New Roman" w:hAnsi="Times New Roman" w:cs="Times New Roman"/>
        </w:rPr>
        <w:t>针对工程可能产生的影响，环评提出以下措施：</w:t>
      </w:r>
    </w:p>
    <w:p>
      <w:pPr>
        <w:pStyle w:val="128"/>
        <w:ind w:firstLine="496"/>
        <w:rPr>
          <w:rFonts w:ascii="Times New Roman" w:hAnsi="Times New Roman" w:cs="Times New Roman"/>
          <w:spacing w:val="4"/>
        </w:rPr>
      </w:pPr>
      <w:r>
        <w:rPr>
          <w:rFonts w:ascii="Times New Roman" w:hAnsi="Times New Roman" w:cs="Times New Roman"/>
          <w:spacing w:val="4"/>
        </w:rPr>
        <w:t>（1）从污染物源头控制排放，采用经济可行且效率高的大气污染防治措施，确保设施政策运行，故障后立刻停工整修</w:t>
      </w:r>
      <w:r>
        <w:rPr>
          <w:rFonts w:hint="eastAsia" w:ascii="Times New Roman" w:hAnsi="Times New Roman" w:cs="Times New Roman"/>
          <w:spacing w:val="4"/>
        </w:rPr>
        <w:t>。本次评价将储煤场进行全封闭，可大大减少无组织的粉尘的产生量；筛分车间采用集气效率为90%的集气罩收集破碎粉尘，收集后经除尘效率为99%的袋式除尘器处理后达标排放，可减少有组织的粉尘排放量；采取以上措施后，可从源头有效的降低了</w:t>
      </w:r>
      <w:r>
        <w:t>有组织废气和无组织污染物</w:t>
      </w:r>
      <w:r>
        <w:rPr>
          <w:rFonts w:hint="eastAsia" w:ascii="Times New Roman" w:hAnsi="Times New Roman" w:cs="Times New Roman"/>
          <w:spacing w:val="4"/>
        </w:rPr>
        <w:t>废气</w:t>
      </w:r>
      <w:r>
        <w:t>通过降水、扩散和重力作用降落至地面</w:t>
      </w:r>
      <w:r>
        <w:rPr>
          <w:rFonts w:hint="eastAsia"/>
        </w:rPr>
        <w:t>，为土壤中污染物砷的输入量。</w:t>
      </w:r>
    </w:p>
    <w:p>
      <w:pPr>
        <w:pStyle w:val="128"/>
        <w:ind w:firstLine="496"/>
        <w:rPr>
          <w:rFonts w:ascii="Times New Roman" w:hAnsi="Times New Roman" w:cs="Times New Roman"/>
          <w:spacing w:val="4"/>
        </w:rPr>
      </w:pPr>
      <w:r>
        <w:rPr>
          <w:rFonts w:ascii="Times New Roman" w:hAnsi="Times New Roman" w:cs="Times New Roman"/>
          <w:spacing w:val="4"/>
        </w:rPr>
        <w:t>（2）在项目占地范围及厂界周围种植较强吸附能力的植物，做好绿化工作，利用植物吸附作用减少土壤环境影响。</w:t>
      </w:r>
    </w:p>
    <w:p>
      <w:pPr>
        <w:pStyle w:val="128"/>
        <w:ind w:firstLine="496"/>
        <w:rPr>
          <w:rFonts w:ascii="Times New Roman" w:hAnsi="Times New Roman" w:cs="Times New Roman"/>
          <w:spacing w:val="4"/>
        </w:rPr>
      </w:pPr>
      <w:r>
        <w:rPr>
          <w:rFonts w:ascii="Times New Roman" w:hAnsi="Times New Roman" w:cs="Times New Roman"/>
          <w:spacing w:val="4"/>
        </w:rPr>
        <w:t>经采取环评提出的土壤环境污染防治措施后，本项目对土壤环境的影响很小。</w:t>
      </w:r>
    </w:p>
    <w:p>
      <w:pPr>
        <w:spacing w:line="500" w:lineRule="exact"/>
        <w:outlineLvl w:val="2"/>
        <w:rPr>
          <w:rFonts w:eastAsiaTheme="minorEastAsia"/>
          <w:b/>
          <w:sz w:val="24"/>
          <w:lang w:val="en-GB"/>
        </w:rPr>
      </w:pPr>
      <w:r>
        <w:rPr>
          <w:rFonts w:eastAsiaTheme="minorEastAsia"/>
          <w:b/>
          <w:sz w:val="24"/>
          <w:lang w:val="en-GB"/>
        </w:rPr>
        <w:t>6.</w:t>
      </w:r>
      <w:bookmarkEnd w:id="293"/>
      <w:r>
        <w:rPr>
          <w:rFonts w:hint="eastAsia" w:eastAsiaTheme="minorEastAsia"/>
          <w:b/>
          <w:sz w:val="24"/>
          <w:lang w:val="en-GB"/>
        </w:rPr>
        <w:t>2.</w:t>
      </w:r>
      <w:r>
        <w:rPr>
          <w:rFonts w:eastAsiaTheme="minorEastAsia"/>
          <w:b/>
          <w:sz w:val="24"/>
          <w:lang w:val="en-GB"/>
        </w:rPr>
        <w:t>6生态防治措施可行性分析</w:t>
      </w:r>
      <w:bookmarkEnd w:id="294"/>
    </w:p>
    <w:p>
      <w:pPr>
        <w:spacing w:line="360" w:lineRule="auto"/>
        <w:ind w:firstLine="480" w:firstLineChars="200"/>
        <w:rPr>
          <w:rFonts w:eastAsiaTheme="minorEastAsia"/>
          <w:sz w:val="24"/>
        </w:rPr>
      </w:pPr>
      <w:r>
        <w:rPr>
          <w:rFonts w:eastAsiaTheme="minorEastAsia"/>
          <w:sz w:val="24"/>
        </w:rPr>
        <w:t>本次工程主要</w:t>
      </w:r>
      <w:r>
        <w:rPr>
          <w:rFonts w:eastAsiaTheme="minorEastAsia"/>
          <w:bCs/>
          <w:spacing w:val="4"/>
          <w:sz w:val="24"/>
        </w:rPr>
        <w:t>生态影响</w:t>
      </w:r>
      <w:r>
        <w:rPr>
          <w:rFonts w:eastAsiaTheme="minorEastAsia"/>
          <w:sz w:val="24"/>
        </w:rPr>
        <w:t>为煤炭开采地表沉陷对耕地、植被等影响。</w:t>
      </w:r>
    </w:p>
    <w:p>
      <w:pPr>
        <w:spacing w:line="360" w:lineRule="auto"/>
        <w:ind w:firstLine="480" w:firstLineChars="200"/>
        <w:rPr>
          <w:rFonts w:eastAsiaTheme="minorEastAsia"/>
          <w:sz w:val="24"/>
        </w:rPr>
      </w:pPr>
      <w:r>
        <w:rPr>
          <w:rFonts w:eastAsiaTheme="minorEastAsia"/>
          <w:sz w:val="24"/>
        </w:rPr>
        <w:t>对于煤炭开采产生的地表沉陷，环评提出如下要求：</w:t>
      </w:r>
    </w:p>
    <w:p>
      <w:pPr>
        <w:spacing w:line="360" w:lineRule="auto"/>
        <w:ind w:firstLine="480" w:firstLineChars="200"/>
        <w:rPr>
          <w:rFonts w:eastAsiaTheme="minorEastAsia"/>
          <w:sz w:val="24"/>
        </w:rPr>
      </w:pPr>
      <w:r>
        <w:rPr>
          <w:rFonts w:eastAsiaTheme="minorEastAsia"/>
          <w:sz w:val="24"/>
        </w:rPr>
        <w:t>1、土地破坏情况分析</w:t>
      </w:r>
    </w:p>
    <w:p>
      <w:pPr>
        <w:spacing w:line="360" w:lineRule="auto"/>
        <w:ind w:firstLine="480" w:firstLineChars="200"/>
        <w:rPr>
          <w:rFonts w:eastAsiaTheme="minorEastAsia"/>
          <w:sz w:val="24"/>
        </w:rPr>
      </w:pPr>
      <w:r>
        <w:rPr>
          <w:rFonts w:eastAsiaTheme="minorEastAsia"/>
          <w:sz w:val="24"/>
        </w:rPr>
        <w:t>根据首采区破坏土地状况，结合当地自然条件，通过适宜性分析，确定其恢复到可供利用状态的复垦模式。地表塌陷下沉盆地以显现地表破坏现象为主要特征，对土地的破坏呈现局部特征，分为三种类型：</w:t>
      </w:r>
    </w:p>
    <w:p>
      <w:pPr>
        <w:spacing w:line="360" w:lineRule="auto"/>
        <w:ind w:firstLine="480" w:firstLineChars="200"/>
        <w:rPr>
          <w:rFonts w:eastAsiaTheme="minorEastAsia"/>
          <w:sz w:val="24"/>
        </w:rPr>
      </w:pPr>
      <w:r>
        <w:rPr>
          <w:rFonts w:eastAsiaTheme="minorEastAsia"/>
          <w:sz w:val="24"/>
        </w:rPr>
        <w:t>（1）井田内塌陷预测小于l0mm的区域，基本不受影响；</w:t>
      </w:r>
    </w:p>
    <w:p>
      <w:pPr>
        <w:spacing w:line="440" w:lineRule="exact"/>
        <w:ind w:firstLine="480" w:firstLineChars="200"/>
        <w:rPr>
          <w:rFonts w:eastAsiaTheme="minorEastAsia"/>
          <w:sz w:val="24"/>
        </w:rPr>
      </w:pPr>
      <w:r>
        <w:rPr>
          <w:rFonts w:eastAsiaTheme="minorEastAsia"/>
          <w:sz w:val="24"/>
        </w:rPr>
        <w:t>（2）塌陷预测深度大于等于4m的区域，斑块面积较大，基本不倾斜，多集中在塌陷中央地带，破坏影响轻微，不影响农田耕种及植被生长：</w:t>
      </w:r>
    </w:p>
    <w:p>
      <w:pPr>
        <w:spacing w:line="440" w:lineRule="exact"/>
        <w:ind w:firstLine="480" w:firstLineChars="200"/>
        <w:rPr>
          <w:rFonts w:eastAsiaTheme="minorEastAsia"/>
          <w:sz w:val="24"/>
        </w:rPr>
      </w:pPr>
      <w:r>
        <w:rPr>
          <w:rFonts w:eastAsiaTheme="minorEastAsia"/>
          <w:sz w:val="24"/>
        </w:rPr>
        <w:t>（3）塌陷预测大于10mm小于4m的区域，处于塌陷程度较集中的塌陷盆地边缘地带，倾斜程度大，影响向较大。</w:t>
      </w:r>
    </w:p>
    <w:p>
      <w:pPr>
        <w:spacing w:line="440" w:lineRule="exact"/>
        <w:ind w:firstLine="480" w:firstLineChars="200"/>
        <w:rPr>
          <w:rFonts w:eastAsiaTheme="minorEastAsia"/>
          <w:sz w:val="24"/>
        </w:rPr>
      </w:pPr>
      <w:r>
        <w:rPr>
          <w:rFonts w:eastAsiaTheme="minorEastAsia"/>
          <w:sz w:val="24"/>
        </w:rPr>
        <w:t>2、土地复垦</w:t>
      </w:r>
    </w:p>
    <w:p>
      <w:pPr>
        <w:spacing w:line="440" w:lineRule="exact"/>
        <w:ind w:firstLine="480" w:firstLineChars="200"/>
        <w:rPr>
          <w:rFonts w:eastAsiaTheme="minorEastAsia"/>
          <w:sz w:val="24"/>
        </w:rPr>
      </w:pPr>
      <w:r>
        <w:rPr>
          <w:rFonts w:eastAsiaTheme="minorEastAsia"/>
          <w:sz w:val="24"/>
        </w:rPr>
        <w:t>（1）草地的复垦</w:t>
      </w:r>
    </w:p>
    <w:p>
      <w:pPr>
        <w:spacing w:line="440" w:lineRule="exact"/>
        <w:ind w:firstLine="480" w:firstLineChars="200"/>
        <w:rPr>
          <w:rFonts w:eastAsiaTheme="minorEastAsia"/>
          <w:sz w:val="24"/>
        </w:rPr>
      </w:pPr>
      <w:r>
        <w:rPr>
          <w:rFonts w:eastAsiaTheme="minorEastAsia"/>
          <w:sz w:val="24"/>
        </w:rPr>
        <w:t>为了避免对土壤有较大的扰动，对井田内受影响的草地进行自然恢复为主，人工恢复为辅的措施。严重地段封山育草，以减少水土流失。恢复步骤如下：</w:t>
      </w:r>
    </w:p>
    <w:p>
      <w:pPr>
        <w:spacing w:line="440" w:lineRule="exact"/>
        <w:ind w:firstLine="480" w:firstLineChars="200"/>
        <w:rPr>
          <w:rFonts w:eastAsiaTheme="minorEastAsia"/>
          <w:sz w:val="24"/>
        </w:rPr>
      </w:pPr>
      <w:r>
        <w:rPr>
          <w:rFonts w:hint="eastAsia" w:ascii="宋体" w:hAnsi="宋体" w:cs="宋体"/>
          <w:sz w:val="24"/>
        </w:rPr>
        <w:t>①</w:t>
      </w:r>
      <w:r>
        <w:rPr>
          <w:rFonts w:eastAsiaTheme="minorEastAsia"/>
          <w:sz w:val="24"/>
        </w:rPr>
        <w:t>裂缝处理是塌陷草地整理最主要的方式。裂缝处理措施如前所述；</w:t>
      </w:r>
    </w:p>
    <w:p>
      <w:pPr>
        <w:spacing w:line="440" w:lineRule="exact"/>
        <w:ind w:firstLine="480" w:firstLineChars="200"/>
        <w:rPr>
          <w:rFonts w:eastAsiaTheme="minorEastAsia"/>
          <w:sz w:val="24"/>
        </w:rPr>
      </w:pPr>
      <w:r>
        <w:rPr>
          <w:rFonts w:hint="eastAsia" w:ascii="宋体" w:hAnsi="宋体" w:cs="宋体"/>
          <w:sz w:val="24"/>
        </w:rPr>
        <w:t>②</w:t>
      </w:r>
      <w:r>
        <w:rPr>
          <w:rFonts w:eastAsiaTheme="minorEastAsia"/>
          <w:sz w:val="24"/>
        </w:rPr>
        <w:t>塌陷严重的草地，根据黄土层的厚度，选择不同的整地方式。黄土层较厚的缓坡地段，人工栽植侧柏、油松、苜蓿等植被；黄土层较薄的陡坡地段，可多修水平阶等。具体平整规格类同塌陷林地整理；</w:t>
      </w:r>
    </w:p>
    <w:p>
      <w:pPr>
        <w:spacing w:line="440" w:lineRule="exact"/>
        <w:ind w:firstLine="480" w:firstLineChars="200"/>
        <w:rPr>
          <w:rFonts w:eastAsiaTheme="minorEastAsia"/>
          <w:sz w:val="24"/>
        </w:rPr>
      </w:pPr>
      <w:r>
        <w:rPr>
          <w:rFonts w:hint="eastAsia" w:ascii="宋体" w:hAnsi="宋体" w:cs="宋体"/>
          <w:sz w:val="24"/>
        </w:rPr>
        <w:t>③</w:t>
      </w:r>
      <w:r>
        <w:rPr>
          <w:rFonts w:eastAsiaTheme="minorEastAsia"/>
          <w:sz w:val="24"/>
        </w:rPr>
        <w:t>土地整理后，选择优良草种，进行草地改良，发展畜牧业：</w:t>
      </w:r>
    </w:p>
    <w:p>
      <w:pPr>
        <w:spacing w:line="440" w:lineRule="exact"/>
        <w:ind w:firstLine="480" w:firstLineChars="200"/>
        <w:rPr>
          <w:rFonts w:eastAsiaTheme="minorEastAsia"/>
          <w:sz w:val="24"/>
        </w:rPr>
      </w:pPr>
      <w:r>
        <w:rPr>
          <w:rFonts w:hint="eastAsia" w:ascii="宋体" w:hAnsi="宋体" w:cs="宋体"/>
          <w:sz w:val="24"/>
        </w:rPr>
        <w:t>④</w:t>
      </w:r>
      <w:r>
        <w:rPr>
          <w:rFonts w:eastAsiaTheme="minorEastAsia"/>
          <w:sz w:val="24"/>
        </w:rPr>
        <w:t>严禁过度放牧，尤其在复垦恢复阶段；</w:t>
      </w:r>
    </w:p>
    <w:p>
      <w:pPr>
        <w:spacing w:line="440" w:lineRule="exact"/>
        <w:ind w:firstLine="480" w:firstLineChars="200"/>
        <w:rPr>
          <w:rFonts w:eastAsiaTheme="minorEastAsia"/>
          <w:sz w:val="24"/>
        </w:rPr>
      </w:pPr>
      <w:r>
        <w:rPr>
          <w:rFonts w:hint="eastAsia" w:ascii="宋体" w:hAnsi="宋体" w:cs="宋体"/>
          <w:sz w:val="24"/>
        </w:rPr>
        <w:t>⑤</w:t>
      </w:r>
      <w:r>
        <w:rPr>
          <w:rFonts w:eastAsiaTheme="minorEastAsia"/>
          <w:sz w:val="24"/>
        </w:rPr>
        <w:t>有条件的地块，可根据市场需求改变土地用途，或用作耕地；或用作经济林地；或用作退耕还林、还草之地。</w:t>
      </w:r>
    </w:p>
    <w:p>
      <w:pPr>
        <w:spacing w:line="440" w:lineRule="exact"/>
        <w:ind w:firstLine="480" w:firstLineChars="200"/>
        <w:rPr>
          <w:rFonts w:eastAsiaTheme="minorEastAsia"/>
          <w:sz w:val="24"/>
        </w:rPr>
      </w:pPr>
      <w:r>
        <w:rPr>
          <w:rFonts w:eastAsiaTheme="minorEastAsia"/>
          <w:sz w:val="24"/>
        </w:rPr>
        <w:t>（2）耕地的复垦</w:t>
      </w:r>
    </w:p>
    <w:p>
      <w:pPr>
        <w:spacing w:line="440" w:lineRule="exact"/>
        <w:ind w:firstLine="480" w:firstLineChars="200"/>
        <w:rPr>
          <w:rFonts w:eastAsiaTheme="minorEastAsia"/>
          <w:sz w:val="24"/>
        </w:rPr>
      </w:pPr>
      <w:r>
        <w:rPr>
          <w:rFonts w:hint="eastAsia" w:ascii="宋体" w:hAnsi="宋体" w:cs="宋体"/>
          <w:sz w:val="24"/>
        </w:rPr>
        <w:t>①</w:t>
      </w:r>
      <w:r>
        <w:rPr>
          <w:rFonts w:eastAsiaTheme="minorEastAsia"/>
          <w:sz w:val="24"/>
        </w:rPr>
        <w:t>塌陷裂缝的复垦</w:t>
      </w:r>
    </w:p>
    <w:p>
      <w:pPr>
        <w:spacing w:line="440" w:lineRule="exact"/>
        <w:ind w:firstLine="480" w:firstLineChars="200"/>
        <w:rPr>
          <w:rFonts w:eastAsiaTheme="minorEastAsia"/>
          <w:sz w:val="24"/>
        </w:rPr>
      </w:pPr>
      <w:r>
        <w:rPr>
          <w:rFonts w:eastAsiaTheme="minorEastAsia"/>
          <w:sz w:val="24"/>
        </w:rPr>
        <w:t>裂缝位置一般发生在采空区正上方或地表移动盆地内边缘区与中间区。且分布极不规则。针对不同地层构造和土层厚度，裂缝处理方案及工艺如下：</w:t>
      </w:r>
    </w:p>
    <w:p>
      <w:pPr>
        <w:spacing w:line="440" w:lineRule="exact"/>
        <w:ind w:firstLine="480" w:firstLineChars="200"/>
        <w:rPr>
          <w:rFonts w:eastAsiaTheme="minorEastAsia"/>
          <w:sz w:val="24"/>
        </w:rPr>
      </w:pPr>
      <w:r>
        <w:rPr>
          <w:rFonts w:hint="eastAsia" w:ascii="宋体" w:hAnsi="宋体" w:cs="宋体"/>
          <w:sz w:val="24"/>
        </w:rPr>
        <w:t>Ⅰ</w:t>
      </w:r>
      <w:r>
        <w:rPr>
          <w:rFonts w:eastAsiaTheme="minorEastAsia"/>
          <w:sz w:val="24"/>
        </w:rPr>
        <w:t xml:space="preserve"> 对轻度、中度破坏，土层较厚、裂缝未贯穿土层的土地，采用黄土填堵法。将裂缝挖开，填土夯实。</w:t>
      </w:r>
    </w:p>
    <w:p>
      <w:pPr>
        <w:spacing w:line="440" w:lineRule="exact"/>
        <w:ind w:firstLine="480" w:firstLineChars="200"/>
        <w:rPr>
          <w:rFonts w:eastAsiaTheme="minorEastAsia"/>
          <w:sz w:val="24"/>
        </w:rPr>
      </w:pPr>
      <w:r>
        <w:rPr>
          <w:rFonts w:hint="eastAsia" w:ascii="宋体" w:hAnsi="宋体" w:cs="宋体"/>
          <w:sz w:val="24"/>
        </w:rPr>
        <w:t>Ⅱ</w:t>
      </w:r>
      <w:r>
        <w:rPr>
          <w:rFonts w:eastAsiaTheme="minorEastAsia"/>
          <w:sz w:val="24"/>
        </w:rPr>
        <w:t xml:space="preserve"> 对破坏程度严重、裂缝透穿土层的土地，按反滤层的原理去填堵裂缝、孔洞。首先用粗砾石填堵孔隙，其次用次粗砾，最后用砂、细砂、土填堵。当塌陷稳定，用反滤层填堵后，可防止水土流失。</w:t>
      </w:r>
    </w:p>
    <w:p>
      <w:pPr>
        <w:spacing w:line="440" w:lineRule="exact"/>
        <w:ind w:firstLine="480" w:firstLineChars="200"/>
        <w:rPr>
          <w:rFonts w:eastAsiaTheme="minorEastAsia"/>
          <w:sz w:val="24"/>
        </w:rPr>
      </w:pPr>
      <w:r>
        <w:rPr>
          <w:rFonts w:hint="eastAsia" w:ascii="宋体" w:hAnsi="宋体" w:cs="宋体"/>
          <w:sz w:val="24"/>
        </w:rPr>
        <w:t>Ⅲ</w:t>
      </w:r>
      <w:r>
        <w:rPr>
          <w:rFonts w:eastAsiaTheme="minorEastAsia"/>
          <w:sz w:val="24"/>
        </w:rPr>
        <w:t xml:space="preserve"> 对井田内沟谷底部出现的裂缝，依据破坏程度和裂缝是否影响矿井生产区别对待。破坏程度轻微，不影响矿井生产，对其它各个方面也没有多大损害，则按一般处理方法处理。</w:t>
      </w:r>
    </w:p>
    <w:p>
      <w:pPr>
        <w:spacing w:line="440" w:lineRule="exact"/>
        <w:ind w:firstLine="480" w:firstLineChars="200"/>
        <w:rPr>
          <w:rFonts w:eastAsiaTheme="minorEastAsia"/>
          <w:sz w:val="24"/>
        </w:rPr>
      </w:pPr>
      <w:r>
        <w:rPr>
          <w:rFonts w:hint="eastAsia" w:ascii="宋体" w:hAnsi="宋体" w:cs="宋体"/>
          <w:sz w:val="24"/>
        </w:rPr>
        <w:t>②</w:t>
      </w:r>
      <w:r>
        <w:rPr>
          <w:rFonts w:eastAsiaTheme="minorEastAsia"/>
          <w:sz w:val="24"/>
        </w:rPr>
        <w:t>塌陷旱(坡)地的复垦</w:t>
      </w:r>
    </w:p>
    <w:p>
      <w:pPr>
        <w:spacing w:line="440" w:lineRule="exact"/>
        <w:ind w:firstLine="480" w:firstLineChars="200"/>
        <w:rPr>
          <w:rFonts w:eastAsiaTheme="minorEastAsia"/>
          <w:sz w:val="24"/>
        </w:rPr>
      </w:pPr>
      <w:r>
        <w:rPr>
          <w:rFonts w:eastAsiaTheme="minorEastAsia"/>
          <w:sz w:val="24"/>
        </w:rPr>
        <w:t>旱地塌陷地区，通过简单的人工填堵裂缝、平整，即可恢复土地的耕种能力。因此，开采后应对塌陷的旱（坡）地以人工填堵裂缝为主，具体方法如上；复垦时要严格控制施工区域，规范操作，减小水土流失现象发生。对破坏较严重的局部地区，可按照当地的林业政策进行退耕还林措施，具体步骤如下：</w:t>
      </w:r>
    </w:p>
    <w:p>
      <w:pPr>
        <w:spacing w:line="440" w:lineRule="exact"/>
        <w:ind w:firstLine="480" w:firstLineChars="200"/>
        <w:rPr>
          <w:rFonts w:eastAsiaTheme="minorEastAsia"/>
          <w:sz w:val="24"/>
        </w:rPr>
      </w:pPr>
      <w:r>
        <w:rPr>
          <w:rFonts w:hint="eastAsia" w:ascii="宋体" w:hAnsi="宋体" w:cs="宋体"/>
          <w:sz w:val="24"/>
        </w:rPr>
        <w:t>Ⅰ</w:t>
      </w:r>
      <w:r>
        <w:rPr>
          <w:rFonts w:eastAsiaTheme="minorEastAsia"/>
          <w:sz w:val="24"/>
        </w:rPr>
        <w:t xml:space="preserve"> 平整塌陷的耕地。</w:t>
      </w:r>
    </w:p>
    <w:p>
      <w:pPr>
        <w:spacing w:line="440" w:lineRule="exact"/>
        <w:ind w:firstLine="480" w:firstLineChars="200"/>
        <w:rPr>
          <w:rFonts w:eastAsiaTheme="minorEastAsia"/>
          <w:sz w:val="24"/>
        </w:rPr>
      </w:pPr>
      <w:r>
        <w:rPr>
          <w:rFonts w:hint="eastAsia" w:ascii="宋体" w:hAnsi="宋体" w:cs="宋体"/>
          <w:sz w:val="24"/>
        </w:rPr>
        <w:t>Ⅱ</w:t>
      </w:r>
      <w:r>
        <w:rPr>
          <w:rFonts w:eastAsiaTheme="minorEastAsia"/>
          <w:sz w:val="24"/>
        </w:rPr>
        <w:t xml:space="preserve"> 沿山系按等高线，以鱼鳞坑、水平阶整地为主，选择侧柏、油松为主栽物种，做到适地适树。</w:t>
      </w:r>
    </w:p>
    <w:p>
      <w:pPr>
        <w:spacing w:line="440" w:lineRule="exact"/>
        <w:ind w:firstLine="480" w:firstLineChars="200"/>
        <w:rPr>
          <w:rFonts w:eastAsiaTheme="minorEastAsia"/>
          <w:sz w:val="24"/>
        </w:rPr>
      </w:pPr>
      <w:r>
        <w:rPr>
          <w:rFonts w:hint="eastAsia" w:ascii="宋体" w:hAnsi="宋体" w:cs="宋体"/>
          <w:sz w:val="24"/>
        </w:rPr>
        <w:t>Ⅲ</w:t>
      </w:r>
      <w:r>
        <w:rPr>
          <w:rFonts w:eastAsiaTheme="minorEastAsia"/>
          <w:sz w:val="24"/>
        </w:rPr>
        <w:t xml:space="preserve"> 根据治理范围的特点，修筑土谷坊，打沟土埂，建设生物埂，做到了田、林、路、沟综合治理，乔、灌、草治理模式科学规范。</w:t>
      </w:r>
    </w:p>
    <w:p>
      <w:pPr>
        <w:spacing w:line="440" w:lineRule="exact"/>
        <w:ind w:firstLine="480" w:firstLineChars="200"/>
        <w:rPr>
          <w:rFonts w:eastAsiaTheme="minorEastAsia"/>
          <w:sz w:val="24"/>
        </w:rPr>
      </w:pPr>
      <w:r>
        <w:rPr>
          <w:rFonts w:eastAsiaTheme="minorEastAsia"/>
          <w:sz w:val="24"/>
        </w:rPr>
        <w:t>对于采煤过程中造成的耕地损失应采取措施进行复垦，破坏严重无法复垦的耕地应进行必要补偿，根据耕地破坏的程度不同对受损农民进行经济补偿，补偿金额按照</w:t>
      </w:r>
      <w:r>
        <w:rPr>
          <w:rFonts w:hint="eastAsia" w:eastAsiaTheme="minorEastAsia"/>
          <w:sz w:val="24"/>
        </w:rPr>
        <w:t>吕梁市自然</w:t>
      </w:r>
      <w:r>
        <w:rPr>
          <w:rFonts w:eastAsiaTheme="minorEastAsia"/>
          <w:sz w:val="24"/>
        </w:rPr>
        <w:t>资源局制定的补偿标准进行，保证受损农民的生活质量不会降低。经济补偿的时间从受到破坏的当年起到土地复垦后恢复有生产能力为止。</w:t>
      </w:r>
    </w:p>
    <w:p>
      <w:pPr>
        <w:spacing w:line="440" w:lineRule="exact"/>
        <w:ind w:firstLine="480" w:firstLineChars="200"/>
        <w:rPr>
          <w:rFonts w:eastAsiaTheme="minorEastAsia"/>
          <w:sz w:val="24"/>
        </w:rPr>
      </w:pPr>
      <w:r>
        <w:rPr>
          <w:rFonts w:eastAsiaTheme="minorEastAsia"/>
          <w:sz w:val="24"/>
        </w:rPr>
        <w:t>（3）林地生态恢复设计</w:t>
      </w:r>
    </w:p>
    <w:p>
      <w:pPr>
        <w:spacing w:line="440" w:lineRule="exact"/>
        <w:ind w:firstLine="480" w:firstLineChars="200"/>
        <w:rPr>
          <w:rFonts w:eastAsiaTheme="minorEastAsia"/>
          <w:sz w:val="24"/>
        </w:rPr>
      </w:pPr>
      <w:r>
        <w:rPr>
          <w:rFonts w:eastAsiaTheme="minorEastAsia"/>
          <w:sz w:val="24"/>
        </w:rPr>
        <w:t>原利用类型为灌木林地和其他林地的复垦为乔灌草结合的林地，对因塌陷裂缝等造成的缺苗和死苗的地方进行补植，具体的补栽树种见表6.6-1。</w:t>
      </w:r>
    </w:p>
    <w:p>
      <w:pPr>
        <w:spacing w:line="440" w:lineRule="exact"/>
        <w:ind w:firstLine="480" w:firstLineChars="200"/>
        <w:rPr>
          <w:rFonts w:eastAsiaTheme="minorEastAsia"/>
          <w:sz w:val="24"/>
        </w:rPr>
      </w:pPr>
      <w:r>
        <w:rPr>
          <w:rFonts w:eastAsiaTheme="minorEastAsia"/>
          <w:sz w:val="24"/>
        </w:rPr>
        <w:t>由于受开采影响，沉陷区的树木必然有不同程度的部分歪斜或损坏，设计对受损的林地进行补种，以保证复垦后的林地质量不低于破坏前。重度破坏区按种植密度的40%、中度级破坏区按原种植密度的按20%、轻度破坏区按10%补种。</w:t>
      </w:r>
    </w:p>
    <w:p>
      <w:pPr>
        <w:spacing w:line="360" w:lineRule="auto"/>
        <w:jc w:val="center"/>
        <w:rPr>
          <w:rFonts w:eastAsiaTheme="minorEastAsia"/>
          <w:b/>
          <w:szCs w:val="21"/>
        </w:rPr>
      </w:pPr>
      <w:r>
        <w:rPr>
          <w:rFonts w:eastAsiaTheme="minorEastAsia"/>
          <w:b/>
          <w:szCs w:val="21"/>
        </w:rPr>
        <w:t>表6.</w:t>
      </w:r>
      <w:r>
        <w:rPr>
          <w:rFonts w:hint="eastAsia" w:eastAsiaTheme="minorEastAsia"/>
          <w:b/>
          <w:szCs w:val="21"/>
        </w:rPr>
        <w:t>2</w:t>
      </w:r>
      <w:r>
        <w:rPr>
          <w:rFonts w:eastAsiaTheme="minorEastAsia"/>
          <w:b/>
          <w:szCs w:val="21"/>
        </w:rPr>
        <w:t>-</w:t>
      </w:r>
      <w:r>
        <w:rPr>
          <w:rFonts w:hint="eastAsia" w:eastAsiaTheme="minorEastAsia"/>
          <w:b/>
          <w:szCs w:val="21"/>
        </w:rPr>
        <w:t>4</w:t>
      </w:r>
      <w:r>
        <w:rPr>
          <w:rFonts w:eastAsiaTheme="minorEastAsia"/>
          <w:b/>
          <w:szCs w:val="21"/>
        </w:rPr>
        <w:t xml:space="preserve">   林地补栽树种一览表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49"/>
        <w:gridCol w:w="1215"/>
        <w:gridCol w:w="1216"/>
        <w:gridCol w:w="1216"/>
        <w:gridCol w:w="1623"/>
        <w:gridCol w:w="1077"/>
        <w:gridCol w:w="18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5" w:type="pct"/>
            <w:vAlign w:val="center"/>
          </w:tcPr>
          <w:p>
            <w:pPr>
              <w:widowControl/>
              <w:jc w:val="center"/>
              <w:rPr>
                <w:rFonts w:eastAsiaTheme="minorEastAsia"/>
                <w:kern w:val="0"/>
                <w:szCs w:val="21"/>
              </w:rPr>
            </w:pPr>
            <w:r>
              <w:rPr>
                <w:rFonts w:eastAsiaTheme="minorEastAsia"/>
                <w:kern w:val="0"/>
                <w:szCs w:val="21"/>
              </w:rPr>
              <w:t>类型</w:t>
            </w:r>
          </w:p>
        </w:tc>
        <w:tc>
          <w:tcPr>
            <w:tcW w:w="654" w:type="pct"/>
            <w:vAlign w:val="center"/>
          </w:tcPr>
          <w:p>
            <w:pPr>
              <w:widowControl/>
              <w:jc w:val="center"/>
              <w:rPr>
                <w:rFonts w:eastAsiaTheme="minorEastAsia"/>
                <w:kern w:val="0"/>
                <w:szCs w:val="21"/>
              </w:rPr>
            </w:pPr>
            <w:r>
              <w:rPr>
                <w:rFonts w:eastAsiaTheme="minorEastAsia"/>
                <w:kern w:val="0"/>
                <w:szCs w:val="21"/>
              </w:rPr>
              <w:t>植被配置</w:t>
            </w:r>
          </w:p>
        </w:tc>
        <w:tc>
          <w:tcPr>
            <w:tcW w:w="655" w:type="pct"/>
            <w:vAlign w:val="center"/>
          </w:tcPr>
          <w:p>
            <w:pPr>
              <w:widowControl/>
              <w:jc w:val="center"/>
              <w:rPr>
                <w:rFonts w:eastAsiaTheme="minorEastAsia"/>
                <w:kern w:val="0"/>
                <w:szCs w:val="21"/>
              </w:rPr>
            </w:pPr>
            <w:r>
              <w:rPr>
                <w:rFonts w:eastAsiaTheme="minorEastAsia"/>
                <w:kern w:val="0"/>
                <w:szCs w:val="21"/>
              </w:rPr>
              <w:t>种植方式</w:t>
            </w:r>
          </w:p>
        </w:tc>
        <w:tc>
          <w:tcPr>
            <w:tcW w:w="655" w:type="pct"/>
            <w:vAlign w:val="center"/>
          </w:tcPr>
          <w:p>
            <w:pPr>
              <w:widowControl/>
              <w:jc w:val="center"/>
              <w:rPr>
                <w:rFonts w:eastAsiaTheme="minorEastAsia"/>
                <w:kern w:val="0"/>
                <w:szCs w:val="21"/>
              </w:rPr>
            </w:pPr>
            <w:r>
              <w:rPr>
                <w:rFonts w:eastAsiaTheme="minorEastAsia"/>
                <w:kern w:val="0"/>
                <w:szCs w:val="21"/>
              </w:rPr>
              <w:t>种植密度</w:t>
            </w:r>
          </w:p>
        </w:tc>
        <w:tc>
          <w:tcPr>
            <w:tcW w:w="874" w:type="pct"/>
            <w:vAlign w:val="center"/>
          </w:tcPr>
          <w:p>
            <w:pPr>
              <w:widowControl/>
              <w:jc w:val="center"/>
              <w:rPr>
                <w:rFonts w:eastAsiaTheme="minorEastAsia"/>
                <w:kern w:val="0"/>
                <w:szCs w:val="21"/>
              </w:rPr>
            </w:pPr>
            <w:r>
              <w:rPr>
                <w:rFonts w:eastAsiaTheme="minorEastAsia"/>
                <w:kern w:val="0"/>
                <w:szCs w:val="21"/>
              </w:rPr>
              <w:t>苗高（cm）</w:t>
            </w:r>
          </w:p>
        </w:tc>
        <w:tc>
          <w:tcPr>
            <w:tcW w:w="580" w:type="pct"/>
            <w:vAlign w:val="center"/>
          </w:tcPr>
          <w:p>
            <w:pPr>
              <w:widowControl/>
              <w:jc w:val="center"/>
              <w:rPr>
                <w:rFonts w:eastAsiaTheme="minorEastAsia"/>
                <w:kern w:val="0"/>
                <w:szCs w:val="21"/>
              </w:rPr>
            </w:pPr>
            <w:r>
              <w:rPr>
                <w:rFonts w:eastAsiaTheme="minorEastAsia"/>
                <w:kern w:val="0"/>
                <w:szCs w:val="21"/>
              </w:rPr>
              <w:t>地径（cm）</w:t>
            </w:r>
          </w:p>
        </w:tc>
        <w:tc>
          <w:tcPr>
            <w:tcW w:w="1018" w:type="pct"/>
            <w:vAlign w:val="center"/>
          </w:tcPr>
          <w:p>
            <w:pPr>
              <w:ind w:firstLine="210" w:firstLineChars="100"/>
              <w:jc w:val="center"/>
              <w:rPr>
                <w:rFonts w:eastAsiaTheme="minorEastAsia"/>
                <w:szCs w:val="21"/>
              </w:rPr>
            </w:pPr>
            <w:r>
              <w:rPr>
                <w:rFonts w:eastAsiaTheme="minorEastAsia"/>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5" w:type="pct"/>
            <w:vAlign w:val="center"/>
          </w:tcPr>
          <w:p>
            <w:pPr>
              <w:jc w:val="center"/>
              <w:rPr>
                <w:rFonts w:eastAsiaTheme="minorEastAsia"/>
                <w:szCs w:val="21"/>
              </w:rPr>
            </w:pPr>
            <w:r>
              <w:rPr>
                <w:rFonts w:eastAsiaTheme="minorEastAsia"/>
                <w:szCs w:val="21"/>
              </w:rPr>
              <w:t>其他林地</w:t>
            </w:r>
          </w:p>
        </w:tc>
        <w:tc>
          <w:tcPr>
            <w:tcW w:w="654" w:type="pct"/>
            <w:vAlign w:val="center"/>
          </w:tcPr>
          <w:p>
            <w:pPr>
              <w:widowControl/>
              <w:jc w:val="center"/>
              <w:rPr>
                <w:rFonts w:eastAsiaTheme="minorEastAsia"/>
                <w:kern w:val="0"/>
                <w:szCs w:val="21"/>
              </w:rPr>
            </w:pPr>
            <w:r>
              <w:rPr>
                <w:rFonts w:eastAsiaTheme="minorEastAsia"/>
                <w:kern w:val="0"/>
                <w:szCs w:val="21"/>
              </w:rPr>
              <w:t>油松</w:t>
            </w:r>
            <w:r>
              <w:rPr>
                <w:rFonts w:hint="eastAsia" w:eastAsiaTheme="minorEastAsia"/>
                <w:kern w:val="0"/>
                <w:szCs w:val="21"/>
              </w:rPr>
              <w:t>和刺槐</w:t>
            </w:r>
          </w:p>
        </w:tc>
        <w:tc>
          <w:tcPr>
            <w:tcW w:w="655" w:type="pct"/>
            <w:vAlign w:val="center"/>
          </w:tcPr>
          <w:p>
            <w:pPr>
              <w:widowControl/>
              <w:jc w:val="center"/>
              <w:rPr>
                <w:rFonts w:eastAsiaTheme="minorEastAsia"/>
                <w:kern w:val="0"/>
                <w:szCs w:val="21"/>
              </w:rPr>
            </w:pPr>
            <w:r>
              <w:rPr>
                <w:rFonts w:eastAsiaTheme="minorEastAsia"/>
                <w:kern w:val="0"/>
                <w:szCs w:val="21"/>
              </w:rPr>
              <w:t>裸根栽植</w:t>
            </w:r>
          </w:p>
        </w:tc>
        <w:tc>
          <w:tcPr>
            <w:tcW w:w="655" w:type="pct"/>
            <w:vAlign w:val="center"/>
          </w:tcPr>
          <w:p>
            <w:pPr>
              <w:widowControl/>
              <w:jc w:val="center"/>
              <w:rPr>
                <w:rFonts w:eastAsiaTheme="minorEastAsia"/>
                <w:kern w:val="0"/>
                <w:szCs w:val="21"/>
              </w:rPr>
            </w:pPr>
            <w:r>
              <w:rPr>
                <w:rFonts w:eastAsiaTheme="minorEastAsia"/>
                <w:kern w:val="0"/>
                <w:szCs w:val="21"/>
              </w:rPr>
              <w:t>2m×2m</w:t>
            </w:r>
          </w:p>
        </w:tc>
        <w:tc>
          <w:tcPr>
            <w:tcW w:w="874" w:type="pct"/>
            <w:vAlign w:val="center"/>
          </w:tcPr>
          <w:p>
            <w:pPr>
              <w:widowControl/>
              <w:jc w:val="center"/>
              <w:rPr>
                <w:rFonts w:eastAsiaTheme="minorEastAsia"/>
                <w:kern w:val="0"/>
                <w:szCs w:val="21"/>
              </w:rPr>
            </w:pPr>
            <w:r>
              <w:rPr>
                <w:rFonts w:eastAsiaTheme="minorEastAsia"/>
                <w:kern w:val="0"/>
                <w:szCs w:val="21"/>
              </w:rPr>
              <w:t>3年生，胸径3cm</w:t>
            </w:r>
          </w:p>
        </w:tc>
        <w:tc>
          <w:tcPr>
            <w:tcW w:w="580" w:type="pct"/>
            <w:vAlign w:val="center"/>
          </w:tcPr>
          <w:p>
            <w:pPr>
              <w:widowControl/>
              <w:jc w:val="center"/>
              <w:rPr>
                <w:rFonts w:eastAsiaTheme="minorEastAsia"/>
                <w:kern w:val="0"/>
                <w:szCs w:val="21"/>
              </w:rPr>
            </w:pPr>
            <w:r>
              <w:rPr>
                <w:rFonts w:eastAsiaTheme="minorEastAsia"/>
                <w:kern w:val="0"/>
                <w:szCs w:val="21"/>
              </w:rPr>
              <w:t>0.7-0.8</w:t>
            </w:r>
          </w:p>
        </w:tc>
        <w:tc>
          <w:tcPr>
            <w:tcW w:w="1018" w:type="pct"/>
            <w:vAlign w:val="center"/>
          </w:tcPr>
          <w:p>
            <w:pPr>
              <w:jc w:val="center"/>
              <w:rPr>
                <w:rFonts w:eastAsiaTheme="minorEastAsia"/>
                <w:szCs w:val="21"/>
              </w:rPr>
            </w:pPr>
            <w:r>
              <w:rPr>
                <w:rFonts w:eastAsiaTheme="minorEastAsia"/>
                <w:szCs w:val="21"/>
              </w:rPr>
              <w:t>树下撒播紫花苜蓿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5" w:type="pct"/>
            <w:vAlign w:val="center"/>
          </w:tcPr>
          <w:p>
            <w:pPr>
              <w:jc w:val="center"/>
              <w:rPr>
                <w:rFonts w:eastAsiaTheme="minorEastAsia"/>
                <w:szCs w:val="21"/>
              </w:rPr>
            </w:pPr>
            <w:r>
              <w:rPr>
                <w:rFonts w:eastAsiaTheme="minorEastAsia"/>
                <w:szCs w:val="21"/>
              </w:rPr>
              <w:t>灌木林地</w:t>
            </w:r>
          </w:p>
        </w:tc>
        <w:tc>
          <w:tcPr>
            <w:tcW w:w="654" w:type="pct"/>
            <w:vAlign w:val="center"/>
          </w:tcPr>
          <w:p>
            <w:pPr>
              <w:widowControl/>
              <w:jc w:val="center"/>
              <w:rPr>
                <w:rFonts w:eastAsiaTheme="minorEastAsia"/>
                <w:kern w:val="0"/>
                <w:szCs w:val="21"/>
              </w:rPr>
            </w:pPr>
            <w:r>
              <w:rPr>
                <w:rFonts w:eastAsiaTheme="minorEastAsia"/>
                <w:kern w:val="0"/>
                <w:szCs w:val="21"/>
              </w:rPr>
              <w:t>荆条和沙棘</w:t>
            </w:r>
          </w:p>
        </w:tc>
        <w:tc>
          <w:tcPr>
            <w:tcW w:w="655" w:type="pct"/>
            <w:vAlign w:val="center"/>
          </w:tcPr>
          <w:p>
            <w:pPr>
              <w:widowControl/>
              <w:jc w:val="center"/>
              <w:rPr>
                <w:rFonts w:eastAsiaTheme="minorEastAsia"/>
                <w:kern w:val="0"/>
                <w:szCs w:val="21"/>
              </w:rPr>
            </w:pPr>
            <w:r>
              <w:rPr>
                <w:rFonts w:eastAsiaTheme="minorEastAsia"/>
                <w:kern w:val="0"/>
                <w:szCs w:val="21"/>
              </w:rPr>
              <w:t>裸根栽植</w:t>
            </w:r>
          </w:p>
        </w:tc>
        <w:tc>
          <w:tcPr>
            <w:tcW w:w="655" w:type="pct"/>
            <w:vAlign w:val="center"/>
          </w:tcPr>
          <w:p>
            <w:pPr>
              <w:widowControl/>
              <w:jc w:val="center"/>
              <w:rPr>
                <w:rFonts w:eastAsiaTheme="minorEastAsia"/>
                <w:kern w:val="0"/>
                <w:szCs w:val="21"/>
              </w:rPr>
            </w:pPr>
            <w:r>
              <w:rPr>
                <w:rFonts w:eastAsiaTheme="minorEastAsia"/>
                <w:kern w:val="0"/>
                <w:szCs w:val="21"/>
              </w:rPr>
              <w:t>1.5m×1.5m</w:t>
            </w:r>
          </w:p>
        </w:tc>
        <w:tc>
          <w:tcPr>
            <w:tcW w:w="874" w:type="pct"/>
            <w:vAlign w:val="center"/>
          </w:tcPr>
          <w:p>
            <w:pPr>
              <w:widowControl/>
              <w:jc w:val="center"/>
              <w:rPr>
                <w:rFonts w:eastAsiaTheme="minorEastAsia"/>
                <w:kern w:val="0"/>
                <w:szCs w:val="21"/>
              </w:rPr>
            </w:pPr>
            <w:r>
              <w:rPr>
                <w:rFonts w:eastAsiaTheme="minorEastAsia"/>
                <w:kern w:val="0"/>
                <w:szCs w:val="21"/>
              </w:rPr>
              <w:t>2年生</w:t>
            </w:r>
          </w:p>
        </w:tc>
        <w:tc>
          <w:tcPr>
            <w:tcW w:w="580" w:type="pct"/>
            <w:vAlign w:val="center"/>
          </w:tcPr>
          <w:p>
            <w:pPr>
              <w:widowControl/>
              <w:jc w:val="center"/>
              <w:rPr>
                <w:rFonts w:eastAsiaTheme="minorEastAsia"/>
                <w:kern w:val="0"/>
                <w:szCs w:val="21"/>
              </w:rPr>
            </w:pPr>
            <w:r>
              <w:rPr>
                <w:rFonts w:eastAsiaTheme="minorEastAsia"/>
                <w:kern w:val="0"/>
                <w:szCs w:val="21"/>
              </w:rPr>
              <w:t>0.4-0.5</w:t>
            </w:r>
          </w:p>
        </w:tc>
        <w:tc>
          <w:tcPr>
            <w:tcW w:w="1018" w:type="pct"/>
            <w:vAlign w:val="center"/>
          </w:tcPr>
          <w:p>
            <w:pPr>
              <w:jc w:val="center"/>
              <w:rPr>
                <w:rFonts w:eastAsiaTheme="minorEastAsia"/>
                <w:szCs w:val="21"/>
              </w:rPr>
            </w:pPr>
            <w:r>
              <w:rPr>
                <w:rFonts w:eastAsiaTheme="minorEastAsia"/>
                <w:szCs w:val="21"/>
              </w:rPr>
              <w:t>树下撒播紫花苜蓿</w:t>
            </w:r>
          </w:p>
        </w:tc>
      </w:tr>
    </w:tbl>
    <w:p>
      <w:pPr>
        <w:spacing w:line="360" w:lineRule="auto"/>
        <w:ind w:firstLine="480" w:firstLineChars="200"/>
        <w:rPr>
          <w:rFonts w:eastAsiaTheme="minorEastAsia"/>
          <w:sz w:val="24"/>
        </w:rPr>
      </w:pPr>
      <w:r>
        <w:rPr>
          <w:rFonts w:eastAsiaTheme="minorEastAsia"/>
          <w:sz w:val="24"/>
        </w:rPr>
        <w:t>综上所述，</w:t>
      </w:r>
      <w:r>
        <w:rPr>
          <w:rFonts w:hint="eastAsia" w:eastAsiaTheme="minorEastAsia"/>
          <w:sz w:val="24"/>
        </w:rPr>
        <w:t>新工</w:t>
      </w:r>
      <w:r>
        <w:rPr>
          <w:rFonts w:eastAsiaTheme="minorEastAsia"/>
          <w:sz w:val="24"/>
        </w:rPr>
        <w:t>矿按环评要求对采取相关生态恢复措施后可减少对区域生态环境的影响。</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95" w:name="_Toc71551951"/>
      <w:r>
        <w:rPr>
          <w:rFonts w:ascii="Times New Roman" w:hAnsi="Times New Roman" w:eastAsiaTheme="minorEastAsia"/>
          <w:kern w:val="44"/>
          <w:sz w:val="30"/>
          <w:szCs w:val="30"/>
        </w:rPr>
        <w:t>6.</w:t>
      </w:r>
      <w:r>
        <w:rPr>
          <w:rFonts w:hint="eastAsia" w:ascii="Times New Roman" w:hAnsi="Times New Roman" w:eastAsiaTheme="minorEastAsia"/>
          <w:kern w:val="44"/>
          <w:sz w:val="30"/>
          <w:szCs w:val="30"/>
        </w:rPr>
        <w:t>3</w:t>
      </w:r>
      <w:r>
        <w:rPr>
          <w:rFonts w:ascii="Times New Roman" w:hAnsi="Times New Roman" w:eastAsiaTheme="minorEastAsia"/>
          <w:kern w:val="44"/>
          <w:sz w:val="30"/>
          <w:szCs w:val="30"/>
        </w:rPr>
        <w:t>环境保护措施一览表</w:t>
      </w:r>
      <w:bookmarkEnd w:id="295"/>
    </w:p>
    <w:p>
      <w:pPr>
        <w:pStyle w:val="68"/>
        <w:rPr>
          <w:rFonts w:hAnsi="Times New Roman" w:cs="Times New Roman" w:eastAsiaTheme="minorEastAsia"/>
          <w:kern w:val="0"/>
        </w:rPr>
      </w:pPr>
      <w:r>
        <w:rPr>
          <w:rFonts w:hAnsi="Times New Roman" w:cs="Times New Roman" w:eastAsiaTheme="minorEastAsia"/>
          <w:kern w:val="0"/>
        </w:rPr>
        <w:t>本工程环保投资</w:t>
      </w:r>
      <w:r>
        <w:rPr>
          <w:rFonts w:hint="eastAsia" w:hAnsi="Times New Roman" w:cs="Times New Roman" w:eastAsiaTheme="minorEastAsia"/>
          <w:kern w:val="0"/>
        </w:rPr>
        <w:t>637</w:t>
      </w:r>
      <w:r>
        <w:rPr>
          <w:rFonts w:hAnsi="Times New Roman" w:cs="Times New Roman" w:eastAsiaTheme="minorEastAsia"/>
          <w:kern w:val="0"/>
        </w:rPr>
        <w:t>万，项目总投资为106959.62万元，环保投资占建设项目总投资的0</w:t>
      </w:r>
      <w:r>
        <w:rPr>
          <w:rFonts w:hint="eastAsia" w:hAnsi="Times New Roman" w:cs="Times New Roman" w:eastAsiaTheme="minorEastAsia"/>
          <w:kern w:val="0"/>
        </w:rPr>
        <w:t>.60</w:t>
      </w:r>
      <w:r>
        <w:rPr>
          <w:rFonts w:hAnsi="Times New Roman" w:cs="Times New Roman" w:eastAsiaTheme="minorEastAsia"/>
          <w:kern w:val="0"/>
        </w:rPr>
        <w:t>%。各项环境保护措施及环保投资一览表，见表6.</w:t>
      </w:r>
      <w:r>
        <w:rPr>
          <w:rFonts w:hint="eastAsia" w:hAnsi="Times New Roman" w:cs="Times New Roman" w:eastAsiaTheme="minorEastAsia"/>
          <w:kern w:val="0"/>
        </w:rPr>
        <w:t>3</w:t>
      </w:r>
      <w:r>
        <w:rPr>
          <w:rFonts w:hAnsi="Times New Roman" w:cs="Times New Roman" w:eastAsiaTheme="minorEastAsia"/>
          <w:kern w:val="0"/>
        </w:rPr>
        <w:t>-1。</w:t>
      </w:r>
    </w:p>
    <w:p>
      <w:pPr>
        <w:spacing w:line="360" w:lineRule="auto"/>
        <w:ind w:firstLine="480" w:firstLineChars="200"/>
        <w:rPr>
          <w:rFonts w:eastAsiaTheme="minorEastAsia"/>
          <w:sz w:val="24"/>
        </w:rPr>
        <w:sectPr>
          <w:headerReference r:id="rId34" w:type="default"/>
          <w:footerReference r:id="rId35" w:type="default"/>
          <w:pgSz w:w="11906" w:h="16838"/>
          <w:pgMar w:top="1701" w:right="1418" w:bottom="1701" w:left="1418" w:header="1134" w:footer="1134" w:gutter="0"/>
          <w:cols w:space="425" w:num="1"/>
          <w:docGrid w:type="lines" w:linePitch="312" w:charSpace="0"/>
        </w:sectPr>
      </w:pPr>
    </w:p>
    <w:p>
      <w:pPr>
        <w:spacing w:line="360" w:lineRule="auto"/>
        <w:jc w:val="center"/>
        <w:rPr>
          <w:rFonts w:eastAsiaTheme="minorEastAsia"/>
          <w:b/>
        </w:rPr>
      </w:pPr>
      <w:r>
        <w:rPr>
          <w:rFonts w:eastAsiaTheme="minorEastAsia"/>
          <w:b/>
        </w:rPr>
        <w:t>表6.</w:t>
      </w:r>
      <w:r>
        <w:rPr>
          <w:rFonts w:hint="eastAsia" w:eastAsiaTheme="minorEastAsia"/>
          <w:b/>
        </w:rPr>
        <w:t>3</w:t>
      </w:r>
      <w:r>
        <w:rPr>
          <w:rFonts w:eastAsiaTheme="minorEastAsia"/>
          <w:b/>
        </w:rPr>
        <w:t>-1环境保护措施及环保设施一览表</w:t>
      </w:r>
    </w:p>
    <w:tbl>
      <w:tblPr>
        <w:tblStyle w:val="24"/>
        <w:tblW w:w="512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4"/>
        <w:gridCol w:w="972"/>
        <w:gridCol w:w="2265"/>
        <w:gridCol w:w="9217"/>
        <w:gridCol w:w="9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tcBorders>
              <w:top w:val="single" w:color="auto" w:sz="12" w:space="0"/>
              <w:left w:val="single" w:color="auto" w:sz="12" w:space="0"/>
              <w:bottom w:val="single" w:color="auto" w:sz="6" w:space="0"/>
              <w:right w:val="single" w:color="auto" w:sz="6" w:space="0"/>
            </w:tcBorders>
            <w:noWrap/>
            <w:vAlign w:val="center"/>
          </w:tcPr>
          <w:p>
            <w:pPr>
              <w:jc w:val="center"/>
              <w:rPr>
                <w:spacing w:val="4"/>
                <w:szCs w:val="21"/>
              </w:rPr>
            </w:pPr>
            <w:r>
              <w:rPr>
                <w:rFonts w:hint="eastAsia"/>
                <w:spacing w:val="4"/>
                <w:szCs w:val="21"/>
              </w:rPr>
              <w:t>类别</w:t>
            </w:r>
          </w:p>
        </w:tc>
        <w:tc>
          <w:tcPr>
            <w:tcW w:w="347" w:type="pct"/>
            <w:tcBorders>
              <w:top w:val="single" w:color="auto" w:sz="12" w:space="0"/>
              <w:left w:val="single" w:color="auto" w:sz="6" w:space="0"/>
              <w:bottom w:val="single" w:color="auto" w:sz="6" w:space="0"/>
              <w:right w:val="single" w:color="auto" w:sz="6" w:space="0"/>
            </w:tcBorders>
            <w:noWrap/>
            <w:vAlign w:val="center"/>
          </w:tcPr>
          <w:p>
            <w:pPr>
              <w:jc w:val="center"/>
              <w:rPr>
                <w:spacing w:val="4"/>
                <w:szCs w:val="21"/>
              </w:rPr>
            </w:pPr>
            <w:r>
              <w:rPr>
                <w:rFonts w:hint="eastAsia"/>
                <w:spacing w:val="4"/>
                <w:szCs w:val="21"/>
              </w:rPr>
              <w:t>污染源</w:t>
            </w:r>
          </w:p>
        </w:tc>
        <w:tc>
          <w:tcPr>
            <w:tcW w:w="809" w:type="pct"/>
            <w:tcBorders>
              <w:top w:val="single" w:color="auto" w:sz="12" w:space="0"/>
              <w:left w:val="single" w:color="auto" w:sz="6" w:space="0"/>
              <w:bottom w:val="single" w:color="auto" w:sz="6" w:space="0"/>
              <w:right w:val="single" w:color="auto" w:sz="6" w:space="0"/>
            </w:tcBorders>
            <w:noWrap/>
            <w:vAlign w:val="center"/>
          </w:tcPr>
          <w:p>
            <w:pPr>
              <w:jc w:val="center"/>
              <w:rPr>
                <w:spacing w:val="4"/>
                <w:szCs w:val="21"/>
              </w:rPr>
            </w:pPr>
            <w:r>
              <w:rPr>
                <w:rFonts w:hint="eastAsia"/>
                <w:spacing w:val="4"/>
                <w:szCs w:val="21"/>
              </w:rPr>
              <w:t>污染物</w:t>
            </w:r>
          </w:p>
        </w:tc>
        <w:tc>
          <w:tcPr>
            <w:tcW w:w="3292" w:type="pct"/>
            <w:tcBorders>
              <w:top w:val="single" w:color="auto" w:sz="12" w:space="0"/>
              <w:left w:val="single" w:color="auto" w:sz="6" w:space="0"/>
              <w:bottom w:val="single" w:color="auto" w:sz="6" w:space="0"/>
              <w:right w:val="single" w:color="auto" w:sz="6" w:space="0"/>
            </w:tcBorders>
            <w:noWrap/>
            <w:vAlign w:val="center"/>
          </w:tcPr>
          <w:p>
            <w:pPr>
              <w:jc w:val="center"/>
              <w:rPr>
                <w:spacing w:val="4"/>
                <w:szCs w:val="21"/>
              </w:rPr>
            </w:pPr>
            <w:r>
              <w:rPr>
                <w:rFonts w:hint="eastAsia"/>
                <w:spacing w:val="4"/>
                <w:szCs w:val="21"/>
              </w:rPr>
              <w:t>环保措施</w:t>
            </w:r>
          </w:p>
        </w:tc>
        <w:tc>
          <w:tcPr>
            <w:tcW w:w="354" w:type="pct"/>
            <w:tcBorders>
              <w:top w:val="single" w:color="auto" w:sz="12" w:space="0"/>
              <w:left w:val="single" w:color="auto" w:sz="6" w:space="0"/>
              <w:bottom w:val="single" w:color="auto" w:sz="6" w:space="0"/>
              <w:right w:val="single" w:color="auto" w:sz="12" w:space="0"/>
            </w:tcBorders>
            <w:noWrap/>
            <w:vAlign w:val="center"/>
          </w:tcPr>
          <w:p>
            <w:pPr>
              <w:jc w:val="center"/>
              <w:rPr>
                <w:spacing w:val="4"/>
                <w:szCs w:val="21"/>
              </w:rPr>
            </w:pPr>
            <w:r>
              <w:rPr>
                <w:rFonts w:hint="eastAsia"/>
                <w:spacing w:val="4"/>
                <w:szCs w:val="21"/>
              </w:rPr>
              <w:t>总投资</w:t>
            </w:r>
          </w:p>
          <w:p>
            <w:pPr>
              <w:jc w:val="center"/>
              <w:rPr>
                <w:spacing w:val="4"/>
                <w:szCs w:val="21"/>
              </w:rPr>
            </w:pPr>
            <w:r>
              <w:rPr>
                <w:rFonts w:hint="eastAsia"/>
                <w:spacing w:val="4"/>
                <w:szCs w:val="21"/>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restart"/>
            <w:tcBorders>
              <w:top w:val="single" w:color="auto" w:sz="6" w:space="0"/>
              <w:left w:val="single" w:color="auto" w:sz="12" w:space="0"/>
              <w:bottom w:val="single" w:color="auto" w:sz="4" w:space="0"/>
              <w:right w:val="single" w:color="auto" w:sz="6" w:space="0"/>
            </w:tcBorders>
            <w:noWrap/>
            <w:vAlign w:val="center"/>
          </w:tcPr>
          <w:p>
            <w:pPr>
              <w:jc w:val="center"/>
              <w:rPr>
                <w:spacing w:val="4"/>
                <w:szCs w:val="21"/>
              </w:rPr>
            </w:pPr>
            <w:r>
              <w:rPr>
                <w:rFonts w:hint="eastAsia"/>
                <w:spacing w:val="4"/>
                <w:szCs w:val="21"/>
              </w:rPr>
              <w:t>大气污染物</w:t>
            </w:r>
          </w:p>
        </w:tc>
        <w:tc>
          <w:tcPr>
            <w:tcW w:w="347" w:type="pct"/>
            <w:tcBorders>
              <w:top w:val="single" w:color="auto" w:sz="6" w:space="0"/>
              <w:left w:val="single" w:color="auto" w:sz="6" w:space="0"/>
              <w:bottom w:val="single" w:color="auto" w:sz="4" w:space="0"/>
              <w:right w:val="single" w:color="auto" w:sz="6" w:space="0"/>
            </w:tcBorders>
            <w:noWrap/>
            <w:vAlign w:val="center"/>
          </w:tcPr>
          <w:p>
            <w:pPr>
              <w:tabs>
                <w:tab w:val="left" w:pos="2745"/>
              </w:tabs>
              <w:ind w:left="-105" w:leftChars="-50" w:right="-105" w:rightChars="-50"/>
              <w:jc w:val="center"/>
              <w:rPr>
                <w:szCs w:val="21"/>
              </w:rPr>
            </w:pPr>
            <w:r>
              <w:rPr>
                <w:rFonts w:hint="eastAsia"/>
                <w:szCs w:val="21"/>
              </w:rPr>
              <w:t>锅炉</w:t>
            </w:r>
          </w:p>
        </w:tc>
        <w:tc>
          <w:tcPr>
            <w:tcW w:w="809" w:type="pct"/>
            <w:tcBorders>
              <w:top w:val="single" w:color="auto" w:sz="6" w:space="0"/>
              <w:left w:val="single" w:color="auto" w:sz="6" w:space="0"/>
              <w:bottom w:val="single" w:color="auto" w:sz="6" w:space="0"/>
              <w:right w:val="single" w:color="auto" w:sz="6" w:space="0"/>
            </w:tcBorders>
            <w:noWrap/>
            <w:vAlign w:val="center"/>
          </w:tcPr>
          <w:p>
            <w:pPr>
              <w:jc w:val="center"/>
              <w:rPr>
                <w:bCs/>
                <w:spacing w:val="-8"/>
                <w:szCs w:val="21"/>
                <w:vertAlign w:val="subscript"/>
              </w:rPr>
            </w:pPr>
            <w:r>
              <w:rPr>
                <w:rFonts w:hint="eastAsia"/>
                <w:bCs/>
                <w:spacing w:val="-8"/>
                <w:szCs w:val="21"/>
              </w:rPr>
              <w:t>烟尘、</w:t>
            </w:r>
            <w:r>
              <w:rPr>
                <w:bCs/>
                <w:spacing w:val="-8"/>
                <w:szCs w:val="21"/>
              </w:rPr>
              <w:t>NOx</w:t>
            </w:r>
            <w:r>
              <w:rPr>
                <w:rFonts w:hint="eastAsia"/>
                <w:bCs/>
                <w:spacing w:val="-8"/>
                <w:szCs w:val="21"/>
              </w:rPr>
              <w:t>、SO</w:t>
            </w:r>
            <w:r>
              <w:rPr>
                <w:rFonts w:hint="eastAsia"/>
                <w:bCs/>
                <w:spacing w:val="-8"/>
                <w:szCs w:val="21"/>
                <w:vertAlign w:val="subscript"/>
              </w:rPr>
              <w:t>2</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7"/>
              <w:adjustRightInd w:val="0"/>
              <w:snapToGrid w:val="0"/>
              <w:ind w:firstLine="0"/>
              <w:jc w:val="center"/>
              <w:rPr>
                <w:sz w:val="21"/>
                <w:szCs w:val="21"/>
              </w:rPr>
            </w:pPr>
            <w:r>
              <w:rPr>
                <w:rFonts w:hint="eastAsia"/>
                <w:sz w:val="21"/>
                <w:szCs w:val="21"/>
              </w:rPr>
              <w:t>低氮燃烧锅炉</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bCs/>
                <w:spacing w:val="-8"/>
                <w:szCs w:val="21"/>
              </w:rPr>
            </w:pPr>
            <w:r>
              <w:rPr>
                <w:bCs/>
                <w:spacing w:val="-8"/>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98" w:type="pct"/>
            <w:vMerge w:val="continue"/>
            <w:tcBorders>
              <w:top w:val="single" w:color="auto" w:sz="6" w:space="0"/>
              <w:left w:val="single" w:color="auto" w:sz="12" w:space="0"/>
              <w:bottom w:val="single" w:color="auto" w:sz="4" w:space="0"/>
              <w:right w:val="single" w:color="auto" w:sz="6" w:space="0"/>
            </w:tcBorders>
            <w:vAlign w:val="center"/>
          </w:tcPr>
          <w:p>
            <w:pPr>
              <w:widowControl/>
              <w:jc w:val="left"/>
              <w:rPr>
                <w:spacing w:val="4"/>
                <w:szCs w:val="21"/>
              </w:rPr>
            </w:pPr>
          </w:p>
        </w:tc>
        <w:tc>
          <w:tcPr>
            <w:tcW w:w="347" w:type="pct"/>
            <w:tcBorders>
              <w:top w:val="single" w:color="auto" w:sz="4" w:space="0"/>
              <w:left w:val="single" w:color="auto" w:sz="6" w:space="0"/>
              <w:bottom w:val="single" w:color="auto" w:sz="4" w:space="0"/>
              <w:right w:val="single" w:color="auto" w:sz="6" w:space="0"/>
            </w:tcBorders>
            <w:noWrap/>
            <w:vAlign w:val="center"/>
          </w:tcPr>
          <w:p>
            <w:pPr>
              <w:jc w:val="center"/>
              <w:rPr>
                <w:szCs w:val="21"/>
              </w:rPr>
            </w:pPr>
            <w:r>
              <w:rPr>
                <w:rFonts w:hint="eastAsia"/>
                <w:szCs w:val="21"/>
              </w:rPr>
              <w:t>道路</w:t>
            </w:r>
          </w:p>
          <w:p>
            <w:pPr>
              <w:jc w:val="center"/>
              <w:rPr>
                <w:szCs w:val="21"/>
              </w:rPr>
            </w:pPr>
            <w:r>
              <w:rPr>
                <w:rFonts w:hint="eastAsia"/>
                <w:szCs w:val="21"/>
              </w:rPr>
              <w:t>运输</w:t>
            </w:r>
          </w:p>
        </w:tc>
        <w:tc>
          <w:tcPr>
            <w:tcW w:w="809" w:type="pct"/>
            <w:tcBorders>
              <w:top w:val="single" w:color="auto" w:sz="6" w:space="0"/>
              <w:left w:val="single" w:color="auto" w:sz="6" w:space="0"/>
              <w:bottom w:val="single" w:color="auto" w:sz="6" w:space="0"/>
              <w:right w:val="single" w:color="auto" w:sz="6" w:space="0"/>
            </w:tcBorders>
            <w:noWrap/>
            <w:vAlign w:val="center"/>
          </w:tcPr>
          <w:p>
            <w:pPr>
              <w:jc w:val="center"/>
              <w:rPr>
                <w:szCs w:val="21"/>
              </w:rPr>
            </w:pPr>
            <w:r>
              <w:rPr>
                <w:rFonts w:hint="eastAsia"/>
                <w:bCs/>
                <w:spacing w:val="-8"/>
                <w:szCs w:val="21"/>
              </w:rPr>
              <w:t>颗粒物</w:t>
            </w:r>
          </w:p>
        </w:tc>
        <w:tc>
          <w:tcPr>
            <w:tcW w:w="3292" w:type="pct"/>
            <w:tcBorders>
              <w:top w:val="single" w:color="auto" w:sz="6" w:space="0"/>
              <w:left w:val="single" w:color="auto" w:sz="6" w:space="0"/>
              <w:bottom w:val="single" w:color="auto" w:sz="6" w:space="0"/>
              <w:right w:val="single" w:color="auto" w:sz="6" w:space="0"/>
            </w:tcBorders>
            <w:noWrap/>
            <w:vAlign w:val="center"/>
          </w:tcPr>
          <w:p>
            <w:pPr>
              <w:spacing w:line="280" w:lineRule="exact"/>
              <w:ind w:left="106" w:right="103"/>
              <w:jc w:val="center"/>
              <w:rPr>
                <w:szCs w:val="21"/>
              </w:rPr>
            </w:pPr>
            <w:r>
              <w:rPr>
                <w:rFonts w:hint="eastAsia"/>
                <w:szCs w:val="21"/>
              </w:rPr>
              <w:t>对运输道路进行硬化，设专用洒水车，在运输道路定期洒水降尘，保持路面清洁和相对湿度，对外运输汽车加盖篷布，限制超载。</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restart"/>
            <w:tcBorders>
              <w:top w:val="single" w:color="auto" w:sz="4" w:space="0"/>
              <w:left w:val="single" w:color="auto" w:sz="12" w:space="0"/>
              <w:bottom w:val="single" w:color="auto" w:sz="6" w:space="0"/>
              <w:right w:val="single" w:color="auto" w:sz="6" w:space="0"/>
            </w:tcBorders>
            <w:noWrap/>
            <w:vAlign w:val="center"/>
          </w:tcPr>
          <w:p>
            <w:pPr>
              <w:jc w:val="center"/>
              <w:rPr>
                <w:spacing w:val="4"/>
                <w:szCs w:val="21"/>
              </w:rPr>
            </w:pPr>
            <w:r>
              <w:rPr>
                <w:rFonts w:hint="eastAsia"/>
                <w:spacing w:val="4"/>
                <w:szCs w:val="21"/>
              </w:rPr>
              <w:t>水污染物</w:t>
            </w:r>
          </w:p>
        </w:tc>
        <w:tc>
          <w:tcPr>
            <w:tcW w:w="347" w:type="pct"/>
            <w:tcBorders>
              <w:top w:val="single" w:color="auto" w:sz="4" w:space="0"/>
              <w:left w:val="single" w:color="auto" w:sz="6" w:space="0"/>
              <w:bottom w:val="single" w:color="auto" w:sz="4" w:space="0"/>
              <w:right w:val="single" w:color="auto" w:sz="6" w:space="0"/>
            </w:tcBorders>
            <w:noWrap/>
            <w:vAlign w:val="center"/>
          </w:tcPr>
          <w:p>
            <w:pPr>
              <w:jc w:val="center"/>
              <w:rPr>
                <w:spacing w:val="4"/>
                <w:szCs w:val="21"/>
              </w:rPr>
            </w:pPr>
            <w:r>
              <w:rPr>
                <w:rFonts w:hint="eastAsia"/>
                <w:spacing w:val="4"/>
                <w:szCs w:val="21"/>
              </w:rPr>
              <w:t>生活</w:t>
            </w:r>
          </w:p>
          <w:p>
            <w:pPr>
              <w:jc w:val="center"/>
              <w:rPr>
                <w:szCs w:val="21"/>
              </w:rPr>
            </w:pPr>
            <w:r>
              <w:rPr>
                <w:rFonts w:hint="eastAsia"/>
                <w:spacing w:val="4"/>
                <w:szCs w:val="21"/>
              </w:rPr>
              <w:t>污水</w:t>
            </w:r>
          </w:p>
        </w:tc>
        <w:tc>
          <w:tcPr>
            <w:tcW w:w="809" w:type="pct"/>
            <w:tcBorders>
              <w:top w:val="single" w:color="auto" w:sz="6" w:space="0"/>
              <w:left w:val="single" w:color="auto" w:sz="6" w:space="0"/>
              <w:bottom w:val="single" w:color="auto" w:sz="6" w:space="0"/>
              <w:right w:val="single" w:color="auto" w:sz="6" w:space="0"/>
            </w:tcBorders>
            <w:noWrap/>
            <w:vAlign w:val="center"/>
          </w:tcPr>
          <w:p>
            <w:pPr>
              <w:adjustRightInd w:val="0"/>
              <w:snapToGrid w:val="0"/>
              <w:jc w:val="center"/>
              <w:rPr>
                <w:szCs w:val="21"/>
              </w:rPr>
            </w:pPr>
            <w:r>
              <w:rPr>
                <w:szCs w:val="21"/>
              </w:rPr>
              <w:t>CODcr</w:t>
            </w:r>
            <w:r>
              <w:rPr>
                <w:rFonts w:hint="eastAsia"/>
                <w:szCs w:val="21"/>
              </w:rPr>
              <w:t>、</w:t>
            </w:r>
            <w:r>
              <w:rPr>
                <w:szCs w:val="21"/>
              </w:rPr>
              <w:t>BOD</w:t>
            </w:r>
            <w:r>
              <w:rPr>
                <w:szCs w:val="21"/>
                <w:vertAlign w:val="subscript"/>
              </w:rPr>
              <w:t>5</w:t>
            </w:r>
            <w:r>
              <w:rPr>
                <w:rFonts w:hint="eastAsia"/>
                <w:szCs w:val="21"/>
              </w:rPr>
              <w:t>、</w:t>
            </w:r>
            <w:r>
              <w:rPr>
                <w:bCs/>
                <w:spacing w:val="-4"/>
                <w:szCs w:val="21"/>
              </w:rPr>
              <w:t>SS</w:t>
            </w:r>
            <w:r>
              <w:rPr>
                <w:rFonts w:hint="eastAsia"/>
                <w:bCs/>
                <w:spacing w:val="-4"/>
                <w:szCs w:val="21"/>
              </w:rPr>
              <w:t>、</w:t>
            </w:r>
            <w:r>
              <w:rPr>
                <w:szCs w:val="21"/>
              </w:rPr>
              <w:t>NH</w:t>
            </w:r>
            <w:r>
              <w:rPr>
                <w:szCs w:val="21"/>
                <w:vertAlign w:val="subscript"/>
              </w:rPr>
              <w:t>3</w:t>
            </w:r>
            <w:r>
              <w:rPr>
                <w:szCs w:val="21"/>
              </w:rPr>
              <w:t>-N</w:t>
            </w:r>
            <w:r>
              <w:rPr>
                <w:rFonts w:hint="eastAsia"/>
                <w:szCs w:val="21"/>
              </w:rPr>
              <w:t>、动植物油、总磷</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99"/>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对生活污水采用</w:t>
            </w:r>
            <w:r>
              <w:rPr>
                <w:rFonts w:ascii="Times New Roman" w:hAnsi="Times New Roman" w:eastAsia="宋体" w:cs="Times New Roman"/>
                <w:color w:val="auto"/>
                <w:sz w:val="21"/>
                <w:szCs w:val="21"/>
              </w:rPr>
              <w:t>MBR</w:t>
            </w:r>
            <w:r>
              <w:rPr>
                <w:rFonts w:hint="eastAsia" w:ascii="Times New Roman" w:hAnsi="Times New Roman" w:eastAsia="宋体" w:cs="Times New Roman"/>
                <w:color w:val="auto"/>
                <w:sz w:val="21"/>
                <w:szCs w:val="21"/>
              </w:rPr>
              <w:t>生物膜处理的方式对浴室废水、食堂废水、生活废水等废水进行处理，采用格栅</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调节</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缺氧</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好氧</w:t>
            </w:r>
            <w:r>
              <w:rPr>
                <w:rFonts w:ascii="Times New Roman" w:hAnsi="Times New Roman" w:eastAsia="宋体" w:cs="Times New Roman"/>
                <w:color w:val="auto"/>
                <w:sz w:val="21"/>
                <w:szCs w:val="21"/>
              </w:rPr>
              <w:t>→MBR</w:t>
            </w:r>
            <w:r>
              <w:rPr>
                <w:rFonts w:hint="eastAsia" w:ascii="宋体" w:hAnsi="宋体" w:eastAsia="宋体" w:cs="宋体"/>
                <w:color w:val="auto"/>
                <w:sz w:val="21"/>
                <w:szCs w:val="21"/>
              </w:rPr>
              <w:t>膜→石英砂活性炭过滤→消毒→清水池→回用处理</w:t>
            </w:r>
            <w:r>
              <w:rPr>
                <w:rFonts w:hint="eastAsia" w:ascii="Times New Roman" w:hAnsi="Times New Roman" w:eastAsia="宋体" w:cs="Times New Roman"/>
                <w:color w:val="auto"/>
                <w:sz w:val="21"/>
                <w:szCs w:val="21"/>
              </w:rPr>
              <w:t>工艺，处理能力450</w:t>
            </w:r>
            <w:r>
              <w:rPr>
                <w:rFonts w:ascii="Times New Roman" w:hAnsi="Times New Roman" w:eastAsia="宋体" w:cs="Times New Roman"/>
                <w:color w:val="auto"/>
                <w:sz w:val="21"/>
                <w:szCs w:val="21"/>
              </w:rPr>
              <w:t>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d，处理后</w:t>
            </w:r>
            <w:r>
              <w:rPr>
                <w:rFonts w:hint="eastAsia" w:ascii="Times New Roman" w:hAnsi="Times New Roman" w:eastAsia="宋体" w:cs="Times New Roman"/>
                <w:bCs/>
                <w:color w:val="auto"/>
                <w:sz w:val="21"/>
                <w:szCs w:val="21"/>
              </w:rPr>
              <w:t>用于厂区道路地面洒水抑尘、厂区绿化以及洗车平台补充水等，不外排</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continue"/>
            <w:tcBorders>
              <w:top w:val="single" w:color="auto" w:sz="4" w:space="0"/>
              <w:left w:val="single" w:color="auto" w:sz="12" w:space="0"/>
              <w:bottom w:val="single" w:color="auto" w:sz="6" w:space="0"/>
              <w:right w:val="single" w:color="auto" w:sz="6" w:space="0"/>
            </w:tcBorders>
            <w:vAlign w:val="center"/>
          </w:tcPr>
          <w:p>
            <w:pPr>
              <w:widowControl/>
              <w:jc w:val="left"/>
              <w:rPr>
                <w:spacing w:val="4"/>
                <w:szCs w:val="21"/>
              </w:rPr>
            </w:pPr>
          </w:p>
        </w:tc>
        <w:tc>
          <w:tcPr>
            <w:tcW w:w="347" w:type="pct"/>
            <w:tcBorders>
              <w:top w:val="single" w:color="auto" w:sz="4" w:space="0"/>
              <w:left w:val="single" w:color="auto" w:sz="6" w:space="0"/>
              <w:bottom w:val="single" w:color="auto" w:sz="4" w:space="0"/>
              <w:right w:val="single" w:color="auto" w:sz="6" w:space="0"/>
            </w:tcBorders>
            <w:noWrap/>
            <w:vAlign w:val="center"/>
          </w:tcPr>
          <w:p>
            <w:pPr>
              <w:jc w:val="center"/>
              <w:rPr>
                <w:spacing w:val="4"/>
                <w:szCs w:val="21"/>
              </w:rPr>
            </w:pPr>
            <w:r>
              <w:rPr>
                <w:rFonts w:hint="eastAsia"/>
                <w:spacing w:val="4"/>
                <w:szCs w:val="21"/>
              </w:rPr>
              <w:t>矿井</w:t>
            </w:r>
          </w:p>
          <w:p>
            <w:pPr>
              <w:jc w:val="center"/>
              <w:rPr>
                <w:spacing w:val="4"/>
                <w:szCs w:val="21"/>
              </w:rPr>
            </w:pPr>
            <w:r>
              <w:rPr>
                <w:rFonts w:hint="eastAsia"/>
                <w:spacing w:val="4"/>
                <w:szCs w:val="21"/>
              </w:rPr>
              <w:t>水</w:t>
            </w:r>
          </w:p>
        </w:tc>
        <w:tc>
          <w:tcPr>
            <w:tcW w:w="809" w:type="pct"/>
            <w:tcBorders>
              <w:top w:val="single" w:color="auto" w:sz="6" w:space="0"/>
              <w:left w:val="single" w:color="auto" w:sz="6" w:space="0"/>
              <w:bottom w:val="single" w:color="auto" w:sz="6" w:space="0"/>
              <w:right w:val="single" w:color="auto" w:sz="6" w:space="0"/>
            </w:tcBorders>
            <w:noWrap/>
            <w:vAlign w:val="center"/>
          </w:tcPr>
          <w:p>
            <w:pPr>
              <w:adjustRightInd w:val="0"/>
              <w:snapToGrid w:val="0"/>
              <w:jc w:val="center"/>
              <w:rPr>
                <w:szCs w:val="21"/>
              </w:rPr>
            </w:pPr>
            <w:r>
              <w:rPr>
                <w:szCs w:val="21"/>
              </w:rPr>
              <w:t>CODcr</w:t>
            </w:r>
            <w:r>
              <w:rPr>
                <w:rFonts w:hint="eastAsia"/>
                <w:szCs w:val="21"/>
              </w:rPr>
              <w:t>、</w:t>
            </w:r>
            <w:r>
              <w:rPr>
                <w:szCs w:val="21"/>
              </w:rPr>
              <w:t>SS</w:t>
            </w:r>
            <w:r>
              <w:rPr>
                <w:rFonts w:hint="eastAsia"/>
                <w:szCs w:val="21"/>
              </w:rPr>
              <w:t>、氨氮、总磷、氟化物、石油类</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10"/>
              <w:spacing w:after="0"/>
              <w:rPr>
                <w:szCs w:val="21"/>
              </w:rPr>
            </w:pPr>
            <w:r>
              <w:rPr>
                <w:rFonts w:hint="eastAsia"/>
                <w:bCs/>
                <w:szCs w:val="21"/>
              </w:rPr>
              <w:t>本项目配套建设一座污水处理站，处理能力6210</w:t>
            </w:r>
            <w:r>
              <w:rPr>
                <w:bCs/>
                <w:szCs w:val="21"/>
              </w:rPr>
              <w:t>m</w:t>
            </w:r>
            <w:r>
              <w:rPr>
                <w:bCs/>
                <w:szCs w:val="21"/>
                <w:vertAlign w:val="superscript"/>
              </w:rPr>
              <w:t>3</w:t>
            </w:r>
            <w:r>
              <w:rPr>
                <w:bCs/>
                <w:szCs w:val="21"/>
              </w:rPr>
              <w:t>/</w:t>
            </w:r>
            <w:r>
              <w:rPr>
                <w:rFonts w:hint="eastAsia"/>
                <w:bCs/>
                <w:szCs w:val="21"/>
              </w:rPr>
              <w:t>d，采用调节</w:t>
            </w:r>
            <w:r>
              <w:rPr>
                <w:bCs/>
                <w:szCs w:val="21"/>
              </w:rPr>
              <w:t>→</w:t>
            </w:r>
            <w:r>
              <w:rPr>
                <w:rFonts w:hint="eastAsia"/>
                <w:bCs/>
                <w:szCs w:val="21"/>
              </w:rPr>
              <w:t>混凝</w:t>
            </w:r>
            <w:r>
              <w:rPr>
                <w:bCs/>
                <w:szCs w:val="21"/>
              </w:rPr>
              <w:t>→</w:t>
            </w:r>
            <w:r>
              <w:rPr>
                <w:rFonts w:hint="eastAsia"/>
                <w:bCs/>
                <w:szCs w:val="21"/>
              </w:rPr>
              <w:t>沉淀</w:t>
            </w:r>
            <w:r>
              <w:rPr>
                <w:bCs/>
                <w:szCs w:val="21"/>
              </w:rPr>
              <w:t>→</w:t>
            </w:r>
            <w:r>
              <w:rPr>
                <w:rFonts w:hint="eastAsia"/>
                <w:bCs/>
                <w:szCs w:val="21"/>
              </w:rPr>
              <w:t>过滤</w:t>
            </w:r>
            <w:r>
              <w:rPr>
                <w:bCs/>
                <w:szCs w:val="21"/>
              </w:rPr>
              <w:t>→</w:t>
            </w:r>
            <w:r>
              <w:rPr>
                <w:rFonts w:hint="eastAsia"/>
                <w:bCs/>
                <w:szCs w:val="21"/>
              </w:rPr>
              <w:t>消毒的处理工艺，矿井水经处理后全部回用于井下洒水、黄泥灌浆及洗车平台，不外排。</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193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continue"/>
            <w:tcBorders>
              <w:top w:val="single" w:color="auto" w:sz="4" w:space="0"/>
              <w:left w:val="single" w:color="auto" w:sz="12" w:space="0"/>
              <w:bottom w:val="single" w:color="auto" w:sz="6" w:space="0"/>
              <w:right w:val="single" w:color="auto" w:sz="6" w:space="0"/>
            </w:tcBorders>
            <w:vAlign w:val="center"/>
          </w:tcPr>
          <w:p>
            <w:pPr>
              <w:widowControl/>
              <w:jc w:val="left"/>
              <w:rPr>
                <w:spacing w:val="4"/>
                <w:szCs w:val="21"/>
              </w:rPr>
            </w:pPr>
          </w:p>
        </w:tc>
        <w:tc>
          <w:tcPr>
            <w:tcW w:w="347" w:type="pct"/>
            <w:tcBorders>
              <w:top w:val="single" w:color="auto" w:sz="4" w:space="0"/>
              <w:left w:val="single" w:color="auto" w:sz="6" w:space="0"/>
              <w:bottom w:val="single" w:color="auto" w:sz="6" w:space="0"/>
              <w:right w:val="single" w:color="auto" w:sz="6" w:space="0"/>
            </w:tcBorders>
            <w:noWrap/>
            <w:vAlign w:val="center"/>
          </w:tcPr>
          <w:p>
            <w:pPr>
              <w:jc w:val="center"/>
              <w:rPr>
                <w:szCs w:val="21"/>
              </w:rPr>
            </w:pPr>
            <w:r>
              <w:rPr>
                <w:rFonts w:hint="eastAsia"/>
                <w:szCs w:val="21"/>
              </w:rPr>
              <w:t>洗车</w:t>
            </w:r>
          </w:p>
          <w:p>
            <w:pPr>
              <w:jc w:val="center"/>
              <w:rPr>
                <w:szCs w:val="21"/>
              </w:rPr>
            </w:pPr>
            <w:r>
              <w:rPr>
                <w:rFonts w:hint="eastAsia"/>
                <w:szCs w:val="21"/>
              </w:rPr>
              <w:t>废水</w:t>
            </w:r>
          </w:p>
        </w:tc>
        <w:tc>
          <w:tcPr>
            <w:tcW w:w="809" w:type="pct"/>
            <w:tcBorders>
              <w:top w:val="single" w:color="auto" w:sz="6" w:space="0"/>
              <w:left w:val="single" w:color="auto" w:sz="6" w:space="0"/>
              <w:bottom w:val="single" w:color="auto" w:sz="6" w:space="0"/>
              <w:right w:val="single" w:color="auto" w:sz="6" w:space="0"/>
            </w:tcBorders>
            <w:noWrap/>
            <w:vAlign w:val="center"/>
          </w:tcPr>
          <w:p>
            <w:pPr>
              <w:jc w:val="center"/>
              <w:rPr>
                <w:szCs w:val="21"/>
              </w:rPr>
            </w:pPr>
            <w:r>
              <w:rPr>
                <w:szCs w:val="21"/>
              </w:rPr>
              <w:t>CODcr</w:t>
            </w:r>
            <w:r>
              <w:rPr>
                <w:rFonts w:hint="eastAsia"/>
                <w:szCs w:val="21"/>
              </w:rPr>
              <w:t>、</w:t>
            </w:r>
            <w:r>
              <w:rPr>
                <w:szCs w:val="21"/>
              </w:rPr>
              <w:t>BOD</w:t>
            </w:r>
            <w:r>
              <w:rPr>
                <w:szCs w:val="21"/>
                <w:vertAlign w:val="subscript"/>
              </w:rPr>
              <w:t>5</w:t>
            </w:r>
            <w:r>
              <w:rPr>
                <w:rFonts w:hint="eastAsia"/>
                <w:szCs w:val="21"/>
              </w:rPr>
              <w:t>、</w:t>
            </w:r>
            <w:r>
              <w:rPr>
                <w:bCs/>
                <w:spacing w:val="-4"/>
                <w:szCs w:val="21"/>
              </w:rPr>
              <w:t>SS</w:t>
            </w:r>
            <w:r>
              <w:rPr>
                <w:rFonts w:hint="eastAsia"/>
                <w:bCs/>
                <w:spacing w:val="-4"/>
                <w:szCs w:val="21"/>
              </w:rPr>
              <w:t>、</w:t>
            </w:r>
            <w:r>
              <w:rPr>
                <w:szCs w:val="21"/>
              </w:rPr>
              <w:t>NH</w:t>
            </w:r>
            <w:r>
              <w:rPr>
                <w:szCs w:val="21"/>
                <w:vertAlign w:val="subscript"/>
              </w:rPr>
              <w:t>3</w:t>
            </w:r>
            <w:r>
              <w:rPr>
                <w:szCs w:val="21"/>
              </w:rPr>
              <w:t>-N</w:t>
            </w:r>
            <w:r>
              <w:rPr>
                <w:rFonts w:hint="eastAsia"/>
                <w:szCs w:val="21"/>
              </w:rPr>
              <w:t>、氟化物、石油类</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99"/>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设置一套洗车设备，设沉淀池和清水池，用于喷洗车辆，废水经沉淀后、清水进入清水池，循环利用，不外排</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restart"/>
            <w:tcBorders>
              <w:top w:val="single" w:color="auto" w:sz="6" w:space="0"/>
              <w:left w:val="single" w:color="auto" w:sz="12" w:space="0"/>
              <w:bottom w:val="single" w:color="auto" w:sz="6" w:space="0"/>
              <w:right w:val="single" w:color="auto" w:sz="6" w:space="0"/>
            </w:tcBorders>
            <w:noWrap/>
            <w:vAlign w:val="center"/>
          </w:tcPr>
          <w:p>
            <w:pPr>
              <w:jc w:val="center"/>
              <w:rPr>
                <w:spacing w:val="4"/>
                <w:szCs w:val="21"/>
              </w:rPr>
            </w:pPr>
            <w:r>
              <w:rPr>
                <w:rFonts w:hint="eastAsia"/>
                <w:spacing w:val="4"/>
                <w:szCs w:val="21"/>
              </w:rPr>
              <w:t>固体废物</w:t>
            </w: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bCs/>
                <w:szCs w:val="21"/>
              </w:rPr>
              <w:t>矸石</w:t>
            </w:r>
          </w:p>
        </w:tc>
        <w:tc>
          <w:tcPr>
            <w:tcW w:w="3292"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eastAsiaTheme="minorEastAsia"/>
                <w:szCs w:val="21"/>
              </w:rPr>
              <w:t>矸石全部送往山西华光发电有限责任公司综合利用，综合利用不畅的情况下，临时</w:t>
            </w:r>
            <w:r>
              <w:rPr>
                <w:rFonts w:eastAsiaTheme="minorEastAsia"/>
                <w:szCs w:val="21"/>
              </w:rPr>
              <w:t>运至</w:t>
            </w:r>
            <w:r>
              <w:rPr>
                <w:rFonts w:hint="eastAsia" w:eastAsiaTheme="minorEastAsia"/>
                <w:szCs w:val="21"/>
              </w:rPr>
              <w:t>原环评批复的临时矸石堆场填埋处理</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98" w:type="pct"/>
            <w:vMerge w:val="continue"/>
            <w:tcBorders>
              <w:top w:val="single" w:color="auto" w:sz="6" w:space="0"/>
              <w:left w:val="single" w:color="auto" w:sz="12" w:space="0"/>
              <w:bottom w:val="single" w:color="auto" w:sz="6" w:space="0"/>
              <w:right w:val="single" w:color="auto" w:sz="6" w:space="0"/>
            </w:tcBorders>
            <w:vAlign w:val="center"/>
          </w:tcPr>
          <w:p>
            <w:pPr>
              <w:widowControl/>
              <w:jc w:val="left"/>
              <w:rPr>
                <w:spacing w:val="4"/>
                <w:szCs w:val="21"/>
              </w:rPr>
            </w:pP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bCs/>
                <w:szCs w:val="21"/>
              </w:rPr>
              <w:t>生活污水处理站污泥</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7"/>
              <w:ind w:firstLine="480"/>
              <w:jc w:val="center"/>
              <w:rPr>
                <w:sz w:val="21"/>
                <w:szCs w:val="21"/>
              </w:rPr>
            </w:pPr>
            <w:r>
              <w:rPr>
                <w:rFonts w:hint="eastAsia"/>
                <w:sz w:val="21"/>
                <w:szCs w:val="21"/>
              </w:rPr>
              <w:t>污泥干化后送矸石场填埋</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98" w:type="pct"/>
            <w:vMerge w:val="continue"/>
            <w:tcBorders>
              <w:top w:val="single" w:color="auto" w:sz="6" w:space="0"/>
              <w:left w:val="single" w:color="auto" w:sz="12" w:space="0"/>
              <w:bottom w:val="single" w:color="auto" w:sz="6" w:space="0"/>
              <w:right w:val="single" w:color="auto" w:sz="6" w:space="0"/>
            </w:tcBorders>
            <w:vAlign w:val="center"/>
          </w:tcPr>
          <w:p>
            <w:pPr>
              <w:widowControl/>
              <w:jc w:val="left"/>
              <w:rPr>
                <w:spacing w:val="4"/>
                <w:szCs w:val="21"/>
              </w:rPr>
            </w:pP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bCs/>
                <w:szCs w:val="21"/>
              </w:rPr>
              <w:t>矿井水处理站污泥</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7"/>
              <w:ind w:firstLine="0"/>
              <w:jc w:val="center"/>
              <w:rPr>
                <w:sz w:val="21"/>
                <w:szCs w:val="21"/>
              </w:rPr>
            </w:pPr>
            <w:r>
              <w:rPr>
                <w:sz w:val="21"/>
                <w:szCs w:val="21"/>
              </w:rPr>
              <w:t>污泥经浓缩后送至选煤厂煤泥浓缩池一并处理，最后混入末煤产品销售</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continue"/>
            <w:tcBorders>
              <w:top w:val="single" w:color="auto" w:sz="6" w:space="0"/>
              <w:left w:val="single" w:color="auto" w:sz="12" w:space="0"/>
              <w:bottom w:val="single" w:color="auto" w:sz="6" w:space="0"/>
              <w:right w:val="single" w:color="auto" w:sz="6" w:space="0"/>
            </w:tcBorders>
            <w:vAlign w:val="center"/>
          </w:tcPr>
          <w:p>
            <w:pPr>
              <w:widowControl/>
              <w:jc w:val="left"/>
              <w:rPr>
                <w:spacing w:val="4"/>
                <w:szCs w:val="21"/>
              </w:rPr>
            </w:pP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bCs/>
                <w:szCs w:val="21"/>
              </w:rPr>
              <w:t>生活垃圾</w:t>
            </w:r>
          </w:p>
        </w:tc>
        <w:tc>
          <w:tcPr>
            <w:tcW w:w="3292" w:type="pct"/>
            <w:tcBorders>
              <w:top w:val="single" w:color="auto" w:sz="6" w:space="0"/>
              <w:left w:val="single" w:color="auto" w:sz="6" w:space="0"/>
              <w:bottom w:val="single" w:color="auto" w:sz="6" w:space="0"/>
              <w:right w:val="single" w:color="auto" w:sz="6" w:space="0"/>
            </w:tcBorders>
            <w:noWrap/>
            <w:vAlign w:val="center"/>
          </w:tcPr>
          <w:p>
            <w:pPr>
              <w:ind w:firstLine="420" w:firstLineChars="200"/>
              <w:jc w:val="center"/>
              <w:rPr>
                <w:szCs w:val="21"/>
              </w:rPr>
            </w:pPr>
            <w:r>
              <w:rPr>
                <w:rFonts w:hint="eastAsia"/>
                <w:szCs w:val="21"/>
              </w:rPr>
              <w:t>在工业场地及办公区设置封闭式垃圾箱，集中收集后送往当地环卫部门指定地点</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continue"/>
            <w:tcBorders>
              <w:top w:val="single" w:color="auto" w:sz="6" w:space="0"/>
              <w:left w:val="single" w:color="auto" w:sz="12" w:space="0"/>
              <w:bottom w:val="single" w:color="auto" w:sz="6" w:space="0"/>
              <w:right w:val="single" w:color="auto" w:sz="6" w:space="0"/>
            </w:tcBorders>
            <w:vAlign w:val="center"/>
          </w:tcPr>
          <w:p>
            <w:pPr>
              <w:widowControl/>
              <w:jc w:val="left"/>
              <w:rPr>
                <w:spacing w:val="4"/>
                <w:szCs w:val="21"/>
              </w:rPr>
            </w:pP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bCs/>
                <w:szCs w:val="21"/>
              </w:rPr>
              <w:t>废机油</w:t>
            </w:r>
          </w:p>
        </w:tc>
        <w:tc>
          <w:tcPr>
            <w:tcW w:w="3292" w:type="pct"/>
            <w:tcBorders>
              <w:top w:val="single" w:color="auto" w:sz="6" w:space="0"/>
              <w:left w:val="single" w:color="auto" w:sz="6" w:space="0"/>
              <w:bottom w:val="single" w:color="auto" w:sz="6" w:space="0"/>
              <w:right w:val="single" w:color="auto" w:sz="6" w:space="0"/>
            </w:tcBorders>
            <w:noWrap/>
            <w:vAlign w:val="center"/>
          </w:tcPr>
          <w:p>
            <w:pPr>
              <w:jc w:val="center"/>
              <w:rPr>
                <w:bCs/>
                <w:szCs w:val="21"/>
              </w:rPr>
            </w:pPr>
            <w:r>
              <w:rPr>
                <w:rFonts w:hint="eastAsia"/>
                <w:szCs w:val="21"/>
              </w:rPr>
              <w:t>收集暂存于危废暂存间，委托有资质进行专业处置</w:t>
            </w:r>
          </w:p>
        </w:tc>
        <w:tc>
          <w:tcPr>
            <w:tcW w:w="354" w:type="pct"/>
            <w:tcBorders>
              <w:top w:val="single" w:color="auto" w:sz="6" w:space="0"/>
              <w:left w:val="single" w:color="auto" w:sz="6" w:space="0"/>
              <w:bottom w:val="single" w:color="auto" w:sz="6" w:space="0"/>
              <w:right w:val="single" w:color="auto" w:sz="12" w:space="0"/>
            </w:tcBorders>
            <w:noWrap/>
            <w:vAlign w:val="center"/>
          </w:tcPr>
          <w:p>
            <w:pPr>
              <w:jc w:val="center"/>
              <w:rPr>
                <w:szCs w:val="21"/>
              </w:rPr>
            </w:pPr>
            <w:r>
              <w:rPr>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restart"/>
            <w:tcBorders>
              <w:top w:val="single" w:color="auto" w:sz="6" w:space="0"/>
              <w:left w:val="single" w:color="auto" w:sz="12" w:space="0"/>
              <w:bottom w:val="single" w:color="auto" w:sz="6" w:space="0"/>
              <w:right w:val="single" w:color="auto" w:sz="6" w:space="0"/>
            </w:tcBorders>
            <w:noWrap/>
            <w:vAlign w:val="center"/>
          </w:tcPr>
          <w:p>
            <w:pPr>
              <w:jc w:val="center"/>
              <w:rPr>
                <w:spacing w:val="4"/>
                <w:szCs w:val="21"/>
              </w:rPr>
            </w:pPr>
            <w:r>
              <w:rPr>
                <w:rFonts w:hint="eastAsia"/>
                <w:spacing w:val="4"/>
                <w:szCs w:val="21"/>
              </w:rPr>
              <w:t>噪声</w:t>
            </w: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pStyle w:val="20"/>
              <w:spacing w:after="0"/>
              <w:ind w:left="0" w:leftChars="0"/>
              <w:jc w:val="center"/>
              <w:rPr>
                <w:sz w:val="21"/>
                <w:szCs w:val="21"/>
              </w:rPr>
            </w:pPr>
            <w:r>
              <w:rPr>
                <w:rFonts w:hint="eastAsia"/>
                <w:sz w:val="21"/>
                <w:szCs w:val="21"/>
              </w:rPr>
              <w:t>各生产设备</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20"/>
              <w:spacing w:after="0"/>
              <w:ind w:left="0" w:leftChars="0"/>
              <w:jc w:val="center"/>
              <w:rPr>
                <w:sz w:val="21"/>
                <w:szCs w:val="21"/>
              </w:rPr>
            </w:pPr>
            <w:r>
              <w:rPr>
                <w:rFonts w:hint="eastAsia"/>
                <w:sz w:val="21"/>
                <w:szCs w:val="21"/>
              </w:rPr>
              <w:t>基础减振，厂房隔声，各空压机、风机房室内装吸声材料</w:t>
            </w:r>
          </w:p>
        </w:tc>
        <w:tc>
          <w:tcPr>
            <w:tcW w:w="354" w:type="pct"/>
            <w:tcBorders>
              <w:top w:val="single" w:color="auto" w:sz="6" w:space="0"/>
              <w:left w:val="single" w:color="auto" w:sz="6" w:space="0"/>
              <w:bottom w:val="single" w:color="auto" w:sz="6" w:space="0"/>
              <w:right w:val="single" w:color="auto" w:sz="12" w:space="0"/>
            </w:tcBorders>
            <w:noWrap/>
            <w:vAlign w:val="center"/>
          </w:tcPr>
          <w:p>
            <w:pPr>
              <w:pStyle w:val="20"/>
              <w:spacing w:after="0"/>
              <w:ind w:left="0" w:left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continue"/>
            <w:tcBorders>
              <w:top w:val="single" w:color="auto" w:sz="6" w:space="0"/>
              <w:left w:val="single" w:color="auto" w:sz="12" w:space="0"/>
              <w:bottom w:val="single" w:color="auto" w:sz="6" w:space="0"/>
              <w:right w:val="single" w:color="auto" w:sz="6" w:space="0"/>
            </w:tcBorders>
            <w:vAlign w:val="center"/>
          </w:tcPr>
          <w:p>
            <w:pPr>
              <w:widowControl/>
              <w:jc w:val="left"/>
              <w:rPr>
                <w:spacing w:val="4"/>
                <w:szCs w:val="21"/>
              </w:rPr>
            </w:pP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pStyle w:val="20"/>
              <w:spacing w:after="0"/>
              <w:ind w:left="0" w:leftChars="0"/>
              <w:jc w:val="center"/>
              <w:rPr>
                <w:bCs/>
                <w:sz w:val="21"/>
                <w:szCs w:val="21"/>
              </w:rPr>
            </w:pPr>
            <w:r>
              <w:rPr>
                <w:rFonts w:hint="eastAsia"/>
                <w:sz w:val="21"/>
                <w:szCs w:val="21"/>
              </w:rPr>
              <w:t>运输车辆</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20"/>
              <w:spacing w:after="0"/>
              <w:ind w:left="0" w:leftChars="0"/>
              <w:jc w:val="center"/>
              <w:rPr>
                <w:sz w:val="21"/>
                <w:szCs w:val="21"/>
              </w:rPr>
            </w:pPr>
            <w:r>
              <w:rPr>
                <w:rFonts w:hint="eastAsia"/>
                <w:bCs/>
                <w:sz w:val="21"/>
                <w:szCs w:val="21"/>
              </w:rPr>
              <w:t>限制车速，限制鸣笛。</w:t>
            </w:r>
          </w:p>
        </w:tc>
        <w:tc>
          <w:tcPr>
            <w:tcW w:w="354" w:type="pct"/>
            <w:tcBorders>
              <w:top w:val="single" w:color="auto" w:sz="6" w:space="0"/>
              <w:left w:val="single" w:color="auto" w:sz="6" w:space="0"/>
              <w:bottom w:val="single" w:color="auto" w:sz="6" w:space="0"/>
              <w:right w:val="single" w:color="auto" w:sz="12" w:space="0"/>
            </w:tcBorders>
            <w:noWrap/>
            <w:vAlign w:val="center"/>
          </w:tcPr>
          <w:p>
            <w:pPr>
              <w:pStyle w:val="20"/>
              <w:spacing w:after="0"/>
              <w:ind w:left="0" w:leftChars="0"/>
              <w:jc w:val="center"/>
              <w:rPr>
                <w:bCs/>
                <w:sz w:val="21"/>
                <w:szCs w:val="21"/>
              </w:rPr>
            </w:pPr>
            <w:r>
              <w:rPr>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restart"/>
            <w:tcBorders>
              <w:top w:val="single" w:color="auto" w:sz="6" w:space="0"/>
              <w:left w:val="single" w:color="auto" w:sz="12" w:space="0"/>
              <w:bottom w:val="single" w:color="auto" w:sz="6" w:space="0"/>
              <w:right w:val="single" w:color="auto" w:sz="6" w:space="0"/>
            </w:tcBorders>
            <w:noWrap/>
            <w:vAlign w:val="center"/>
          </w:tcPr>
          <w:p>
            <w:pPr>
              <w:jc w:val="center"/>
              <w:rPr>
                <w:spacing w:val="4"/>
                <w:szCs w:val="21"/>
              </w:rPr>
            </w:pPr>
            <w:r>
              <w:rPr>
                <w:rFonts w:hint="eastAsia"/>
                <w:spacing w:val="4"/>
                <w:szCs w:val="21"/>
              </w:rPr>
              <w:t>生态</w:t>
            </w: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pStyle w:val="90"/>
              <w:snapToGrid/>
              <w:spacing w:line="240" w:lineRule="auto"/>
              <w:rPr>
                <w:rFonts w:ascii="Times New Roman" w:hAnsi="Times New Roman"/>
                <w:kern w:val="0"/>
                <w:szCs w:val="21"/>
              </w:rPr>
            </w:pPr>
            <w:r>
              <w:rPr>
                <w:rFonts w:hint="eastAsia" w:ascii="Times New Roman" w:hAnsi="Times New Roman"/>
                <w:szCs w:val="21"/>
              </w:rPr>
              <w:t>居民点</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90"/>
              <w:snapToGrid/>
              <w:spacing w:line="240" w:lineRule="auto"/>
              <w:rPr>
                <w:rFonts w:ascii="Times New Roman" w:hAnsi="Times New Roman"/>
                <w:kern w:val="0"/>
                <w:szCs w:val="21"/>
              </w:rPr>
            </w:pPr>
            <w:r>
              <w:rPr>
                <w:rFonts w:hint="eastAsia" w:ascii="Times New Roman" w:hAnsi="Times New Roman"/>
                <w:szCs w:val="21"/>
              </w:rPr>
              <w:t>确保涉及村民的居住民房和生活质量不降低</w:t>
            </w:r>
          </w:p>
        </w:tc>
        <w:tc>
          <w:tcPr>
            <w:tcW w:w="354" w:type="pct"/>
            <w:vMerge w:val="restart"/>
            <w:tcBorders>
              <w:top w:val="single" w:color="auto" w:sz="6" w:space="0"/>
              <w:left w:val="single" w:color="auto" w:sz="6" w:space="0"/>
              <w:bottom w:val="single" w:color="auto" w:sz="6" w:space="0"/>
              <w:right w:val="single" w:color="auto" w:sz="12" w:space="0"/>
            </w:tcBorders>
            <w:noWrap/>
            <w:vAlign w:val="center"/>
          </w:tcPr>
          <w:p>
            <w:pPr>
              <w:jc w:val="center"/>
              <w:rPr>
                <w:bCs/>
                <w:szCs w:val="21"/>
              </w:rPr>
            </w:pPr>
            <w:r>
              <w:rPr>
                <w:bCs/>
                <w:szCs w:val="21"/>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continue"/>
            <w:tcBorders>
              <w:top w:val="single" w:color="auto" w:sz="6" w:space="0"/>
              <w:left w:val="single" w:color="auto" w:sz="12" w:space="0"/>
              <w:bottom w:val="single" w:color="auto" w:sz="6" w:space="0"/>
              <w:right w:val="single" w:color="auto" w:sz="6" w:space="0"/>
            </w:tcBorders>
            <w:vAlign w:val="center"/>
          </w:tcPr>
          <w:p>
            <w:pPr>
              <w:widowControl/>
              <w:jc w:val="left"/>
              <w:rPr>
                <w:spacing w:val="4"/>
                <w:szCs w:val="21"/>
              </w:rPr>
            </w:pP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pStyle w:val="90"/>
              <w:snapToGrid/>
              <w:spacing w:line="240" w:lineRule="auto"/>
              <w:rPr>
                <w:rFonts w:ascii="Times New Roman" w:hAnsi="Times New Roman"/>
                <w:kern w:val="0"/>
                <w:szCs w:val="21"/>
              </w:rPr>
            </w:pPr>
            <w:r>
              <w:rPr>
                <w:rFonts w:hint="eastAsia" w:ascii="Times New Roman" w:hAnsi="Times New Roman"/>
                <w:szCs w:val="21"/>
              </w:rPr>
              <w:t>地表植被</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90"/>
              <w:snapToGrid/>
              <w:spacing w:line="240" w:lineRule="auto"/>
              <w:rPr>
                <w:rFonts w:ascii="Times New Roman" w:hAnsi="Times New Roman" w:cs="Times New Roman"/>
                <w:kern w:val="0"/>
                <w:sz w:val="20"/>
                <w:szCs w:val="21"/>
              </w:rPr>
            </w:pPr>
            <w:r>
              <w:rPr>
                <w:rFonts w:hint="eastAsia" w:ascii="Times New Roman" w:hAnsi="Times New Roman"/>
                <w:szCs w:val="21"/>
              </w:rPr>
              <w:t>破坏后及时恢复到原来状态</w:t>
            </w:r>
            <w:r>
              <w:rPr>
                <w:rFonts w:hint="eastAsia" w:ascii="Times New Roman" w:hAnsi="Times New Roman" w:cs="Times New Roman"/>
                <w:kern w:val="0"/>
                <w:sz w:val="20"/>
                <w:szCs w:val="21"/>
              </w:rPr>
              <w:t>，</w:t>
            </w:r>
            <w:r>
              <w:rPr>
                <w:rFonts w:hint="eastAsia" w:ascii="Times New Roman" w:hAnsi="Times New Roman"/>
                <w:szCs w:val="21"/>
              </w:rPr>
              <w:t>风井场地进行地面硬化和绿化</w:t>
            </w:r>
          </w:p>
        </w:tc>
        <w:tc>
          <w:tcPr>
            <w:tcW w:w="354" w:type="pct"/>
            <w:vMerge w:val="continue"/>
            <w:tcBorders>
              <w:top w:val="single" w:color="auto" w:sz="6" w:space="0"/>
              <w:left w:val="single" w:color="auto" w:sz="6" w:space="0"/>
              <w:bottom w:val="single" w:color="auto" w:sz="6" w:space="0"/>
              <w:right w:val="single" w:color="auto" w:sz="12" w:space="0"/>
            </w:tcBorders>
            <w:vAlign w:val="center"/>
          </w:tcPr>
          <w:p>
            <w:pPr>
              <w:widowControl/>
              <w:jc w:val="left"/>
              <w:rPr>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continue"/>
            <w:tcBorders>
              <w:top w:val="single" w:color="auto" w:sz="6" w:space="0"/>
              <w:left w:val="single" w:color="auto" w:sz="12" w:space="0"/>
              <w:bottom w:val="single" w:color="auto" w:sz="6" w:space="0"/>
              <w:right w:val="single" w:color="auto" w:sz="6" w:space="0"/>
            </w:tcBorders>
            <w:vAlign w:val="center"/>
          </w:tcPr>
          <w:p>
            <w:pPr>
              <w:widowControl/>
              <w:jc w:val="left"/>
              <w:rPr>
                <w:spacing w:val="4"/>
                <w:szCs w:val="21"/>
              </w:rPr>
            </w:pP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pStyle w:val="90"/>
              <w:snapToGrid/>
              <w:spacing w:line="240" w:lineRule="auto"/>
              <w:rPr>
                <w:rFonts w:ascii="Times New Roman" w:hAnsi="Times New Roman"/>
                <w:kern w:val="0"/>
                <w:szCs w:val="21"/>
              </w:rPr>
            </w:pPr>
            <w:r>
              <w:rPr>
                <w:rFonts w:hint="eastAsia" w:ascii="Times New Roman" w:hAnsi="Times New Roman"/>
                <w:szCs w:val="21"/>
              </w:rPr>
              <w:t>水土流失</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90"/>
              <w:snapToGrid/>
              <w:spacing w:line="240" w:lineRule="auto"/>
              <w:rPr>
                <w:rFonts w:ascii="Times New Roman" w:hAnsi="Times New Roman"/>
                <w:kern w:val="0"/>
                <w:szCs w:val="21"/>
              </w:rPr>
            </w:pPr>
            <w:r>
              <w:rPr>
                <w:rFonts w:hint="eastAsia" w:ascii="Times New Roman" w:hAnsi="Times New Roman"/>
                <w:szCs w:val="21"/>
              </w:rPr>
              <w:t>采取水保措施，防止水土流失加重</w:t>
            </w:r>
          </w:p>
        </w:tc>
        <w:tc>
          <w:tcPr>
            <w:tcW w:w="354" w:type="pct"/>
            <w:vMerge w:val="continue"/>
            <w:tcBorders>
              <w:top w:val="single" w:color="auto" w:sz="6" w:space="0"/>
              <w:left w:val="single" w:color="auto" w:sz="6" w:space="0"/>
              <w:bottom w:val="single" w:color="auto" w:sz="6" w:space="0"/>
              <w:right w:val="single" w:color="auto" w:sz="12" w:space="0"/>
            </w:tcBorders>
            <w:vAlign w:val="center"/>
          </w:tcPr>
          <w:p>
            <w:pPr>
              <w:widowControl/>
              <w:jc w:val="left"/>
              <w:rPr>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 w:type="pct"/>
            <w:vMerge w:val="continue"/>
            <w:tcBorders>
              <w:top w:val="single" w:color="auto" w:sz="6" w:space="0"/>
              <w:left w:val="single" w:color="auto" w:sz="12" w:space="0"/>
              <w:bottom w:val="single" w:color="auto" w:sz="6" w:space="0"/>
              <w:right w:val="single" w:color="auto" w:sz="6" w:space="0"/>
            </w:tcBorders>
            <w:vAlign w:val="center"/>
          </w:tcPr>
          <w:p>
            <w:pPr>
              <w:widowControl/>
              <w:jc w:val="left"/>
              <w:rPr>
                <w:spacing w:val="4"/>
                <w:szCs w:val="21"/>
              </w:rPr>
            </w:pPr>
          </w:p>
        </w:tc>
        <w:tc>
          <w:tcPr>
            <w:tcW w:w="1156" w:type="pct"/>
            <w:gridSpan w:val="2"/>
            <w:tcBorders>
              <w:top w:val="single" w:color="auto" w:sz="6" w:space="0"/>
              <w:left w:val="single" w:color="auto" w:sz="6" w:space="0"/>
              <w:bottom w:val="single" w:color="auto" w:sz="6" w:space="0"/>
              <w:right w:val="single" w:color="auto" w:sz="6" w:space="0"/>
            </w:tcBorders>
            <w:noWrap/>
            <w:vAlign w:val="center"/>
          </w:tcPr>
          <w:p>
            <w:pPr>
              <w:pStyle w:val="90"/>
              <w:snapToGrid/>
              <w:spacing w:line="240" w:lineRule="auto"/>
              <w:rPr>
                <w:rFonts w:ascii="Times New Roman" w:hAnsi="Times New Roman"/>
                <w:kern w:val="0"/>
                <w:szCs w:val="21"/>
              </w:rPr>
            </w:pPr>
            <w:r>
              <w:rPr>
                <w:rFonts w:hint="eastAsia" w:ascii="Times New Roman" w:hAnsi="Times New Roman"/>
                <w:szCs w:val="21"/>
              </w:rPr>
              <w:t>农田和农作物</w:t>
            </w:r>
          </w:p>
        </w:tc>
        <w:tc>
          <w:tcPr>
            <w:tcW w:w="3292" w:type="pct"/>
            <w:tcBorders>
              <w:top w:val="single" w:color="auto" w:sz="6" w:space="0"/>
              <w:left w:val="single" w:color="auto" w:sz="6" w:space="0"/>
              <w:bottom w:val="single" w:color="auto" w:sz="6" w:space="0"/>
              <w:right w:val="single" w:color="auto" w:sz="6" w:space="0"/>
            </w:tcBorders>
            <w:noWrap/>
            <w:vAlign w:val="center"/>
          </w:tcPr>
          <w:p>
            <w:pPr>
              <w:pStyle w:val="90"/>
              <w:snapToGrid/>
              <w:spacing w:line="240" w:lineRule="auto"/>
              <w:rPr>
                <w:rFonts w:ascii="Times New Roman" w:hAnsi="Times New Roman"/>
                <w:kern w:val="0"/>
                <w:szCs w:val="21"/>
              </w:rPr>
            </w:pPr>
            <w:r>
              <w:rPr>
                <w:rFonts w:hint="eastAsia" w:ascii="Times New Roman" w:hAnsi="Times New Roman"/>
                <w:szCs w:val="21"/>
              </w:rPr>
              <w:t>及时修整、恢复，防止减产。</w:t>
            </w:r>
          </w:p>
        </w:tc>
        <w:tc>
          <w:tcPr>
            <w:tcW w:w="354" w:type="pct"/>
            <w:vMerge w:val="continue"/>
            <w:tcBorders>
              <w:top w:val="single" w:color="auto" w:sz="6" w:space="0"/>
              <w:left w:val="single" w:color="auto" w:sz="6" w:space="0"/>
              <w:bottom w:val="single" w:color="auto" w:sz="6" w:space="0"/>
              <w:right w:val="single" w:color="auto" w:sz="12" w:space="0"/>
            </w:tcBorders>
            <w:vAlign w:val="center"/>
          </w:tcPr>
          <w:p>
            <w:pPr>
              <w:widowControl/>
              <w:jc w:val="left"/>
              <w:rPr>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46" w:type="pct"/>
            <w:gridSpan w:val="4"/>
            <w:tcBorders>
              <w:top w:val="single" w:color="auto" w:sz="6" w:space="0"/>
              <w:left w:val="single" w:color="auto" w:sz="12" w:space="0"/>
              <w:bottom w:val="single" w:color="auto" w:sz="12" w:space="0"/>
              <w:right w:val="single" w:color="auto" w:sz="6" w:space="0"/>
            </w:tcBorders>
            <w:noWrap/>
            <w:vAlign w:val="center"/>
          </w:tcPr>
          <w:p>
            <w:pPr>
              <w:jc w:val="center"/>
              <w:rPr>
                <w:szCs w:val="21"/>
              </w:rPr>
            </w:pPr>
            <w:r>
              <w:rPr>
                <w:rFonts w:hint="eastAsia"/>
                <w:szCs w:val="21"/>
              </w:rPr>
              <w:t>合计</w:t>
            </w:r>
          </w:p>
        </w:tc>
        <w:tc>
          <w:tcPr>
            <w:tcW w:w="354" w:type="pct"/>
            <w:tcBorders>
              <w:top w:val="single" w:color="auto" w:sz="6" w:space="0"/>
              <w:left w:val="single" w:color="auto" w:sz="6" w:space="0"/>
              <w:bottom w:val="single" w:color="auto" w:sz="12" w:space="0"/>
              <w:right w:val="single" w:color="auto" w:sz="12" w:space="0"/>
            </w:tcBorders>
            <w:noWrap/>
            <w:vAlign w:val="center"/>
          </w:tcPr>
          <w:p>
            <w:pPr>
              <w:jc w:val="center"/>
              <w:rPr>
                <w:bCs/>
                <w:szCs w:val="21"/>
              </w:rPr>
            </w:pPr>
            <w:r>
              <w:rPr>
                <w:bCs/>
                <w:szCs w:val="21"/>
              </w:rPr>
              <w:t>837</w:t>
            </w:r>
          </w:p>
        </w:tc>
      </w:tr>
    </w:tbl>
    <w:p>
      <w:pPr>
        <w:spacing w:line="360" w:lineRule="auto"/>
        <w:jc w:val="center"/>
        <w:rPr>
          <w:rFonts w:eastAsiaTheme="minorEastAsia"/>
          <w:b/>
        </w:rPr>
      </w:pPr>
    </w:p>
    <w:p>
      <w:pPr>
        <w:spacing w:line="360" w:lineRule="auto"/>
        <w:jc w:val="center"/>
        <w:rPr>
          <w:rFonts w:eastAsiaTheme="minorEastAsia"/>
          <w:b/>
        </w:rPr>
      </w:pPr>
    </w:p>
    <w:p>
      <w:pPr>
        <w:spacing w:line="360" w:lineRule="auto"/>
        <w:jc w:val="center"/>
        <w:rPr>
          <w:rFonts w:eastAsiaTheme="minorEastAsia"/>
          <w:b/>
        </w:rPr>
      </w:pPr>
    </w:p>
    <w:p>
      <w:pPr>
        <w:spacing w:line="360" w:lineRule="auto"/>
        <w:ind w:firstLine="480" w:firstLineChars="200"/>
        <w:rPr>
          <w:rFonts w:eastAsiaTheme="minorEastAsia"/>
          <w:sz w:val="24"/>
        </w:rPr>
        <w:sectPr>
          <w:headerReference r:id="rId36" w:type="default"/>
          <w:footerReference r:id="rId37" w:type="default"/>
          <w:pgSz w:w="16838" w:h="11906" w:orient="landscape"/>
          <w:pgMar w:top="1418" w:right="1701" w:bottom="1418" w:left="1701" w:header="1134" w:footer="1134" w:gutter="0"/>
          <w:cols w:space="425" w:num="1"/>
          <w:docGrid w:type="lines" w:linePitch="312" w:charSpace="0"/>
        </w:sectPr>
      </w:pPr>
    </w:p>
    <w:p>
      <w:pPr>
        <w:pStyle w:val="2"/>
        <w:spacing w:before="0" w:after="0" w:line="360" w:lineRule="auto"/>
        <w:jc w:val="center"/>
        <w:rPr>
          <w:rFonts w:eastAsiaTheme="minorEastAsia"/>
        </w:rPr>
      </w:pPr>
      <w:bookmarkStart w:id="296" w:name="_Toc351651160"/>
      <w:bookmarkStart w:id="297" w:name="_Toc71551952"/>
      <w:bookmarkStart w:id="298" w:name="_Toc480708236"/>
      <w:r>
        <w:rPr>
          <w:rFonts w:eastAsiaTheme="minorEastAsia"/>
        </w:rPr>
        <w:t>7</w:t>
      </w:r>
      <w:bookmarkEnd w:id="296"/>
      <w:r>
        <w:rPr>
          <w:rFonts w:eastAsiaTheme="minorEastAsia"/>
        </w:rPr>
        <w:t>、环境影响经济损益分析</w:t>
      </w:r>
      <w:bookmarkEnd w:id="297"/>
      <w:bookmarkEnd w:id="298"/>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299" w:name="_Toc71551953"/>
      <w:bookmarkStart w:id="300" w:name="_Toc102590628"/>
      <w:bookmarkStart w:id="301" w:name="_Toc128296319"/>
      <w:bookmarkStart w:id="302" w:name="_Toc247937014"/>
      <w:bookmarkStart w:id="303" w:name="_Toc480708237"/>
      <w:r>
        <w:rPr>
          <w:rFonts w:ascii="Times New Roman" w:hAnsi="Times New Roman" w:eastAsiaTheme="minorEastAsia"/>
          <w:kern w:val="44"/>
          <w:sz w:val="30"/>
          <w:szCs w:val="30"/>
        </w:rPr>
        <w:t>7.1项目基本情况</w:t>
      </w:r>
      <w:bookmarkEnd w:id="299"/>
    </w:p>
    <w:p>
      <w:pPr>
        <w:spacing w:line="360" w:lineRule="auto"/>
        <w:ind w:firstLine="480" w:firstLineChars="200"/>
        <w:rPr>
          <w:rFonts w:eastAsiaTheme="minorEastAsia"/>
          <w:bCs/>
          <w:sz w:val="24"/>
        </w:rPr>
      </w:pPr>
      <w:r>
        <w:rPr>
          <w:rFonts w:hint="eastAsia" w:eastAsiaTheme="minorEastAsia"/>
          <w:sz w:val="24"/>
        </w:rPr>
        <w:t>山西煤炭运销集团新工煤业有限公司变更</w:t>
      </w:r>
      <w:r>
        <w:rPr>
          <w:rFonts w:eastAsiaTheme="minorEastAsia"/>
          <w:sz w:val="24"/>
        </w:rPr>
        <w:t>工程总投资106959.62万元，吨煤投资882.00元。</w:t>
      </w:r>
    </w:p>
    <w:bookmarkEnd w:id="300"/>
    <w:bookmarkEnd w:id="301"/>
    <w:bookmarkEnd w:id="302"/>
    <w:bookmarkEnd w:id="303"/>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04" w:name="_Toc71551954"/>
      <w:r>
        <w:rPr>
          <w:rFonts w:ascii="Times New Roman" w:hAnsi="Times New Roman" w:eastAsiaTheme="minorEastAsia"/>
          <w:kern w:val="44"/>
          <w:sz w:val="30"/>
          <w:szCs w:val="30"/>
        </w:rPr>
        <w:t>7.2环境保护工程投资分析</w:t>
      </w:r>
      <w:bookmarkEnd w:id="304"/>
    </w:p>
    <w:p>
      <w:pPr>
        <w:spacing w:line="360" w:lineRule="auto"/>
        <w:ind w:firstLine="480" w:firstLineChars="200"/>
        <w:rPr>
          <w:rFonts w:eastAsiaTheme="minorEastAsia"/>
          <w:bCs/>
          <w:sz w:val="24"/>
        </w:rPr>
      </w:pPr>
      <w:r>
        <w:rPr>
          <w:rFonts w:eastAsiaTheme="minorEastAsia"/>
          <w:bCs/>
          <w:sz w:val="24"/>
        </w:rPr>
        <w:t>建设项目环境成本</w:t>
      </w:r>
      <w:r>
        <w:rPr>
          <w:rFonts w:eastAsiaTheme="minorEastAsia"/>
          <w:sz w:val="24"/>
        </w:rPr>
        <w:t>主要</w:t>
      </w:r>
      <w:r>
        <w:rPr>
          <w:rFonts w:eastAsiaTheme="minorEastAsia"/>
          <w:bCs/>
          <w:sz w:val="24"/>
        </w:rPr>
        <w:t>包括两部分：工程环境保护措施投资和环保设施运行及管理费用（两部分费用不具有可加性）。</w:t>
      </w:r>
    </w:p>
    <w:p>
      <w:pPr>
        <w:spacing w:line="360" w:lineRule="auto"/>
        <w:ind w:firstLine="480" w:firstLineChars="200"/>
        <w:rPr>
          <w:rFonts w:eastAsiaTheme="minorEastAsia"/>
          <w:bCs/>
          <w:sz w:val="24"/>
        </w:rPr>
      </w:pPr>
      <w:r>
        <w:rPr>
          <w:rFonts w:eastAsiaTheme="minorEastAsia"/>
          <w:bCs/>
          <w:sz w:val="24"/>
        </w:rPr>
        <w:t>1、环保</w:t>
      </w:r>
      <w:r>
        <w:rPr>
          <w:rFonts w:eastAsiaTheme="minorEastAsia"/>
          <w:sz w:val="24"/>
        </w:rPr>
        <w:t>工程</w:t>
      </w:r>
      <w:r>
        <w:rPr>
          <w:rFonts w:eastAsiaTheme="minorEastAsia"/>
          <w:bCs/>
          <w:sz w:val="24"/>
        </w:rPr>
        <w:t>建设投资</w:t>
      </w:r>
    </w:p>
    <w:p>
      <w:pPr>
        <w:pStyle w:val="68"/>
        <w:rPr>
          <w:rFonts w:hAnsi="Times New Roman" w:cs="Times New Roman" w:eastAsiaTheme="minorEastAsia"/>
        </w:rPr>
      </w:pPr>
      <w:r>
        <w:rPr>
          <w:rFonts w:hAnsi="Times New Roman" w:cs="Times New Roman" w:eastAsiaTheme="minorEastAsia"/>
        </w:rPr>
        <w:t>由于项目投入运行后，所产生的污染物将会对环境产生一定的影响，为此，建设项目应采取相应的环保措施，使工程对周围环境的影响降到最低，满足建设项目环境保护管理的要求。</w:t>
      </w:r>
      <w:r>
        <w:rPr>
          <w:rFonts w:hAnsi="Times New Roman" w:cs="Times New Roman" w:eastAsiaTheme="minorEastAsia"/>
          <w:kern w:val="0"/>
        </w:rPr>
        <w:t>本工程环保投资</w:t>
      </w:r>
      <w:r>
        <w:rPr>
          <w:rFonts w:hint="eastAsia" w:hAnsi="Times New Roman" w:cs="Times New Roman" w:eastAsiaTheme="minorEastAsia"/>
          <w:kern w:val="0"/>
        </w:rPr>
        <w:t>637</w:t>
      </w:r>
      <w:r>
        <w:rPr>
          <w:rFonts w:hAnsi="Times New Roman" w:cs="Times New Roman" w:eastAsiaTheme="minorEastAsia"/>
          <w:kern w:val="0"/>
        </w:rPr>
        <w:t>万元（见表6.7-1）。</w:t>
      </w:r>
    </w:p>
    <w:p>
      <w:pPr>
        <w:spacing w:line="460" w:lineRule="exact"/>
        <w:ind w:firstLine="480" w:firstLineChars="200"/>
        <w:rPr>
          <w:rFonts w:eastAsiaTheme="minorEastAsia"/>
          <w:bCs/>
          <w:sz w:val="24"/>
        </w:rPr>
      </w:pPr>
      <w:r>
        <w:rPr>
          <w:rFonts w:eastAsiaTheme="minorEastAsia"/>
          <w:bCs/>
          <w:sz w:val="24"/>
        </w:rPr>
        <w:t>2、环保工程运行管理费用</w:t>
      </w:r>
    </w:p>
    <w:p>
      <w:pPr>
        <w:pStyle w:val="11"/>
        <w:adjustRightInd w:val="0"/>
        <w:snapToGrid w:val="0"/>
        <w:spacing w:line="460" w:lineRule="exact"/>
        <w:ind w:firstLine="496" w:firstLineChars="200"/>
        <w:rPr>
          <w:rFonts w:eastAsiaTheme="minorEastAsia"/>
          <w:b w:val="0"/>
          <w:bCs/>
        </w:rPr>
      </w:pPr>
      <w:r>
        <w:rPr>
          <w:rFonts w:eastAsiaTheme="minorEastAsia"/>
          <w:b w:val="0"/>
          <w:bCs/>
        </w:rPr>
        <w:t>环境成本是指环保工程运行管理费用C。它包括折旧费和运行费用：</w:t>
      </w:r>
    </w:p>
    <w:p>
      <w:pPr>
        <w:spacing w:line="460" w:lineRule="exact"/>
        <w:jc w:val="center"/>
        <w:rPr>
          <w:rFonts w:eastAsiaTheme="minorEastAsia"/>
          <w:sz w:val="24"/>
        </w:rPr>
      </w:pPr>
      <w:r>
        <w:rPr>
          <w:rFonts w:eastAsiaTheme="minorEastAsia"/>
          <w:sz w:val="24"/>
        </w:rPr>
        <w:t>C=C</w:t>
      </w:r>
      <w:r>
        <w:rPr>
          <w:rFonts w:eastAsiaTheme="minorEastAsia"/>
          <w:sz w:val="24"/>
          <w:vertAlign w:val="subscript"/>
        </w:rPr>
        <w:t>1</w:t>
      </w:r>
      <w:r>
        <w:rPr>
          <w:rFonts w:eastAsiaTheme="minorEastAsia"/>
          <w:sz w:val="24"/>
        </w:rPr>
        <w:t>+C</w:t>
      </w:r>
      <w:r>
        <w:rPr>
          <w:rFonts w:eastAsiaTheme="minorEastAsia"/>
          <w:sz w:val="24"/>
          <w:vertAlign w:val="subscript"/>
        </w:rPr>
        <w:t>2</w:t>
      </w:r>
    </w:p>
    <w:p>
      <w:pPr>
        <w:spacing w:line="360" w:lineRule="auto"/>
        <w:ind w:firstLine="480" w:firstLineChars="200"/>
        <w:rPr>
          <w:rFonts w:eastAsiaTheme="minorEastAsia"/>
          <w:bCs/>
          <w:sz w:val="24"/>
          <w:vertAlign w:val="subscript"/>
        </w:rPr>
      </w:pPr>
      <w:r>
        <w:rPr>
          <w:rFonts w:eastAsiaTheme="minorEastAsia"/>
          <w:bCs/>
          <w:sz w:val="24"/>
        </w:rPr>
        <w:t>（1）折旧费C</w:t>
      </w:r>
      <w:r>
        <w:rPr>
          <w:rFonts w:eastAsiaTheme="minorEastAsia"/>
          <w:bCs/>
          <w:sz w:val="24"/>
          <w:vertAlign w:val="subscript"/>
        </w:rPr>
        <w:t>1</w:t>
      </w:r>
    </w:p>
    <w:p>
      <w:pPr>
        <w:spacing w:line="360" w:lineRule="auto"/>
        <w:ind w:firstLine="480" w:firstLineChars="200"/>
        <w:rPr>
          <w:rFonts w:eastAsiaTheme="minorEastAsia"/>
          <w:bCs/>
          <w:sz w:val="24"/>
        </w:rPr>
      </w:pPr>
      <w:r>
        <w:rPr>
          <w:rFonts w:eastAsiaTheme="minorEastAsia"/>
          <w:bCs/>
          <w:sz w:val="24"/>
        </w:rPr>
        <w:t>环保设备折旧率按环保投资5%计算，费用为64.1万元/年。</w:t>
      </w:r>
    </w:p>
    <w:p>
      <w:pPr>
        <w:spacing w:line="360" w:lineRule="auto"/>
        <w:ind w:firstLine="470" w:firstLineChars="196"/>
        <w:rPr>
          <w:rFonts w:eastAsiaTheme="minorEastAsia"/>
          <w:bCs/>
          <w:sz w:val="24"/>
        </w:rPr>
      </w:pPr>
      <w:r>
        <w:rPr>
          <w:rFonts w:eastAsiaTheme="minorEastAsia"/>
          <w:bCs/>
          <w:sz w:val="24"/>
        </w:rPr>
        <w:t>（2）运行费用C</w:t>
      </w:r>
      <w:r>
        <w:rPr>
          <w:rFonts w:eastAsiaTheme="minorEastAsia"/>
          <w:bCs/>
          <w:sz w:val="24"/>
          <w:vertAlign w:val="subscript"/>
        </w:rPr>
        <w:t>2</w:t>
      </w:r>
    </w:p>
    <w:p>
      <w:pPr>
        <w:spacing w:line="360" w:lineRule="auto"/>
        <w:ind w:firstLine="470" w:firstLineChars="196"/>
        <w:rPr>
          <w:rFonts w:eastAsiaTheme="minorEastAsia"/>
          <w:bCs/>
          <w:sz w:val="24"/>
        </w:rPr>
      </w:pPr>
      <w:r>
        <w:rPr>
          <w:rFonts w:eastAsiaTheme="minorEastAsia"/>
          <w:bCs/>
          <w:sz w:val="24"/>
        </w:rPr>
        <w:t>包括设备维修费、材料消耗费、环保人员工资福利费、科研咨询费、管理费等。</w:t>
      </w:r>
    </w:p>
    <w:p>
      <w:pPr>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设备维修费取环保投资的1.5%，为19.23万元/年。</w:t>
      </w:r>
    </w:p>
    <w:p>
      <w:pPr>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材料消耗等，估算费用约为20万元/年。</w:t>
      </w:r>
    </w:p>
    <w:p>
      <w:pPr>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环保人员工资、福利费按公司职工平均工资24000元/人·年计算，由于投产后需相应专职环保人员5人，因此共计12万元/年。</w:t>
      </w:r>
    </w:p>
    <w:p>
      <w:pPr>
        <w:spacing w:line="360" w:lineRule="auto"/>
        <w:ind w:firstLine="470" w:firstLineChars="196"/>
        <w:rPr>
          <w:rFonts w:eastAsiaTheme="minorEastAsia"/>
          <w:bCs/>
          <w:sz w:val="24"/>
        </w:rPr>
      </w:pPr>
      <w:r>
        <w:rPr>
          <w:rFonts w:hint="eastAsia" w:ascii="宋体" w:hAnsi="宋体" w:cs="宋体"/>
          <w:bCs/>
          <w:sz w:val="24"/>
        </w:rPr>
        <w:t>④</w:t>
      </w:r>
      <w:r>
        <w:rPr>
          <w:rFonts w:eastAsiaTheme="minorEastAsia"/>
          <w:bCs/>
          <w:sz w:val="24"/>
        </w:rPr>
        <w:t>科研咨询费及环保设施管理费取10万元/年。</w:t>
      </w:r>
    </w:p>
    <w:p>
      <w:pPr>
        <w:spacing w:line="360" w:lineRule="auto"/>
        <w:ind w:firstLine="470" w:firstLineChars="196"/>
        <w:rPr>
          <w:rFonts w:eastAsiaTheme="minorEastAsia"/>
          <w:bCs/>
          <w:sz w:val="24"/>
        </w:rPr>
      </w:pPr>
      <w:r>
        <w:rPr>
          <w:rFonts w:eastAsiaTheme="minorEastAsia"/>
          <w:bCs/>
          <w:sz w:val="24"/>
        </w:rPr>
        <w:t>本项目的全部运行费用C</w:t>
      </w:r>
      <w:r>
        <w:rPr>
          <w:rFonts w:eastAsiaTheme="minorEastAsia"/>
          <w:bCs/>
          <w:sz w:val="24"/>
          <w:vertAlign w:val="subscript"/>
        </w:rPr>
        <w:t>2</w:t>
      </w:r>
      <w:r>
        <w:rPr>
          <w:rFonts w:eastAsiaTheme="minorEastAsia"/>
          <w:bCs/>
          <w:sz w:val="24"/>
        </w:rPr>
        <w:t>为61.23万元/年。</w:t>
      </w:r>
    </w:p>
    <w:p>
      <w:pPr>
        <w:spacing w:line="360" w:lineRule="auto"/>
        <w:ind w:firstLine="470" w:firstLineChars="196"/>
        <w:rPr>
          <w:rFonts w:eastAsiaTheme="minorEastAsia"/>
          <w:bCs/>
          <w:sz w:val="24"/>
        </w:rPr>
      </w:pPr>
      <w:r>
        <w:rPr>
          <w:rFonts w:eastAsiaTheme="minorEastAsia"/>
          <w:bCs/>
          <w:sz w:val="24"/>
        </w:rPr>
        <w:t>综上，本项目的环保工程运行管理费用为C=C</w:t>
      </w:r>
      <w:r>
        <w:rPr>
          <w:rFonts w:eastAsiaTheme="minorEastAsia"/>
          <w:bCs/>
          <w:sz w:val="24"/>
          <w:vertAlign w:val="subscript"/>
        </w:rPr>
        <w:t>1</w:t>
      </w:r>
      <w:r>
        <w:rPr>
          <w:rFonts w:eastAsiaTheme="minorEastAsia"/>
          <w:bCs/>
          <w:sz w:val="24"/>
        </w:rPr>
        <w:t>+C</w:t>
      </w:r>
      <w:r>
        <w:rPr>
          <w:rFonts w:eastAsiaTheme="minorEastAsia"/>
          <w:bCs/>
          <w:sz w:val="24"/>
          <w:vertAlign w:val="subscript"/>
        </w:rPr>
        <w:t>2</w:t>
      </w:r>
      <w:r>
        <w:rPr>
          <w:rFonts w:eastAsiaTheme="minorEastAsia"/>
          <w:bCs/>
          <w:sz w:val="24"/>
        </w:rPr>
        <w:t>=125.33万元/年。</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05" w:name="_Toc128296321"/>
      <w:bookmarkStart w:id="306" w:name="_Toc102590630"/>
      <w:bookmarkStart w:id="307" w:name="_Toc247937016"/>
      <w:bookmarkStart w:id="308" w:name="_Toc480708238"/>
      <w:bookmarkStart w:id="309" w:name="_Toc71551955"/>
      <w:r>
        <w:rPr>
          <w:rFonts w:ascii="Times New Roman" w:hAnsi="Times New Roman" w:eastAsiaTheme="minorEastAsia"/>
          <w:kern w:val="44"/>
          <w:sz w:val="30"/>
          <w:szCs w:val="30"/>
        </w:rPr>
        <w:t>7.3环境经济损益分析</w:t>
      </w:r>
      <w:bookmarkEnd w:id="305"/>
      <w:bookmarkEnd w:id="306"/>
      <w:bookmarkEnd w:id="307"/>
      <w:r>
        <w:rPr>
          <w:rFonts w:ascii="Times New Roman" w:hAnsi="Times New Roman" w:eastAsiaTheme="minorEastAsia"/>
          <w:kern w:val="44"/>
          <w:sz w:val="30"/>
          <w:szCs w:val="30"/>
        </w:rPr>
        <w:t>及评价</w:t>
      </w:r>
      <w:bookmarkEnd w:id="308"/>
      <w:bookmarkEnd w:id="309"/>
    </w:p>
    <w:p>
      <w:pPr>
        <w:pStyle w:val="4"/>
        <w:spacing w:before="0" w:after="0" w:line="360" w:lineRule="auto"/>
        <w:rPr>
          <w:rFonts w:eastAsiaTheme="minorEastAsia"/>
          <w:sz w:val="24"/>
          <w:szCs w:val="24"/>
        </w:rPr>
      </w:pPr>
      <w:r>
        <w:rPr>
          <w:rFonts w:eastAsiaTheme="minorEastAsia"/>
          <w:sz w:val="24"/>
          <w:szCs w:val="24"/>
        </w:rPr>
        <w:t>7.3.1项目建设的直接经济效益分析</w:t>
      </w:r>
    </w:p>
    <w:p>
      <w:pPr>
        <w:spacing w:line="360" w:lineRule="auto"/>
        <w:ind w:firstLine="470" w:firstLineChars="196"/>
        <w:rPr>
          <w:rFonts w:eastAsiaTheme="minorEastAsia"/>
          <w:sz w:val="24"/>
        </w:rPr>
      </w:pPr>
      <w:r>
        <w:rPr>
          <w:rFonts w:eastAsiaTheme="minorEastAsia"/>
          <w:sz w:val="24"/>
        </w:rPr>
        <w:t>本</w:t>
      </w:r>
      <w:r>
        <w:rPr>
          <w:rFonts w:eastAsiaTheme="minorEastAsia"/>
          <w:bCs/>
          <w:sz w:val="24"/>
        </w:rPr>
        <w:t>矿井</w:t>
      </w:r>
      <w:r>
        <w:rPr>
          <w:rFonts w:eastAsiaTheme="minorEastAsia"/>
          <w:sz w:val="24"/>
        </w:rPr>
        <w:t>生产规模为</w:t>
      </w:r>
      <w:r>
        <w:rPr>
          <w:rFonts w:hint="eastAsia" w:eastAsiaTheme="minorEastAsia"/>
          <w:sz w:val="24"/>
        </w:rPr>
        <w:t>120</w:t>
      </w:r>
      <w:r>
        <w:rPr>
          <w:rFonts w:eastAsiaTheme="minorEastAsia"/>
          <w:sz w:val="24"/>
        </w:rPr>
        <w:t>万吨/年，建设项目总投资106959.62万元。正常年销售收入为127319.87万元，年利润总额27664.93万元。</w:t>
      </w:r>
    </w:p>
    <w:p>
      <w:pPr>
        <w:spacing w:line="360" w:lineRule="auto"/>
        <w:ind w:firstLine="470" w:firstLineChars="196"/>
        <w:rPr>
          <w:rFonts w:eastAsiaTheme="minorEastAsia"/>
          <w:sz w:val="24"/>
        </w:rPr>
      </w:pPr>
      <w:r>
        <w:rPr>
          <w:rFonts w:eastAsiaTheme="minorEastAsia"/>
          <w:sz w:val="24"/>
        </w:rPr>
        <w:t>本项目能够</w:t>
      </w:r>
      <w:r>
        <w:rPr>
          <w:rFonts w:eastAsiaTheme="minorEastAsia"/>
          <w:bCs/>
          <w:sz w:val="24"/>
        </w:rPr>
        <w:t>取得</w:t>
      </w:r>
      <w:r>
        <w:rPr>
          <w:rFonts w:eastAsiaTheme="minorEastAsia"/>
          <w:sz w:val="24"/>
        </w:rPr>
        <w:t>一定的经济效益,说明本次设计在经济上是合理的可行的。</w:t>
      </w:r>
    </w:p>
    <w:p>
      <w:pPr>
        <w:pStyle w:val="4"/>
        <w:spacing w:before="0" w:after="0" w:line="360" w:lineRule="auto"/>
        <w:rPr>
          <w:rFonts w:eastAsiaTheme="minorEastAsia"/>
          <w:sz w:val="24"/>
          <w:szCs w:val="24"/>
        </w:rPr>
      </w:pPr>
      <w:r>
        <w:rPr>
          <w:rFonts w:eastAsiaTheme="minorEastAsia"/>
          <w:sz w:val="24"/>
          <w:szCs w:val="24"/>
        </w:rPr>
        <w:t>7.3.2环境经济效益分析</w:t>
      </w:r>
    </w:p>
    <w:p>
      <w:pPr>
        <w:spacing w:line="360" w:lineRule="auto"/>
        <w:outlineLvl w:val="3"/>
        <w:rPr>
          <w:rFonts w:eastAsiaTheme="minorEastAsia"/>
          <w:b/>
          <w:sz w:val="24"/>
        </w:rPr>
      </w:pPr>
      <w:r>
        <w:rPr>
          <w:rFonts w:eastAsiaTheme="minorEastAsia"/>
          <w:b/>
          <w:sz w:val="24"/>
        </w:rPr>
        <w:t>7.3.2.1建设项目环境代价</w:t>
      </w:r>
    </w:p>
    <w:p>
      <w:pPr>
        <w:spacing w:line="360" w:lineRule="auto"/>
        <w:ind w:firstLine="470" w:firstLineChars="196"/>
        <w:rPr>
          <w:rFonts w:eastAsiaTheme="minorEastAsia"/>
          <w:bCs/>
          <w:sz w:val="24"/>
          <w:szCs w:val="20"/>
        </w:rPr>
      </w:pPr>
      <w:r>
        <w:rPr>
          <w:rFonts w:eastAsiaTheme="minorEastAsia"/>
          <w:bCs/>
          <w:sz w:val="24"/>
          <w:szCs w:val="20"/>
        </w:rPr>
        <w:t>环境代价指工程</w:t>
      </w:r>
      <w:r>
        <w:rPr>
          <w:rFonts w:eastAsiaTheme="minorEastAsia"/>
          <w:bCs/>
          <w:sz w:val="24"/>
        </w:rPr>
        <w:t>污染</w:t>
      </w:r>
      <w:r>
        <w:rPr>
          <w:rFonts w:eastAsiaTheme="minorEastAsia"/>
          <w:bCs/>
          <w:sz w:val="24"/>
          <w:szCs w:val="20"/>
        </w:rPr>
        <w:t>和破坏造成的环境损失折算成经济价值。本次矿井延深开采下组煤建设工程投产后产生的污染对环境的经济代价按下式估算：</w:t>
      </w:r>
    </w:p>
    <w:p>
      <w:pPr>
        <w:spacing w:line="360" w:lineRule="auto"/>
        <w:ind w:firstLine="470" w:firstLineChars="196"/>
        <w:rPr>
          <w:rFonts w:eastAsiaTheme="minorEastAsia"/>
          <w:bCs/>
          <w:sz w:val="24"/>
          <w:szCs w:val="20"/>
        </w:rPr>
      </w:pPr>
      <w:r>
        <w:rPr>
          <w:rFonts w:eastAsiaTheme="minorEastAsia"/>
          <w:bCs/>
          <w:sz w:val="24"/>
          <w:szCs w:val="20"/>
        </w:rPr>
        <w:t>环境</w:t>
      </w:r>
      <w:r>
        <w:rPr>
          <w:rFonts w:eastAsiaTheme="minorEastAsia"/>
          <w:bCs/>
          <w:sz w:val="24"/>
        </w:rPr>
        <w:t>代价</w:t>
      </w:r>
      <w:r>
        <w:rPr>
          <w:rFonts w:eastAsiaTheme="minorEastAsia"/>
          <w:bCs/>
          <w:sz w:val="24"/>
          <w:szCs w:val="20"/>
        </w:rPr>
        <w:t>=A+B+C+D</w:t>
      </w:r>
    </w:p>
    <w:p>
      <w:pPr>
        <w:spacing w:line="360" w:lineRule="auto"/>
        <w:ind w:firstLine="470" w:firstLineChars="196"/>
        <w:rPr>
          <w:rFonts w:eastAsiaTheme="minorEastAsia"/>
          <w:bCs/>
          <w:sz w:val="24"/>
          <w:szCs w:val="20"/>
        </w:rPr>
      </w:pPr>
      <w:r>
        <w:rPr>
          <w:rFonts w:eastAsiaTheme="minorEastAsia"/>
          <w:bCs/>
          <w:sz w:val="24"/>
          <w:szCs w:val="20"/>
        </w:rPr>
        <w:t>式中：A 为资源和能源流失代价；</w:t>
      </w:r>
    </w:p>
    <w:p>
      <w:pPr>
        <w:spacing w:line="360" w:lineRule="auto"/>
        <w:ind w:firstLine="1188" w:firstLineChars="495"/>
        <w:rPr>
          <w:rFonts w:eastAsiaTheme="minorEastAsia"/>
          <w:bCs/>
          <w:sz w:val="24"/>
          <w:szCs w:val="20"/>
        </w:rPr>
      </w:pPr>
      <w:r>
        <w:rPr>
          <w:rFonts w:eastAsiaTheme="minorEastAsia"/>
          <w:bCs/>
          <w:sz w:val="24"/>
          <w:szCs w:val="20"/>
        </w:rPr>
        <w:t>B 为对环境生产和生活资料造成的损失代价；</w:t>
      </w:r>
    </w:p>
    <w:p>
      <w:pPr>
        <w:spacing w:line="360" w:lineRule="auto"/>
        <w:ind w:firstLine="1188" w:firstLineChars="495"/>
        <w:rPr>
          <w:rFonts w:eastAsiaTheme="minorEastAsia"/>
          <w:bCs/>
          <w:sz w:val="24"/>
          <w:szCs w:val="20"/>
        </w:rPr>
      </w:pPr>
      <w:r>
        <w:rPr>
          <w:rFonts w:eastAsiaTheme="minorEastAsia"/>
          <w:bCs/>
          <w:sz w:val="24"/>
          <w:szCs w:val="20"/>
        </w:rPr>
        <w:t>C 为对人群、动植物造成的损失代价；</w:t>
      </w:r>
    </w:p>
    <w:p>
      <w:pPr>
        <w:spacing w:line="360" w:lineRule="auto"/>
        <w:ind w:firstLine="1188" w:firstLineChars="495"/>
        <w:rPr>
          <w:rFonts w:eastAsiaTheme="minorEastAsia"/>
          <w:bCs/>
          <w:sz w:val="24"/>
          <w:szCs w:val="20"/>
        </w:rPr>
      </w:pPr>
      <w:r>
        <w:rPr>
          <w:rFonts w:eastAsiaTheme="minorEastAsia"/>
          <w:bCs/>
          <w:sz w:val="24"/>
          <w:szCs w:val="20"/>
        </w:rPr>
        <w:t>D 为</w:t>
      </w:r>
      <w:r>
        <w:rPr>
          <w:rFonts w:eastAsiaTheme="minorEastAsia"/>
          <w:bCs/>
          <w:sz w:val="24"/>
        </w:rPr>
        <w:t>生态环境</w:t>
      </w:r>
      <w:r>
        <w:rPr>
          <w:rFonts w:eastAsiaTheme="minorEastAsia"/>
          <w:bCs/>
          <w:sz w:val="24"/>
          <w:szCs w:val="20"/>
        </w:rPr>
        <w:t>造成损失代价。</w:t>
      </w:r>
    </w:p>
    <w:p>
      <w:pPr>
        <w:spacing w:line="360" w:lineRule="auto"/>
        <w:ind w:firstLine="470" w:firstLineChars="196"/>
        <w:rPr>
          <w:rFonts w:eastAsiaTheme="minorEastAsia"/>
          <w:bCs/>
          <w:sz w:val="24"/>
          <w:szCs w:val="20"/>
        </w:rPr>
      </w:pPr>
      <w:r>
        <w:rPr>
          <w:rFonts w:eastAsiaTheme="minorEastAsia"/>
          <w:bCs/>
          <w:sz w:val="24"/>
          <w:szCs w:val="20"/>
        </w:rPr>
        <w:pict>
          <v:shape id="_x0000_s17477" o:spid="_x0000_s17477" o:spt="75" type="#_x0000_t75" style="position:absolute;left:0pt;margin-left:156pt;margin-top:25.5pt;height:34pt;width:60.95pt;mso-wrap-distance-bottom:0pt;mso-wrap-distance-top:0pt;z-index:251678720;mso-width-relative:page;mso-height-relative:page;" o:ole="t" filled="f" o:preferrelative="t" stroked="f" coordsize="21600,21600">
            <v:path/>
            <v:fill on="f" focussize="0,0"/>
            <v:stroke on="f" joinstyle="miter"/>
            <v:imagedata r:id="rId124" o:title=""/>
            <o:lock v:ext="edit" aspectratio="t"/>
            <w10:wrap type="topAndBottom"/>
          </v:shape>
          <o:OLEObject Type="Embed" ProgID="Equation.3" ShapeID="_x0000_s17477" DrawAspect="Content" ObjectID="_1468075753" r:id="rId123">
            <o:LockedField>false</o:LockedField>
          </o:OLEObject>
        </w:pict>
      </w:r>
      <w:r>
        <w:rPr>
          <w:rFonts w:eastAsiaTheme="minorEastAsia"/>
          <w:bCs/>
          <w:sz w:val="24"/>
          <w:szCs w:val="20"/>
        </w:rPr>
        <w:t>（1）</w:t>
      </w:r>
      <w:r>
        <w:rPr>
          <w:rFonts w:eastAsiaTheme="minorEastAsia"/>
          <w:bCs/>
          <w:sz w:val="24"/>
        </w:rPr>
        <w:t>资源</w:t>
      </w:r>
      <w:r>
        <w:rPr>
          <w:rFonts w:eastAsiaTheme="minorEastAsia"/>
          <w:bCs/>
          <w:sz w:val="24"/>
          <w:szCs w:val="20"/>
        </w:rPr>
        <w:t>和能源流失代价（A）</w:t>
      </w:r>
    </w:p>
    <w:p>
      <w:pPr>
        <w:spacing w:line="360" w:lineRule="auto"/>
        <w:ind w:firstLine="470" w:firstLineChars="196"/>
        <w:rPr>
          <w:rFonts w:eastAsiaTheme="minorEastAsia"/>
          <w:bCs/>
          <w:sz w:val="24"/>
          <w:szCs w:val="20"/>
        </w:rPr>
      </w:pPr>
      <w:r>
        <w:rPr>
          <w:rFonts w:eastAsiaTheme="minorEastAsia"/>
          <w:bCs/>
          <w:sz w:val="24"/>
          <w:szCs w:val="20"/>
        </w:rPr>
        <w:t>式中：Q</w:t>
      </w:r>
      <w:r>
        <w:rPr>
          <w:rFonts w:eastAsiaTheme="minorEastAsia"/>
          <w:bCs/>
          <w:sz w:val="24"/>
          <w:szCs w:val="20"/>
          <w:vertAlign w:val="subscript"/>
        </w:rPr>
        <w:t>i</w:t>
      </w:r>
      <w:r>
        <w:rPr>
          <w:rFonts w:eastAsiaTheme="minorEastAsia"/>
          <w:bCs/>
          <w:sz w:val="24"/>
          <w:szCs w:val="20"/>
        </w:rPr>
        <w:t>——</w:t>
      </w:r>
      <w:r>
        <w:rPr>
          <w:rFonts w:eastAsiaTheme="minorEastAsia"/>
          <w:bCs/>
          <w:sz w:val="24"/>
        </w:rPr>
        <w:t>某种</w:t>
      </w:r>
      <w:r>
        <w:rPr>
          <w:rFonts w:eastAsiaTheme="minorEastAsia"/>
          <w:bCs/>
          <w:sz w:val="24"/>
          <w:szCs w:val="20"/>
        </w:rPr>
        <w:t>排放物年累计量；</w:t>
      </w:r>
    </w:p>
    <w:p>
      <w:pPr>
        <w:spacing w:line="360" w:lineRule="auto"/>
        <w:ind w:firstLine="1188" w:firstLineChars="495"/>
        <w:rPr>
          <w:rFonts w:eastAsiaTheme="minorEastAsia"/>
          <w:bCs/>
          <w:sz w:val="24"/>
          <w:szCs w:val="20"/>
        </w:rPr>
      </w:pPr>
      <w:r>
        <w:rPr>
          <w:rFonts w:eastAsiaTheme="minorEastAsia"/>
          <w:bCs/>
          <w:sz w:val="24"/>
          <w:szCs w:val="20"/>
        </w:rPr>
        <w:t>Pi——</w:t>
      </w:r>
      <w:r>
        <w:rPr>
          <w:rFonts w:eastAsiaTheme="minorEastAsia"/>
          <w:bCs/>
          <w:sz w:val="24"/>
        </w:rPr>
        <w:t>排放物</w:t>
      </w:r>
      <w:r>
        <w:rPr>
          <w:rFonts w:eastAsiaTheme="minorEastAsia"/>
          <w:bCs/>
          <w:sz w:val="24"/>
          <w:szCs w:val="20"/>
        </w:rPr>
        <w:t>作为资源、能源的价格。</w:t>
      </w:r>
    </w:p>
    <w:p>
      <w:pPr>
        <w:spacing w:line="360" w:lineRule="auto"/>
        <w:ind w:firstLine="470" w:firstLineChars="196"/>
        <w:rPr>
          <w:rFonts w:eastAsiaTheme="minorEastAsia"/>
          <w:bCs/>
          <w:sz w:val="24"/>
          <w:szCs w:val="20"/>
        </w:rPr>
      </w:pPr>
      <w:r>
        <w:rPr>
          <w:rFonts w:eastAsiaTheme="minorEastAsia"/>
          <w:bCs/>
          <w:sz w:val="24"/>
          <w:szCs w:val="20"/>
        </w:rPr>
        <w:t>结合项目特点，本部分主要分析估算外排的污染物中资源价值较高的污染物流失的损失代价，主要是水资源的流失。</w:t>
      </w:r>
    </w:p>
    <w:p>
      <w:pPr>
        <w:spacing w:line="360" w:lineRule="auto"/>
        <w:ind w:firstLine="486" w:firstLineChars="196"/>
        <w:rPr>
          <w:rFonts w:eastAsiaTheme="minorEastAsia"/>
          <w:bCs/>
          <w:spacing w:val="4"/>
          <w:sz w:val="24"/>
          <w:szCs w:val="20"/>
        </w:rPr>
      </w:pPr>
      <w:r>
        <w:rPr>
          <w:rFonts w:eastAsiaTheme="minorEastAsia"/>
          <w:bCs/>
          <w:spacing w:val="4"/>
          <w:sz w:val="24"/>
          <w:szCs w:val="20"/>
        </w:rPr>
        <w:t>（2）生产</w:t>
      </w:r>
      <w:r>
        <w:rPr>
          <w:rFonts w:eastAsiaTheme="minorEastAsia"/>
          <w:bCs/>
          <w:sz w:val="24"/>
        </w:rPr>
        <w:t>生活资料</w:t>
      </w:r>
      <w:r>
        <w:rPr>
          <w:rFonts w:eastAsiaTheme="minorEastAsia"/>
          <w:bCs/>
          <w:spacing w:val="4"/>
          <w:sz w:val="24"/>
          <w:szCs w:val="20"/>
        </w:rPr>
        <w:t>损失代价（B）</w:t>
      </w:r>
    </w:p>
    <w:p>
      <w:pPr>
        <w:spacing w:line="360" w:lineRule="auto"/>
        <w:ind w:firstLine="470" w:firstLineChars="196"/>
        <w:rPr>
          <w:rFonts w:eastAsiaTheme="minorEastAsia"/>
          <w:bCs/>
          <w:sz w:val="24"/>
        </w:rPr>
      </w:pPr>
      <w:r>
        <w:rPr>
          <w:rFonts w:eastAsiaTheme="minorEastAsia"/>
          <w:bCs/>
          <w:sz w:val="24"/>
        </w:rPr>
        <w:t>主要包括地表沉陷和排污损失费。</w:t>
      </w:r>
    </w:p>
    <w:p>
      <w:pPr>
        <w:spacing w:line="360" w:lineRule="auto"/>
        <w:ind w:firstLine="470" w:firstLineChars="196"/>
        <w:rPr>
          <w:rFonts w:eastAsiaTheme="minorEastAsia"/>
          <w:sz w:val="24"/>
        </w:rPr>
      </w:pPr>
      <w:r>
        <w:rPr>
          <w:rFonts w:eastAsiaTheme="minorEastAsia"/>
          <w:sz w:val="24"/>
        </w:rPr>
        <w:t>（1）地表沉陷</w:t>
      </w:r>
      <w:r>
        <w:rPr>
          <w:rFonts w:eastAsiaTheme="minorEastAsia"/>
          <w:bCs/>
          <w:sz w:val="24"/>
        </w:rPr>
        <w:t>造成</w:t>
      </w:r>
      <w:r>
        <w:rPr>
          <w:rFonts w:eastAsiaTheme="minorEastAsia"/>
          <w:sz w:val="24"/>
        </w:rPr>
        <w:t>的损失费用</w:t>
      </w:r>
    </w:p>
    <w:p>
      <w:pPr>
        <w:spacing w:line="360" w:lineRule="auto"/>
        <w:ind w:firstLine="470" w:firstLineChars="196"/>
        <w:rPr>
          <w:rFonts w:eastAsiaTheme="minorEastAsia"/>
          <w:sz w:val="24"/>
        </w:rPr>
      </w:pPr>
      <w:r>
        <w:rPr>
          <w:rFonts w:eastAsiaTheme="minorEastAsia"/>
          <w:sz w:val="24"/>
        </w:rPr>
        <w:t>该矿井生产能力为</w:t>
      </w:r>
      <w:r>
        <w:rPr>
          <w:rFonts w:eastAsiaTheme="minorEastAsia"/>
          <w:bCs/>
          <w:sz w:val="24"/>
        </w:rPr>
        <w:t>600万t</w:t>
      </w:r>
      <w:r>
        <w:rPr>
          <w:rFonts w:eastAsiaTheme="minorEastAsia"/>
          <w:sz w:val="24"/>
        </w:rPr>
        <w:t>/a，每年因地表塌陷造成的补偿费用按2元/吨计，总损失费用为：6000000吨/年×2元/吨=1200万元</w:t>
      </w:r>
    </w:p>
    <w:p>
      <w:pPr>
        <w:spacing w:line="360" w:lineRule="auto"/>
        <w:ind w:firstLine="470" w:firstLineChars="196"/>
        <w:rPr>
          <w:rFonts w:eastAsiaTheme="minorEastAsia"/>
          <w:bCs/>
          <w:sz w:val="24"/>
        </w:rPr>
      </w:pPr>
      <w:r>
        <w:rPr>
          <w:rFonts w:eastAsiaTheme="minorEastAsia"/>
          <w:bCs/>
          <w:sz w:val="24"/>
        </w:rPr>
        <w:t>（2）排污损失费</w:t>
      </w:r>
    </w:p>
    <w:p>
      <w:pPr>
        <w:spacing w:line="360" w:lineRule="auto"/>
        <w:ind w:firstLine="470" w:firstLineChars="196"/>
        <w:rPr>
          <w:rFonts w:eastAsiaTheme="minorEastAsia"/>
          <w:sz w:val="24"/>
        </w:rPr>
      </w:pPr>
      <w:r>
        <w:rPr>
          <w:rFonts w:eastAsiaTheme="minorEastAsia"/>
          <w:sz w:val="24"/>
        </w:rPr>
        <w:t>本项目虽可以做到达标排放，但排污量较大，需缴纳一定的排污费，按254万元/年估算。另外对生产生活资料其它损失代价按照15万元/年估算。</w:t>
      </w:r>
    </w:p>
    <w:p>
      <w:pPr>
        <w:spacing w:line="360" w:lineRule="auto"/>
        <w:ind w:firstLine="470" w:firstLineChars="196"/>
        <w:rPr>
          <w:rFonts w:eastAsiaTheme="minorEastAsia"/>
          <w:sz w:val="24"/>
        </w:rPr>
      </w:pPr>
      <w:r>
        <w:rPr>
          <w:rFonts w:eastAsiaTheme="minorEastAsia"/>
          <w:sz w:val="24"/>
        </w:rPr>
        <w:t>因此生产生活资料损失代价为1469万元/年。</w:t>
      </w:r>
    </w:p>
    <w:p>
      <w:pPr>
        <w:spacing w:line="360" w:lineRule="auto"/>
        <w:ind w:firstLine="470" w:firstLineChars="196"/>
        <w:rPr>
          <w:rFonts w:eastAsiaTheme="minorEastAsia"/>
          <w:bCs/>
          <w:sz w:val="24"/>
        </w:rPr>
      </w:pPr>
      <w:r>
        <w:rPr>
          <w:rFonts w:eastAsiaTheme="minorEastAsia"/>
          <w:bCs/>
          <w:sz w:val="24"/>
        </w:rPr>
        <w:t>3）人群、动植物损失</w:t>
      </w:r>
      <w:r>
        <w:rPr>
          <w:rFonts w:eastAsiaTheme="minorEastAsia"/>
          <w:sz w:val="24"/>
        </w:rPr>
        <w:t>代价</w:t>
      </w:r>
      <w:r>
        <w:rPr>
          <w:rFonts w:eastAsiaTheme="minorEastAsia"/>
          <w:bCs/>
          <w:sz w:val="24"/>
        </w:rPr>
        <w:t>（C）</w:t>
      </w:r>
    </w:p>
    <w:p>
      <w:pPr>
        <w:spacing w:line="360" w:lineRule="auto"/>
        <w:ind w:firstLine="470" w:firstLineChars="196"/>
        <w:rPr>
          <w:rFonts w:eastAsiaTheme="minorEastAsia"/>
          <w:bCs/>
          <w:sz w:val="24"/>
        </w:rPr>
      </w:pPr>
      <w:r>
        <w:rPr>
          <w:rFonts w:eastAsiaTheme="minorEastAsia"/>
          <w:bCs/>
          <w:sz w:val="24"/>
        </w:rPr>
        <w:t>按照本报告书规定的环保措施和环境要素的影响评价结构，结合当地自然、社会环境现状，项目在采取相应的环境保护措施后对人群和动植物影响较小，故此项忽略，有关的补偿费用计入项目建设的环保投资。</w:t>
      </w:r>
    </w:p>
    <w:p>
      <w:pPr>
        <w:spacing w:line="360" w:lineRule="auto"/>
        <w:ind w:firstLine="470" w:firstLineChars="196"/>
        <w:rPr>
          <w:rFonts w:eastAsiaTheme="minorEastAsia"/>
          <w:bCs/>
          <w:sz w:val="24"/>
        </w:rPr>
      </w:pPr>
      <w:r>
        <w:rPr>
          <w:rFonts w:eastAsiaTheme="minorEastAsia"/>
          <w:bCs/>
          <w:sz w:val="24"/>
        </w:rPr>
        <w:t>综上所述，本项目环境代价为2594万元/年。</w:t>
      </w:r>
    </w:p>
    <w:p>
      <w:pPr>
        <w:spacing w:line="360" w:lineRule="auto"/>
        <w:outlineLvl w:val="3"/>
        <w:rPr>
          <w:rFonts w:eastAsiaTheme="minorEastAsia"/>
          <w:b/>
          <w:sz w:val="24"/>
        </w:rPr>
      </w:pPr>
      <w:r>
        <w:rPr>
          <w:rFonts w:eastAsiaTheme="minorEastAsia"/>
          <w:b/>
          <w:sz w:val="24"/>
        </w:rPr>
        <w:t>7.3.2.2环境经济损益分析</w:t>
      </w:r>
    </w:p>
    <w:p>
      <w:pPr>
        <w:spacing w:line="360" w:lineRule="auto"/>
        <w:ind w:firstLine="470" w:firstLineChars="196"/>
        <w:rPr>
          <w:rFonts w:eastAsiaTheme="minorEastAsia"/>
          <w:bCs/>
          <w:sz w:val="24"/>
        </w:rPr>
      </w:pPr>
      <w:r>
        <w:rPr>
          <w:rFonts w:eastAsiaTheme="minorEastAsia"/>
          <w:bCs/>
          <w:sz w:val="24"/>
        </w:rPr>
        <w:t>1、环保建设费用占总建设投资比例</w:t>
      </w:r>
    </w:p>
    <w:p>
      <w:pPr>
        <w:spacing w:line="460" w:lineRule="exact"/>
        <w:ind w:firstLine="600" w:firstLineChars="250"/>
        <w:rPr>
          <w:rFonts w:eastAsiaTheme="minorEastAsia"/>
          <w:sz w:val="24"/>
        </w:rPr>
      </w:pPr>
      <w:r>
        <w:rPr>
          <w:rFonts w:eastAsiaTheme="minorEastAsia"/>
          <w:sz w:val="24"/>
        </w:rPr>
        <w:t>环保建设费用       1282</w:t>
      </w:r>
    </w:p>
    <w:p>
      <w:pPr>
        <w:spacing w:line="460" w:lineRule="exact"/>
        <w:ind w:firstLine="540" w:firstLineChars="225"/>
        <w:rPr>
          <w:rFonts w:eastAsiaTheme="minorEastAsia"/>
          <w:sz w:val="24"/>
        </w:rPr>
      </w:pPr>
      <w:r>
        <w:rPr>
          <w:rFonts w:eastAsiaTheme="minorEastAsia"/>
          <w:sz w:val="24"/>
        </w:rPr>
        <w:t>———————＝—————×100%＝0.51%</w:t>
      </w:r>
    </w:p>
    <w:p>
      <w:pPr>
        <w:spacing w:line="460" w:lineRule="exact"/>
        <w:ind w:firstLine="960" w:firstLineChars="400"/>
        <w:rPr>
          <w:rFonts w:eastAsiaTheme="minorEastAsia"/>
          <w:bCs/>
          <w:spacing w:val="4"/>
          <w:szCs w:val="21"/>
        </w:rPr>
      </w:pPr>
      <w:r>
        <w:rPr>
          <w:rFonts w:eastAsiaTheme="minorEastAsia"/>
          <w:sz w:val="24"/>
        </w:rPr>
        <w:t>总投资          249702</w:t>
      </w:r>
    </w:p>
    <w:p>
      <w:pPr>
        <w:spacing w:line="460" w:lineRule="exact"/>
        <w:ind w:firstLine="992" w:firstLineChars="400"/>
        <w:rPr>
          <w:rFonts w:eastAsiaTheme="minorEastAsia"/>
          <w:bCs/>
          <w:spacing w:val="4"/>
          <w:sz w:val="24"/>
          <w:szCs w:val="20"/>
        </w:rPr>
      </w:pPr>
      <w:r>
        <w:rPr>
          <w:rFonts w:eastAsiaTheme="minorEastAsia"/>
          <w:bCs/>
          <w:spacing w:val="4"/>
          <w:sz w:val="24"/>
          <w:szCs w:val="20"/>
        </w:rPr>
        <w:t>2、环境</w:t>
      </w:r>
      <w:r>
        <w:rPr>
          <w:rFonts w:eastAsiaTheme="minorEastAsia"/>
          <w:bCs/>
          <w:sz w:val="24"/>
        </w:rPr>
        <w:t>成本</w:t>
      </w:r>
      <w:r>
        <w:rPr>
          <w:rFonts w:eastAsiaTheme="minorEastAsia"/>
          <w:bCs/>
          <w:spacing w:val="4"/>
          <w:sz w:val="24"/>
          <w:szCs w:val="20"/>
        </w:rPr>
        <w:t>比率</w:t>
      </w:r>
    </w:p>
    <w:p>
      <w:pPr>
        <w:spacing w:line="360" w:lineRule="auto"/>
        <w:ind w:firstLine="486" w:firstLineChars="196"/>
        <w:rPr>
          <w:rFonts w:eastAsiaTheme="minorEastAsia"/>
          <w:bCs/>
          <w:spacing w:val="4"/>
          <w:sz w:val="24"/>
          <w:szCs w:val="20"/>
        </w:rPr>
      </w:pPr>
      <w:r>
        <w:rPr>
          <w:rFonts w:eastAsiaTheme="minorEastAsia"/>
          <w:bCs/>
          <w:spacing w:val="4"/>
          <w:sz w:val="24"/>
          <w:szCs w:val="20"/>
        </w:rPr>
        <w:t>环境成本</w:t>
      </w:r>
      <w:r>
        <w:rPr>
          <w:rFonts w:eastAsiaTheme="minorEastAsia"/>
          <w:bCs/>
          <w:sz w:val="24"/>
        </w:rPr>
        <w:t>比率</w:t>
      </w:r>
      <w:r>
        <w:rPr>
          <w:rFonts w:eastAsiaTheme="minorEastAsia"/>
          <w:bCs/>
          <w:spacing w:val="4"/>
          <w:sz w:val="24"/>
          <w:szCs w:val="20"/>
        </w:rPr>
        <w:t>是指工程单位工程总经济效益所需的环保运行管理费用：</w:t>
      </w:r>
    </w:p>
    <w:p>
      <w:pPr>
        <w:spacing w:line="460" w:lineRule="exact"/>
        <w:ind w:firstLine="2160" w:firstLineChars="900"/>
        <w:rPr>
          <w:rFonts w:eastAsiaTheme="minorEastAsia"/>
          <w:sz w:val="24"/>
        </w:rPr>
      </w:pPr>
      <w:r>
        <w:rPr>
          <w:rFonts w:eastAsiaTheme="minorEastAsia"/>
          <w:sz w:val="24"/>
        </w:rPr>
        <w:t xml:space="preserve">环保运行管理费用    </w:t>
      </w:r>
      <w:r>
        <w:rPr>
          <w:rFonts w:eastAsiaTheme="minorEastAsia"/>
          <w:bCs/>
          <w:sz w:val="24"/>
        </w:rPr>
        <w:t>199.73</w:t>
      </w:r>
    </w:p>
    <w:p>
      <w:pPr>
        <w:spacing w:line="460" w:lineRule="exact"/>
        <w:ind w:firstLine="540" w:firstLineChars="225"/>
        <w:rPr>
          <w:rFonts w:eastAsiaTheme="minorEastAsia"/>
          <w:sz w:val="24"/>
        </w:rPr>
      </w:pPr>
      <w:r>
        <w:rPr>
          <w:rFonts w:eastAsiaTheme="minorEastAsia"/>
          <w:sz w:val="24"/>
        </w:rPr>
        <w:t>环境成本比率=—————————＝—————×100%＝0.72%</w:t>
      </w:r>
    </w:p>
    <w:p>
      <w:pPr>
        <w:spacing w:line="460" w:lineRule="exact"/>
        <w:ind w:firstLine="2280" w:firstLineChars="950"/>
        <w:rPr>
          <w:rFonts w:eastAsiaTheme="minorEastAsia"/>
          <w:sz w:val="24"/>
        </w:rPr>
      </w:pPr>
      <w:r>
        <w:rPr>
          <w:rFonts w:eastAsiaTheme="minorEastAsia"/>
          <w:sz w:val="24"/>
        </w:rPr>
        <w:t>工程总经济效益     27664.93</w:t>
      </w:r>
    </w:p>
    <w:p>
      <w:pPr>
        <w:spacing w:line="360" w:lineRule="auto"/>
        <w:ind w:firstLine="486" w:firstLineChars="196"/>
        <w:rPr>
          <w:rFonts w:eastAsiaTheme="minorEastAsia"/>
          <w:bCs/>
          <w:spacing w:val="4"/>
          <w:sz w:val="24"/>
          <w:szCs w:val="20"/>
        </w:rPr>
      </w:pPr>
      <w:r>
        <w:rPr>
          <w:rFonts w:eastAsiaTheme="minorEastAsia"/>
          <w:bCs/>
          <w:spacing w:val="4"/>
          <w:sz w:val="24"/>
          <w:szCs w:val="20"/>
        </w:rPr>
        <w:t>3、环境</w:t>
      </w:r>
      <w:r>
        <w:rPr>
          <w:rFonts w:eastAsiaTheme="minorEastAsia"/>
          <w:bCs/>
          <w:sz w:val="24"/>
        </w:rPr>
        <w:t>投资</w:t>
      </w:r>
      <w:r>
        <w:rPr>
          <w:rFonts w:eastAsiaTheme="minorEastAsia"/>
          <w:bCs/>
          <w:spacing w:val="4"/>
          <w:sz w:val="24"/>
          <w:szCs w:val="20"/>
        </w:rPr>
        <w:t>效益</w:t>
      </w:r>
    </w:p>
    <w:p>
      <w:pPr>
        <w:spacing w:line="360" w:lineRule="auto"/>
        <w:ind w:firstLine="486" w:firstLineChars="196"/>
        <w:rPr>
          <w:rFonts w:eastAsiaTheme="minorEastAsia"/>
          <w:bCs/>
          <w:spacing w:val="4"/>
          <w:sz w:val="24"/>
          <w:szCs w:val="20"/>
        </w:rPr>
      </w:pPr>
      <w:r>
        <w:rPr>
          <w:rFonts w:eastAsiaTheme="minorEastAsia"/>
          <w:bCs/>
          <w:spacing w:val="4"/>
          <w:sz w:val="24"/>
          <w:szCs w:val="20"/>
        </w:rPr>
        <w:t>环境投资效益是指环境经济效益与环保运行管理费用的比值：</w:t>
      </w:r>
    </w:p>
    <w:p>
      <w:pPr>
        <w:spacing w:line="460" w:lineRule="exact"/>
        <w:ind w:firstLine="2160" w:firstLineChars="900"/>
        <w:rPr>
          <w:rFonts w:eastAsiaTheme="minorEastAsia"/>
          <w:sz w:val="24"/>
        </w:rPr>
      </w:pPr>
      <w:r>
        <w:rPr>
          <w:rFonts w:eastAsiaTheme="minorEastAsia"/>
          <w:sz w:val="24"/>
        </w:rPr>
        <w:t xml:space="preserve">   环境经济效益       </w:t>
      </w:r>
      <w:r>
        <w:rPr>
          <w:rFonts w:eastAsiaTheme="minorEastAsia"/>
          <w:bCs/>
          <w:sz w:val="24"/>
        </w:rPr>
        <w:t>2594</w:t>
      </w:r>
    </w:p>
    <w:p>
      <w:pPr>
        <w:spacing w:line="460" w:lineRule="exact"/>
        <w:ind w:firstLine="540" w:firstLineChars="225"/>
        <w:rPr>
          <w:rFonts w:eastAsiaTheme="minorEastAsia"/>
          <w:sz w:val="24"/>
        </w:rPr>
      </w:pPr>
      <w:r>
        <w:rPr>
          <w:rFonts w:eastAsiaTheme="minorEastAsia"/>
          <w:sz w:val="24"/>
        </w:rPr>
        <w:t>环境投资效益=—————————＝————×100%＝206.97%</w:t>
      </w:r>
    </w:p>
    <w:p>
      <w:pPr>
        <w:spacing w:line="460" w:lineRule="exact"/>
        <w:ind w:firstLine="2280" w:firstLineChars="950"/>
        <w:rPr>
          <w:rFonts w:eastAsiaTheme="minorEastAsia"/>
          <w:sz w:val="24"/>
        </w:rPr>
      </w:pPr>
      <w:r>
        <w:rPr>
          <w:rFonts w:eastAsiaTheme="minorEastAsia"/>
          <w:sz w:val="24"/>
        </w:rPr>
        <w:t xml:space="preserve">环保运行管理费用    </w:t>
      </w:r>
      <w:r>
        <w:rPr>
          <w:rFonts w:eastAsiaTheme="minorEastAsia"/>
          <w:bCs/>
          <w:sz w:val="24"/>
        </w:rPr>
        <w:t>125.33</w:t>
      </w:r>
    </w:p>
    <w:p>
      <w:pPr>
        <w:pStyle w:val="4"/>
        <w:spacing w:before="0" w:after="0" w:line="360" w:lineRule="auto"/>
        <w:rPr>
          <w:rFonts w:eastAsiaTheme="minorEastAsia"/>
          <w:sz w:val="24"/>
          <w:szCs w:val="24"/>
        </w:rPr>
      </w:pPr>
      <w:bookmarkStart w:id="310" w:name="_Toc102590631"/>
      <w:bookmarkStart w:id="311" w:name="_Toc247937017"/>
      <w:bookmarkStart w:id="312" w:name="_Toc128296322"/>
      <w:r>
        <w:rPr>
          <w:rFonts w:eastAsiaTheme="minorEastAsia"/>
          <w:sz w:val="24"/>
          <w:szCs w:val="24"/>
        </w:rPr>
        <w:t>7.3.3小结</w:t>
      </w:r>
      <w:bookmarkEnd w:id="310"/>
      <w:bookmarkEnd w:id="311"/>
      <w:bookmarkEnd w:id="312"/>
    </w:p>
    <w:p>
      <w:pPr>
        <w:spacing w:line="360" w:lineRule="auto"/>
        <w:ind w:firstLine="470" w:firstLineChars="196"/>
        <w:rPr>
          <w:rFonts w:eastAsiaTheme="minorEastAsia"/>
          <w:bCs/>
          <w:sz w:val="24"/>
        </w:rPr>
      </w:pPr>
      <w:r>
        <w:rPr>
          <w:rFonts w:hint="eastAsia" w:eastAsiaTheme="minorEastAsia"/>
          <w:bCs/>
          <w:sz w:val="24"/>
        </w:rPr>
        <w:t>山西煤炭运销集团新工煤业有限公司120万</w:t>
      </w:r>
      <w:r>
        <w:rPr>
          <w:rFonts w:eastAsiaTheme="minorEastAsia"/>
          <w:bCs/>
          <w:sz w:val="24"/>
        </w:rPr>
        <w:t>t/a</w:t>
      </w:r>
      <w:r>
        <w:rPr>
          <w:rFonts w:hint="eastAsia" w:eastAsiaTheme="minorEastAsia"/>
          <w:bCs/>
          <w:sz w:val="24"/>
        </w:rPr>
        <w:t>矿井兼并重组整合项目变更通过</w:t>
      </w:r>
      <w:r>
        <w:rPr>
          <w:rFonts w:eastAsiaTheme="minorEastAsia"/>
          <w:bCs/>
          <w:sz w:val="24"/>
        </w:rPr>
        <w:t>采用较先进的设备和技术。项目通过采取严格的环境保护措施，节约了</w:t>
      </w:r>
      <w:r>
        <w:rPr>
          <w:rFonts w:eastAsiaTheme="minorEastAsia"/>
          <w:bCs/>
          <w:spacing w:val="4"/>
          <w:sz w:val="24"/>
          <w:szCs w:val="20"/>
        </w:rPr>
        <w:t>能源消耗</w:t>
      </w:r>
      <w:r>
        <w:rPr>
          <w:rFonts w:eastAsiaTheme="minorEastAsia"/>
          <w:bCs/>
          <w:sz w:val="24"/>
        </w:rPr>
        <w:t>、减少了污染物排放、降低了生产成本，促进了地方经济的发展，具有良好的社会效益。本项目市场前景良好、具有较好的赢利能力、清偿能力和抗风险能力，因此从经济上本项目是可行的。本项目实施过程中加强了对环保工程设施的投资力度，但是在建设和运行中仍不可避免会对周围群众的生产生活带来一定的影响，因此，企业在施工和运行阶段必须严格落实环评提出的各项环保措施。</w:t>
      </w:r>
    </w:p>
    <w:p>
      <w:pPr>
        <w:spacing w:line="360" w:lineRule="auto"/>
        <w:ind w:firstLine="470" w:firstLineChars="196"/>
        <w:rPr>
          <w:rFonts w:eastAsiaTheme="minorEastAsia"/>
          <w:bCs/>
          <w:sz w:val="24"/>
        </w:rPr>
      </w:pPr>
      <w:r>
        <w:rPr>
          <w:rFonts w:eastAsiaTheme="minorEastAsia"/>
          <w:bCs/>
          <w:sz w:val="24"/>
        </w:rPr>
        <w:t>本项目从</w:t>
      </w:r>
      <w:r>
        <w:rPr>
          <w:rFonts w:eastAsiaTheme="minorEastAsia"/>
          <w:bCs/>
          <w:spacing w:val="4"/>
          <w:sz w:val="24"/>
          <w:szCs w:val="20"/>
        </w:rPr>
        <w:t>环境影响</w:t>
      </w:r>
      <w:r>
        <w:rPr>
          <w:rFonts w:eastAsiaTheme="minorEastAsia"/>
          <w:bCs/>
          <w:sz w:val="24"/>
        </w:rPr>
        <w:t>损益角度看，采取了相应的环保治理措施后，所有的资源、能源均得到了很好的利用。本项目建成后，污染治理设施的运行基本可以做到保本运行，在减轻环境污染的同时还可取得经济效益。这完全符合我国环境保护管理工作一贯坚持的经济效益、社会效益和环境效益三统一的原则，同时也符合经济与环境协调持续发展的基本原则。</w:t>
      </w:r>
    </w:p>
    <w:p>
      <w:pPr>
        <w:spacing w:line="360" w:lineRule="auto"/>
        <w:ind w:firstLine="470" w:firstLineChars="196"/>
        <w:rPr>
          <w:rFonts w:eastAsiaTheme="minorEastAsia"/>
          <w:sz w:val="24"/>
        </w:rPr>
        <w:sectPr>
          <w:headerReference r:id="rId40" w:type="first"/>
          <w:footerReference r:id="rId43" w:type="first"/>
          <w:headerReference r:id="rId38" w:type="default"/>
          <w:footerReference r:id="rId41" w:type="default"/>
          <w:headerReference r:id="rId39" w:type="even"/>
          <w:footerReference r:id="rId42" w:type="even"/>
          <w:pgSz w:w="11906" w:h="16838"/>
          <w:pgMar w:top="1701" w:right="1418" w:bottom="1701" w:left="1418" w:header="1134" w:footer="992" w:gutter="0"/>
          <w:cols w:space="720" w:num="1"/>
          <w:docGrid w:type="lines" w:linePitch="312" w:charSpace="0"/>
        </w:sectPr>
      </w:pPr>
      <w:r>
        <w:rPr>
          <w:rFonts w:eastAsiaTheme="minorEastAsia"/>
          <w:sz w:val="24"/>
        </w:rPr>
        <w:t>综上所述，本</w:t>
      </w:r>
      <w:r>
        <w:rPr>
          <w:rFonts w:eastAsiaTheme="minorEastAsia"/>
          <w:bCs/>
          <w:spacing w:val="4"/>
          <w:sz w:val="24"/>
          <w:szCs w:val="20"/>
        </w:rPr>
        <w:t>建设</w:t>
      </w:r>
      <w:r>
        <w:rPr>
          <w:rFonts w:eastAsiaTheme="minorEastAsia"/>
          <w:sz w:val="24"/>
        </w:rPr>
        <w:t>工程在经济效益、社会效益和环境效益三个方面均是可行的。</w:t>
      </w:r>
    </w:p>
    <w:p>
      <w:pPr>
        <w:pStyle w:val="2"/>
        <w:spacing w:before="0" w:after="0" w:line="360" w:lineRule="auto"/>
        <w:jc w:val="center"/>
        <w:rPr>
          <w:rFonts w:eastAsiaTheme="minorEastAsia"/>
        </w:rPr>
      </w:pPr>
      <w:bookmarkStart w:id="313" w:name="_Toc316653471"/>
      <w:bookmarkStart w:id="314" w:name="_Toc247942291"/>
      <w:bookmarkStart w:id="315" w:name="_Toc480708239"/>
      <w:bookmarkStart w:id="316" w:name="_Toc71551956"/>
      <w:r>
        <w:rPr>
          <w:rFonts w:eastAsiaTheme="minorEastAsia"/>
        </w:rPr>
        <w:t>8</w:t>
      </w:r>
      <w:bookmarkEnd w:id="313"/>
      <w:bookmarkEnd w:id="314"/>
      <w:r>
        <w:rPr>
          <w:rFonts w:eastAsiaTheme="minorEastAsia"/>
        </w:rPr>
        <w:t>、环境管理与监测计划</w:t>
      </w:r>
      <w:bookmarkEnd w:id="315"/>
      <w:bookmarkEnd w:id="316"/>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17" w:name="_Toc71551957"/>
      <w:bookmarkStart w:id="318" w:name="_Toc498088090"/>
      <w:r>
        <w:rPr>
          <w:rFonts w:ascii="Times New Roman" w:hAnsi="Times New Roman" w:eastAsiaTheme="minorEastAsia"/>
          <w:kern w:val="44"/>
          <w:sz w:val="30"/>
          <w:szCs w:val="30"/>
        </w:rPr>
        <w:t>8.1环境管理</w:t>
      </w:r>
      <w:bookmarkEnd w:id="317"/>
      <w:bookmarkEnd w:id="318"/>
    </w:p>
    <w:p>
      <w:pPr>
        <w:spacing w:line="360" w:lineRule="auto"/>
        <w:ind w:firstLine="480" w:firstLineChars="200"/>
        <w:rPr>
          <w:rFonts w:eastAsiaTheme="minorEastAsia"/>
          <w:bCs/>
          <w:sz w:val="24"/>
        </w:rPr>
      </w:pPr>
      <w:r>
        <w:rPr>
          <w:rFonts w:eastAsiaTheme="minorEastAsia"/>
          <w:bCs/>
          <w:sz w:val="24"/>
        </w:rPr>
        <w:t>项目环境管理是指工程在建设期和运行期间，应严格按照国家、地方政府的环境保护政策、法律和法规等进行环境管理工作，并接受地方环保管理部门的监督。环境管理是整个工厂管理工作中的重要组成部分。其目的主要是通过环境管理工作的开展，提高全体员工的环保意识，促进企业积极主动地预防和治理污染，避免因管理不善而可能产生的环境污染。</w:t>
      </w:r>
    </w:p>
    <w:p>
      <w:pPr>
        <w:spacing w:line="360" w:lineRule="auto"/>
        <w:ind w:firstLine="480" w:firstLineChars="200"/>
        <w:rPr>
          <w:rFonts w:eastAsiaTheme="minorEastAsia"/>
          <w:bCs/>
          <w:sz w:val="24"/>
        </w:rPr>
      </w:pPr>
      <w:r>
        <w:rPr>
          <w:rFonts w:eastAsiaTheme="minorEastAsia"/>
          <w:bCs/>
          <w:sz w:val="24"/>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pPr>
        <w:pStyle w:val="4"/>
        <w:spacing w:before="0" w:after="0" w:line="360" w:lineRule="auto"/>
        <w:rPr>
          <w:rFonts w:eastAsiaTheme="minorEastAsia"/>
          <w:sz w:val="24"/>
          <w:szCs w:val="24"/>
        </w:rPr>
      </w:pPr>
      <w:bookmarkStart w:id="319" w:name="_Toc498088091"/>
      <w:r>
        <w:rPr>
          <w:rFonts w:eastAsiaTheme="minorEastAsia"/>
          <w:sz w:val="24"/>
          <w:szCs w:val="24"/>
        </w:rPr>
        <w:t>8.1.1环境管理计划</w:t>
      </w:r>
      <w:bookmarkEnd w:id="319"/>
    </w:p>
    <w:p>
      <w:pPr>
        <w:spacing w:line="360" w:lineRule="auto"/>
        <w:ind w:firstLine="480" w:firstLineChars="200"/>
        <w:rPr>
          <w:rFonts w:eastAsiaTheme="minorEastAsia"/>
          <w:bCs/>
          <w:sz w:val="24"/>
        </w:rPr>
      </w:pPr>
      <w:r>
        <w:rPr>
          <w:rFonts w:eastAsiaTheme="minorEastAsia"/>
          <w:bCs/>
          <w:sz w:val="24"/>
        </w:rPr>
        <w:t>环境管理贯穿于建设项目从筹建到运行的整个过程，并对建设项目的不同阶段制定相应的环保条例，由于项目目前已建成，因此只制定生产运行期的环境管理相关内容。规定不同阶段的环保内容，明确不同部门的工作职责。详见表8.1-1。</w:t>
      </w:r>
    </w:p>
    <w:p>
      <w:pPr>
        <w:spacing w:line="360" w:lineRule="auto"/>
        <w:jc w:val="center"/>
        <w:rPr>
          <w:rFonts w:eastAsiaTheme="minorEastAsia"/>
          <w:b/>
          <w:szCs w:val="28"/>
        </w:rPr>
      </w:pPr>
      <w:r>
        <w:rPr>
          <w:rFonts w:eastAsiaTheme="minorEastAsia"/>
          <w:b/>
          <w:szCs w:val="28"/>
        </w:rPr>
        <w:t>表8.1-1  环境管理计划</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8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Align w:val="center"/>
          </w:tcPr>
          <w:p>
            <w:pPr>
              <w:pStyle w:val="75"/>
            </w:pPr>
            <w:r>
              <w:t>阶段</w:t>
            </w:r>
          </w:p>
        </w:tc>
        <w:tc>
          <w:tcPr>
            <w:tcW w:w="8611" w:type="dxa"/>
            <w:vAlign w:val="center"/>
          </w:tcPr>
          <w:p>
            <w:pPr>
              <w:pStyle w:val="75"/>
            </w:pPr>
            <w:r>
              <w:t>环境管理工作主要内容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675" w:type="dxa"/>
            <w:vAlign w:val="center"/>
          </w:tcPr>
          <w:p>
            <w:pPr>
              <w:pStyle w:val="75"/>
            </w:pPr>
            <w:r>
              <w:t>管理</w:t>
            </w:r>
          </w:p>
          <w:p>
            <w:pPr>
              <w:pStyle w:val="75"/>
            </w:pPr>
            <w:r>
              <w:t>机构</w:t>
            </w:r>
          </w:p>
          <w:p>
            <w:pPr>
              <w:pStyle w:val="75"/>
            </w:pPr>
            <w:r>
              <w:t>职能</w:t>
            </w:r>
          </w:p>
        </w:tc>
        <w:tc>
          <w:tcPr>
            <w:tcW w:w="8611" w:type="dxa"/>
            <w:vAlign w:val="center"/>
          </w:tcPr>
          <w:p>
            <w:pPr>
              <w:pStyle w:val="75"/>
            </w:pPr>
            <w:r>
              <w:t>根据国家建设项目环境管理规定，认真落实各项环保手续，完成各级主管部门对本企业提出的环境管理要求，对本企业内部 各项管理计划的执行及完成情况进行监督、控制，确保环境管理工作真正发挥作用。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675" w:type="dxa"/>
            <w:vAlign w:val="center"/>
          </w:tcPr>
          <w:p>
            <w:pPr>
              <w:pStyle w:val="75"/>
            </w:pPr>
            <w:r>
              <w:t>生</w:t>
            </w:r>
          </w:p>
          <w:p>
            <w:pPr>
              <w:pStyle w:val="75"/>
            </w:pPr>
            <w:r>
              <w:t>产</w:t>
            </w:r>
          </w:p>
          <w:p>
            <w:pPr>
              <w:pStyle w:val="75"/>
            </w:pPr>
            <w:r>
              <w:t>运</w:t>
            </w:r>
          </w:p>
          <w:p>
            <w:pPr>
              <w:pStyle w:val="75"/>
            </w:pPr>
            <w:r>
              <w:t>行</w:t>
            </w:r>
          </w:p>
          <w:p>
            <w:pPr>
              <w:pStyle w:val="75"/>
            </w:pPr>
            <w:r>
              <w:t>期</w:t>
            </w:r>
          </w:p>
        </w:tc>
        <w:tc>
          <w:tcPr>
            <w:tcW w:w="8611" w:type="dxa"/>
            <w:vAlign w:val="center"/>
          </w:tcPr>
          <w:p>
            <w:pPr>
              <w:pStyle w:val="75"/>
              <w:jc w:val="left"/>
            </w:pPr>
            <w:r>
              <w:t>1、严格执行各项生产及环境管理制度，保证生产的正常进行；</w:t>
            </w:r>
          </w:p>
          <w:p>
            <w:pPr>
              <w:pStyle w:val="75"/>
              <w:jc w:val="left"/>
            </w:pPr>
            <w:r>
              <w:t>2、设立环保设施运行卡，对环保设施定期进行检查、维护，做到勤查、勤记、勤养护，按照监测计划定期组织进行全厂内的污染源监测，对不达标环保设施立即进行寻找原因，及时处理；</w:t>
            </w:r>
          </w:p>
          <w:p>
            <w:pPr>
              <w:pStyle w:val="75"/>
              <w:jc w:val="left"/>
            </w:pPr>
            <w:r>
              <w:t>3、不断加强技术培训，组织企业内部之间的技术交流，提高业务水平，保持企业内部职工素质稳定；</w:t>
            </w:r>
          </w:p>
          <w:p>
            <w:pPr>
              <w:pStyle w:val="75"/>
              <w:jc w:val="left"/>
            </w:pPr>
            <w:r>
              <w:t>4、重视群众监督作用，提高企业职工环境意识，鼓励职工及外部人员对生产状况提出意见，并通过积极吸收宝贵意见，提高企业环境管理水平。</w:t>
            </w:r>
          </w:p>
          <w:p>
            <w:pPr>
              <w:pStyle w:val="75"/>
              <w:jc w:val="left"/>
            </w:pPr>
            <w:r>
              <w:t>5、积极配合环保部门的检查、验收。</w:t>
            </w:r>
          </w:p>
        </w:tc>
      </w:tr>
    </w:tbl>
    <w:p>
      <w:pPr>
        <w:pStyle w:val="4"/>
        <w:spacing w:before="0" w:after="0" w:line="360" w:lineRule="auto"/>
        <w:rPr>
          <w:rFonts w:eastAsiaTheme="minorEastAsia"/>
          <w:sz w:val="24"/>
          <w:szCs w:val="24"/>
        </w:rPr>
      </w:pPr>
      <w:bookmarkStart w:id="320" w:name="_Toc498088095"/>
      <w:r>
        <w:rPr>
          <w:rFonts w:eastAsiaTheme="minorEastAsia"/>
          <w:sz w:val="24"/>
          <w:szCs w:val="24"/>
        </w:rPr>
        <w:t>8.1.2运营期环境管理要求</w:t>
      </w:r>
      <w:bookmarkEnd w:id="320"/>
    </w:p>
    <w:p>
      <w:pPr>
        <w:pStyle w:val="77"/>
        <w:ind w:firstLine="480"/>
        <w:rPr>
          <w:rFonts w:eastAsiaTheme="minorEastAsia"/>
        </w:rPr>
      </w:pPr>
      <w:r>
        <w:rPr>
          <w:rFonts w:eastAsiaTheme="minorEastAsia"/>
        </w:rPr>
        <w:t>为了全面贯彻和落实国家以及地方环境保护政策、法律、法规，保护本工程周围环境，保证企业中各环保设施正常运行，达到企业污染物达标排放，企业内部必须建立行之有效的环境管理和监测机构。确保工程建设不同时期的各种不良环境影响得到有效控制和缓解，必须对项目运行的全过程进行严格、科学的环境管理与监控。</w:t>
      </w:r>
    </w:p>
    <w:p>
      <w:pPr>
        <w:pStyle w:val="77"/>
        <w:ind w:firstLine="480"/>
        <w:rPr>
          <w:rFonts w:eastAsiaTheme="minorEastAsia"/>
        </w:rPr>
      </w:pPr>
      <w:r>
        <w:rPr>
          <w:rFonts w:eastAsiaTheme="minorEastAsia"/>
        </w:rPr>
        <w:t>1、环境管理</w:t>
      </w:r>
    </w:p>
    <w:p>
      <w:pPr>
        <w:pStyle w:val="77"/>
        <w:ind w:firstLine="480"/>
        <w:rPr>
          <w:rFonts w:eastAsiaTheme="minorEastAsia"/>
        </w:rPr>
      </w:pPr>
      <w:r>
        <w:rPr>
          <w:rFonts w:eastAsiaTheme="minorEastAsia"/>
        </w:rPr>
        <w:t>项目环境管理是指工程在建设期和运行期间，应严格按照国家、地方政府的环境保护政策、法律和法规等进行环境管理工作，并接受地方环保管理部门的监督，促使项目实现“三同时”的目标。</w:t>
      </w:r>
    </w:p>
    <w:p>
      <w:pPr>
        <w:pStyle w:val="77"/>
        <w:ind w:firstLine="480"/>
        <w:rPr>
          <w:rFonts w:eastAsiaTheme="minorEastAsia"/>
        </w:rPr>
      </w:pPr>
      <w:r>
        <w:rPr>
          <w:rFonts w:eastAsiaTheme="minorEastAsia"/>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pPr>
        <w:pStyle w:val="77"/>
        <w:ind w:firstLine="480"/>
        <w:rPr>
          <w:rFonts w:eastAsiaTheme="minorEastAsia"/>
        </w:rPr>
      </w:pPr>
      <w:r>
        <w:rPr>
          <w:rFonts w:eastAsiaTheme="minorEastAsia"/>
        </w:rPr>
        <w:t>2、环境管理体系建立的原则和重要性</w:t>
      </w:r>
    </w:p>
    <w:p>
      <w:pPr>
        <w:pStyle w:val="77"/>
        <w:ind w:firstLine="480"/>
        <w:rPr>
          <w:rFonts w:eastAsiaTheme="minorEastAsia"/>
        </w:rPr>
      </w:pPr>
      <w:r>
        <w:rPr>
          <w:rFonts w:eastAsiaTheme="minorEastAsia"/>
        </w:rPr>
        <w:t>（1）环境管理体系的建立要在科学理论的指导下进行，使其具有科学性和实用性，做到与生产管理工作有机地结合。</w:t>
      </w:r>
    </w:p>
    <w:p>
      <w:pPr>
        <w:pStyle w:val="77"/>
        <w:ind w:firstLine="480"/>
        <w:rPr>
          <w:rFonts w:eastAsiaTheme="minorEastAsia"/>
        </w:rPr>
      </w:pPr>
      <w:r>
        <w:rPr>
          <w:rFonts w:eastAsiaTheme="minorEastAsia"/>
        </w:rPr>
        <w:t>（2）环境管理体系的建立要遵照国家和地方有关法律、法规和标准，制定相应的企业管理制度以及企业标准。</w:t>
      </w:r>
    </w:p>
    <w:p>
      <w:pPr>
        <w:pStyle w:val="77"/>
        <w:ind w:firstLine="480"/>
        <w:rPr>
          <w:rFonts w:eastAsiaTheme="minorEastAsia"/>
        </w:rPr>
      </w:pPr>
      <w:r>
        <w:rPr>
          <w:rFonts w:eastAsiaTheme="minorEastAsia"/>
        </w:rPr>
        <w:t>（3）企业的环境管理体系要与地方环保局的有关环境管理体系相衔接，做到信息的及时反馈。</w:t>
      </w:r>
    </w:p>
    <w:p>
      <w:pPr>
        <w:pStyle w:val="77"/>
        <w:ind w:firstLine="480"/>
        <w:rPr>
          <w:rFonts w:eastAsiaTheme="minorEastAsia"/>
        </w:rPr>
      </w:pPr>
      <w:r>
        <w:rPr>
          <w:rFonts w:eastAsiaTheme="minorEastAsia"/>
        </w:rPr>
        <w:t>（4）企业的环境管理体系中要充分重视宣传教育的功能，使环保法规、环保知识和保护环境的概念深入人心，树立企业在社会中的良好形象。</w:t>
      </w:r>
    </w:p>
    <w:p>
      <w:pPr>
        <w:pStyle w:val="77"/>
        <w:ind w:firstLine="480"/>
        <w:rPr>
          <w:rFonts w:eastAsiaTheme="minorEastAsia"/>
        </w:rPr>
      </w:pPr>
      <w:r>
        <w:rPr>
          <w:rFonts w:eastAsiaTheme="minorEastAsia"/>
        </w:rPr>
        <w:t>（5）企业的环境管理体系应体现经济杠杆的作用。将责任分解到每道工序，再使企业降低经营成本，获得较好的利润的同时，使各项制度得以充分落实。</w:t>
      </w:r>
    </w:p>
    <w:p>
      <w:pPr>
        <w:pStyle w:val="77"/>
        <w:ind w:firstLine="480"/>
        <w:rPr>
          <w:rFonts w:eastAsiaTheme="minorEastAsia"/>
        </w:rPr>
      </w:pPr>
      <w:r>
        <w:rPr>
          <w:rFonts w:eastAsiaTheme="minorEastAsia"/>
        </w:rPr>
        <w:t>3、环境管理体系与职责</w:t>
      </w:r>
    </w:p>
    <w:p>
      <w:pPr>
        <w:pStyle w:val="77"/>
        <w:ind w:firstLine="496"/>
        <w:rPr>
          <w:rFonts w:eastAsiaTheme="minorEastAsia"/>
          <w:spacing w:val="4"/>
        </w:rPr>
      </w:pPr>
      <w:r>
        <w:rPr>
          <w:rFonts w:eastAsiaTheme="minorEastAsia"/>
          <w:spacing w:val="4"/>
        </w:rPr>
        <w:t>（1）环境管理体系</w:t>
      </w:r>
    </w:p>
    <w:p>
      <w:pPr>
        <w:pStyle w:val="77"/>
        <w:ind w:firstLine="496"/>
        <w:rPr>
          <w:rFonts w:eastAsiaTheme="minorEastAsia"/>
          <w:spacing w:val="4"/>
        </w:rPr>
      </w:pPr>
      <w:r>
        <w:rPr>
          <w:rFonts w:eastAsiaTheme="minorEastAsia"/>
          <w:spacing w:val="4"/>
        </w:rPr>
        <w:t>环评规定企业应建立以矿长负责，</w:t>
      </w:r>
      <w:r>
        <w:rPr>
          <w:rFonts w:hint="eastAsia" w:eastAsiaTheme="minorEastAsia"/>
          <w:spacing w:val="4"/>
        </w:rPr>
        <w:t>一名</w:t>
      </w:r>
      <w:r>
        <w:rPr>
          <w:rFonts w:eastAsiaTheme="minorEastAsia"/>
          <w:spacing w:val="4"/>
        </w:rPr>
        <w:t>副矿长兼管环保工作，各职能部门各负其职的环境管理体系，企业设置</w:t>
      </w:r>
      <w:r>
        <w:rPr>
          <w:rFonts w:hint="eastAsia" w:eastAsiaTheme="minorEastAsia"/>
          <w:spacing w:val="4"/>
        </w:rPr>
        <w:t>综合管理部</w:t>
      </w:r>
      <w:r>
        <w:rPr>
          <w:rFonts w:eastAsiaTheme="minorEastAsia"/>
          <w:spacing w:val="4"/>
        </w:rPr>
        <w:t>，设</w:t>
      </w:r>
      <w:r>
        <w:rPr>
          <w:rFonts w:hint="eastAsia" w:eastAsiaTheme="minorEastAsia"/>
          <w:spacing w:val="4"/>
        </w:rPr>
        <w:t>部长</w:t>
      </w:r>
      <w:r>
        <w:rPr>
          <w:rFonts w:eastAsiaTheme="minorEastAsia"/>
          <w:spacing w:val="4"/>
        </w:rPr>
        <w:t>一名，</w:t>
      </w:r>
      <w:r>
        <w:rPr>
          <w:rFonts w:hint="eastAsia" w:eastAsiaTheme="minorEastAsia"/>
          <w:spacing w:val="4"/>
        </w:rPr>
        <w:t>主任师</w:t>
      </w:r>
      <w:r>
        <w:rPr>
          <w:rFonts w:eastAsiaTheme="minorEastAsia"/>
          <w:spacing w:val="4"/>
        </w:rPr>
        <w:t>3</w:t>
      </w:r>
      <w:r>
        <w:rPr>
          <w:rFonts w:hint="eastAsia" w:eastAsiaTheme="minorEastAsia"/>
          <w:spacing w:val="4"/>
        </w:rPr>
        <w:t>名，科员</w:t>
      </w:r>
      <w:r>
        <w:rPr>
          <w:rFonts w:eastAsiaTheme="minorEastAsia"/>
          <w:spacing w:val="4"/>
        </w:rPr>
        <w:t>5</w:t>
      </w:r>
      <w:r>
        <w:rPr>
          <w:rFonts w:hint="eastAsia" w:eastAsiaTheme="minorEastAsia"/>
          <w:spacing w:val="4"/>
        </w:rPr>
        <w:t>名</w:t>
      </w:r>
      <w:r>
        <w:rPr>
          <w:rFonts w:eastAsiaTheme="minorEastAsia"/>
          <w:spacing w:val="4"/>
        </w:rPr>
        <w:t>，负责全</w:t>
      </w:r>
      <w:r>
        <w:rPr>
          <w:rFonts w:hint="eastAsia" w:eastAsiaTheme="minorEastAsia"/>
          <w:spacing w:val="4"/>
        </w:rPr>
        <w:t>矿</w:t>
      </w:r>
      <w:r>
        <w:rPr>
          <w:rFonts w:eastAsiaTheme="minorEastAsia"/>
          <w:spacing w:val="4"/>
        </w:rPr>
        <w:t>的环境管理工作。企业应建立如下的企业环境管理网络，见图8.1-1。</w:t>
      </w:r>
    </w:p>
    <w:p>
      <w:pPr>
        <w:spacing w:line="500" w:lineRule="exact"/>
        <w:ind w:firstLine="420" w:firstLineChars="200"/>
        <w:rPr>
          <w:rFonts w:eastAsiaTheme="minorEastAsia"/>
          <w:bCs/>
        </w:rPr>
      </w:pPr>
    </w:p>
    <w:p>
      <w:pPr>
        <w:spacing w:line="500" w:lineRule="exact"/>
        <w:ind w:firstLine="420" w:firstLineChars="200"/>
        <w:rPr>
          <w:rFonts w:eastAsiaTheme="minorEastAsia"/>
          <w:bCs/>
        </w:rPr>
      </w:pPr>
    </w:p>
    <w:p>
      <w:pPr>
        <w:spacing w:line="500" w:lineRule="exact"/>
        <w:ind w:firstLine="420" w:firstLineChars="200"/>
        <w:rPr>
          <w:rFonts w:eastAsiaTheme="minorEastAsia"/>
          <w:bCs/>
        </w:rPr>
      </w:pPr>
      <w:r>
        <w:rPr>
          <w:rFonts w:eastAsiaTheme="minorEastAsia"/>
          <w:bCs/>
        </w:rPr>
        <w:pict>
          <v:group id="_x0000_s55398" o:spid="_x0000_s55398" o:spt="203" style="position:absolute;left:0pt;margin-left:60pt;margin-top:4.2pt;height:198.5pt;width:276.4pt;z-index:251685888;mso-width-relative:page;mso-height-relative:page;" coordorigin="2618,1502" coordsize="5528,3970">
            <o:lock v:ext="edit"/>
            <v:shape id="文本框 60" o:spid="_x0000_s17485" o:spt="202" type="#_x0000_t202" style="position:absolute;left:3681;top:4796;height:676;width:3605;" filled="f" stroked="f" coordsize="21600,21600">
              <v:path/>
              <v:fill on="f" focussize="0,0"/>
              <v:stroke on="f" weight="0.5pt" joinstyle="miter"/>
              <v:imagedata o:title=""/>
              <o:lock v:ext="edit"/>
              <v:textbox>
                <w:txbxContent>
                  <w:p>
                    <w:pPr>
                      <w:spacing w:line="500" w:lineRule="exact"/>
                      <w:ind w:firstLine="422" w:firstLineChars="200"/>
                      <w:jc w:val="center"/>
                      <w:rPr>
                        <w:rFonts w:eastAsiaTheme="minorEastAsia"/>
                        <w:b/>
                        <w:bCs/>
                      </w:rPr>
                    </w:pPr>
                    <w:r>
                      <w:rPr>
                        <w:rFonts w:hAnsiTheme="minorEastAsia" w:eastAsiaTheme="minorEastAsia"/>
                        <w:b/>
                        <w:bCs/>
                      </w:rPr>
                      <w:t>图</w:t>
                    </w:r>
                    <w:r>
                      <w:rPr>
                        <w:rFonts w:eastAsiaTheme="minorEastAsia"/>
                        <w:b/>
                        <w:bCs/>
                      </w:rPr>
                      <w:t xml:space="preserve">8.1-1 </w:t>
                    </w:r>
                    <w:r>
                      <w:rPr>
                        <w:rFonts w:hAnsiTheme="minorEastAsia" w:eastAsiaTheme="minorEastAsia"/>
                        <w:b/>
                        <w:bCs/>
                      </w:rPr>
                      <w:t>企业内部环境管理网络</w:t>
                    </w:r>
                  </w:p>
                  <w:p>
                    <w:pPr>
                      <w:jc w:val="center"/>
                    </w:pPr>
                  </w:p>
                </w:txbxContent>
              </v:textbox>
            </v:shape>
            <v:line id="直线 49" o:spid="_x0000_s17486" o:spt="20" style="position:absolute;left:3416;top:3841;height:374;width:0;" coordsize="21600,21600">
              <v:path arrowok="t"/>
              <v:fill focussize="0,0"/>
              <v:stroke weight="0.5pt" endarrow="block"/>
              <v:imagedata o:title=""/>
              <o:lock v:ext="edit"/>
            </v:line>
            <v:line id="直线 50" o:spid="_x0000_s17487" o:spt="20" style="position:absolute;left:7286;top:3841;height:374;width:0;" coordsize="21600,21600">
              <v:path arrowok="t"/>
              <v:fill focussize="0,0"/>
              <v:stroke weight="0.5pt" endarrow="block"/>
              <v:imagedata o:title=""/>
              <o:lock v:ext="edit"/>
            </v:line>
            <v:line id="直线 51" o:spid="_x0000_s17488" o:spt="20" style="position:absolute;left:3416;top:3828;height:0;width:3870;" coordsize="21600,21600">
              <v:path arrowok="t"/>
              <v:fill focussize="0,0"/>
              <v:stroke weight="0.5pt"/>
              <v:imagedata o:title=""/>
              <o:lock v:ext="edit"/>
            </v:line>
            <v:line id="直线 52" o:spid="_x0000_s17489" o:spt="20" style="position:absolute;left:5316;top:3445;height:386;width:0;" coordsize="21600,21600">
              <v:path arrowok="t"/>
              <v:fill focussize="0,0"/>
              <v:stroke weight="0.5pt" endarrow="block"/>
              <v:imagedata o:title=""/>
              <o:lock v:ext="edit"/>
            </v:line>
            <v:line id="直线 53" o:spid="_x0000_s17490" o:spt="20" style="position:absolute;left:5292;top:1904;flip:x;height:275;width:8;" coordsize="21600,21600">
              <v:path arrowok="t"/>
              <v:fill focussize="0,0"/>
              <v:stroke weight="0.5pt" endarrow="block"/>
              <v:imagedata o:title=""/>
              <o:lock v:ext="edit"/>
            </v:line>
            <v:line id="直线 54" o:spid="_x0000_s17491" o:spt="20" style="position:absolute;left:5292;top:2691;height:289;width:8;" coordsize="21600,21600">
              <v:path arrowok="t"/>
              <v:fill focussize="0,0"/>
              <v:stroke weight="0.5pt" endarrow="block"/>
              <v:imagedata o:title=""/>
              <o:lock v:ext="edit"/>
            </v:line>
            <v:shape id="文本框 55" o:spid="_x0000_s17492" o:spt="202" type="#_x0000_t202" style="position:absolute;left:4534;top:1502;height:402;width:1634;" coordsize="21600,21600">
              <v:path/>
              <v:fill focussize="0,0"/>
              <v:stroke weight="0.5pt" joinstyle="miter"/>
              <v:imagedata o:title=""/>
              <o:lock v:ext="edit"/>
              <v:textbox>
                <w:txbxContent>
                  <w:p>
                    <w:pPr>
                      <w:jc w:val="center"/>
                    </w:pPr>
                    <w:r>
                      <w:rPr>
                        <w:rFonts w:hint="eastAsia"/>
                      </w:rPr>
                      <w:t>矿长</w:t>
                    </w:r>
                  </w:p>
                </w:txbxContent>
              </v:textbox>
            </v:shape>
            <v:shape id="文本框 56" o:spid="_x0000_s17493" o:spt="202" type="#_x0000_t202" style="position:absolute;left:3920;top:2179;height:512;width:2752;" coordsize="21600,21600">
              <v:path/>
              <v:fill focussize="0,0"/>
              <v:stroke weight="0.5pt" joinstyle="miter"/>
              <v:imagedata o:title=""/>
              <o:lock v:ext="edit"/>
              <v:textbox>
                <w:txbxContent>
                  <w:p>
                    <w:pPr>
                      <w:jc w:val="center"/>
                    </w:pPr>
                    <w:r>
                      <w:rPr>
                        <w:rFonts w:hint="eastAsia"/>
                      </w:rPr>
                      <w:t>主管环保副矿长</w:t>
                    </w:r>
                  </w:p>
                </w:txbxContent>
              </v:textbox>
            </v:shape>
            <v:shape id="文本框 57" o:spid="_x0000_s17494" o:spt="202" type="#_x0000_t202" style="position:absolute;left:4448;top:2980;height:465;width:1634;" coordsize="21600,21600">
              <v:path/>
              <v:fill focussize="0,0"/>
              <v:stroke weight="0.5pt" joinstyle="miter"/>
              <v:imagedata o:title=""/>
              <o:lock v:ext="edit"/>
              <v:textbox>
                <w:txbxContent>
                  <w:p>
                    <w:pPr>
                      <w:spacing w:after="120"/>
                      <w:jc w:val="center"/>
                    </w:pPr>
                    <w:r>
                      <w:rPr>
                        <w:rFonts w:hint="eastAsia"/>
                        <w:sz w:val="18"/>
                        <w:szCs w:val="18"/>
                      </w:rPr>
                      <w:t>综合管理部部长</w:t>
                    </w:r>
                  </w:p>
                  <w:p/>
                </w:txbxContent>
              </v:textbox>
            </v:shape>
            <v:shape id="文本框 58" o:spid="_x0000_s17495" o:spt="202" type="#_x0000_t202" style="position:absolute;left:2618;top:4215;height:490;width:1548;" coordsize="21600,21600">
              <v:path/>
              <v:fill focussize="0,0"/>
              <v:stroke weight="0.5pt" joinstyle="miter"/>
              <v:imagedata o:title=""/>
              <o:lock v:ext="edit"/>
              <v:textbox>
                <w:txbxContent>
                  <w:p>
                    <w:pPr>
                      <w:jc w:val="center"/>
                    </w:pPr>
                    <w:r>
                      <w:rPr>
                        <w:rFonts w:hint="eastAsia"/>
                      </w:rPr>
                      <w:t>日常环保工作</w:t>
                    </w:r>
                  </w:p>
                </w:txbxContent>
              </v:textbox>
            </v:shape>
            <v:shape id="文本框 59" o:spid="_x0000_s17496" o:spt="202" type="#_x0000_t202" style="position:absolute;left:6512;top:4215;height:490;width:1634;" coordsize="21600,21600">
              <v:path/>
              <v:fill focussize="0,0"/>
              <v:stroke weight="0.5pt" joinstyle="miter"/>
              <v:imagedata o:title=""/>
              <o:lock v:ext="edit"/>
              <v:textbox>
                <w:txbxContent>
                  <w:p>
                    <w:pPr>
                      <w:jc w:val="center"/>
                    </w:pPr>
                    <w:r>
                      <w:rPr>
                        <w:rFonts w:hint="eastAsia"/>
                      </w:rPr>
                      <w:t>日常环境</w:t>
                    </w:r>
                    <w:r>
                      <w:t>监测</w:t>
                    </w:r>
                  </w:p>
                </w:txbxContent>
              </v:textbox>
            </v:shape>
          </v:group>
        </w:pict>
      </w:r>
    </w:p>
    <w:p>
      <w:pPr>
        <w:spacing w:line="500" w:lineRule="exact"/>
        <w:ind w:firstLine="420" w:firstLineChars="200"/>
        <w:rPr>
          <w:rFonts w:eastAsiaTheme="minorEastAsia"/>
          <w:bCs/>
        </w:rPr>
      </w:pPr>
    </w:p>
    <w:p>
      <w:pPr>
        <w:spacing w:line="500" w:lineRule="exact"/>
        <w:ind w:firstLine="420" w:firstLineChars="200"/>
        <w:rPr>
          <w:rFonts w:eastAsiaTheme="minorEastAsia"/>
          <w:bCs/>
        </w:rPr>
      </w:pPr>
    </w:p>
    <w:p>
      <w:pPr>
        <w:spacing w:line="500" w:lineRule="exact"/>
        <w:ind w:firstLine="420" w:firstLineChars="200"/>
        <w:rPr>
          <w:rFonts w:eastAsiaTheme="minorEastAsia"/>
          <w:bCs/>
        </w:rPr>
      </w:pPr>
    </w:p>
    <w:p>
      <w:pPr>
        <w:spacing w:line="500" w:lineRule="exact"/>
        <w:ind w:firstLine="420" w:firstLineChars="200"/>
        <w:rPr>
          <w:rFonts w:eastAsiaTheme="minorEastAsia"/>
          <w:bCs/>
        </w:rPr>
      </w:pPr>
    </w:p>
    <w:p>
      <w:pPr>
        <w:spacing w:line="500" w:lineRule="exact"/>
        <w:ind w:firstLine="420" w:firstLineChars="200"/>
        <w:rPr>
          <w:rFonts w:eastAsiaTheme="minorEastAsia"/>
          <w:bCs/>
        </w:rPr>
      </w:pPr>
    </w:p>
    <w:p>
      <w:pPr>
        <w:spacing w:line="500" w:lineRule="exact"/>
        <w:ind w:firstLine="420" w:firstLineChars="200"/>
        <w:rPr>
          <w:rFonts w:eastAsiaTheme="minorEastAsia"/>
          <w:bCs/>
        </w:rPr>
      </w:pPr>
    </w:p>
    <w:p>
      <w:pPr>
        <w:spacing w:line="500" w:lineRule="exact"/>
        <w:ind w:firstLine="420" w:firstLineChars="200"/>
        <w:rPr>
          <w:rFonts w:eastAsiaTheme="minorEastAsia"/>
          <w:bCs/>
        </w:rPr>
      </w:pPr>
    </w:p>
    <w:p>
      <w:pPr>
        <w:spacing w:line="500" w:lineRule="exact"/>
        <w:ind w:firstLine="496" w:firstLineChars="200"/>
        <w:rPr>
          <w:rFonts w:eastAsiaTheme="minorEastAsia"/>
          <w:bCs/>
          <w:spacing w:val="4"/>
          <w:sz w:val="24"/>
        </w:rPr>
      </w:pPr>
      <w:r>
        <w:rPr>
          <w:rFonts w:eastAsiaTheme="minorEastAsia"/>
          <w:bCs/>
          <w:spacing w:val="4"/>
          <w:sz w:val="24"/>
        </w:rPr>
        <w:t>（2）管理机构设置</w:t>
      </w:r>
    </w:p>
    <w:p>
      <w:pPr>
        <w:pStyle w:val="77"/>
        <w:ind w:firstLine="480"/>
        <w:rPr>
          <w:rFonts w:eastAsiaTheme="minorEastAsia"/>
        </w:rPr>
      </w:pPr>
      <w:r>
        <w:rPr>
          <w:rFonts w:eastAsiaTheme="minorEastAsia"/>
        </w:rPr>
        <w:t>生产运行期，环境管理工作由</w:t>
      </w:r>
      <w:r>
        <w:rPr>
          <w:rFonts w:hint="eastAsia" w:eastAsiaTheme="minorEastAsia"/>
        </w:rPr>
        <w:t>综合管理部</w:t>
      </w:r>
      <w:r>
        <w:rPr>
          <w:rFonts w:eastAsiaTheme="minorEastAsia"/>
        </w:rPr>
        <w:t>具体负责。环境保护工作是一项政策性、综合性、科学性很强的工作，</w:t>
      </w:r>
      <w:r>
        <w:rPr>
          <w:rFonts w:hint="eastAsia" w:eastAsiaTheme="minorEastAsia"/>
        </w:rPr>
        <w:t>综合管理部</w:t>
      </w:r>
      <w:r>
        <w:rPr>
          <w:rFonts w:eastAsiaTheme="minorEastAsia"/>
        </w:rPr>
        <w:t>人员必须经过一定时间的专业培训，取得合格证书，持证上岗。此外，企业内部须设环境监测机构，负责企业的环境日常监测工作。</w:t>
      </w:r>
    </w:p>
    <w:p>
      <w:pPr>
        <w:pStyle w:val="77"/>
        <w:ind w:firstLine="480"/>
        <w:rPr>
          <w:rFonts w:eastAsiaTheme="minorEastAsia"/>
        </w:rPr>
      </w:pPr>
      <w:r>
        <w:rPr>
          <w:rFonts w:eastAsiaTheme="minorEastAsia"/>
        </w:rPr>
        <w:t>（3）职责和任务</w:t>
      </w:r>
    </w:p>
    <w:p>
      <w:pPr>
        <w:pStyle w:val="77"/>
        <w:ind w:firstLine="480"/>
        <w:rPr>
          <w:rFonts w:eastAsiaTheme="minorEastAsia"/>
        </w:rPr>
      </w:pPr>
      <w:bookmarkStart w:id="321" w:name="_Toc171700404"/>
      <w:r>
        <w:rPr>
          <w:rFonts w:eastAsiaTheme="minorEastAsia"/>
        </w:rPr>
        <w:t>A.</w:t>
      </w:r>
      <w:bookmarkEnd w:id="321"/>
      <w:r>
        <w:rPr>
          <w:rFonts w:eastAsiaTheme="minorEastAsia"/>
        </w:rPr>
        <w:t>矿长</w:t>
      </w:r>
    </w:p>
    <w:p>
      <w:pPr>
        <w:pStyle w:val="77"/>
        <w:ind w:firstLine="480"/>
        <w:rPr>
          <w:rFonts w:eastAsiaTheme="minorEastAsia"/>
        </w:rPr>
      </w:pPr>
      <w:r>
        <w:rPr>
          <w:rFonts w:hint="eastAsia" w:ascii="宋体" w:hAnsi="宋体" w:cs="宋体"/>
        </w:rPr>
        <w:t>①</w:t>
      </w:r>
      <w:r>
        <w:rPr>
          <w:rFonts w:eastAsiaTheme="minorEastAsia"/>
        </w:rPr>
        <w:t>总体负责企业的环境保护工作，领导各级部门执行国家的环境保护政策；</w:t>
      </w:r>
    </w:p>
    <w:p>
      <w:pPr>
        <w:pStyle w:val="77"/>
        <w:ind w:firstLine="480"/>
        <w:rPr>
          <w:rFonts w:eastAsiaTheme="minorEastAsia"/>
        </w:rPr>
      </w:pPr>
      <w:bookmarkStart w:id="322" w:name="_Toc171700405"/>
      <w:r>
        <w:rPr>
          <w:rFonts w:hint="eastAsia" w:ascii="宋体" w:hAnsi="宋体" w:cs="宋体"/>
        </w:rPr>
        <w:t>②</w:t>
      </w:r>
      <w:r>
        <w:rPr>
          <w:rFonts w:eastAsiaTheme="minorEastAsia"/>
        </w:rPr>
        <w:t>负责上报和批准企业环境保护相关的规章制度；</w:t>
      </w:r>
      <w:bookmarkEnd w:id="322"/>
    </w:p>
    <w:p>
      <w:pPr>
        <w:pStyle w:val="77"/>
        <w:ind w:firstLine="480"/>
        <w:rPr>
          <w:rFonts w:eastAsiaTheme="minorEastAsia"/>
        </w:rPr>
      </w:pPr>
      <w:r>
        <w:rPr>
          <w:rFonts w:hint="eastAsia" w:ascii="宋体" w:hAnsi="宋体" w:cs="宋体"/>
        </w:rPr>
        <w:t>③</w:t>
      </w:r>
      <w:r>
        <w:rPr>
          <w:rFonts w:eastAsiaTheme="minorEastAsia"/>
        </w:rPr>
        <w:t>从企业管理、人事、计划、生产等方面为环境保护工作提供支持；</w:t>
      </w:r>
    </w:p>
    <w:p>
      <w:pPr>
        <w:pStyle w:val="77"/>
        <w:ind w:firstLine="480"/>
        <w:rPr>
          <w:rFonts w:eastAsiaTheme="minorEastAsia"/>
        </w:rPr>
      </w:pPr>
      <w:r>
        <w:rPr>
          <w:rFonts w:hint="eastAsia" w:ascii="宋体" w:hAnsi="宋体" w:cs="宋体"/>
        </w:rPr>
        <w:t>④</w:t>
      </w:r>
      <w:r>
        <w:rPr>
          <w:rFonts w:eastAsiaTheme="minorEastAsia"/>
        </w:rPr>
        <w:t>从全局、长远的角度对本企业的环境保护工作提出拓展性的要求，并协调资金支持；</w:t>
      </w:r>
    </w:p>
    <w:p>
      <w:pPr>
        <w:pStyle w:val="77"/>
        <w:ind w:firstLine="480"/>
        <w:rPr>
          <w:rFonts w:eastAsiaTheme="minorEastAsia"/>
        </w:rPr>
      </w:pPr>
      <w:bookmarkStart w:id="323" w:name="_Toc171700406"/>
      <w:r>
        <w:rPr>
          <w:rFonts w:eastAsiaTheme="minorEastAsia"/>
        </w:rPr>
        <w:t>B. 副矿长（环保）</w:t>
      </w:r>
      <w:bookmarkEnd w:id="323"/>
    </w:p>
    <w:p>
      <w:pPr>
        <w:pStyle w:val="77"/>
        <w:ind w:firstLine="480"/>
        <w:rPr>
          <w:rFonts w:eastAsiaTheme="minorEastAsia"/>
        </w:rPr>
      </w:pPr>
      <w:r>
        <w:rPr>
          <w:rFonts w:hint="eastAsia" w:ascii="宋体" w:hAnsi="宋体" w:cs="宋体"/>
        </w:rPr>
        <w:t>①</w:t>
      </w:r>
      <w:r>
        <w:rPr>
          <w:rFonts w:eastAsiaTheme="minorEastAsia"/>
        </w:rPr>
        <w:t>协同工作，领导和指挥制定各部门的环保方案，同时在环保行动的实施中担任协调、维持、评审和深化的工作；</w:t>
      </w:r>
    </w:p>
    <w:p>
      <w:pPr>
        <w:pStyle w:val="77"/>
        <w:ind w:firstLine="480"/>
        <w:rPr>
          <w:rFonts w:eastAsiaTheme="minorEastAsia"/>
        </w:rPr>
      </w:pPr>
      <w:r>
        <w:rPr>
          <w:rFonts w:hint="eastAsia" w:ascii="宋体" w:hAnsi="宋体" w:cs="宋体"/>
        </w:rPr>
        <w:t>②</w:t>
      </w:r>
      <w:r>
        <w:rPr>
          <w:rFonts w:eastAsiaTheme="minorEastAsia"/>
        </w:rPr>
        <w:t>在企业内部推广和宣传环保方案，收集员工意见和合理化建议；</w:t>
      </w:r>
    </w:p>
    <w:p>
      <w:pPr>
        <w:pStyle w:val="77"/>
        <w:ind w:firstLine="480"/>
        <w:rPr>
          <w:rFonts w:eastAsiaTheme="minorEastAsia"/>
        </w:rPr>
      </w:pPr>
      <w:bookmarkStart w:id="324" w:name="_Toc171700407"/>
      <w:r>
        <w:rPr>
          <w:rFonts w:hint="eastAsia" w:ascii="宋体" w:hAnsi="宋体" w:cs="宋体"/>
        </w:rPr>
        <w:t>③</w:t>
      </w:r>
      <w:r>
        <w:rPr>
          <w:rFonts w:eastAsiaTheme="minorEastAsia"/>
        </w:rPr>
        <w:t>监督环保方案的进度和实施情况；</w:t>
      </w:r>
      <w:bookmarkEnd w:id="324"/>
    </w:p>
    <w:p>
      <w:pPr>
        <w:pStyle w:val="77"/>
        <w:ind w:firstLine="480"/>
        <w:rPr>
          <w:rFonts w:eastAsiaTheme="minorEastAsia"/>
        </w:rPr>
      </w:pPr>
      <w:r>
        <w:rPr>
          <w:rFonts w:hint="eastAsia" w:ascii="宋体" w:hAnsi="宋体" w:cs="宋体"/>
        </w:rPr>
        <w:t>④</w:t>
      </w:r>
      <w:r>
        <w:rPr>
          <w:rFonts w:eastAsiaTheme="minorEastAsia"/>
        </w:rPr>
        <w:t>负责与地方环保部门保持联系，及时了解、传达有关环保信息。</w:t>
      </w:r>
    </w:p>
    <w:p>
      <w:pPr>
        <w:pStyle w:val="77"/>
        <w:ind w:firstLine="480"/>
        <w:rPr>
          <w:rFonts w:eastAsiaTheme="minorEastAsia"/>
        </w:rPr>
      </w:pPr>
      <w:bookmarkStart w:id="325" w:name="_Toc171700408"/>
      <w:r>
        <w:rPr>
          <w:rFonts w:eastAsiaTheme="minorEastAsia"/>
        </w:rPr>
        <w:t xml:space="preserve">C. </w:t>
      </w:r>
      <w:bookmarkEnd w:id="325"/>
      <w:r>
        <w:rPr>
          <w:rFonts w:hint="eastAsia" w:eastAsiaTheme="minorEastAsia"/>
        </w:rPr>
        <w:t>综合管理部</w:t>
      </w:r>
    </w:p>
    <w:p>
      <w:pPr>
        <w:pStyle w:val="77"/>
        <w:ind w:firstLine="480"/>
        <w:rPr>
          <w:rFonts w:eastAsiaTheme="minorEastAsia"/>
        </w:rPr>
      </w:pPr>
      <w:r>
        <w:rPr>
          <w:rFonts w:hint="eastAsia" w:ascii="宋体" w:hAnsi="宋体" w:cs="宋体"/>
        </w:rPr>
        <w:t>①</w:t>
      </w:r>
      <w:r>
        <w:rPr>
          <w:rFonts w:eastAsiaTheme="minorEastAsia"/>
        </w:rPr>
        <w:t>全面贯彻落实环保政策，监督工程项目的各项环境保护工作；</w:t>
      </w:r>
    </w:p>
    <w:p>
      <w:pPr>
        <w:pStyle w:val="77"/>
        <w:ind w:firstLine="480"/>
        <w:rPr>
          <w:rFonts w:eastAsiaTheme="minorEastAsia"/>
        </w:rPr>
      </w:pPr>
      <w:r>
        <w:rPr>
          <w:rFonts w:hint="eastAsia" w:ascii="宋体" w:hAnsi="宋体" w:cs="宋体"/>
        </w:rPr>
        <w:t>②</w:t>
      </w:r>
      <w:r>
        <w:rPr>
          <w:rFonts w:eastAsiaTheme="minorEastAsia"/>
        </w:rPr>
        <w:t>制定本企业环境保护的近、远期发展规划和年度工作计划，制定并检查各项环境保护管理制度及其执行情况；</w:t>
      </w:r>
    </w:p>
    <w:p>
      <w:pPr>
        <w:pStyle w:val="77"/>
        <w:ind w:firstLine="480"/>
        <w:rPr>
          <w:rFonts w:eastAsiaTheme="minorEastAsia"/>
        </w:rPr>
      </w:pPr>
      <w:r>
        <w:rPr>
          <w:rFonts w:hint="eastAsia" w:ascii="宋体" w:hAnsi="宋体" w:cs="宋体"/>
        </w:rPr>
        <w:t>③</w:t>
      </w:r>
      <w:r>
        <w:rPr>
          <w:rFonts w:eastAsiaTheme="minorEastAsia"/>
        </w:rPr>
        <w:t>根据环保部门下达的环境保护目标、污染物总量控制指标，制定本企业的环境保护目标和实施措施，并在年度中予以落实；</w:t>
      </w:r>
    </w:p>
    <w:p>
      <w:pPr>
        <w:pStyle w:val="77"/>
        <w:ind w:firstLine="480"/>
        <w:rPr>
          <w:rFonts w:eastAsiaTheme="minorEastAsia"/>
        </w:rPr>
      </w:pPr>
      <w:r>
        <w:rPr>
          <w:rFonts w:hint="eastAsia" w:ascii="宋体" w:hAnsi="宋体" w:cs="宋体"/>
        </w:rPr>
        <w:t>④</w:t>
      </w:r>
      <w:r>
        <w:rPr>
          <w:rFonts w:eastAsiaTheme="minorEastAsia"/>
        </w:rPr>
        <w:t>负责建立企业内部环境保护责任制度和考核制度，协助企业完成围绕环境保护的各项考核指标；</w:t>
      </w:r>
    </w:p>
    <w:p>
      <w:pPr>
        <w:pStyle w:val="77"/>
        <w:ind w:firstLine="480"/>
        <w:rPr>
          <w:rFonts w:eastAsiaTheme="minorEastAsia"/>
        </w:rPr>
      </w:pPr>
      <w:r>
        <w:rPr>
          <w:rFonts w:hint="eastAsia" w:ascii="宋体" w:hAnsi="宋体" w:cs="宋体"/>
        </w:rPr>
        <w:t>⑤</w:t>
      </w:r>
      <w:r>
        <w:rPr>
          <w:rFonts w:eastAsiaTheme="minorEastAsia"/>
        </w:rPr>
        <w:t>做好环保设施管理工作，建立环保设施档案，保证环保设施按照设计要求运行，定期检查、定期上报，杜绝擅自拆除和闲置不用的现象发生；</w:t>
      </w:r>
    </w:p>
    <w:p>
      <w:pPr>
        <w:pStyle w:val="77"/>
        <w:ind w:firstLine="480"/>
        <w:rPr>
          <w:rFonts w:eastAsiaTheme="minorEastAsia"/>
        </w:rPr>
      </w:pPr>
      <w:r>
        <w:rPr>
          <w:rFonts w:hint="eastAsia" w:ascii="宋体" w:hAnsi="宋体" w:cs="宋体"/>
        </w:rPr>
        <w:t>⑥</w:t>
      </w:r>
      <w:r>
        <w:rPr>
          <w:rFonts w:eastAsiaTheme="minorEastAsia"/>
        </w:rPr>
        <w:t>负责企业环境保护的宣传教育工作，做好普及环境科学知识和环保法规的宣传，树立环保法制观念；</w:t>
      </w:r>
    </w:p>
    <w:p>
      <w:pPr>
        <w:pStyle w:val="77"/>
        <w:ind w:firstLine="480"/>
        <w:rPr>
          <w:rFonts w:eastAsiaTheme="minorEastAsia"/>
        </w:rPr>
      </w:pPr>
      <w:bookmarkStart w:id="326" w:name="_Toc171700409"/>
      <w:r>
        <w:rPr>
          <w:rFonts w:hint="eastAsia" w:ascii="宋体" w:hAnsi="宋体" w:cs="宋体"/>
        </w:rPr>
        <w:t>⑦</w:t>
      </w:r>
      <w:r>
        <w:rPr>
          <w:rFonts w:eastAsiaTheme="minorEastAsia"/>
        </w:rPr>
        <w:t>定期组织当地环境监测部门对污染物进行监测检查；</w:t>
      </w:r>
      <w:bookmarkEnd w:id="326"/>
    </w:p>
    <w:p>
      <w:pPr>
        <w:pStyle w:val="77"/>
        <w:ind w:firstLine="480"/>
        <w:rPr>
          <w:rFonts w:eastAsiaTheme="minorEastAsia"/>
        </w:rPr>
      </w:pPr>
      <w:r>
        <w:rPr>
          <w:rFonts w:hint="eastAsia" w:ascii="宋体" w:hAnsi="宋体" w:cs="宋体"/>
        </w:rPr>
        <w:t>⑧</w:t>
      </w:r>
      <w:r>
        <w:rPr>
          <w:rFonts w:eastAsiaTheme="minorEastAsia"/>
        </w:rPr>
        <w:t>负责与地方各级环保部门的联系，按要求上报各项环保报表，并定时向上级主管部门汇报环保工作情况。</w:t>
      </w:r>
    </w:p>
    <w:p>
      <w:pPr>
        <w:pStyle w:val="77"/>
        <w:ind w:firstLine="480"/>
        <w:rPr>
          <w:rFonts w:eastAsiaTheme="minorEastAsia"/>
        </w:rPr>
      </w:pPr>
      <w:r>
        <w:rPr>
          <w:rFonts w:hint="eastAsia" w:ascii="宋体" w:hAnsi="宋体" w:cs="宋体"/>
        </w:rPr>
        <w:t>⑨</w:t>
      </w:r>
      <w:r>
        <w:rPr>
          <w:rFonts w:eastAsiaTheme="minorEastAsia"/>
        </w:rPr>
        <w:t>组织、进行企业日常环境保护的管理、基础设施维护等方面的工作，包括环境保护设施日常检查维修、场地内污染防治设施的操作监督、相关监测仪器的校核与年检等。</w:t>
      </w:r>
    </w:p>
    <w:p>
      <w:pPr>
        <w:pStyle w:val="77"/>
        <w:ind w:firstLine="480"/>
        <w:rPr>
          <w:rFonts w:eastAsiaTheme="minorEastAsia"/>
        </w:rPr>
      </w:pPr>
      <w:bookmarkStart w:id="327" w:name="_Toc171700410"/>
      <w:r>
        <w:rPr>
          <w:rFonts w:eastAsiaTheme="minorEastAsia"/>
        </w:rPr>
        <w:t>D. 具体生产单位与生产人员</w:t>
      </w:r>
      <w:bookmarkEnd w:id="327"/>
    </w:p>
    <w:p>
      <w:pPr>
        <w:pStyle w:val="77"/>
        <w:ind w:firstLine="480"/>
        <w:rPr>
          <w:rFonts w:eastAsiaTheme="minorEastAsia"/>
        </w:rPr>
      </w:pPr>
      <w:r>
        <w:rPr>
          <w:rFonts w:hint="eastAsia" w:ascii="宋体" w:hAnsi="宋体" w:cs="宋体"/>
        </w:rPr>
        <w:t>①</w:t>
      </w:r>
      <w:r>
        <w:rPr>
          <w:rFonts w:eastAsiaTheme="minorEastAsia"/>
        </w:rPr>
        <w:t>严格按照设备操作规程进行，防止生产意外事故发生；</w:t>
      </w:r>
    </w:p>
    <w:p>
      <w:pPr>
        <w:pStyle w:val="77"/>
        <w:ind w:firstLine="480"/>
        <w:rPr>
          <w:rFonts w:eastAsiaTheme="minorEastAsia"/>
        </w:rPr>
      </w:pPr>
      <w:bookmarkStart w:id="328" w:name="_Toc171700411"/>
      <w:r>
        <w:rPr>
          <w:rFonts w:hint="eastAsia" w:ascii="宋体" w:hAnsi="宋体" w:cs="宋体"/>
        </w:rPr>
        <w:t>②</w:t>
      </w:r>
      <w:r>
        <w:rPr>
          <w:rFonts w:eastAsiaTheme="minorEastAsia"/>
        </w:rPr>
        <w:t>保证环保设备正常、高效运行，按规定进行日常的维护；</w:t>
      </w:r>
      <w:bookmarkEnd w:id="328"/>
    </w:p>
    <w:p>
      <w:pPr>
        <w:pStyle w:val="77"/>
        <w:ind w:firstLine="480"/>
        <w:rPr>
          <w:rFonts w:eastAsiaTheme="minorEastAsia"/>
        </w:rPr>
      </w:pPr>
      <w:r>
        <w:rPr>
          <w:rFonts w:hint="eastAsia" w:ascii="宋体" w:hAnsi="宋体" w:cs="宋体"/>
        </w:rPr>
        <w:t>③</w:t>
      </w:r>
      <w:r>
        <w:rPr>
          <w:rFonts w:eastAsiaTheme="minorEastAsia"/>
        </w:rPr>
        <w:t>积极执行上级领导和环保管理部门提出的相关决定；</w:t>
      </w:r>
    </w:p>
    <w:p>
      <w:pPr>
        <w:pStyle w:val="77"/>
        <w:ind w:firstLine="480"/>
        <w:rPr>
          <w:rFonts w:eastAsiaTheme="minorEastAsia"/>
        </w:rPr>
      </w:pPr>
      <w:r>
        <w:rPr>
          <w:rFonts w:hint="eastAsia" w:ascii="宋体" w:hAnsi="宋体" w:cs="宋体"/>
        </w:rPr>
        <w:t>④</w:t>
      </w:r>
      <w:r>
        <w:rPr>
          <w:rFonts w:eastAsiaTheme="minorEastAsia"/>
        </w:rPr>
        <w:t>鼓励提出新方法、新思路、建设议，提倡参与企业环境保护决策；</w:t>
      </w:r>
    </w:p>
    <w:p>
      <w:pPr>
        <w:pStyle w:val="77"/>
        <w:ind w:firstLine="480"/>
        <w:rPr>
          <w:rFonts w:eastAsiaTheme="minorEastAsia"/>
        </w:rPr>
      </w:pPr>
      <w:r>
        <w:rPr>
          <w:rFonts w:hint="eastAsia" w:ascii="宋体" w:hAnsi="宋体" w:cs="宋体"/>
        </w:rPr>
        <w:t>⑤</w:t>
      </w:r>
      <w:r>
        <w:rPr>
          <w:rFonts w:eastAsiaTheme="minorEastAsia"/>
        </w:rPr>
        <w:t>特殊情况、特殊问题要及时汇报，并及时进行解决。</w:t>
      </w:r>
    </w:p>
    <w:p>
      <w:pPr>
        <w:pStyle w:val="77"/>
        <w:ind w:firstLine="480"/>
        <w:rPr>
          <w:rFonts w:eastAsiaTheme="minorEastAsia"/>
        </w:rPr>
      </w:pPr>
      <w:r>
        <w:rPr>
          <w:rFonts w:eastAsiaTheme="minorEastAsia"/>
        </w:rPr>
        <w:t>4、环境管理制度</w:t>
      </w:r>
    </w:p>
    <w:p>
      <w:pPr>
        <w:pStyle w:val="77"/>
        <w:ind w:firstLine="480"/>
        <w:rPr>
          <w:rFonts w:eastAsiaTheme="minorEastAsia"/>
        </w:rPr>
      </w:pPr>
      <w:r>
        <w:rPr>
          <w:rFonts w:eastAsiaTheme="minorEastAsia"/>
        </w:rPr>
        <w:t>企业在健全了环境管理体制与管理机构的基础上，还必须健全环保管理规章制度，做到“有法可依、有章可循”，才能保证环保工作健康、持续的运转。各项规章制度应体现环境管理的任务、内容和准则，使环境管理的特点和要求渗透到企业的各项管理工作中。</w:t>
      </w:r>
    </w:p>
    <w:p>
      <w:pPr>
        <w:pStyle w:val="77"/>
        <w:ind w:firstLine="480"/>
        <w:rPr>
          <w:rFonts w:eastAsiaTheme="minorEastAsia"/>
        </w:rPr>
      </w:pPr>
      <w:r>
        <w:rPr>
          <w:rFonts w:eastAsiaTheme="minorEastAsia"/>
        </w:rPr>
        <w:t>相应的环境管理制度包括：</w:t>
      </w:r>
    </w:p>
    <w:p>
      <w:pPr>
        <w:pStyle w:val="77"/>
        <w:ind w:firstLine="480"/>
        <w:rPr>
          <w:rFonts w:eastAsiaTheme="minorEastAsia"/>
        </w:rPr>
      </w:pPr>
      <w:r>
        <w:rPr>
          <w:rFonts w:eastAsiaTheme="minorEastAsia"/>
        </w:rPr>
        <w:t>（1）环境保护管理条例；</w:t>
      </w:r>
    </w:p>
    <w:p>
      <w:pPr>
        <w:pStyle w:val="77"/>
        <w:ind w:firstLine="480"/>
        <w:rPr>
          <w:rFonts w:eastAsiaTheme="minorEastAsia"/>
        </w:rPr>
      </w:pPr>
      <w:r>
        <w:rPr>
          <w:rFonts w:eastAsiaTheme="minorEastAsia"/>
        </w:rPr>
        <w:t>（2）环境管理的经济责任制；</w:t>
      </w:r>
    </w:p>
    <w:p>
      <w:pPr>
        <w:pStyle w:val="77"/>
        <w:ind w:firstLine="480"/>
        <w:rPr>
          <w:rFonts w:eastAsiaTheme="minorEastAsia"/>
        </w:rPr>
      </w:pPr>
      <w:r>
        <w:rPr>
          <w:rFonts w:eastAsiaTheme="minorEastAsia"/>
        </w:rPr>
        <w:t>（3）环保设施运行与管理制度；</w:t>
      </w:r>
    </w:p>
    <w:p>
      <w:pPr>
        <w:pStyle w:val="77"/>
        <w:ind w:firstLine="480"/>
        <w:rPr>
          <w:rFonts w:eastAsiaTheme="minorEastAsia"/>
        </w:rPr>
      </w:pPr>
      <w:r>
        <w:rPr>
          <w:rFonts w:eastAsiaTheme="minorEastAsia"/>
        </w:rPr>
        <w:t>（4）环境管理岗位责任制；</w:t>
      </w:r>
    </w:p>
    <w:p>
      <w:pPr>
        <w:pStyle w:val="77"/>
        <w:ind w:firstLine="480"/>
        <w:rPr>
          <w:rFonts w:eastAsiaTheme="minorEastAsia"/>
        </w:rPr>
      </w:pPr>
      <w:r>
        <w:rPr>
          <w:rFonts w:eastAsiaTheme="minorEastAsia"/>
        </w:rPr>
        <w:t>（5）环境管理技术规程；</w:t>
      </w:r>
    </w:p>
    <w:p>
      <w:pPr>
        <w:pStyle w:val="77"/>
        <w:ind w:firstLine="480"/>
        <w:rPr>
          <w:rFonts w:eastAsiaTheme="minorEastAsia"/>
        </w:rPr>
      </w:pPr>
      <w:r>
        <w:rPr>
          <w:rFonts w:eastAsiaTheme="minorEastAsia"/>
        </w:rPr>
        <w:t>（6）环境保护的考核制度；</w:t>
      </w:r>
    </w:p>
    <w:p>
      <w:pPr>
        <w:pStyle w:val="77"/>
        <w:ind w:firstLine="480"/>
        <w:rPr>
          <w:rFonts w:eastAsiaTheme="minorEastAsia"/>
        </w:rPr>
      </w:pPr>
      <w:r>
        <w:rPr>
          <w:rFonts w:eastAsiaTheme="minorEastAsia"/>
        </w:rPr>
        <w:t>（7）环境保护奖惩办法；</w:t>
      </w:r>
    </w:p>
    <w:p>
      <w:pPr>
        <w:pStyle w:val="77"/>
        <w:ind w:firstLine="480"/>
        <w:rPr>
          <w:rFonts w:eastAsiaTheme="minorEastAsia"/>
        </w:rPr>
      </w:pPr>
      <w:r>
        <w:rPr>
          <w:rFonts w:eastAsiaTheme="minorEastAsia"/>
        </w:rPr>
        <w:t>（8）污染防治控制措施实施方法；</w:t>
      </w:r>
    </w:p>
    <w:p>
      <w:pPr>
        <w:pStyle w:val="77"/>
        <w:ind w:firstLine="480"/>
        <w:rPr>
          <w:rFonts w:eastAsiaTheme="minorEastAsia"/>
        </w:rPr>
      </w:pPr>
      <w:r>
        <w:rPr>
          <w:rFonts w:eastAsiaTheme="minorEastAsia"/>
        </w:rPr>
        <w:t>（9）环境污染事故管理规定；</w:t>
      </w:r>
    </w:p>
    <w:p>
      <w:pPr>
        <w:pStyle w:val="77"/>
        <w:ind w:firstLine="480"/>
        <w:rPr>
          <w:rFonts w:eastAsiaTheme="minorEastAsia"/>
        </w:rPr>
      </w:pPr>
      <w:r>
        <w:rPr>
          <w:rFonts w:eastAsiaTheme="minorEastAsia"/>
        </w:rPr>
        <w:t>（10）清洁生产审计制度；</w:t>
      </w:r>
    </w:p>
    <w:p>
      <w:pPr>
        <w:pStyle w:val="77"/>
        <w:ind w:firstLine="480"/>
        <w:rPr>
          <w:rFonts w:eastAsiaTheme="minorEastAsia"/>
        </w:rPr>
      </w:pPr>
      <w:r>
        <w:rPr>
          <w:rFonts w:eastAsiaTheme="minorEastAsia"/>
        </w:rPr>
        <w:t>（11）环境保护质量管理规程。</w:t>
      </w:r>
    </w:p>
    <w:p>
      <w:pPr>
        <w:pStyle w:val="77"/>
        <w:ind w:firstLine="480"/>
        <w:rPr>
          <w:rFonts w:eastAsiaTheme="minorEastAsia"/>
        </w:rPr>
      </w:pPr>
      <w:r>
        <w:rPr>
          <w:rFonts w:eastAsiaTheme="minorEastAsia"/>
        </w:rPr>
        <w:t>5、环境记录与信息交流</w:t>
      </w:r>
    </w:p>
    <w:p>
      <w:pPr>
        <w:pStyle w:val="77"/>
        <w:ind w:firstLine="480"/>
        <w:rPr>
          <w:rFonts w:eastAsiaTheme="minorEastAsia"/>
        </w:rPr>
      </w:pPr>
      <w:r>
        <w:rPr>
          <w:rFonts w:eastAsiaTheme="minorEastAsia"/>
        </w:rPr>
        <w:t>环境记录包括环境污染监测记录、设备检修校准记录、污染事故的调查与处理记录、培训与培训结果记录等。环境记录是环境管理工作中不可缺少的部分，是环境管理的重要信息资源。</w:t>
      </w:r>
    </w:p>
    <w:p>
      <w:pPr>
        <w:pStyle w:val="77"/>
        <w:ind w:firstLine="480"/>
        <w:rPr>
          <w:rFonts w:eastAsiaTheme="minorEastAsia"/>
        </w:rPr>
      </w:pPr>
      <w:r>
        <w:rPr>
          <w:rFonts w:hint="eastAsia" w:eastAsiaTheme="minorEastAsia"/>
        </w:rPr>
        <w:t>矿综合管理部</w:t>
      </w:r>
      <w:r>
        <w:rPr>
          <w:rFonts w:eastAsiaTheme="minorEastAsia"/>
        </w:rPr>
        <w:t>必须有如实详细的监测记录、仪器设备校准和维护记录，并有专人保管。各车间和有关科室也要有详细的环境记录，包括操作记录、紧急情况的发生和所采取的应急措施以及最后结果的记录等，并且要及时向公司环境保护委员会和环保科汇报。同时要建立健全环境记录的管理规定，做到日有记录，月有报表和检查，年有总结和评比。</w:t>
      </w:r>
    </w:p>
    <w:p>
      <w:pPr>
        <w:pStyle w:val="77"/>
        <w:ind w:firstLine="480"/>
        <w:rPr>
          <w:rFonts w:eastAsiaTheme="minorEastAsia"/>
        </w:rPr>
      </w:pPr>
      <w:r>
        <w:rPr>
          <w:rFonts w:eastAsiaTheme="minorEastAsia"/>
        </w:rPr>
        <w:t>环境保护与环境管理信息交流包括两个方面的内容：一是企业内部的信息交流，二是企业与外部的信息交流。</w:t>
      </w:r>
    </w:p>
    <w:p>
      <w:pPr>
        <w:pStyle w:val="77"/>
        <w:ind w:firstLine="480"/>
        <w:rPr>
          <w:rFonts w:eastAsiaTheme="minorEastAsia"/>
        </w:rPr>
      </w:pPr>
      <w:r>
        <w:rPr>
          <w:rFonts w:eastAsiaTheme="minorEastAsia"/>
        </w:rPr>
        <w:t>（1）企业内部信息交流的主要内容；</w:t>
      </w:r>
    </w:p>
    <w:p>
      <w:pPr>
        <w:pStyle w:val="77"/>
        <w:ind w:firstLine="480"/>
        <w:rPr>
          <w:rFonts w:eastAsiaTheme="minorEastAsia"/>
        </w:rPr>
      </w:pPr>
      <w:r>
        <w:rPr>
          <w:rFonts w:eastAsiaTheme="minorEastAsia"/>
        </w:rPr>
        <w:t>a．该厂的环境管理制度要传达到全体员工；</w:t>
      </w:r>
    </w:p>
    <w:p>
      <w:pPr>
        <w:pStyle w:val="77"/>
        <w:ind w:firstLine="480"/>
        <w:rPr>
          <w:rFonts w:eastAsiaTheme="minorEastAsia"/>
        </w:rPr>
      </w:pPr>
      <w:r>
        <w:rPr>
          <w:rFonts w:eastAsiaTheme="minorEastAsia"/>
        </w:rPr>
        <w:t>b．环境保护任务、职责、权利、义务的信息；</w:t>
      </w:r>
    </w:p>
    <w:p>
      <w:pPr>
        <w:pStyle w:val="77"/>
        <w:ind w:firstLine="480"/>
        <w:rPr>
          <w:rFonts w:eastAsiaTheme="minorEastAsia"/>
        </w:rPr>
      </w:pPr>
      <w:r>
        <w:rPr>
          <w:rFonts w:eastAsiaTheme="minorEastAsia"/>
        </w:rPr>
        <w:t>c．监测计划执行与监测结果的传达和反馈信息；</w:t>
      </w:r>
    </w:p>
    <w:p>
      <w:pPr>
        <w:pStyle w:val="77"/>
        <w:ind w:firstLine="480"/>
        <w:rPr>
          <w:rFonts w:eastAsiaTheme="minorEastAsia"/>
        </w:rPr>
      </w:pPr>
      <w:r>
        <w:rPr>
          <w:rFonts w:eastAsiaTheme="minorEastAsia"/>
        </w:rPr>
        <w:t>d．培训与教育的信息；</w:t>
      </w:r>
    </w:p>
    <w:p>
      <w:pPr>
        <w:pStyle w:val="77"/>
        <w:ind w:firstLine="480"/>
        <w:rPr>
          <w:rFonts w:eastAsiaTheme="minorEastAsia"/>
        </w:rPr>
      </w:pPr>
      <w:r>
        <w:rPr>
          <w:rFonts w:eastAsiaTheme="minorEastAsia"/>
        </w:rPr>
        <w:t>（2）企业与外部信息交流的主要内容是；</w:t>
      </w:r>
    </w:p>
    <w:p>
      <w:pPr>
        <w:pStyle w:val="77"/>
        <w:ind w:firstLine="480"/>
        <w:rPr>
          <w:rFonts w:eastAsiaTheme="minorEastAsia"/>
        </w:rPr>
      </w:pPr>
      <w:r>
        <w:rPr>
          <w:rFonts w:eastAsiaTheme="minorEastAsia"/>
        </w:rPr>
        <w:t>a．国家与地区环保法律法规的获取；</w:t>
      </w:r>
    </w:p>
    <w:p>
      <w:pPr>
        <w:pStyle w:val="77"/>
        <w:ind w:firstLine="480"/>
        <w:rPr>
          <w:rFonts w:eastAsiaTheme="minorEastAsia"/>
        </w:rPr>
      </w:pPr>
      <w:r>
        <w:rPr>
          <w:rFonts w:eastAsiaTheme="minorEastAsia"/>
        </w:rPr>
        <w:t>b．向地方环保部门和环境保护组织的信息交流；</w:t>
      </w:r>
    </w:p>
    <w:p>
      <w:pPr>
        <w:pStyle w:val="77"/>
        <w:ind w:firstLine="480"/>
        <w:rPr>
          <w:rFonts w:eastAsiaTheme="minorEastAsia"/>
        </w:rPr>
      </w:pPr>
      <w:r>
        <w:rPr>
          <w:rFonts w:eastAsiaTheme="minorEastAsia"/>
        </w:rPr>
        <w:t>c．定期向附近企业与公众发布和收集环境保护信息。</w:t>
      </w:r>
    </w:p>
    <w:p>
      <w:pPr>
        <w:pStyle w:val="4"/>
        <w:spacing w:before="0" w:after="0" w:line="360" w:lineRule="auto"/>
        <w:rPr>
          <w:rFonts w:eastAsiaTheme="minorEastAsia"/>
          <w:sz w:val="24"/>
          <w:szCs w:val="24"/>
        </w:rPr>
      </w:pPr>
      <w:bookmarkStart w:id="329" w:name="_Toc498088096"/>
      <w:r>
        <w:rPr>
          <w:rFonts w:eastAsiaTheme="minorEastAsia"/>
          <w:sz w:val="24"/>
          <w:szCs w:val="24"/>
        </w:rPr>
        <w:t>8.1.3污染物排放清单</w:t>
      </w:r>
      <w:bookmarkEnd w:id="329"/>
    </w:p>
    <w:p>
      <w:pPr>
        <w:pStyle w:val="77"/>
        <w:ind w:firstLine="480"/>
        <w:rPr>
          <w:rFonts w:eastAsiaTheme="minorEastAsia"/>
          <w:bCs/>
        </w:rPr>
        <w:sectPr>
          <w:pgSz w:w="11906" w:h="16838"/>
          <w:pgMar w:top="1418" w:right="1418" w:bottom="1418" w:left="1418" w:header="851" w:footer="992" w:gutter="0"/>
          <w:cols w:space="720" w:num="1"/>
          <w:docGrid w:type="lines" w:linePitch="312" w:charSpace="0"/>
        </w:sectPr>
      </w:pPr>
      <w:r>
        <w:rPr>
          <w:rFonts w:eastAsiaTheme="minorEastAsia"/>
        </w:rPr>
        <w:t>为了全面贯彻和落实国家以及地方环境保护政策、法律、法规，保护本工程周围环境，保证企业中各环保设施正常运行，达到企业污染物达标排放，企业必须按照《排污许可证暂行管理规定》做好污染物排放管理工作。项目污染物排放清单见表8.1-2。</w:t>
      </w:r>
    </w:p>
    <w:p>
      <w:pPr>
        <w:spacing w:line="360" w:lineRule="auto"/>
        <w:jc w:val="center"/>
        <w:rPr>
          <w:rFonts w:eastAsiaTheme="minorEastAsia"/>
          <w:b/>
        </w:rPr>
      </w:pPr>
      <w:r>
        <w:rPr>
          <w:rFonts w:eastAsiaTheme="minorEastAsia"/>
          <w:b/>
        </w:rPr>
        <w:t>8.1-2  本项目废气污染物排放清单（废气）</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34" w:type="dxa"/>
          <w:left w:w="2" w:type="dxa"/>
          <w:bottom w:w="0" w:type="dxa"/>
          <w:right w:w="4" w:type="dxa"/>
        </w:tblCellMar>
      </w:tblPr>
      <w:tblGrid>
        <w:gridCol w:w="730"/>
        <w:gridCol w:w="702"/>
        <w:gridCol w:w="710"/>
        <w:gridCol w:w="707"/>
        <w:gridCol w:w="567"/>
        <w:gridCol w:w="710"/>
        <w:gridCol w:w="4061"/>
        <w:gridCol w:w="1094"/>
        <w:gridCol w:w="940"/>
        <w:gridCol w:w="3811"/>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tcBorders>
              <w:top w:val="single" w:color="auto" w:sz="12" w:space="0"/>
              <w:left w:val="single" w:color="auto" w:sz="12" w:space="0"/>
              <w:bottom w:val="single" w:color="000000" w:sz="6" w:space="0"/>
              <w:right w:val="single" w:color="000000" w:sz="6" w:space="0"/>
            </w:tcBorders>
            <w:noWrap/>
            <w:vAlign w:val="center"/>
          </w:tcPr>
          <w:p>
            <w:pPr>
              <w:spacing w:line="280" w:lineRule="exact"/>
              <w:ind w:left="1" w:right="1"/>
              <w:jc w:val="center"/>
              <w:rPr>
                <w:sz w:val="18"/>
                <w:szCs w:val="18"/>
              </w:rPr>
            </w:pPr>
            <w:r>
              <w:rPr>
                <w:rFonts w:hint="eastAsia"/>
                <w:sz w:val="18"/>
                <w:szCs w:val="18"/>
              </w:rPr>
              <w:t>污染源</w:t>
            </w:r>
          </w:p>
        </w:tc>
        <w:tc>
          <w:tcPr>
            <w:tcW w:w="250" w:type="pct"/>
            <w:tcBorders>
              <w:top w:val="single" w:color="auto" w:sz="12" w:space="0"/>
              <w:left w:val="single" w:color="000000" w:sz="6" w:space="0"/>
              <w:bottom w:val="single" w:color="000000" w:sz="6" w:space="0"/>
              <w:right w:val="single" w:color="000000" w:sz="6" w:space="0"/>
            </w:tcBorders>
            <w:noWrap/>
            <w:vAlign w:val="center"/>
          </w:tcPr>
          <w:p>
            <w:pPr>
              <w:spacing w:line="280" w:lineRule="exact"/>
              <w:jc w:val="center"/>
              <w:rPr>
                <w:sz w:val="18"/>
                <w:szCs w:val="18"/>
              </w:rPr>
            </w:pPr>
            <w:r>
              <w:rPr>
                <w:rFonts w:hint="eastAsia"/>
                <w:sz w:val="18"/>
                <w:szCs w:val="18"/>
              </w:rPr>
              <w:t>污染物</w:t>
            </w:r>
          </w:p>
        </w:tc>
        <w:tc>
          <w:tcPr>
            <w:tcW w:w="253" w:type="pct"/>
            <w:tcBorders>
              <w:top w:val="single" w:color="auto" w:sz="12" w:space="0"/>
              <w:left w:val="single" w:color="000000" w:sz="6" w:space="0"/>
              <w:bottom w:val="single" w:color="000000" w:sz="6" w:space="0"/>
              <w:right w:val="single" w:color="000000" w:sz="6" w:space="0"/>
            </w:tcBorders>
            <w:noWrap/>
            <w:vAlign w:val="center"/>
          </w:tcPr>
          <w:p>
            <w:pPr>
              <w:spacing w:line="280" w:lineRule="exact"/>
              <w:ind w:left="85"/>
              <w:jc w:val="center"/>
              <w:rPr>
                <w:sz w:val="18"/>
                <w:szCs w:val="18"/>
              </w:rPr>
            </w:pPr>
            <w:r>
              <w:rPr>
                <w:rFonts w:hint="eastAsia"/>
                <w:sz w:val="18"/>
                <w:szCs w:val="18"/>
              </w:rPr>
              <w:t>烟气量</w:t>
            </w:r>
            <w:r>
              <w:rPr>
                <w:sz w:val="18"/>
                <w:szCs w:val="18"/>
              </w:rPr>
              <w:t>(Nm</w:t>
            </w:r>
            <w:r>
              <w:rPr>
                <w:sz w:val="18"/>
                <w:szCs w:val="18"/>
                <w:vertAlign w:val="superscript"/>
              </w:rPr>
              <w:t>3</w:t>
            </w:r>
            <w:r>
              <w:rPr>
                <w:sz w:val="18"/>
                <w:szCs w:val="18"/>
              </w:rPr>
              <w:t>/</w:t>
            </w:r>
            <w:r>
              <w:rPr>
                <w:rFonts w:hint="eastAsia"/>
                <w:sz w:val="18"/>
                <w:szCs w:val="18"/>
              </w:rPr>
              <w:t>a</w:t>
            </w:r>
            <w:r>
              <w:rPr>
                <w:sz w:val="18"/>
                <w:szCs w:val="18"/>
              </w:rPr>
              <w:t>)</w:t>
            </w:r>
          </w:p>
        </w:tc>
        <w:tc>
          <w:tcPr>
            <w:tcW w:w="252" w:type="pct"/>
            <w:tcBorders>
              <w:top w:val="single" w:color="auto" w:sz="12" w:space="0"/>
              <w:left w:val="single" w:color="000000" w:sz="6" w:space="0"/>
              <w:bottom w:val="single" w:color="000000" w:sz="6" w:space="0"/>
              <w:right w:val="single" w:color="000000" w:sz="6" w:space="0"/>
            </w:tcBorders>
            <w:noWrap/>
            <w:vAlign w:val="center"/>
          </w:tcPr>
          <w:p>
            <w:pPr>
              <w:spacing w:line="280" w:lineRule="exact"/>
              <w:jc w:val="center"/>
              <w:rPr>
                <w:sz w:val="18"/>
                <w:szCs w:val="18"/>
              </w:rPr>
            </w:pPr>
            <w:r>
              <w:rPr>
                <w:rFonts w:hint="eastAsia"/>
                <w:sz w:val="18"/>
                <w:szCs w:val="18"/>
              </w:rPr>
              <w:t>排放高度</w:t>
            </w:r>
            <w:r>
              <w:rPr>
                <w:sz w:val="18"/>
                <w:szCs w:val="18"/>
              </w:rPr>
              <w:t>(m)</w:t>
            </w:r>
          </w:p>
        </w:tc>
        <w:tc>
          <w:tcPr>
            <w:tcW w:w="202" w:type="pct"/>
            <w:tcBorders>
              <w:top w:val="single" w:color="auto" w:sz="12" w:space="0"/>
              <w:left w:val="single" w:color="000000" w:sz="6" w:space="0"/>
              <w:bottom w:val="single" w:color="000000" w:sz="6" w:space="0"/>
              <w:right w:val="single" w:color="000000" w:sz="6" w:space="0"/>
            </w:tcBorders>
            <w:noWrap/>
            <w:vAlign w:val="center"/>
          </w:tcPr>
          <w:p>
            <w:pPr>
              <w:spacing w:line="280" w:lineRule="exact"/>
              <w:jc w:val="center"/>
              <w:rPr>
                <w:sz w:val="18"/>
                <w:szCs w:val="18"/>
              </w:rPr>
            </w:pPr>
            <w:r>
              <w:rPr>
                <w:rFonts w:hint="eastAsia"/>
                <w:sz w:val="18"/>
                <w:szCs w:val="18"/>
              </w:rPr>
              <w:t>排放内径</w:t>
            </w:r>
          </w:p>
          <w:p>
            <w:pPr>
              <w:spacing w:line="280" w:lineRule="exact"/>
              <w:jc w:val="center"/>
              <w:rPr>
                <w:sz w:val="18"/>
                <w:szCs w:val="18"/>
              </w:rPr>
            </w:pPr>
            <w:r>
              <w:rPr>
                <w:sz w:val="18"/>
                <w:szCs w:val="18"/>
              </w:rPr>
              <w:t>(m)</w:t>
            </w:r>
          </w:p>
        </w:tc>
        <w:tc>
          <w:tcPr>
            <w:tcW w:w="253" w:type="pct"/>
            <w:tcBorders>
              <w:top w:val="single" w:color="auto" w:sz="12" w:space="0"/>
              <w:left w:val="single" w:color="000000" w:sz="6" w:space="0"/>
              <w:bottom w:val="single" w:color="000000" w:sz="6" w:space="0"/>
              <w:right w:val="single" w:color="000000" w:sz="6" w:space="0"/>
            </w:tcBorders>
            <w:noWrap/>
            <w:vAlign w:val="center"/>
          </w:tcPr>
          <w:p>
            <w:pPr>
              <w:spacing w:line="280" w:lineRule="exact"/>
              <w:jc w:val="center"/>
              <w:rPr>
                <w:sz w:val="18"/>
                <w:szCs w:val="18"/>
              </w:rPr>
            </w:pPr>
            <w:r>
              <w:rPr>
                <w:rFonts w:hint="eastAsia"/>
                <w:sz w:val="18"/>
                <w:szCs w:val="18"/>
              </w:rPr>
              <w:t>运转时间</w:t>
            </w:r>
            <w:r>
              <w:rPr>
                <w:sz w:val="18"/>
                <w:szCs w:val="18"/>
              </w:rPr>
              <w:t>(h)</w:t>
            </w:r>
          </w:p>
        </w:tc>
        <w:tc>
          <w:tcPr>
            <w:tcW w:w="1447" w:type="pct"/>
            <w:tcBorders>
              <w:top w:val="single" w:color="auto" w:sz="12" w:space="0"/>
              <w:left w:val="single" w:color="000000" w:sz="6" w:space="0"/>
              <w:bottom w:val="single" w:color="000000" w:sz="6" w:space="0"/>
              <w:right w:val="single" w:color="000000" w:sz="6" w:space="0"/>
            </w:tcBorders>
            <w:noWrap/>
            <w:vAlign w:val="center"/>
          </w:tcPr>
          <w:p>
            <w:pPr>
              <w:spacing w:line="280" w:lineRule="exact"/>
              <w:jc w:val="center"/>
              <w:rPr>
                <w:sz w:val="18"/>
                <w:szCs w:val="18"/>
              </w:rPr>
            </w:pPr>
            <w:r>
              <w:rPr>
                <w:rFonts w:hint="eastAsia"/>
                <w:sz w:val="18"/>
                <w:szCs w:val="18"/>
              </w:rPr>
              <w:t>污染防治措施</w:t>
            </w:r>
          </w:p>
        </w:tc>
        <w:tc>
          <w:tcPr>
            <w:tcW w:w="390" w:type="pct"/>
            <w:tcBorders>
              <w:top w:val="single" w:color="auto" w:sz="12" w:space="0"/>
              <w:left w:val="single" w:color="000000" w:sz="6" w:space="0"/>
              <w:bottom w:val="single" w:color="000000" w:sz="6" w:space="0"/>
              <w:right w:val="single" w:color="000000" w:sz="6" w:space="0"/>
            </w:tcBorders>
            <w:noWrap/>
            <w:vAlign w:val="center"/>
          </w:tcPr>
          <w:p>
            <w:pPr>
              <w:spacing w:line="280" w:lineRule="exact"/>
              <w:ind w:left="251"/>
              <w:jc w:val="center"/>
              <w:rPr>
                <w:sz w:val="18"/>
                <w:szCs w:val="18"/>
              </w:rPr>
            </w:pPr>
            <w:r>
              <w:rPr>
                <w:rFonts w:hint="eastAsia"/>
                <w:sz w:val="18"/>
                <w:szCs w:val="18"/>
              </w:rPr>
              <w:t>排放浓度</w:t>
            </w:r>
            <w:r>
              <w:rPr>
                <w:sz w:val="18"/>
                <w:szCs w:val="18"/>
              </w:rPr>
              <w:t>(mg/Nm</w:t>
            </w:r>
            <w:r>
              <w:rPr>
                <w:sz w:val="18"/>
                <w:szCs w:val="18"/>
                <w:vertAlign w:val="superscript"/>
              </w:rPr>
              <w:t>3</w:t>
            </w:r>
            <w:r>
              <w:rPr>
                <w:sz w:val="18"/>
                <w:szCs w:val="18"/>
              </w:rPr>
              <w:t>)</w:t>
            </w:r>
          </w:p>
        </w:tc>
        <w:tc>
          <w:tcPr>
            <w:tcW w:w="335" w:type="pct"/>
            <w:tcBorders>
              <w:top w:val="single" w:color="auto" w:sz="12" w:space="0"/>
              <w:left w:val="single" w:color="000000" w:sz="6" w:space="0"/>
              <w:bottom w:val="single" w:color="000000" w:sz="6" w:space="0"/>
              <w:right w:val="single" w:color="000000" w:sz="6" w:space="0"/>
            </w:tcBorders>
            <w:noWrap/>
            <w:vAlign w:val="center"/>
          </w:tcPr>
          <w:p>
            <w:pPr>
              <w:spacing w:line="280" w:lineRule="exact"/>
              <w:ind w:left="10"/>
              <w:jc w:val="center"/>
              <w:rPr>
                <w:sz w:val="18"/>
                <w:szCs w:val="18"/>
              </w:rPr>
            </w:pPr>
            <w:r>
              <w:rPr>
                <w:rFonts w:hint="eastAsia"/>
                <w:sz w:val="18"/>
                <w:szCs w:val="18"/>
              </w:rPr>
              <w:t>排放量</w:t>
            </w:r>
          </w:p>
          <w:p>
            <w:pPr>
              <w:spacing w:line="280" w:lineRule="exact"/>
              <w:ind w:left="8"/>
              <w:jc w:val="center"/>
              <w:rPr>
                <w:sz w:val="18"/>
                <w:szCs w:val="18"/>
              </w:rPr>
            </w:pPr>
            <w:r>
              <w:rPr>
                <w:sz w:val="18"/>
                <w:szCs w:val="18"/>
              </w:rPr>
              <w:t>(t/a)</w:t>
            </w:r>
          </w:p>
        </w:tc>
        <w:tc>
          <w:tcPr>
            <w:tcW w:w="1358" w:type="pct"/>
            <w:tcBorders>
              <w:top w:val="single" w:color="auto" w:sz="12" w:space="0"/>
              <w:left w:val="single" w:color="000000" w:sz="6" w:space="0"/>
              <w:bottom w:val="single" w:color="000000" w:sz="6" w:space="0"/>
              <w:right w:val="single" w:color="auto" w:sz="12" w:space="0"/>
            </w:tcBorders>
            <w:noWrap/>
            <w:vAlign w:val="center"/>
          </w:tcPr>
          <w:p>
            <w:pPr>
              <w:spacing w:line="280" w:lineRule="exact"/>
              <w:ind w:left="10"/>
              <w:jc w:val="center"/>
              <w:rPr>
                <w:sz w:val="18"/>
                <w:szCs w:val="18"/>
              </w:rPr>
            </w:pPr>
            <w:r>
              <w:rPr>
                <w:rFonts w:hint="eastAsia"/>
                <w:sz w:val="18"/>
                <w:szCs w:val="18"/>
              </w:rPr>
              <w:t>执行的环境标准</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vMerge w:val="restart"/>
            <w:tcBorders>
              <w:top w:val="single" w:color="000000" w:sz="6" w:space="0"/>
              <w:left w:val="single" w:color="auto" w:sz="12" w:space="0"/>
              <w:right w:val="single" w:color="000000" w:sz="6" w:space="0"/>
            </w:tcBorders>
            <w:noWrap/>
            <w:vAlign w:val="center"/>
          </w:tcPr>
          <w:p>
            <w:pPr>
              <w:spacing w:line="280" w:lineRule="exact"/>
              <w:ind w:left="1" w:right="1"/>
              <w:jc w:val="center"/>
              <w:rPr>
                <w:sz w:val="18"/>
                <w:szCs w:val="18"/>
              </w:rPr>
            </w:pPr>
            <w:r>
              <w:rPr>
                <w:rFonts w:hint="eastAsia"/>
                <w:sz w:val="18"/>
                <w:szCs w:val="18"/>
              </w:rPr>
              <w:t>锅炉</w:t>
            </w:r>
          </w:p>
          <w:p>
            <w:pPr>
              <w:spacing w:line="280" w:lineRule="exact"/>
              <w:ind w:left="1" w:right="1"/>
              <w:jc w:val="center"/>
              <w:rPr>
                <w:sz w:val="18"/>
                <w:szCs w:val="18"/>
              </w:rPr>
            </w:pPr>
            <w:r>
              <w:rPr>
                <w:rFonts w:hint="eastAsia"/>
                <w:sz w:val="18"/>
                <w:szCs w:val="18"/>
              </w:rPr>
              <w:t>排气筒</w:t>
            </w:r>
            <w:r>
              <w:rPr>
                <w:sz w:val="18"/>
                <w:szCs w:val="18"/>
              </w:rPr>
              <w:t>DA001</w:t>
            </w:r>
          </w:p>
          <w:p>
            <w:pPr>
              <w:spacing w:line="280" w:lineRule="exact"/>
              <w:ind w:left="1" w:right="1"/>
              <w:jc w:val="center"/>
              <w:rPr>
                <w:sz w:val="18"/>
                <w:szCs w:val="18"/>
              </w:rPr>
            </w:pPr>
            <w:r>
              <w:rPr>
                <w:rFonts w:hint="eastAsia"/>
                <w:sz w:val="18"/>
                <w:szCs w:val="18"/>
              </w:rPr>
              <w:t>采暖期</w:t>
            </w:r>
          </w:p>
        </w:tc>
        <w:tc>
          <w:tcPr>
            <w:tcW w:w="250" w:type="pct"/>
            <w:tcBorders>
              <w:top w:val="single" w:color="000000" w:sz="6" w:space="0"/>
              <w:left w:val="single" w:color="000000" w:sz="6" w:space="0"/>
              <w:bottom w:val="single" w:color="000000" w:sz="6" w:space="0"/>
              <w:right w:val="single" w:color="000000" w:sz="6" w:space="0"/>
            </w:tcBorders>
            <w:noWrap/>
            <w:vAlign w:val="center"/>
          </w:tcPr>
          <w:p>
            <w:pPr>
              <w:pStyle w:val="7"/>
              <w:adjustRightInd w:val="0"/>
              <w:snapToGrid w:val="0"/>
              <w:ind w:firstLine="0"/>
              <w:jc w:val="center"/>
              <w:rPr>
                <w:sz w:val="18"/>
                <w:szCs w:val="18"/>
              </w:rPr>
            </w:pPr>
            <w:r>
              <w:rPr>
                <w:rFonts w:hint="eastAsia"/>
                <w:sz w:val="18"/>
                <w:szCs w:val="18"/>
              </w:rPr>
              <w:t>烟尘</w:t>
            </w:r>
          </w:p>
        </w:tc>
        <w:tc>
          <w:tcPr>
            <w:tcW w:w="253" w:type="pct"/>
            <w:vMerge w:val="restart"/>
            <w:tcBorders>
              <w:top w:val="single" w:color="000000" w:sz="6" w:space="0"/>
              <w:left w:val="single" w:color="000000" w:sz="6" w:space="0"/>
              <w:right w:val="single" w:color="000000" w:sz="6" w:space="0"/>
            </w:tcBorders>
            <w:noWrap/>
            <w:vAlign w:val="center"/>
          </w:tcPr>
          <w:p>
            <w:pPr>
              <w:spacing w:line="240" w:lineRule="atLeast"/>
              <w:jc w:val="center"/>
              <w:rPr>
                <w:sz w:val="18"/>
                <w:szCs w:val="18"/>
                <w:vertAlign w:val="superscript"/>
              </w:rPr>
            </w:pPr>
            <w:r>
              <w:rPr>
                <w:rFonts w:hint="eastAsia"/>
                <w:sz w:val="18"/>
                <w:szCs w:val="18"/>
              </w:rPr>
              <w:t>1571.25</w:t>
            </w:r>
            <w:r>
              <w:rPr>
                <w:sz w:val="18"/>
                <w:szCs w:val="18"/>
              </w:rPr>
              <w:t>×10</w:t>
            </w:r>
            <w:r>
              <w:rPr>
                <w:sz w:val="18"/>
                <w:szCs w:val="18"/>
                <w:vertAlign w:val="superscript"/>
              </w:rPr>
              <w:t>4</w:t>
            </w:r>
          </w:p>
        </w:tc>
        <w:tc>
          <w:tcPr>
            <w:tcW w:w="252" w:type="pct"/>
            <w:vMerge w:val="restart"/>
            <w:tcBorders>
              <w:top w:val="single" w:color="000000" w:sz="6" w:space="0"/>
              <w:left w:val="single" w:color="000000" w:sz="6" w:space="0"/>
              <w:right w:val="single" w:color="000000" w:sz="6" w:space="0"/>
            </w:tcBorders>
            <w:noWrap/>
            <w:vAlign w:val="center"/>
          </w:tcPr>
          <w:p>
            <w:pPr>
              <w:pStyle w:val="7"/>
              <w:adjustRightInd w:val="0"/>
              <w:snapToGrid w:val="0"/>
              <w:ind w:firstLine="0"/>
              <w:jc w:val="center"/>
              <w:rPr>
                <w:sz w:val="18"/>
                <w:szCs w:val="18"/>
              </w:rPr>
            </w:pPr>
            <w:r>
              <w:rPr>
                <w:sz w:val="18"/>
                <w:szCs w:val="18"/>
              </w:rPr>
              <w:t>15</w:t>
            </w:r>
          </w:p>
        </w:tc>
        <w:tc>
          <w:tcPr>
            <w:tcW w:w="202" w:type="pct"/>
            <w:vMerge w:val="restart"/>
            <w:tcBorders>
              <w:top w:val="single" w:color="000000" w:sz="6" w:space="0"/>
              <w:left w:val="single" w:color="000000" w:sz="6" w:space="0"/>
              <w:right w:val="single" w:color="000000" w:sz="6" w:space="0"/>
            </w:tcBorders>
            <w:noWrap/>
            <w:vAlign w:val="center"/>
          </w:tcPr>
          <w:p>
            <w:pPr>
              <w:pStyle w:val="7"/>
              <w:adjustRightInd w:val="0"/>
              <w:snapToGrid w:val="0"/>
              <w:ind w:firstLine="0"/>
              <w:jc w:val="center"/>
              <w:rPr>
                <w:sz w:val="18"/>
                <w:szCs w:val="18"/>
              </w:rPr>
            </w:pPr>
            <w:r>
              <w:rPr>
                <w:sz w:val="18"/>
                <w:szCs w:val="18"/>
              </w:rPr>
              <w:t>0.</w:t>
            </w:r>
            <w:r>
              <w:rPr>
                <w:rFonts w:hint="eastAsia"/>
                <w:sz w:val="18"/>
                <w:szCs w:val="18"/>
              </w:rPr>
              <w:t>2</w:t>
            </w:r>
          </w:p>
        </w:tc>
        <w:tc>
          <w:tcPr>
            <w:tcW w:w="253" w:type="pct"/>
            <w:vMerge w:val="restart"/>
            <w:tcBorders>
              <w:top w:val="single" w:color="000000" w:sz="6" w:space="0"/>
              <w:left w:val="single" w:color="000000" w:sz="6" w:space="0"/>
              <w:right w:val="single" w:color="000000" w:sz="6" w:space="0"/>
            </w:tcBorders>
            <w:noWrap/>
            <w:vAlign w:val="center"/>
          </w:tcPr>
          <w:p>
            <w:pPr>
              <w:pStyle w:val="7"/>
              <w:adjustRightInd w:val="0"/>
              <w:snapToGrid w:val="0"/>
              <w:ind w:firstLine="0"/>
              <w:jc w:val="center"/>
              <w:rPr>
                <w:sz w:val="18"/>
                <w:szCs w:val="18"/>
              </w:rPr>
            </w:pPr>
            <w:r>
              <w:rPr>
                <w:sz w:val="18"/>
                <w:szCs w:val="18"/>
              </w:rPr>
              <w:t>2400</w:t>
            </w:r>
          </w:p>
        </w:tc>
        <w:tc>
          <w:tcPr>
            <w:tcW w:w="1447" w:type="pct"/>
            <w:vMerge w:val="restart"/>
            <w:tcBorders>
              <w:top w:val="single" w:color="000000" w:sz="6" w:space="0"/>
              <w:left w:val="single" w:color="000000" w:sz="6" w:space="0"/>
              <w:right w:val="single" w:color="000000" w:sz="6" w:space="0"/>
            </w:tcBorders>
            <w:noWrap/>
            <w:vAlign w:val="center"/>
          </w:tcPr>
          <w:p>
            <w:pPr>
              <w:pStyle w:val="7"/>
              <w:adjustRightInd w:val="0"/>
              <w:snapToGrid w:val="0"/>
              <w:ind w:firstLine="0"/>
              <w:jc w:val="center"/>
              <w:rPr>
                <w:sz w:val="18"/>
                <w:szCs w:val="18"/>
              </w:rPr>
            </w:pPr>
            <w:r>
              <w:rPr>
                <w:rFonts w:hint="eastAsia"/>
                <w:sz w:val="18"/>
                <w:szCs w:val="18"/>
              </w:rPr>
              <w:t>低氮燃烧锅炉</w:t>
            </w:r>
          </w:p>
        </w:tc>
        <w:tc>
          <w:tcPr>
            <w:tcW w:w="390" w:type="pct"/>
            <w:tcBorders>
              <w:top w:val="single" w:color="000000" w:sz="6" w:space="0"/>
              <w:left w:val="single" w:color="000000" w:sz="6" w:space="0"/>
              <w:bottom w:val="single" w:color="000000" w:sz="6" w:space="0"/>
              <w:right w:val="single" w:color="000000" w:sz="6" w:space="0"/>
            </w:tcBorders>
            <w:noWrap/>
            <w:vAlign w:val="center"/>
          </w:tcPr>
          <w:p>
            <w:pPr>
              <w:jc w:val="center"/>
              <w:textAlignment w:val="center"/>
              <w:rPr>
                <w:sz w:val="18"/>
                <w:szCs w:val="18"/>
              </w:rPr>
            </w:pPr>
            <w:r>
              <w:rPr>
                <w:sz w:val="18"/>
                <w:szCs w:val="18"/>
              </w:rPr>
              <w:t>5</w:t>
            </w:r>
          </w:p>
        </w:tc>
        <w:tc>
          <w:tcPr>
            <w:tcW w:w="335" w:type="pct"/>
            <w:tcBorders>
              <w:top w:val="single" w:color="000000" w:sz="6" w:space="0"/>
              <w:left w:val="single" w:color="000000" w:sz="6" w:space="0"/>
              <w:bottom w:val="single" w:color="000000" w:sz="6" w:space="0"/>
              <w:right w:val="single" w:color="000000" w:sz="6" w:space="0"/>
            </w:tcBorders>
            <w:noWrap/>
            <w:vAlign w:val="center"/>
          </w:tcPr>
          <w:p>
            <w:pPr>
              <w:spacing w:line="240" w:lineRule="atLeast"/>
              <w:jc w:val="center"/>
              <w:rPr>
                <w:sz w:val="18"/>
                <w:szCs w:val="18"/>
              </w:rPr>
            </w:pPr>
            <w:r>
              <w:rPr>
                <w:rFonts w:hint="eastAsia"/>
                <w:sz w:val="18"/>
                <w:szCs w:val="18"/>
              </w:rPr>
              <w:t>0.079</w:t>
            </w:r>
          </w:p>
        </w:tc>
        <w:tc>
          <w:tcPr>
            <w:tcW w:w="1358" w:type="pct"/>
            <w:vMerge w:val="restart"/>
            <w:tcBorders>
              <w:top w:val="single" w:color="000000" w:sz="6" w:space="0"/>
              <w:left w:val="single" w:color="000000" w:sz="6" w:space="0"/>
              <w:right w:val="single" w:color="auto" w:sz="12" w:space="0"/>
            </w:tcBorders>
            <w:noWrap/>
            <w:vAlign w:val="center"/>
          </w:tcPr>
          <w:p>
            <w:pPr>
              <w:spacing w:line="280" w:lineRule="exact"/>
              <w:jc w:val="center"/>
              <w:rPr>
                <w:sz w:val="18"/>
                <w:szCs w:val="18"/>
              </w:rPr>
            </w:pPr>
            <w:r>
              <w:rPr>
                <w:rFonts w:hint="eastAsia" w:eastAsiaTheme="minorEastAsia"/>
                <w:sz w:val="18"/>
                <w:szCs w:val="18"/>
              </w:rPr>
              <w:t>《锅炉大气污染物排放标准》（</w:t>
            </w:r>
            <w:r>
              <w:rPr>
                <w:rFonts w:eastAsiaTheme="minorEastAsia"/>
                <w:sz w:val="18"/>
                <w:szCs w:val="18"/>
              </w:rPr>
              <w:t>DB14/1929-2019</w:t>
            </w:r>
            <w:r>
              <w:rPr>
                <w:rFonts w:hint="eastAsia" w:eastAsiaTheme="minorEastAsia"/>
                <w:sz w:val="18"/>
                <w:szCs w:val="18"/>
              </w:rPr>
              <w:t>）中表</w:t>
            </w:r>
            <w:r>
              <w:rPr>
                <w:rFonts w:eastAsiaTheme="minorEastAsia"/>
                <w:sz w:val="18"/>
                <w:szCs w:val="18"/>
              </w:rPr>
              <w:t>3</w:t>
            </w:r>
            <w:r>
              <w:rPr>
                <w:rFonts w:hint="eastAsia" w:eastAsiaTheme="minorEastAsia"/>
                <w:sz w:val="18"/>
                <w:szCs w:val="18"/>
              </w:rPr>
              <w:t>标准限值要求</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vMerge w:val="continue"/>
            <w:tcBorders>
              <w:left w:val="single" w:color="auto" w:sz="12" w:space="0"/>
              <w:right w:val="single" w:color="000000" w:sz="6" w:space="0"/>
            </w:tcBorders>
            <w:vAlign w:val="center"/>
          </w:tcPr>
          <w:p>
            <w:pPr>
              <w:widowControl/>
              <w:jc w:val="left"/>
              <w:rPr>
                <w:sz w:val="18"/>
                <w:szCs w:val="18"/>
              </w:rPr>
            </w:pPr>
          </w:p>
        </w:tc>
        <w:tc>
          <w:tcPr>
            <w:tcW w:w="250" w:type="pct"/>
            <w:tcBorders>
              <w:top w:val="single" w:color="000000" w:sz="6" w:space="0"/>
              <w:left w:val="single" w:color="000000" w:sz="6" w:space="0"/>
              <w:bottom w:val="single" w:color="000000" w:sz="6" w:space="0"/>
              <w:right w:val="single" w:color="000000" w:sz="6" w:space="0"/>
            </w:tcBorders>
            <w:noWrap/>
            <w:vAlign w:val="center"/>
          </w:tcPr>
          <w:p>
            <w:pPr>
              <w:pStyle w:val="7"/>
              <w:adjustRightInd w:val="0"/>
              <w:snapToGrid w:val="0"/>
              <w:ind w:firstLine="0"/>
              <w:jc w:val="center"/>
              <w:rPr>
                <w:sz w:val="18"/>
                <w:szCs w:val="18"/>
              </w:rPr>
            </w:pPr>
            <w:r>
              <w:rPr>
                <w:sz w:val="18"/>
                <w:szCs w:val="18"/>
              </w:rPr>
              <w:t>NOx</w:t>
            </w:r>
          </w:p>
        </w:tc>
        <w:tc>
          <w:tcPr>
            <w:tcW w:w="253" w:type="pct"/>
            <w:vMerge w:val="continue"/>
            <w:tcBorders>
              <w:left w:val="single" w:color="000000" w:sz="6" w:space="0"/>
              <w:right w:val="single" w:color="000000" w:sz="6" w:space="0"/>
            </w:tcBorders>
            <w:vAlign w:val="center"/>
          </w:tcPr>
          <w:p>
            <w:pPr>
              <w:widowControl/>
              <w:jc w:val="left"/>
              <w:rPr>
                <w:sz w:val="18"/>
                <w:szCs w:val="18"/>
              </w:rPr>
            </w:pPr>
          </w:p>
        </w:tc>
        <w:tc>
          <w:tcPr>
            <w:tcW w:w="252" w:type="pct"/>
            <w:vMerge w:val="continue"/>
            <w:tcBorders>
              <w:left w:val="single" w:color="000000" w:sz="6" w:space="0"/>
              <w:right w:val="single" w:color="000000" w:sz="6" w:space="0"/>
            </w:tcBorders>
            <w:vAlign w:val="center"/>
          </w:tcPr>
          <w:p>
            <w:pPr>
              <w:widowControl/>
              <w:jc w:val="left"/>
              <w:rPr>
                <w:sz w:val="18"/>
                <w:szCs w:val="18"/>
              </w:rPr>
            </w:pPr>
          </w:p>
        </w:tc>
        <w:tc>
          <w:tcPr>
            <w:tcW w:w="202" w:type="pct"/>
            <w:vMerge w:val="continue"/>
            <w:tcBorders>
              <w:left w:val="single" w:color="000000" w:sz="6" w:space="0"/>
              <w:right w:val="single" w:color="000000" w:sz="6" w:space="0"/>
            </w:tcBorders>
            <w:vAlign w:val="center"/>
          </w:tcPr>
          <w:p>
            <w:pPr>
              <w:widowControl/>
              <w:jc w:val="left"/>
              <w:rPr>
                <w:sz w:val="18"/>
                <w:szCs w:val="18"/>
              </w:rPr>
            </w:pPr>
          </w:p>
        </w:tc>
        <w:tc>
          <w:tcPr>
            <w:tcW w:w="253" w:type="pct"/>
            <w:vMerge w:val="continue"/>
            <w:tcBorders>
              <w:left w:val="single" w:color="000000" w:sz="6" w:space="0"/>
              <w:right w:val="single" w:color="000000" w:sz="6" w:space="0"/>
            </w:tcBorders>
            <w:vAlign w:val="center"/>
          </w:tcPr>
          <w:p>
            <w:pPr>
              <w:widowControl/>
              <w:jc w:val="left"/>
              <w:rPr>
                <w:sz w:val="18"/>
                <w:szCs w:val="18"/>
              </w:rPr>
            </w:pPr>
          </w:p>
        </w:tc>
        <w:tc>
          <w:tcPr>
            <w:tcW w:w="1447" w:type="pct"/>
            <w:vMerge w:val="continue"/>
            <w:tcBorders>
              <w:left w:val="single" w:color="000000" w:sz="6" w:space="0"/>
              <w:right w:val="single" w:color="000000" w:sz="6" w:space="0"/>
            </w:tcBorders>
            <w:vAlign w:val="center"/>
          </w:tcPr>
          <w:p>
            <w:pPr>
              <w:widowControl/>
              <w:jc w:val="left"/>
              <w:rPr>
                <w:sz w:val="18"/>
                <w:szCs w:val="18"/>
              </w:rPr>
            </w:pPr>
          </w:p>
        </w:tc>
        <w:tc>
          <w:tcPr>
            <w:tcW w:w="390" w:type="pct"/>
            <w:tcBorders>
              <w:top w:val="single" w:color="000000" w:sz="6" w:space="0"/>
              <w:left w:val="single" w:color="000000" w:sz="6" w:space="0"/>
              <w:bottom w:val="single" w:color="000000" w:sz="6" w:space="0"/>
              <w:right w:val="single" w:color="000000" w:sz="6" w:space="0"/>
            </w:tcBorders>
            <w:noWrap/>
            <w:vAlign w:val="center"/>
          </w:tcPr>
          <w:p>
            <w:pPr>
              <w:jc w:val="center"/>
              <w:textAlignment w:val="center"/>
              <w:rPr>
                <w:sz w:val="18"/>
                <w:szCs w:val="18"/>
              </w:rPr>
            </w:pPr>
            <w:r>
              <w:rPr>
                <w:sz w:val="18"/>
                <w:szCs w:val="18"/>
              </w:rPr>
              <w:t>50</w:t>
            </w:r>
          </w:p>
        </w:tc>
        <w:tc>
          <w:tcPr>
            <w:tcW w:w="335" w:type="pct"/>
            <w:tcBorders>
              <w:top w:val="single" w:color="000000" w:sz="6" w:space="0"/>
              <w:left w:val="single" w:color="000000" w:sz="6" w:space="0"/>
              <w:bottom w:val="single" w:color="000000" w:sz="6" w:space="0"/>
              <w:right w:val="single" w:color="000000" w:sz="6" w:space="0"/>
            </w:tcBorders>
            <w:noWrap/>
            <w:vAlign w:val="center"/>
          </w:tcPr>
          <w:p>
            <w:pPr>
              <w:spacing w:line="240" w:lineRule="atLeast"/>
              <w:jc w:val="center"/>
              <w:rPr>
                <w:sz w:val="18"/>
                <w:szCs w:val="18"/>
              </w:rPr>
            </w:pPr>
            <w:r>
              <w:rPr>
                <w:rFonts w:hint="eastAsia"/>
                <w:sz w:val="18"/>
                <w:szCs w:val="18"/>
              </w:rPr>
              <w:t>0.79</w:t>
            </w:r>
          </w:p>
        </w:tc>
        <w:tc>
          <w:tcPr>
            <w:tcW w:w="1358" w:type="pct"/>
            <w:vMerge w:val="continue"/>
            <w:tcBorders>
              <w:left w:val="single" w:color="000000" w:sz="6" w:space="0"/>
              <w:right w:val="single" w:color="auto" w:sz="12" w:space="0"/>
            </w:tcBorders>
            <w:vAlign w:val="center"/>
          </w:tcPr>
          <w:p>
            <w:pPr>
              <w:widowControl/>
              <w:jc w:val="left"/>
              <w:rPr>
                <w:sz w:val="18"/>
                <w:szCs w:val="18"/>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vMerge w:val="continue"/>
            <w:tcBorders>
              <w:left w:val="single" w:color="auto" w:sz="12" w:space="0"/>
              <w:bottom w:val="single" w:color="000000" w:sz="6" w:space="0"/>
              <w:right w:val="single" w:color="000000" w:sz="6" w:space="0"/>
            </w:tcBorders>
            <w:vAlign w:val="center"/>
          </w:tcPr>
          <w:p>
            <w:pPr>
              <w:widowControl/>
              <w:jc w:val="left"/>
              <w:rPr>
                <w:sz w:val="18"/>
                <w:szCs w:val="18"/>
              </w:rPr>
            </w:pPr>
          </w:p>
        </w:tc>
        <w:tc>
          <w:tcPr>
            <w:tcW w:w="250" w:type="pct"/>
            <w:tcBorders>
              <w:top w:val="single" w:color="000000" w:sz="6" w:space="0"/>
              <w:left w:val="single" w:color="000000" w:sz="6" w:space="0"/>
              <w:bottom w:val="single" w:color="000000" w:sz="6" w:space="0"/>
              <w:right w:val="single" w:color="000000" w:sz="6" w:space="0"/>
            </w:tcBorders>
            <w:noWrap/>
            <w:vAlign w:val="center"/>
          </w:tcPr>
          <w:p>
            <w:pPr>
              <w:pStyle w:val="7"/>
              <w:adjustRightInd w:val="0"/>
              <w:snapToGrid w:val="0"/>
              <w:ind w:firstLine="0"/>
              <w:jc w:val="center"/>
              <w:rPr>
                <w:sz w:val="18"/>
                <w:szCs w:val="18"/>
                <w:vertAlign w:val="subscript"/>
              </w:rPr>
            </w:pPr>
            <w:r>
              <w:rPr>
                <w:rFonts w:hint="eastAsia"/>
                <w:sz w:val="18"/>
                <w:szCs w:val="18"/>
              </w:rPr>
              <w:t>SO</w:t>
            </w:r>
            <w:r>
              <w:rPr>
                <w:rFonts w:hint="eastAsia"/>
                <w:sz w:val="18"/>
                <w:szCs w:val="18"/>
                <w:vertAlign w:val="subscript"/>
              </w:rPr>
              <w:t>2</w:t>
            </w:r>
          </w:p>
        </w:tc>
        <w:tc>
          <w:tcPr>
            <w:tcW w:w="253"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252"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202"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253"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1447"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390" w:type="pct"/>
            <w:tcBorders>
              <w:top w:val="single" w:color="000000" w:sz="6" w:space="0"/>
              <w:left w:val="single" w:color="000000" w:sz="6" w:space="0"/>
              <w:bottom w:val="single" w:color="000000" w:sz="6" w:space="0"/>
              <w:right w:val="single" w:color="000000" w:sz="6" w:space="0"/>
            </w:tcBorders>
            <w:noWrap/>
            <w:vAlign w:val="center"/>
          </w:tcPr>
          <w:p>
            <w:pPr>
              <w:jc w:val="center"/>
              <w:textAlignment w:val="center"/>
              <w:rPr>
                <w:sz w:val="18"/>
                <w:szCs w:val="18"/>
              </w:rPr>
            </w:pPr>
            <w:r>
              <w:rPr>
                <w:rFonts w:hint="eastAsia"/>
                <w:sz w:val="18"/>
                <w:szCs w:val="18"/>
              </w:rPr>
              <w:t>35</w:t>
            </w:r>
          </w:p>
        </w:tc>
        <w:tc>
          <w:tcPr>
            <w:tcW w:w="335" w:type="pct"/>
            <w:tcBorders>
              <w:top w:val="single" w:color="000000" w:sz="6" w:space="0"/>
              <w:left w:val="single" w:color="000000" w:sz="6" w:space="0"/>
              <w:bottom w:val="single" w:color="000000" w:sz="6" w:space="0"/>
              <w:right w:val="single" w:color="000000" w:sz="6" w:space="0"/>
            </w:tcBorders>
            <w:noWrap/>
            <w:vAlign w:val="center"/>
          </w:tcPr>
          <w:p>
            <w:pPr>
              <w:spacing w:line="240" w:lineRule="atLeast"/>
              <w:jc w:val="center"/>
              <w:rPr>
                <w:sz w:val="18"/>
                <w:szCs w:val="18"/>
              </w:rPr>
            </w:pPr>
            <w:r>
              <w:rPr>
                <w:rFonts w:hint="eastAsia"/>
                <w:sz w:val="18"/>
                <w:szCs w:val="18"/>
              </w:rPr>
              <w:t>0.55</w:t>
            </w:r>
          </w:p>
        </w:tc>
        <w:tc>
          <w:tcPr>
            <w:tcW w:w="1358" w:type="pct"/>
            <w:vMerge w:val="continue"/>
            <w:tcBorders>
              <w:left w:val="single" w:color="000000" w:sz="6" w:space="0"/>
              <w:right w:val="single" w:color="auto" w:sz="12" w:space="0"/>
            </w:tcBorders>
            <w:vAlign w:val="center"/>
          </w:tcPr>
          <w:p>
            <w:pPr>
              <w:widowControl/>
              <w:jc w:val="left"/>
              <w:rPr>
                <w:sz w:val="18"/>
                <w:szCs w:val="18"/>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vMerge w:val="restart"/>
            <w:tcBorders>
              <w:left w:val="single" w:color="auto" w:sz="12" w:space="0"/>
              <w:right w:val="single" w:color="000000" w:sz="6" w:space="0"/>
            </w:tcBorders>
            <w:vAlign w:val="center"/>
          </w:tcPr>
          <w:p>
            <w:pPr>
              <w:spacing w:line="280" w:lineRule="exact"/>
              <w:ind w:left="1" w:right="1"/>
              <w:jc w:val="center"/>
              <w:rPr>
                <w:sz w:val="18"/>
                <w:szCs w:val="18"/>
              </w:rPr>
            </w:pPr>
            <w:r>
              <w:rPr>
                <w:rFonts w:hint="eastAsia"/>
                <w:sz w:val="18"/>
                <w:szCs w:val="18"/>
              </w:rPr>
              <w:t>锅炉</w:t>
            </w:r>
          </w:p>
          <w:p>
            <w:pPr>
              <w:widowControl/>
              <w:jc w:val="left"/>
              <w:rPr>
                <w:sz w:val="18"/>
                <w:szCs w:val="18"/>
              </w:rPr>
            </w:pPr>
            <w:r>
              <w:rPr>
                <w:rFonts w:hint="eastAsia"/>
                <w:sz w:val="18"/>
                <w:szCs w:val="18"/>
              </w:rPr>
              <w:t>排气筒</w:t>
            </w:r>
            <w:r>
              <w:rPr>
                <w:sz w:val="18"/>
                <w:szCs w:val="18"/>
              </w:rPr>
              <w:t>DA001</w:t>
            </w:r>
          </w:p>
          <w:p>
            <w:pPr>
              <w:widowControl/>
              <w:jc w:val="left"/>
              <w:rPr>
                <w:sz w:val="18"/>
                <w:szCs w:val="18"/>
              </w:rPr>
            </w:pPr>
            <w:r>
              <w:rPr>
                <w:rFonts w:hint="eastAsia"/>
                <w:sz w:val="18"/>
                <w:szCs w:val="18"/>
              </w:rPr>
              <w:t>非采暖期</w:t>
            </w:r>
          </w:p>
        </w:tc>
        <w:tc>
          <w:tcPr>
            <w:tcW w:w="250" w:type="pct"/>
            <w:tcBorders>
              <w:top w:val="single" w:color="000000" w:sz="6" w:space="0"/>
              <w:left w:val="single" w:color="000000" w:sz="6" w:space="0"/>
              <w:bottom w:val="single" w:color="000000" w:sz="6" w:space="0"/>
              <w:right w:val="single" w:color="000000" w:sz="6" w:space="0"/>
            </w:tcBorders>
            <w:noWrap/>
            <w:vAlign w:val="center"/>
          </w:tcPr>
          <w:p>
            <w:pPr>
              <w:pStyle w:val="7"/>
              <w:adjustRightInd w:val="0"/>
              <w:snapToGrid w:val="0"/>
              <w:ind w:firstLine="0"/>
              <w:jc w:val="center"/>
              <w:rPr>
                <w:sz w:val="18"/>
                <w:szCs w:val="18"/>
              </w:rPr>
            </w:pPr>
            <w:r>
              <w:rPr>
                <w:rFonts w:hint="eastAsia"/>
                <w:sz w:val="18"/>
                <w:szCs w:val="18"/>
              </w:rPr>
              <w:t>烟尘</w:t>
            </w:r>
          </w:p>
        </w:tc>
        <w:tc>
          <w:tcPr>
            <w:tcW w:w="253" w:type="pct"/>
            <w:vMerge w:val="restart"/>
            <w:tcBorders>
              <w:left w:val="single" w:color="000000" w:sz="6" w:space="0"/>
              <w:right w:val="single" w:color="000000" w:sz="6" w:space="0"/>
            </w:tcBorders>
            <w:vAlign w:val="center"/>
          </w:tcPr>
          <w:p>
            <w:pPr>
              <w:widowControl/>
              <w:jc w:val="left"/>
              <w:rPr>
                <w:sz w:val="18"/>
                <w:szCs w:val="18"/>
              </w:rPr>
            </w:pPr>
            <w:r>
              <w:rPr>
                <w:rFonts w:hint="eastAsia"/>
                <w:sz w:val="18"/>
                <w:szCs w:val="18"/>
              </w:rPr>
              <w:t>943.71</w:t>
            </w:r>
            <w:r>
              <w:rPr>
                <w:sz w:val="18"/>
                <w:szCs w:val="18"/>
              </w:rPr>
              <w:t>×10</w:t>
            </w:r>
            <w:r>
              <w:rPr>
                <w:sz w:val="18"/>
                <w:szCs w:val="18"/>
                <w:vertAlign w:val="superscript"/>
              </w:rPr>
              <w:t>4</w:t>
            </w:r>
          </w:p>
        </w:tc>
        <w:tc>
          <w:tcPr>
            <w:tcW w:w="252" w:type="pct"/>
            <w:vMerge w:val="restart"/>
            <w:tcBorders>
              <w:left w:val="single" w:color="000000" w:sz="6" w:space="0"/>
              <w:right w:val="single" w:color="000000" w:sz="6" w:space="0"/>
            </w:tcBorders>
            <w:vAlign w:val="center"/>
          </w:tcPr>
          <w:p>
            <w:pPr>
              <w:widowControl/>
              <w:jc w:val="left"/>
              <w:rPr>
                <w:sz w:val="18"/>
                <w:szCs w:val="18"/>
              </w:rPr>
            </w:pPr>
            <w:r>
              <w:rPr>
                <w:rFonts w:hint="eastAsia"/>
                <w:sz w:val="18"/>
                <w:szCs w:val="18"/>
              </w:rPr>
              <w:t>15</w:t>
            </w:r>
          </w:p>
        </w:tc>
        <w:tc>
          <w:tcPr>
            <w:tcW w:w="202" w:type="pct"/>
            <w:vMerge w:val="restart"/>
            <w:tcBorders>
              <w:left w:val="single" w:color="000000" w:sz="6" w:space="0"/>
              <w:right w:val="single" w:color="000000" w:sz="6" w:space="0"/>
            </w:tcBorders>
            <w:vAlign w:val="center"/>
          </w:tcPr>
          <w:p>
            <w:pPr>
              <w:widowControl/>
              <w:jc w:val="left"/>
              <w:rPr>
                <w:sz w:val="18"/>
                <w:szCs w:val="18"/>
              </w:rPr>
            </w:pPr>
            <w:r>
              <w:rPr>
                <w:rFonts w:hint="eastAsia"/>
                <w:sz w:val="18"/>
                <w:szCs w:val="18"/>
              </w:rPr>
              <w:t>0.2</w:t>
            </w:r>
          </w:p>
        </w:tc>
        <w:tc>
          <w:tcPr>
            <w:tcW w:w="253" w:type="pct"/>
            <w:vMerge w:val="restart"/>
            <w:tcBorders>
              <w:left w:val="single" w:color="000000" w:sz="6" w:space="0"/>
              <w:right w:val="single" w:color="000000" w:sz="6" w:space="0"/>
            </w:tcBorders>
            <w:vAlign w:val="center"/>
          </w:tcPr>
          <w:p>
            <w:pPr>
              <w:widowControl/>
              <w:jc w:val="left"/>
              <w:rPr>
                <w:sz w:val="18"/>
                <w:szCs w:val="18"/>
              </w:rPr>
            </w:pPr>
            <w:r>
              <w:rPr>
                <w:rFonts w:hint="eastAsia"/>
                <w:sz w:val="18"/>
                <w:szCs w:val="18"/>
              </w:rPr>
              <w:t>1440</w:t>
            </w:r>
          </w:p>
        </w:tc>
        <w:tc>
          <w:tcPr>
            <w:tcW w:w="1447" w:type="pct"/>
            <w:vMerge w:val="restart"/>
            <w:tcBorders>
              <w:top w:val="single" w:color="000000" w:sz="6" w:space="0"/>
              <w:left w:val="single" w:color="000000" w:sz="6" w:space="0"/>
              <w:right w:val="single" w:color="000000" w:sz="6" w:space="0"/>
            </w:tcBorders>
            <w:vAlign w:val="center"/>
          </w:tcPr>
          <w:p>
            <w:pPr>
              <w:widowControl/>
              <w:jc w:val="center"/>
              <w:rPr>
                <w:sz w:val="18"/>
                <w:szCs w:val="18"/>
              </w:rPr>
            </w:pPr>
            <w:r>
              <w:rPr>
                <w:rFonts w:hint="eastAsia"/>
                <w:sz w:val="18"/>
                <w:szCs w:val="18"/>
              </w:rPr>
              <w:t>低氮燃烧锅炉</w:t>
            </w:r>
          </w:p>
        </w:tc>
        <w:tc>
          <w:tcPr>
            <w:tcW w:w="390" w:type="pct"/>
            <w:tcBorders>
              <w:top w:val="single" w:color="000000" w:sz="6" w:space="0"/>
              <w:left w:val="single" w:color="000000" w:sz="6" w:space="0"/>
              <w:bottom w:val="single" w:color="000000" w:sz="6" w:space="0"/>
              <w:right w:val="single" w:color="000000" w:sz="6" w:space="0"/>
            </w:tcBorders>
            <w:noWrap/>
            <w:vAlign w:val="center"/>
          </w:tcPr>
          <w:p>
            <w:pPr>
              <w:jc w:val="center"/>
              <w:textAlignment w:val="center"/>
              <w:rPr>
                <w:sz w:val="18"/>
                <w:szCs w:val="18"/>
              </w:rPr>
            </w:pPr>
            <w:r>
              <w:rPr>
                <w:sz w:val="18"/>
                <w:szCs w:val="18"/>
              </w:rPr>
              <w:t>5</w:t>
            </w:r>
          </w:p>
        </w:tc>
        <w:tc>
          <w:tcPr>
            <w:tcW w:w="335" w:type="pct"/>
            <w:tcBorders>
              <w:top w:val="single" w:color="000000" w:sz="6" w:space="0"/>
              <w:left w:val="single" w:color="000000" w:sz="6" w:space="0"/>
              <w:bottom w:val="single" w:color="000000" w:sz="6" w:space="0"/>
              <w:right w:val="single" w:color="000000" w:sz="6" w:space="0"/>
            </w:tcBorders>
            <w:noWrap/>
            <w:vAlign w:val="center"/>
          </w:tcPr>
          <w:p>
            <w:pPr>
              <w:spacing w:line="240" w:lineRule="atLeast"/>
              <w:jc w:val="center"/>
              <w:rPr>
                <w:sz w:val="18"/>
                <w:szCs w:val="18"/>
              </w:rPr>
            </w:pPr>
            <w:r>
              <w:rPr>
                <w:rFonts w:hint="eastAsia"/>
                <w:sz w:val="18"/>
                <w:szCs w:val="18"/>
              </w:rPr>
              <w:t>0.047</w:t>
            </w:r>
          </w:p>
        </w:tc>
        <w:tc>
          <w:tcPr>
            <w:tcW w:w="1358" w:type="pct"/>
            <w:vMerge w:val="continue"/>
            <w:tcBorders>
              <w:left w:val="single" w:color="000000" w:sz="6" w:space="0"/>
              <w:right w:val="single" w:color="auto" w:sz="12" w:space="0"/>
            </w:tcBorders>
            <w:vAlign w:val="center"/>
          </w:tcPr>
          <w:p>
            <w:pPr>
              <w:widowControl/>
              <w:jc w:val="left"/>
              <w:rPr>
                <w:sz w:val="18"/>
                <w:szCs w:val="18"/>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vMerge w:val="continue"/>
            <w:tcBorders>
              <w:left w:val="single" w:color="auto" w:sz="12" w:space="0"/>
              <w:right w:val="single" w:color="000000" w:sz="6" w:space="0"/>
            </w:tcBorders>
            <w:vAlign w:val="center"/>
          </w:tcPr>
          <w:p>
            <w:pPr>
              <w:widowControl/>
              <w:jc w:val="left"/>
              <w:rPr>
                <w:sz w:val="18"/>
                <w:szCs w:val="18"/>
              </w:rPr>
            </w:pPr>
          </w:p>
        </w:tc>
        <w:tc>
          <w:tcPr>
            <w:tcW w:w="250" w:type="pct"/>
            <w:tcBorders>
              <w:top w:val="single" w:color="000000" w:sz="6" w:space="0"/>
              <w:left w:val="single" w:color="000000" w:sz="6" w:space="0"/>
              <w:bottom w:val="single" w:color="000000" w:sz="6" w:space="0"/>
              <w:right w:val="single" w:color="000000" w:sz="6" w:space="0"/>
            </w:tcBorders>
            <w:noWrap/>
            <w:vAlign w:val="center"/>
          </w:tcPr>
          <w:p>
            <w:pPr>
              <w:pStyle w:val="7"/>
              <w:adjustRightInd w:val="0"/>
              <w:snapToGrid w:val="0"/>
              <w:ind w:firstLine="0"/>
              <w:jc w:val="center"/>
              <w:rPr>
                <w:sz w:val="18"/>
                <w:szCs w:val="18"/>
              </w:rPr>
            </w:pPr>
            <w:r>
              <w:rPr>
                <w:sz w:val="18"/>
                <w:szCs w:val="18"/>
              </w:rPr>
              <w:t>NOx</w:t>
            </w:r>
          </w:p>
        </w:tc>
        <w:tc>
          <w:tcPr>
            <w:tcW w:w="253" w:type="pct"/>
            <w:vMerge w:val="continue"/>
            <w:tcBorders>
              <w:left w:val="single" w:color="000000" w:sz="6" w:space="0"/>
              <w:right w:val="single" w:color="000000" w:sz="6" w:space="0"/>
            </w:tcBorders>
            <w:vAlign w:val="center"/>
          </w:tcPr>
          <w:p>
            <w:pPr>
              <w:widowControl/>
              <w:jc w:val="left"/>
              <w:rPr>
                <w:sz w:val="18"/>
                <w:szCs w:val="18"/>
              </w:rPr>
            </w:pPr>
          </w:p>
        </w:tc>
        <w:tc>
          <w:tcPr>
            <w:tcW w:w="252" w:type="pct"/>
            <w:vMerge w:val="continue"/>
            <w:tcBorders>
              <w:left w:val="single" w:color="000000" w:sz="6" w:space="0"/>
              <w:right w:val="single" w:color="000000" w:sz="6" w:space="0"/>
            </w:tcBorders>
            <w:vAlign w:val="center"/>
          </w:tcPr>
          <w:p>
            <w:pPr>
              <w:widowControl/>
              <w:jc w:val="left"/>
              <w:rPr>
                <w:sz w:val="18"/>
                <w:szCs w:val="18"/>
              </w:rPr>
            </w:pPr>
          </w:p>
        </w:tc>
        <w:tc>
          <w:tcPr>
            <w:tcW w:w="202" w:type="pct"/>
            <w:vMerge w:val="continue"/>
            <w:tcBorders>
              <w:left w:val="single" w:color="000000" w:sz="6" w:space="0"/>
              <w:right w:val="single" w:color="000000" w:sz="6" w:space="0"/>
            </w:tcBorders>
            <w:vAlign w:val="center"/>
          </w:tcPr>
          <w:p>
            <w:pPr>
              <w:widowControl/>
              <w:jc w:val="left"/>
              <w:rPr>
                <w:sz w:val="18"/>
                <w:szCs w:val="18"/>
              </w:rPr>
            </w:pPr>
          </w:p>
        </w:tc>
        <w:tc>
          <w:tcPr>
            <w:tcW w:w="253" w:type="pct"/>
            <w:vMerge w:val="continue"/>
            <w:tcBorders>
              <w:left w:val="single" w:color="000000" w:sz="6" w:space="0"/>
              <w:right w:val="single" w:color="000000" w:sz="6" w:space="0"/>
            </w:tcBorders>
            <w:vAlign w:val="center"/>
          </w:tcPr>
          <w:p>
            <w:pPr>
              <w:widowControl/>
              <w:jc w:val="left"/>
              <w:rPr>
                <w:sz w:val="18"/>
                <w:szCs w:val="18"/>
              </w:rPr>
            </w:pPr>
          </w:p>
        </w:tc>
        <w:tc>
          <w:tcPr>
            <w:tcW w:w="1447" w:type="pct"/>
            <w:vMerge w:val="continue"/>
            <w:tcBorders>
              <w:left w:val="single" w:color="000000" w:sz="6" w:space="0"/>
              <w:right w:val="single" w:color="000000" w:sz="6" w:space="0"/>
            </w:tcBorders>
            <w:vAlign w:val="center"/>
          </w:tcPr>
          <w:p>
            <w:pPr>
              <w:widowControl/>
              <w:jc w:val="center"/>
              <w:rPr>
                <w:sz w:val="18"/>
                <w:szCs w:val="18"/>
              </w:rPr>
            </w:pPr>
          </w:p>
        </w:tc>
        <w:tc>
          <w:tcPr>
            <w:tcW w:w="390" w:type="pct"/>
            <w:tcBorders>
              <w:top w:val="single" w:color="000000" w:sz="6" w:space="0"/>
              <w:left w:val="single" w:color="000000" w:sz="6" w:space="0"/>
              <w:bottom w:val="single" w:color="000000" w:sz="6" w:space="0"/>
              <w:right w:val="single" w:color="000000" w:sz="6" w:space="0"/>
            </w:tcBorders>
            <w:noWrap/>
            <w:vAlign w:val="center"/>
          </w:tcPr>
          <w:p>
            <w:pPr>
              <w:jc w:val="center"/>
              <w:textAlignment w:val="center"/>
              <w:rPr>
                <w:sz w:val="18"/>
                <w:szCs w:val="18"/>
              </w:rPr>
            </w:pPr>
            <w:r>
              <w:rPr>
                <w:sz w:val="18"/>
                <w:szCs w:val="18"/>
              </w:rPr>
              <w:t>50</w:t>
            </w:r>
          </w:p>
        </w:tc>
        <w:tc>
          <w:tcPr>
            <w:tcW w:w="335" w:type="pct"/>
            <w:tcBorders>
              <w:top w:val="single" w:color="000000" w:sz="6" w:space="0"/>
              <w:left w:val="single" w:color="000000" w:sz="6" w:space="0"/>
              <w:bottom w:val="single" w:color="000000" w:sz="6" w:space="0"/>
              <w:right w:val="single" w:color="000000" w:sz="6" w:space="0"/>
            </w:tcBorders>
            <w:noWrap/>
            <w:vAlign w:val="center"/>
          </w:tcPr>
          <w:p>
            <w:pPr>
              <w:spacing w:line="240" w:lineRule="atLeast"/>
              <w:jc w:val="center"/>
              <w:rPr>
                <w:sz w:val="18"/>
                <w:szCs w:val="18"/>
              </w:rPr>
            </w:pPr>
            <w:r>
              <w:rPr>
                <w:rFonts w:hint="eastAsia"/>
                <w:sz w:val="18"/>
                <w:szCs w:val="18"/>
              </w:rPr>
              <w:t>0.79</w:t>
            </w:r>
          </w:p>
        </w:tc>
        <w:tc>
          <w:tcPr>
            <w:tcW w:w="1358" w:type="pct"/>
            <w:vMerge w:val="continue"/>
            <w:tcBorders>
              <w:left w:val="single" w:color="000000" w:sz="6" w:space="0"/>
              <w:right w:val="single" w:color="auto" w:sz="12" w:space="0"/>
            </w:tcBorders>
            <w:vAlign w:val="center"/>
          </w:tcPr>
          <w:p>
            <w:pPr>
              <w:widowControl/>
              <w:jc w:val="left"/>
              <w:rPr>
                <w:sz w:val="18"/>
                <w:szCs w:val="18"/>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vMerge w:val="continue"/>
            <w:tcBorders>
              <w:left w:val="single" w:color="auto" w:sz="12" w:space="0"/>
              <w:bottom w:val="single" w:color="000000" w:sz="6" w:space="0"/>
              <w:right w:val="single" w:color="000000" w:sz="6" w:space="0"/>
            </w:tcBorders>
            <w:vAlign w:val="center"/>
          </w:tcPr>
          <w:p>
            <w:pPr>
              <w:widowControl/>
              <w:jc w:val="left"/>
              <w:rPr>
                <w:sz w:val="18"/>
                <w:szCs w:val="18"/>
              </w:rPr>
            </w:pPr>
          </w:p>
        </w:tc>
        <w:tc>
          <w:tcPr>
            <w:tcW w:w="250" w:type="pct"/>
            <w:tcBorders>
              <w:top w:val="single" w:color="000000" w:sz="6" w:space="0"/>
              <w:left w:val="single" w:color="000000" w:sz="6" w:space="0"/>
              <w:bottom w:val="single" w:color="000000" w:sz="6" w:space="0"/>
              <w:right w:val="single" w:color="000000" w:sz="6" w:space="0"/>
            </w:tcBorders>
            <w:noWrap/>
            <w:vAlign w:val="center"/>
          </w:tcPr>
          <w:p>
            <w:pPr>
              <w:pStyle w:val="7"/>
              <w:adjustRightInd w:val="0"/>
              <w:snapToGrid w:val="0"/>
              <w:ind w:firstLine="0"/>
              <w:jc w:val="center"/>
              <w:rPr>
                <w:sz w:val="18"/>
                <w:szCs w:val="18"/>
                <w:vertAlign w:val="subscript"/>
              </w:rPr>
            </w:pPr>
            <w:r>
              <w:rPr>
                <w:rFonts w:hint="eastAsia"/>
                <w:sz w:val="18"/>
                <w:szCs w:val="18"/>
              </w:rPr>
              <w:t>SO</w:t>
            </w:r>
            <w:r>
              <w:rPr>
                <w:rFonts w:hint="eastAsia"/>
                <w:sz w:val="18"/>
                <w:szCs w:val="18"/>
                <w:vertAlign w:val="subscript"/>
              </w:rPr>
              <w:t>2</w:t>
            </w:r>
          </w:p>
        </w:tc>
        <w:tc>
          <w:tcPr>
            <w:tcW w:w="253"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252"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202"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253"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1447" w:type="pct"/>
            <w:vMerge w:val="continue"/>
            <w:tcBorders>
              <w:left w:val="single" w:color="000000" w:sz="6" w:space="0"/>
              <w:bottom w:val="single" w:color="000000" w:sz="6" w:space="0"/>
              <w:right w:val="single" w:color="000000" w:sz="6" w:space="0"/>
            </w:tcBorders>
            <w:vAlign w:val="center"/>
          </w:tcPr>
          <w:p>
            <w:pPr>
              <w:widowControl/>
              <w:jc w:val="center"/>
              <w:rPr>
                <w:sz w:val="18"/>
                <w:szCs w:val="18"/>
              </w:rPr>
            </w:pPr>
          </w:p>
        </w:tc>
        <w:tc>
          <w:tcPr>
            <w:tcW w:w="390" w:type="pct"/>
            <w:tcBorders>
              <w:top w:val="single" w:color="000000" w:sz="6" w:space="0"/>
              <w:left w:val="single" w:color="000000" w:sz="6" w:space="0"/>
              <w:bottom w:val="single" w:color="000000" w:sz="6" w:space="0"/>
              <w:right w:val="single" w:color="000000" w:sz="6" w:space="0"/>
            </w:tcBorders>
            <w:noWrap/>
            <w:vAlign w:val="center"/>
          </w:tcPr>
          <w:p>
            <w:pPr>
              <w:jc w:val="center"/>
              <w:textAlignment w:val="center"/>
              <w:rPr>
                <w:sz w:val="18"/>
                <w:szCs w:val="18"/>
              </w:rPr>
            </w:pPr>
            <w:r>
              <w:rPr>
                <w:rFonts w:hint="eastAsia"/>
                <w:sz w:val="18"/>
                <w:szCs w:val="18"/>
              </w:rPr>
              <w:t>35</w:t>
            </w:r>
          </w:p>
        </w:tc>
        <w:tc>
          <w:tcPr>
            <w:tcW w:w="335" w:type="pct"/>
            <w:tcBorders>
              <w:top w:val="single" w:color="000000" w:sz="6" w:space="0"/>
              <w:left w:val="single" w:color="000000" w:sz="6" w:space="0"/>
              <w:bottom w:val="single" w:color="000000" w:sz="6" w:space="0"/>
              <w:right w:val="single" w:color="000000" w:sz="6" w:space="0"/>
            </w:tcBorders>
            <w:noWrap/>
            <w:vAlign w:val="center"/>
          </w:tcPr>
          <w:p>
            <w:pPr>
              <w:spacing w:line="240" w:lineRule="atLeast"/>
              <w:jc w:val="center"/>
              <w:rPr>
                <w:sz w:val="18"/>
                <w:szCs w:val="18"/>
              </w:rPr>
            </w:pPr>
            <w:r>
              <w:rPr>
                <w:rFonts w:hint="eastAsia"/>
                <w:sz w:val="18"/>
                <w:szCs w:val="18"/>
              </w:rPr>
              <w:t>0.33</w:t>
            </w:r>
          </w:p>
        </w:tc>
        <w:tc>
          <w:tcPr>
            <w:tcW w:w="1358" w:type="pct"/>
            <w:vMerge w:val="continue"/>
            <w:tcBorders>
              <w:left w:val="single" w:color="000000" w:sz="6" w:space="0"/>
              <w:right w:val="single" w:color="auto" w:sz="12" w:space="0"/>
            </w:tcBorders>
            <w:vAlign w:val="center"/>
          </w:tcPr>
          <w:p>
            <w:pPr>
              <w:widowControl/>
              <w:jc w:val="left"/>
              <w:rPr>
                <w:sz w:val="18"/>
                <w:szCs w:val="18"/>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vMerge w:val="restart"/>
            <w:tcBorders>
              <w:left w:val="single" w:color="auto" w:sz="12" w:space="0"/>
              <w:right w:val="single" w:color="000000" w:sz="6" w:space="0"/>
            </w:tcBorders>
            <w:vAlign w:val="center"/>
          </w:tcPr>
          <w:p>
            <w:pPr>
              <w:spacing w:line="280" w:lineRule="exact"/>
              <w:ind w:left="1" w:right="1"/>
              <w:jc w:val="center"/>
              <w:rPr>
                <w:sz w:val="18"/>
                <w:szCs w:val="18"/>
              </w:rPr>
            </w:pPr>
            <w:r>
              <w:rPr>
                <w:rFonts w:hint="eastAsia"/>
                <w:sz w:val="18"/>
                <w:szCs w:val="18"/>
              </w:rPr>
              <w:t>锅炉</w:t>
            </w:r>
          </w:p>
          <w:p>
            <w:pPr>
              <w:spacing w:line="280" w:lineRule="exact"/>
              <w:ind w:left="1" w:right="1"/>
              <w:jc w:val="center"/>
              <w:rPr>
                <w:sz w:val="18"/>
                <w:szCs w:val="18"/>
              </w:rPr>
            </w:pPr>
            <w:r>
              <w:rPr>
                <w:rFonts w:hint="eastAsia"/>
                <w:sz w:val="18"/>
                <w:szCs w:val="18"/>
              </w:rPr>
              <w:t>排气筒</w:t>
            </w:r>
            <w:r>
              <w:rPr>
                <w:sz w:val="18"/>
                <w:szCs w:val="18"/>
              </w:rPr>
              <w:t>DA001</w:t>
            </w:r>
          </w:p>
          <w:p>
            <w:pPr>
              <w:widowControl/>
              <w:jc w:val="left"/>
              <w:rPr>
                <w:sz w:val="18"/>
                <w:szCs w:val="18"/>
              </w:rPr>
            </w:pPr>
            <w:r>
              <w:rPr>
                <w:rFonts w:hint="eastAsia"/>
                <w:sz w:val="18"/>
                <w:szCs w:val="18"/>
              </w:rPr>
              <w:t>采暖期</w:t>
            </w:r>
          </w:p>
        </w:tc>
        <w:tc>
          <w:tcPr>
            <w:tcW w:w="250" w:type="pct"/>
            <w:tcBorders>
              <w:top w:val="single" w:color="000000" w:sz="6" w:space="0"/>
              <w:left w:val="single" w:color="000000" w:sz="6" w:space="0"/>
              <w:bottom w:val="single" w:color="000000" w:sz="6" w:space="0"/>
              <w:right w:val="single" w:color="000000" w:sz="6" w:space="0"/>
            </w:tcBorders>
            <w:noWrap/>
            <w:vAlign w:val="center"/>
          </w:tcPr>
          <w:p>
            <w:pPr>
              <w:pStyle w:val="7"/>
              <w:adjustRightInd w:val="0"/>
              <w:snapToGrid w:val="0"/>
              <w:ind w:firstLine="0"/>
              <w:jc w:val="center"/>
              <w:rPr>
                <w:sz w:val="18"/>
                <w:szCs w:val="18"/>
              </w:rPr>
            </w:pPr>
            <w:r>
              <w:rPr>
                <w:rFonts w:hint="eastAsia"/>
                <w:sz w:val="18"/>
                <w:szCs w:val="18"/>
              </w:rPr>
              <w:t>烟尘</w:t>
            </w:r>
          </w:p>
        </w:tc>
        <w:tc>
          <w:tcPr>
            <w:tcW w:w="253" w:type="pct"/>
            <w:vMerge w:val="restart"/>
            <w:tcBorders>
              <w:left w:val="single" w:color="000000" w:sz="6" w:space="0"/>
              <w:right w:val="single" w:color="000000" w:sz="6" w:space="0"/>
            </w:tcBorders>
            <w:vAlign w:val="center"/>
          </w:tcPr>
          <w:p>
            <w:pPr>
              <w:widowControl/>
              <w:jc w:val="left"/>
              <w:rPr>
                <w:sz w:val="18"/>
                <w:szCs w:val="18"/>
              </w:rPr>
            </w:pPr>
            <w:r>
              <w:rPr>
                <w:rFonts w:hint="eastAsia"/>
                <w:sz w:val="18"/>
                <w:szCs w:val="18"/>
              </w:rPr>
              <w:t>1571.25</w:t>
            </w:r>
            <w:r>
              <w:rPr>
                <w:sz w:val="18"/>
                <w:szCs w:val="18"/>
              </w:rPr>
              <w:t>×10</w:t>
            </w:r>
            <w:r>
              <w:rPr>
                <w:sz w:val="18"/>
                <w:szCs w:val="18"/>
                <w:vertAlign w:val="superscript"/>
              </w:rPr>
              <w:t>4</w:t>
            </w:r>
          </w:p>
        </w:tc>
        <w:tc>
          <w:tcPr>
            <w:tcW w:w="252" w:type="pct"/>
            <w:vMerge w:val="restart"/>
            <w:tcBorders>
              <w:left w:val="single" w:color="000000" w:sz="6" w:space="0"/>
              <w:right w:val="single" w:color="000000" w:sz="6" w:space="0"/>
            </w:tcBorders>
            <w:vAlign w:val="center"/>
          </w:tcPr>
          <w:p>
            <w:pPr>
              <w:widowControl/>
              <w:jc w:val="left"/>
              <w:rPr>
                <w:sz w:val="18"/>
                <w:szCs w:val="18"/>
              </w:rPr>
            </w:pPr>
            <w:r>
              <w:rPr>
                <w:rFonts w:hint="eastAsia"/>
                <w:sz w:val="18"/>
                <w:szCs w:val="18"/>
              </w:rPr>
              <w:t>15</w:t>
            </w:r>
          </w:p>
        </w:tc>
        <w:tc>
          <w:tcPr>
            <w:tcW w:w="202" w:type="pct"/>
            <w:vMerge w:val="restart"/>
            <w:tcBorders>
              <w:left w:val="single" w:color="000000" w:sz="6" w:space="0"/>
              <w:right w:val="single" w:color="000000" w:sz="6" w:space="0"/>
            </w:tcBorders>
            <w:vAlign w:val="center"/>
          </w:tcPr>
          <w:p>
            <w:pPr>
              <w:widowControl/>
              <w:jc w:val="left"/>
              <w:rPr>
                <w:sz w:val="18"/>
                <w:szCs w:val="18"/>
              </w:rPr>
            </w:pPr>
            <w:r>
              <w:rPr>
                <w:rFonts w:hint="eastAsia"/>
                <w:sz w:val="18"/>
                <w:szCs w:val="18"/>
              </w:rPr>
              <w:t>0.2</w:t>
            </w:r>
          </w:p>
        </w:tc>
        <w:tc>
          <w:tcPr>
            <w:tcW w:w="253" w:type="pct"/>
            <w:vMerge w:val="restart"/>
            <w:tcBorders>
              <w:left w:val="single" w:color="000000" w:sz="6" w:space="0"/>
              <w:right w:val="single" w:color="000000" w:sz="6" w:space="0"/>
            </w:tcBorders>
            <w:vAlign w:val="center"/>
          </w:tcPr>
          <w:p>
            <w:pPr>
              <w:widowControl/>
              <w:jc w:val="left"/>
              <w:rPr>
                <w:sz w:val="18"/>
                <w:szCs w:val="18"/>
              </w:rPr>
            </w:pPr>
            <w:r>
              <w:rPr>
                <w:rFonts w:hint="eastAsia"/>
                <w:sz w:val="18"/>
                <w:szCs w:val="18"/>
              </w:rPr>
              <w:t>2400</w:t>
            </w:r>
          </w:p>
        </w:tc>
        <w:tc>
          <w:tcPr>
            <w:tcW w:w="1447" w:type="pct"/>
            <w:vMerge w:val="restart"/>
            <w:tcBorders>
              <w:left w:val="single" w:color="000000" w:sz="6" w:space="0"/>
              <w:right w:val="single" w:color="000000" w:sz="6" w:space="0"/>
            </w:tcBorders>
            <w:vAlign w:val="center"/>
          </w:tcPr>
          <w:p>
            <w:pPr>
              <w:widowControl/>
              <w:jc w:val="center"/>
              <w:rPr>
                <w:sz w:val="18"/>
                <w:szCs w:val="18"/>
              </w:rPr>
            </w:pPr>
            <w:r>
              <w:rPr>
                <w:rFonts w:hint="eastAsia"/>
                <w:sz w:val="18"/>
                <w:szCs w:val="18"/>
              </w:rPr>
              <w:t>低氮燃烧锅炉</w:t>
            </w:r>
          </w:p>
        </w:tc>
        <w:tc>
          <w:tcPr>
            <w:tcW w:w="390" w:type="pct"/>
            <w:tcBorders>
              <w:top w:val="single" w:color="000000" w:sz="6" w:space="0"/>
              <w:left w:val="single" w:color="000000" w:sz="6" w:space="0"/>
              <w:bottom w:val="single" w:color="000000" w:sz="6" w:space="0"/>
              <w:right w:val="single" w:color="000000" w:sz="6" w:space="0"/>
            </w:tcBorders>
            <w:noWrap/>
            <w:vAlign w:val="center"/>
          </w:tcPr>
          <w:p>
            <w:pPr>
              <w:jc w:val="center"/>
              <w:textAlignment w:val="center"/>
              <w:rPr>
                <w:sz w:val="18"/>
                <w:szCs w:val="18"/>
              </w:rPr>
            </w:pPr>
            <w:r>
              <w:rPr>
                <w:sz w:val="18"/>
                <w:szCs w:val="18"/>
              </w:rPr>
              <w:t>5</w:t>
            </w:r>
          </w:p>
        </w:tc>
        <w:tc>
          <w:tcPr>
            <w:tcW w:w="335" w:type="pct"/>
            <w:tcBorders>
              <w:top w:val="single" w:color="000000" w:sz="6" w:space="0"/>
              <w:left w:val="single" w:color="000000" w:sz="6" w:space="0"/>
              <w:bottom w:val="single" w:color="000000" w:sz="6" w:space="0"/>
              <w:right w:val="single" w:color="000000" w:sz="6" w:space="0"/>
            </w:tcBorders>
            <w:noWrap/>
            <w:vAlign w:val="center"/>
          </w:tcPr>
          <w:p>
            <w:pPr>
              <w:spacing w:line="240" w:lineRule="atLeast"/>
              <w:jc w:val="center"/>
              <w:rPr>
                <w:sz w:val="18"/>
                <w:szCs w:val="18"/>
              </w:rPr>
            </w:pPr>
            <w:r>
              <w:rPr>
                <w:rFonts w:hint="eastAsia"/>
                <w:sz w:val="18"/>
                <w:szCs w:val="18"/>
              </w:rPr>
              <w:t>0.079</w:t>
            </w:r>
          </w:p>
        </w:tc>
        <w:tc>
          <w:tcPr>
            <w:tcW w:w="1358" w:type="pct"/>
            <w:vMerge w:val="continue"/>
            <w:tcBorders>
              <w:left w:val="single" w:color="000000" w:sz="6" w:space="0"/>
              <w:right w:val="single" w:color="auto" w:sz="12" w:space="0"/>
            </w:tcBorders>
            <w:vAlign w:val="center"/>
          </w:tcPr>
          <w:p>
            <w:pPr>
              <w:widowControl/>
              <w:jc w:val="left"/>
              <w:rPr>
                <w:sz w:val="18"/>
                <w:szCs w:val="18"/>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vMerge w:val="continue"/>
            <w:tcBorders>
              <w:left w:val="single" w:color="auto" w:sz="12" w:space="0"/>
              <w:right w:val="single" w:color="000000" w:sz="6" w:space="0"/>
            </w:tcBorders>
            <w:vAlign w:val="center"/>
          </w:tcPr>
          <w:p>
            <w:pPr>
              <w:widowControl/>
              <w:jc w:val="left"/>
              <w:rPr>
                <w:sz w:val="18"/>
                <w:szCs w:val="18"/>
              </w:rPr>
            </w:pPr>
          </w:p>
        </w:tc>
        <w:tc>
          <w:tcPr>
            <w:tcW w:w="250" w:type="pct"/>
            <w:tcBorders>
              <w:top w:val="single" w:color="000000" w:sz="6" w:space="0"/>
              <w:left w:val="single" w:color="000000" w:sz="6" w:space="0"/>
              <w:bottom w:val="single" w:color="000000" w:sz="6" w:space="0"/>
              <w:right w:val="single" w:color="000000" w:sz="6" w:space="0"/>
            </w:tcBorders>
            <w:noWrap/>
            <w:vAlign w:val="center"/>
          </w:tcPr>
          <w:p>
            <w:pPr>
              <w:pStyle w:val="7"/>
              <w:adjustRightInd w:val="0"/>
              <w:snapToGrid w:val="0"/>
              <w:ind w:firstLine="0"/>
              <w:jc w:val="center"/>
              <w:rPr>
                <w:sz w:val="18"/>
                <w:szCs w:val="18"/>
              </w:rPr>
            </w:pPr>
            <w:r>
              <w:rPr>
                <w:sz w:val="18"/>
                <w:szCs w:val="18"/>
              </w:rPr>
              <w:t>NOx</w:t>
            </w:r>
          </w:p>
        </w:tc>
        <w:tc>
          <w:tcPr>
            <w:tcW w:w="253" w:type="pct"/>
            <w:vMerge w:val="continue"/>
            <w:tcBorders>
              <w:left w:val="single" w:color="000000" w:sz="6" w:space="0"/>
              <w:right w:val="single" w:color="000000" w:sz="6" w:space="0"/>
            </w:tcBorders>
            <w:vAlign w:val="center"/>
          </w:tcPr>
          <w:p>
            <w:pPr>
              <w:widowControl/>
              <w:jc w:val="left"/>
              <w:rPr>
                <w:sz w:val="18"/>
                <w:szCs w:val="18"/>
              </w:rPr>
            </w:pPr>
          </w:p>
        </w:tc>
        <w:tc>
          <w:tcPr>
            <w:tcW w:w="252" w:type="pct"/>
            <w:vMerge w:val="continue"/>
            <w:tcBorders>
              <w:left w:val="single" w:color="000000" w:sz="6" w:space="0"/>
              <w:right w:val="single" w:color="000000" w:sz="6" w:space="0"/>
            </w:tcBorders>
            <w:vAlign w:val="center"/>
          </w:tcPr>
          <w:p>
            <w:pPr>
              <w:widowControl/>
              <w:jc w:val="left"/>
              <w:rPr>
                <w:sz w:val="18"/>
                <w:szCs w:val="18"/>
              </w:rPr>
            </w:pPr>
          </w:p>
        </w:tc>
        <w:tc>
          <w:tcPr>
            <w:tcW w:w="202" w:type="pct"/>
            <w:vMerge w:val="continue"/>
            <w:tcBorders>
              <w:left w:val="single" w:color="000000" w:sz="6" w:space="0"/>
              <w:right w:val="single" w:color="000000" w:sz="6" w:space="0"/>
            </w:tcBorders>
            <w:vAlign w:val="center"/>
          </w:tcPr>
          <w:p>
            <w:pPr>
              <w:widowControl/>
              <w:jc w:val="left"/>
              <w:rPr>
                <w:sz w:val="18"/>
                <w:szCs w:val="18"/>
              </w:rPr>
            </w:pPr>
          </w:p>
        </w:tc>
        <w:tc>
          <w:tcPr>
            <w:tcW w:w="253" w:type="pct"/>
            <w:vMerge w:val="continue"/>
            <w:tcBorders>
              <w:left w:val="single" w:color="000000" w:sz="6" w:space="0"/>
              <w:right w:val="single" w:color="000000" w:sz="6" w:space="0"/>
            </w:tcBorders>
            <w:vAlign w:val="center"/>
          </w:tcPr>
          <w:p>
            <w:pPr>
              <w:widowControl/>
              <w:jc w:val="left"/>
              <w:rPr>
                <w:sz w:val="18"/>
                <w:szCs w:val="18"/>
              </w:rPr>
            </w:pPr>
          </w:p>
        </w:tc>
        <w:tc>
          <w:tcPr>
            <w:tcW w:w="1447" w:type="pct"/>
            <w:vMerge w:val="continue"/>
            <w:tcBorders>
              <w:left w:val="single" w:color="000000" w:sz="6" w:space="0"/>
              <w:right w:val="single" w:color="000000" w:sz="6" w:space="0"/>
            </w:tcBorders>
            <w:vAlign w:val="center"/>
          </w:tcPr>
          <w:p>
            <w:pPr>
              <w:widowControl/>
              <w:jc w:val="left"/>
              <w:rPr>
                <w:sz w:val="18"/>
                <w:szCs w:val="18"/>
              </w:rPr>
            </w:pPr>
          </w:p>
        </w:tc>
        <w:tc>
          <w:tcPr>
            <w:tcW w:w="390" w:type="pct"/>
            <w:tcBorders>
              <w:top w:val="single" w:color="000000" w:sz="6" w:space="0"/>
              <w:left w:val="single" w:color="000000" w:sz="6" w:space="0"/>
              <w:bottom w:val="single" w:color="000000" w:sz="6" w:space="0"/>
              <w:right w:val="single" w:color="000000" w:sz="6" w:space="0"/>
            </w:tcBorders>
            <w:noWrap/>
            <w:vAlign w:val="center"/>
          </w:tcPr>
          <w:p>
            <w:pPr>
              <w:jc w:val="center"/>
              <w:textAlignment w:val="center"/>
              <w:rPr>
                <w:sz w:val="18"/>
                <w:szCs w:val="18"/>
              </w:rPr>
            </w:pPr>
            <w:r>
              <w:rPr>
                <w:sz w:val="18"/>
                <w:szCs w:val="18"/>
              </w:rPr>
              <w:t>50</w:t>
            </w:r>
          </w:p>
        </w:tc>
        <w:tc>
          <w:tcPr>
            <w:tcW w:w="335" w:type="pct"/>
            <w:tcBorders>
              <w:top w:val="single" w:color="000000" w:sz="6" w:space="0"/>
              <w:left w:val="single" w:color="000000" w:sz="6" w:space="0"/>
              <w:bottom w:val="single" w:color="000000" w:sz="6" w:space="0"/>
              <w:right w:val="single" w:color="000000" w:sz="6" w:space="0"/>
            </w:tcBorders>
            <w:noWrap/>
            <w:vAlign w:val="center"/>
          </w:tcPr>
          <w:p>
            <w:pPr>
              <w:spacing w:line="240" w:lineRule="atLeast"/>
              <w:jc w:val="center"/>
              <w:rPr>
                <w:sz w:val="18"/>
                <w:szCs w:val="18"/>
              </w:rPr>
            </w:pPr>
            <w:r>
              <w:rPr>
                <w:rFonts w:hint="eastAsia"/>
                <w:sz w:val="18"/>
                <w:szCs w:val="18"/>
              </w:rPr>
              <w:t>0.47</w:t>
            </w:r>
          </w:p>
        </w:tc>
        <w:tc>
          <w:tcPr>
            <w:tcW w:w="1358" w:type="pct"/>
            <w:vMerge w:val="continue"/>
            <w:tcBorders>
              <w:left w:val="single" w:color="000000" w:sz="6" w:space="0"/>
              <w:right w:val="single" w:color="auto" w:sz="12" w:space="0"/>
            </w:tcBorders>
            <w:vAlign w:val="center"/>
          </w:tcPr>
          <w:p>
            <w:pPr>
              <w:widowControl/>
              <w:jc w:val="left"/>
              <w:rPr>
                <w:sz w:val="18"/>
                <w:szCs w:val="18"/>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34" w:type="dxa"/>
            <w:left w:w="2" w:type="dxa"/>
            <w:bottom w:w="0" w:type="dxa"/>
            <w:right w:w="4" w:type="dxa"/>
          </w:tblCellMar>
        </w:tblPrEx>
        <w:trPr>
          <w:trHeight w:val="397" w:hRule="atLeast"/>
          <w:jc w:val="center"/>
        </w:trPr>
        <w:tc>
          <w:tcPr>
            <w:tcW w:w="260" w:type="pct"/>
            <w:vMerge w:val="continue"/>
            <w:tcBorders>
              <w:left w:val="single" w:color="auto" w:sz="12" w:space="0"/>
              <w:bottom w:val="single" w:color="000000" w:sz="6" w:space="0"/>
              <w:right w:val="single" w:color="000000" w:sz="6" w:space="0"/>
            </w:tcBorders>
            <w:vAlign w:val="center"/>
          </w:tcPr>
          <w:p>
            <w:pPr>
              <w:widowControl/>
              <w:jc w:val="left"/>
              <w:rPr>
                <w:sz w:val="18"/>
                <w:szCs w:val="18"/>
              </w:rPr>
            </w:pPr>
          </w:p>
        </w:tc>
        <w:tc>
          <w:tcPr>
            <w:tcW w:w="250" w:type="pct"/>
            <w:tcBorders>
              <w:top w:val="single" w:color="000000" w:sz="6" w:space="0"/>
              <w:left w:val="single" w:color="000000" w:sz="6" w:space="0"/>
              <w:bottom w:val="single" w:color="000000" w:sz="6" w:space="0"/>
              <w:right w:val="single" w:color="000000" w:sz="6" w:space="0"/>
            </w:tcBorders>
            <w:noWrap/>
            <w:vAlign w:val="center"/>
          </w:tcPr>
          <w:p>
            <w:pPr>
              <w:pStyle w:val="7"/>
              <w:adjustRightInd w:val="0"/>
              <w:snapToGrid w:val="0"/>
              <w:ind w:firstLine="0"/>
              <w:jc w:val="center"/>
              <w:rPr>
                <w:sz w:val="18"/>
                <w:szCs w:val="18"/>
                <w:vertAlign w:val="subscript"/>
              </w:rPr>
            </w:pPr>
            <w:r>
              <w:rPr>
                <w:rFonts w:hint="eastAsia"/>
                <w:sz w:val="18"/>
                <w:szCs w:val="18"/>
              </w:rPr>
              <w:t>SO</w:t>
            </w:r>
            <w:r>
              <w:rPr>
                <w:rFonts w:hint="eastAsia"/>
                <w:sz w:val="18"/>
                <w:szCs w:val="18"/>
                <w:vertAlign w:val="subscript"/>
              </w:rPr>
              <w:t>2</w:t>
            </w:r>
          </w:p>
        </w:tc>
        <w:tc>
          <w:tcPr>
            <w:tcW w:w="253"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252"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202"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253"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1447" w:type="pct"/>
            <w:vMerge w:val="continue"/>
            <w:tcBorders>
              <w:left w:val="single" w:color="000000" w:sz="6" w:space="0"/>
              <w:bottom w:val="single" w:color="000000" w:sz="6" w:space="0"/>
              <w:right w:val="single" w:color="000000" w:sz="6" w:space="0"/>
            </w:tcBorders>
            <w:vAlign w:val="center"/>
          </w:tcPr>
          <w:p>
            <w:pPr>
              <w:widowControl/>
              <w:jc w:val="left"/>
              <w:rPr>
                <w:sz w:val="18"/>
                <w:szCs w:val="18"/>
              </w:rPr>
            </w:pPr>
          </w:p>
        </w:tc>
        <w:tc>
          <w:tcPr>
            <w:tcW w:w="390" w:type="pct"/>
            <w:tcBorders>
              <w:top w:val="single" w:color="000000" w:sz="6" w:space="0"/>
              <w:left w:val="single" w:color="000000" w:sz="6" w:space="0"/>
              <w:bottom w:val="single" w:color="000000" w:sz="6" w:space="0"/>
              <w:right w:val="single" w:color="000000" w:sz="6" w:space="0"/>
            </w:tcBorders>
            <w:noWrap/>
            <w:vAlign w:val="center"/>
          </w:tcPr>
          <w:p>
            <w:pPr>
              <w:jc w:val="center"/>
              <w:textAlignment w:val="center"/>
              <w:rPr>
                <w:sz w:val="18"/>
                <w:szCs w:val="18"/>
              </w:rPr>
            </w:pPr>
            <w:r>
              <w:rPr>
                <w:rFonts w:hint="eastAsia"/>
                <w:sz w:val="18"/>
                <w:szCs w:val="18"/>
              </w:rPr>
              <w:t>35</w:t>
            </w:r>
          </w:p>
        </w:tc>
        <w:tc>
          <w:tcPr>
            <w:tcW w:w="335" w:type="pct"/>
            <w:tcBorders>
              <w:top w:val="single" w:color="000000" w:sz="6" w:space="0"/>
              <w:left w:val="single" w:color="000000" w:sz="6" w:space="0"/>
              <w:bottom w:val="single" w:color="000000" w:sz="6" w:space="0"/>
              <w:right w:val="single" w:color="000000" w:sz="6" w:space="0"/>
            </w:tcBorders>
            <w:noWrap/>
            <w:vAlign w:val="center"/>
          </w:tcPr>
          <w:p>
            <w:pPr>
              <w:spacing w:line="240" w:lineRule="atLeast"/>
              <w:jc w:val="center"/>
              <w:rPr>
                <w:sz w:val="18"/>
                <w:szCs w:val="18"/>
              </w:rPr>
            </w:pPr>
            <w:r>
              <w:rPr>
                <w:rFonts w:hint="eastAsia"/>
                <w:sz w:val="18"/>
                <w:szCs w:val="18"/>
              </w:rPr>
              <w:t>0.55</w:t>
            </w:r>
          </w:p>
        </w:tc>
        <w:tc>
          <w:tcPr>
            <w:tcW w:w="1358" w:type="pct"/>
            <w:vMerge w:val="continue"/>
            <w:tcBorders>
              <w:left w:val="single" w:color="000000" w:sz="6" w:space="0"/>
              <w:bottom w:val="single" w:color="000000" w:sz="6" w:space="0"/>
              <w:right w:val="single" w:color="auto" w:sz="12" w:space="0"/>
            </w:tcBorders>
            <w:vAlign w:val="center"/>
          </w:tcPr>
          <w:p>
            <w:pPr>
              <w:widowControl/>
              <w:jc w:val="left"/>
              <w:rPr>
                <w:sz w:val="18"/>
                <w:szCs w:val="18"/>
              </w:rPr>
            </w:pPr>
          </w:p>
        </w:tc>
      </w:tr>
    </w:tbl>
    <w:p>
      <w:pPr>
        <w:jc w:val="center"/>
        <w:rPr>
          <w:rFonts w:eastAsiaTheme="minorEastAsia"/>
          <w:b/>
          <w:highlight w:val="yellow"/>
        </w:rPr>
      </w:pPr>
    </w:p>
    <w:p>
      <w:pPr>
        <w:jc w:val="center"/>
        <w:rPr>
          <w:rFonts w:eastAsiaTheme="minorEastAsia"/>
          <w:b/>
        </w:rPr>
      </w:pPr>
      <w:r>
        <w:rPr>
          <w:rFonts w:eastAsiaTheme="minorEastAsia"/>
          <w:b/>
        </w:rPr>
        <w:t>表8.1-2   本项目污染物排放清单（废水</w:t>
      </w:r>
      <w:r>
        <w:rPr>
          <w:rFonts w:hint="eastAsia" w:eastAsiaTheme="minorEastAsia"/>
          <w:b/>
        </w:rPr>
        <w:t>、</w:t>
      </w:r>
      <w:r>
        <w:rPr>
          <w:rFonts w:eastAsiaTheme="minorEastAsia"/>
          <w:b/>
        </w:rPr>
        <w:t>噪声</w:t>
      </w:r>
      <w:r>
        <w:rPr>
          <w:rFonts w:hint="eastAsia" w:eastAsiaTheme="minorEastAsia"/>
          <w:b/>
        </w:rPr>
        <w:t>、固体废物</w:t>
      </w:r>
      <w:r>
        <w:rPr>
          <w:rFonts w:eastAsiaTheme="minorEastAsia"/>
          <w:b/>
        </w:rPr>
        <w:t>）</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7"/>
        <w:gridCol w:w="1180"/>
        <w:gridCol w:w="1274"/>
        <w:gridCol w:w="2127"/>
        <w:gridCol w:w="6097"/>
        <w:gridCol w:w="711"/>
        <w:gridCol w:w="24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tcBorders>
              <w:top w:val="single" w:color="auto" w:sz="12" w:space="0"/>
              <w:left w:val="single" w:color="auto" w:sz="12"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项目</w:t>
            </w:r>
          </w:p>
        </w:tc>
        <w:tc>
          <w:tcPr>
            <w:tcW w:w="415" w:type="pct"/>
            <w:tcBorders>
              <w:top w:val="single" w:color="auto" w:sz="12"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污染源项</w:t>
            </w:r>
          </w:p>
        </w:tc>
        <w:tc>
          <w:tcPr>
            <w:tcW w:w="448" w:type="pct"/>
            <w:tcBorders>
              <w:top w:val="single" w:color="auto" w:sz="12"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产生量</w:t>
            </w:r>
          </w:p>
        </w:tc>
        <w:tc>
          <w:tcPr>
            <w:tcW w:w="748" w:type="pct"/>
            <w:tcBorders>
              <w:top w:val="single" w:color="auto" w:sz="12"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污染物</w:t>
            </w:r>
          </w:p>
        </w:tc>
        <w:tc>
          <w:tcPr>
            <w:tcW w:w="2144" w:type="pct"/>
            <w:tcBorders>
              <w:top w:val="single" w:color="auto" w:sz="12"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污染防治措施</w:t>
            </w:r>
          </w:p>
        </w:tc>
        <w:tc>
          <w:tcPr>
            <w:tcW w:w="250" w:type="pct"/>
            <w:tcBorders>
              <w:top w:val="single" w:color="auto" w:sz="12"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排放量</w:t>
            </w:r>
          </w:p>
        </w:tc>
        <w:tc>
          <w:tcPr>
            <w:tcW w:w="873" w:type="pct"/>
            <w:tcBorders>
              <w:top w:val="single" w:color="auto" w:sz="12" w:space="0"/>
              <w:left w:val="single" w:color="auto" w:sz="4" w:space="0"/>
              <w:bottom w:val="single" w:color="auto" w:sz="4" w:space="0"/>
              <w:right w:val="single" w:color="auto" w:sz="12" w:space="0"/>
            </w:tcBorders>
            <w:noWrap/>
            <w:vAlign w:val="center"/>
          </w:tcPr>
          <w:p>
            <w:pPr>
              <w:jc w:val="center"/>
              <w:rPr>
                <w:rFonts w:eastAsiaTheme="minorEastAsia"/>
                <w:szCs w:val="21"/>
              </w:rPr>
            </w:pPr>
            <w:r>
              <w:rPr>
                <w:rFonts w:hAnsiTheme="minorEastAsia" w:eastAsiaTheme="minorEastAsia"/>
                <w:szCs w:val="21"/>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5" w:hRule="atLeast"/>
        </w:trPr>
        <w:tc>
          <w:tcPr>
            <w:tcW w:w="122" w:type="pct"/>
            <w:vMerge w:val="restart"/>
            <w:tcBorders>
              <w:top w:val="single" w:color="auto" w:sz="4" w:space="0"/>
              <w:left w:val="single" w:color="auto" w:sz="12"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废水</w:t>
            </w:r>
          </w:p>
        </w:tc>
        <w:tc>
          <w:tcPr>
            <w:tcW w:w="415" w:type="pct"/>
            <w:vMerge w:val="restart"/>
            <w:tcBorders>
              <w:top w:val="single" w:color="auto" w:sz="4" w:space="0"/>
              <w:left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生活污水</w:t>
            </w: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szCs w:val="21"/>
              </w:rPr>
              <w:t>采暖期215.63m</w:t>
            </w:r>
            <w:r>
              <w:rPr>
                <w:rFonts w:hint="eastAsia" w:eastAsiaTheme="minorEastAsia"/>
                <w:szCs w:val="21"/>
                <w:vertAlign w:val="superscript"/>
              </w:rPr>
              <w:t>3</w:t>
            </w:r>
            <w:r>
              <w:rPr>
                <w:rFonts w:hint="eastAsia" w:eastAsiaTheme="minorEastAsia"/>
                <w:szCs w:val="21"/>
              </w:rPr>
              <w:t>/d</w:t>
            </w:r>
          </w:p>
        </w:tc>
        <w:tc>
          <w:tcPr>
            <w:tcW w:w="748" w:type="pct"/>
            <w:vMerge w:val="restart"/>
            <w:tcBorders>
              <w:top w:val="single" w:color="auto" w:sz="4" w:space="0"/>
              <w:left w:val="single" w:color="auto" w:sz="4" w:space="0"/>
              <w:right w:val="single" w:color="auto" w:sz="4" w:space="0"/>
            </w:tcBorders>
            <w:noWrap/>
            <w:vAlign w:val="center"/>
          </w:tcPr>
          <w:p>
            <w:pPr>
              <w:adjustRightInd w:val="0"/>
              <w:snapToGrid w:val="0"/>
              <w:jc w:val="center"/>
              <w:rPr>
                <w:rFonts w:eastAsiaTheme="minorEastAsia"/>
                <w:szCs w:val="21"/>
              </w:rPr>
            </w:pPr>
            <w:r>
              <w:rPr>
                <w:rFonts w:eastAsiaTheme="minorEastAsia"/>
                <w:szCs w:val="21"/>
              </w:rPr>
              <w:t>CODcr</w:t>
            </w:r>
            <w:r>
              <w:rPr>
                <w:rFonts w:hAnsiTheme="minorEastAsia" w:eastAsiaTheme="minorEastAsia"/>
                <w:szCs w:val="21"/>
              </w:rPr>
              <w:t>、</w:t>
            </w:r>
            <w:r>
              <w:rPr>
                <w:rFonts w:eastAsiaTheme="minorEastAsia"/>
                <w:szCs w:val="21"/>
              </w:rPr>
              <w:t>BOD</w:t>
            </w:r>
            <w:r>
              <w:rPr>
                <w:rFonts w:eastAsiaTheme="minorEastAsia"/>
                <w:szCs w:val="21"/>
                <w:vertAlign w:val="subscript"/>
              </w:rPr>
              <w:t>5</w:t>
            </w:r>
            <w:r>
              <w:rPr>
                <w:rFonts w:hAnsiTheme="minorEastAsia" w:eastAsiaTheme="minorEastAsia"/>
                <w:szCs w:val="21"/>
              </w:rPr>
              <w:t>、</w:t>
            </w:r>
            <w:r>
              <w:rPr>
                <w:rFonts w:eastAsiaTheme="minorEastAsia"/>
                <w:bCs/>
                <w:spacing w:val="-4"/>
                <w:szCs w:val="21"/>
              </w:rPr>
              <w:t>SS</w:t>
            </w:r>
            <w:r>
              <w:rPr>
                <w:rFonts w:hAnsiTheme="minorEastAsia" w:eastAsiaTheme="minorEastAsia"/>
                <w:bCs/>
                <w:spacing w:val="-4"/>
                <w:szCs w:val="21"/>
              </w:rPr>
              <w:t>、</w:t>
            </w:r>
            <w:r>
              <w:rPr>
                <w:rFonts w:eastAsiaTheme="minorEastAsia"/>
                <w:szCs w:val="21"/>
              </w:rPr>
              <w:t>NH</w:t>
            </w:r>
            <w:r>
              <w:rPr>
                <w:rFonts w:eastAsiaTheme="minorEastAsia"/>
                <w:szCs w:val="21"/>
                <w:vertAlign w:val="subscript"/>
              </w:rPr>
              <w:t>3</w:t>
            </w:r>
            <w:r>
              <w:rPr>
                <w:rFonts w:eastAsiaTheme="minorEastAsia"/>
                <w:szCs w:val="21"/>
              </w:rPr>
              <w:t>-N</w:t>
            </w:r>
            <w:r>
              <w:rPr>
                <w:rFonts w:hAnsiTheme="minorEastAsia" w:eastAsiaTheme="minorEastAsia"/>
                <w:szCs w:val="21"/>
              </w:rPr>
              <w:t>、动植物油、总磷</w:t>
            </w:r>
          </w:p>
        </w:tc>
        <w:tc>
          <w:tcPr>
            <w:tcW w:w="2144" w:type="pct"/>
            <w:vMerge w:val="restart"/>
            <w:tcBorders>
              <w:top w:val="single" w:color="auto" w:sz="4" w:space="0"/>
              <w:left w:val="single" w:color="auto" w:sz="4" w:space="0"/>
              <w:right w:val="single" w:color="auto" w:sz="4" w:space="0"/>
            </w:tcBorders>
            <w:noWrap/>
            <w:vAlign w:val="center"/>
          </w:tcPr>
          <w:p>
            <w:pPr>
              <w:pStyle w:val="99"/>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对生活污水</w:t>
            </w:r>
            <w:r>
              <w:rPr>
                <w:rFonts w:hint="eastAsia" w:hAnsiTheme="minorEastAsia" w:eastAsiaTheme="minorEastAsia"/>
                <w:sz w:val="21"/>
                <w:szCs w:val="21"/>
              </w:rPr>
              <w:t>采用 “厌氧、缺氧、好氧同步脱碳除磷生物处理法</w:t>
            </w:r>
            <w:r>
              <w:rPr>
                <w:rFonts w:hAnsiTheme="minorEastAsia" w:eastAsiaTheme="minorEastAsia"/>
                <w:sz w:val="21"/>
                <w:szCs w:val="21"/>
              </w:rPr>
              <w:t>+</w:t>
            </w:r>
            <w:r>
              <w:rPr>
                <w:rFonts w:hint="eastAsia" w:hAnsiTheme="minorEastAsia" w:eastAsiaTheme="minorEastAsia"/>
                <w:sz w:val="21"/>
                <w:szCs w:val="21"/>
              </w:rPr>
              <w:t>臭氧氧化、活性炭过滤”</w:t>
            </w:r>
            <w:r>
              <w:rPr>
                <w:rFonts w:ascii="Times New Roman" w:cs="Times New Roman" w:hAnsiTheme="minorEastAsia" w:eastAsiaTheme="minorEastAsia"/>
                <w:color w:val="auto"/>
                <w:sz w:val="21"/>
                <w:szCs w:val="21"/>
              </w:rPr>
              <w:t>处理工艺，处理能力</w:t>
            </w:r>
            <w:r>
              <w:rPr>
                <w:rFonts w:hint="eastAsia" w:ascii="Times New Roman" w:hAnsi="Times New Roman" w:cs="Times New Roman" w:eastAsiaTheme="minorEastAsia"/>
                <w:color w:val="auto"/>
                <w:sz w:val="21"/>
                <w:szCs w:val="21"/>
              </w:rPr>
              <w:t>450</w:t>
            </w:r>
            <w:r>
              <w:rPr>
                <w:rFonts w:ascii="Times New Roman" w:hAnsi="Times New Roman" w:cs="Times New Roman" w:eastAsiaTheme="minorEastAsia"/>
                <w:color w:val="auto"/>
                <w:sz w:val="21"/>
                <w:szCs w:val="21"/>
              </w:rPr>
              <w:t>m</w:t>
            </w:r>
            <w:r>
              <w:rPr>
                <w:rFonts w:ascii="Times New Roman" w:hAnsi="Times New Roman" w:cs="Times New Roman" w:eastAsiaTheme="minorEastAsia"/>
                <w:color w:val="auto"/>
                <w:sz w:val="21"/>
                <w:szCs w:val="21"/>
                <w:vertAlign w:val="superscript"/>
              </w:rPr>
              <w:t>3</w:t>
            </w:r>
            <w:r>
              <w:rPr>
                <w:rFonts w:ascii="Times New Roman" w:hAnsi="Times New Roman" w:cs="Times New Roman" w:eastAsiaTheme="minorEastAsia"/>
                <w:color w:val="auto"/>
                <w:sz w:val="21"/>
                <w:szCs w:val="21"/>
              </w:rPr>
              <w:t>/</w:t>
            </w:r>
            <w:r>
              <w:rPr>
                <w:rFonts w:hint="eastAsia" w:ascii="Times New Roman" w:hAnsi="Times New Roman" w:cs="Times New Roman" w:eastAsiaTheme="minorEastAsia"/>
                <w:color w:val="auto"/>
                <w:sz w:val="21"/>
                <w:szCs w:val="21"/>
              </w:rPr>
              <w:t>d</w:t>
            </w:r>
            <w:r>
              <w:rPr>
                <w:rFonts w:ascii="Times New Roman" w:cs="Times New Roman" w:hAnsiTheme="minorEastAsia" w:eastAsiaTheme="minorEastAsia"/>
                <w:color w:val="auto"/>
                <w:sz w:val="21"/>
                <w:szCs w:val="21"/>
              </w:rPr>
              <w:t>，处理后</w:t>
            </w:r>
            <w:r>
              <w:rPr>
                <w:rFonts w:ascii="Times New Roman" w:cs="Times New Roman" w:hAnsiTheme="minorEastAsia" w:eastAsiaTheme="minorEastAsia"/>
                <w:bCs/>
                <w:color w:val="auto"/>
                <w:sz w:val="21"/>
                <w:szCs w:val="21"/>
              </w:rPr>
              <w:t>用于</w:t>
            </w:r>
            <w:r>
              <w:rPr>
                <w:rFonts w:hint="eastAsia" w:ascii="Times New Roman" w:cs="Times New Roman" w:hAnsiTheme="minorEastAsia" w:eastAsiaTheme="minorEastAsia"/>
                <w:bCs/>
                <w:color w:val="auto"/>
                <w:sz w:val="21"/>
                <w:szCs w:val="21"/>
              </w:rPr>
              <w:t>储煤场洒水、厂区道路洒水、绿化洒水、洗车平台用水，其余送至龙宇洗煤厂作为洗煤厂补充水，不外排</w:t>
            </w:r>
          </w:p>
        </w:tc>
        <w:tc>
          <w:tcPr>
            <w:tcW w:w="250" w:type="pct"/>
            <w:vMerge w:val="restart"/>
            <w:tcBorders>
              <w:top w:val="single" w:color="auto" w:sz="4" w:space="0"/>
              <w:left w:val="single" w:color="auto" w:sz="4" w:space="0"/>
              <w:right w:val="single" w:color="auto" w:sz="4" w:space="0"/>
            </w:tcBorders>
            <w:noWrap/>
            <w:vAlign w:val="center"/>
          </w:tcPr>
          <w:p>
            <w:pPr>
              <w:jc w:val="center"/>
              <w:rPr>
                <w:rFonts w:eastAsiaTheme="minorEastAsia"/>
                <w:szCs w:val="21"/>
              </w:rPr>
            </w:pPr>
            <w:r>
              <w:rPr>
                <w:rFonts w:eastAsiaTheme="minorEastAsia"/>
                <w:szCs w:val="21"/>
              </w:rPr>
              <w:t>0</w:t>
            </w:r>
          </w:p>
        </w:tc>
        <w:tc>
          <w:tcPr>
            <w:tcW w:w="873" w:type="pct"/>
            <w:vMerge w:val="restart"/>
            <w:tcBorders>
              <w:top w:val="single" w:color="auto" w:sz="4" w:space="0"/>
              <w:left w:val="single" w:color="auto" w:sz="4" w:space="0"/>
              <w:right w:val="single" w:color="auto" w:sz="12" w:space="0"/>
            </w:tcBorders>
            <w:noWrap/>
            <w:vAlign w:val="center"/>
          </w:tcPr>
          <w:p>
            <w:pPr>
              <w:jc w:val="center"/>
              <w:rPr>
                <w:rFonts w:eastAsiaTheme="minorEastAsia"/>
                <w:szCs w:val="21"/>
              </w:rPr>
            </w:pPr>
            <w:r>
              <w:rPr>
                <w:rFonts w:hAnsiTheme="minorEastAsia" w:eastAsiaTheme="minorEastAsia"/>
                <w:szCs w:val="21"/>
              </w:rPr>
              <w:t>无废水外排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22" w:type="pct"/>
            <w:vMerge w:val="continue"/>
            <w:tcBorders>
              <w:top w:val="single" w:color="auto" w:sz="4" w:space="0"/>
              <w:left w:val="single" w:color="auto" w:sz="12" w:space="0"/>
              <w:bottom w:val="single" w:color="auto" w:sz="4" w:space="0"/>
              <w:right w:val="single" w:color="auto" w:sz="4" w:space="0"/>
            </w:tcBorders>
            <w:noWrap/>
            <w:vAlign w:val="center"/>
          </w:tcPr>
          <w:p>
            <w:pPr>
              <w:jc w:val="center"/>
              <w:rPr>
                <w:rFonts w:hAnsiTheme="minorEastAsia" w:eastAsiaTheme="minorEastAsia"/>
                <w:szCs w:val="21"/>
              </w:rPr>
            </w:pPr>
          </w:p>
        </w:tc>
        <w:tc>
          <w:tcPr>
            <w:tcW w:w="415" w:type="pct"/>
            <w:vMerge w:val="continue"/>
            <w:tcBorders>
              <w:left w:val="single" w:color="auto" w:sz="4" w:space="0"/>
              <w:bottom w:val="single" w:color="auto" w:sz="4" w:space="0"/>
              <w:right w:val="single" w:color="auto" w:sz="4" w:space="0"/>
            </w:tcBorders>
            <w:noWrap/>
            <w:vAlign w:val="center"/>
          </w:tcPr>
          <w:p>
            <w:pPr>
              <w:jc w:val="center"/>
              <w:rPr>
                <w:rFonts w:hAnsiTheme="minorEastAsia" w:eastAsiaTheme="minorEastAsia"/>
                <w:szCs w:val="21"/>
              </w:rPr>
            </w:pP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szCs w:val="21"/>
              </w:rPr>
              <w:t>非采暖期209.61m</w:t>
            </w:r>
            <w:r>
              <w:rPr>
                <w:rFonts w:hint="eastAsia" w:eastAsiaTheme="minorEastAsia"/>
                <w:szCs w:val="21"/>
                <w:vertAlign w:val="superscript"/>
              </w:rPr>
              <w:t>3</w:t>
            </w:r>
            <w:r>
              <w:rPr>
                <w:rFonts w:hint="eastAsia" w:eastAsiaTheme="minorEastAsia"/>
                <w:szCs w:val="21"/>
              </w:rPr>
              <w:t>/d</w:t>
            </w:r>
          </w:p>
        </w:tc>
        <w:tc>
          <w:tcPr>
            <w:tcW w:w="748" w:type="pct"/>
            <w:vMerge w:val="continue"/>
            <w:tcBorders>
              <w:left w:val="single" w:color="auto" w:sz="4" w:space="0"/>
              <w:bottom w:val="single" w:color="auto" w:sz="4" w:space="0"/>
              <w:right w:val="single" w:color="auto" w:sz="4" w:space="0"/>
            </w:tcBorders>
            <w:noWrap/>
            <w:vAlign w:val="center"/>
          </w:tcPr>
          <w:p>
            <w:pPr>
              <w:adjustRightInd w:val="0"/>
              <w:snapToGrid w:val="0"/>
              <w:jc w:val="center"/>
              <w:rPr>
                <w:rFonts w:eastAsiaTheme="minorEastAsia"/>
                <w:szCs w:val="21"/>
              </w:rPr>
            </w:pPr>
          </w:p>
        </w:tc>
        <w:tc>
          <w:tcPr>
            <w:tcW w:w="2144" w:type="pct"/>
            <w:vMerge w:val="continue"/>
            <w:tcBorders>
              <w:left w:val="single" w:color="auto" w:sz="4" w:space="0"/>
              <w:bottom w:val="single" w:color="auto" w:sz="4" w:space="0"/>
              <w:right w:val="single" w:color="auto" w:sz="4" w:space="0"/>
            </w:tcBorders>
            <w:noWrap/>
            <w:vAlign w:val="center"/>
          </w:tcPr>
          <w:p>
            <w:pPr>
              <w:pStyle w:val="99"/>
              <w:jc w:val="center"/>
              <w:rPr>
                <w:rFonts w:ascii="Times New Roman" w:cs="Times New Roman" w:hAnsiTheme="minorEastAsia" w:eastAsiaTheme="minorEastAsia"/>
                <w:color w:val="auto"/>
                <w:sz w:val="21"/>
                <w:szCs w:val="21"/>
              </w:rPr>
            </w:pPr>
          </w:p>
        </w:tc>
        <w:tc>
          <w:tcPr>
            <w:tcW w:w="250" w:type="pct"/>
            <w:vMerge w:val="continue"/>
            <w:tcBorders>
              <w:left w:val="single" w:color="auto" w:sz="4" w:space="0"/>
              <w:bottom w:val="single" w:color="auto" w:sz="4" w:space="0"/>
              <w:right w:val="single" w:color="auto" w:sz="4" w:space="0"/>
            </w:tcBorders>
            <w:noWrap/>
            <w:vAlign w:val="center"/>
          </w:tcPr>
          <w:p>
            <w:pPr>
              <w:jc w:val="center"/>
              <w:rPr>
                <w:rFonts w:eastAsiaTheme="minorEastAsia"/>
                <w:szCs w:val="21"/>
              </w:rPr>
            </w:pPr>
          </w:p>
        </w:tc>
        <w:tc>
          <w:tcPr>
            <w:tcW w:w="873" w:type="pct"/>
            <w:vMerge w:val="continue"/>
            <w:tcBorders>
              <w:left w:val="single" w:color="auto" w:sz="4" w:space="0"/>
              <w:bottom w:val="single" w:color="auto" w:sz="4" w:space="0"/>
              <w:right w:val="single" w:color="auto" w:sz="12" w:space="0"/>
            </w:tcBorders>
            <w:noWrap/>
            <w:vAlign w:val="center"/>
          </w:tcPr>
          <w:p>
            <w:pPr>
              <w:jc w:val="center"/>
              <w:rPr>
                <w:rFonts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2" w:type="pct"/>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eastAsiaTheme="minorEastAsia"/>
                <w:szCs w:val="21"/>
              </w:rPr>
            </w:pPr>
          </w:p>
        </w:tc>
        <w:tc>
          <w:tcPr>
            <w:tcW w:w="415" w:type="pct"/>
            <w:vMerge w:val="restart"/>
            <w:tcBorders>
              <w:top w:val="single" w:color="auto" w:sz="4" w:space="0"/>
              <w:left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矿井水</w:t>
            </w: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szCs w:val="21"/>
              </w:rPr>
              <w:t>4、5号煤层576m</w:t>
            </w:r>
            <w:r>
              <w:rPr>
                <w:rFonts w:hint="eastAsia" w:eastAsiaTheme="minorEastAsia"/>
                <w:szCs w:val="21"/>
                <w:vertAlign w:val="superscript"/>
              </w:rPr>
              <w:t>3</w:t>
            </w:r>
            <w:r>
              <w:rPr>
                <w:rFonts w:hint="eastAsia" w:eastAsiaTheme="minorEastAsia"/>
                <w:szCs w:val="21"/>
              </w:rPr>
              <w:t>/d</w:t>
            </w:r>
          </w:p>
        </w:tc>
        <w:tc>
          <w:tcPr>
            <w:tcW w:w="748" w:type="pct"/>
            <w:vMerge w:val="restart"/>
            <w:tcBorders>
              <w:top w:val="single" w:color="auto" w:sz="4" w:space="0"/>
              <w:left w:val="single" w:color="auto" w:sz="4" w:space="0"/>
              <w:right w:val="single" w:color="auto" w:sz="4" w:space="0"/>
            </w:tcBorders>
            <w:noWrap/>
            <w:vAlign w:val="center"/>
          </w:tcPr>
          <w:p>
            <w:pPr>
              <w:adjustRightInd w:val="0"/>
              <w:snapToGrid w:val="0"/>
              <w:jc w:val="center"/>
              <w:rPr>
                <w:rFonts w:eastAsiaTheme="minorEastAsia"/>
                <w:szCs w:val="21"/>
              </w:rPr>
            </w:pPr>
            <w:r>
              <w:rPr>
                <w:rFonts w:eastAsiaTheme="minorEastAsia"/>
                <w:szCs w:val="21"/>
              </w:rPr>
              <w:t>CODcr</w:t>
            </w:r>
            <w:r>
              <w:rPr>
                <w:rFonts w:hAnsiTheme="minorEastAsia" w:eastAsiaTheme="minorEastAsia"/>
                <w:szCs w:val="21"/>
              </w:rPr>
              <w:t>、</w:t>
            </w:r>
            <w:r>
              <w:rPr>
                <w:rFonts w:eastAsiaTheme="minorEastAsia"/>
                <w:szCs w:val="21"/>
              </w:rPr>
              <w:t>SS</w:t>
            </w:r>
            <w:r>
              <w:rPr>
                <w:rFonts w:hAnsiTheme="minorEastAsia" w:eastAsiaTheme="minorEastAsia"/>
                <w:szCs w:val="21"/>
              </w:rPr>
              <w:t>、氨氮、总磷、氟化物、石油类</w:t>
            </w:r>
          </w:p>
        </w:tc>
        <w:tc>
          <w:tcPr>
            <w:tcW w:w="2144" w:type="pct"/>
            <w:vMerge w:val="restart"/>
            <w:tcBorders>
              <w:top w:val="single" w:color="auto" w:sz="4" w:space="0"/>
              <w:left w:val="single" w:color="auto" w:sz="4" w:space="0"/>
              <w:right w:val="single" w:color="auto" w:sz="4" w:space="0"/>
            </w:tcBorders>
            <w:noWrap/>
            <w:vAlign w:val="center"/>
          </w:tcPr>
          <w:p>
            <w:pPr>
              <w:pStyle w:val="10"/>
              <w:spacing w:after="0"/>
              <w:jc w:val="center"/>
              <w:rPr>
                <w:rFonts w:eastAsiaTheme="minorEastAsia"/>
                <w:szCs w:val="21"/>
              </w:rPr>
            </w:pPr>
            <w:r>
              <w:rPr>
                <w:rFonts w:hAnsiTheme="minorEastAsia" w:eastAsiaTheme="minorEastAsia"/>
                <w:bCs/>
                <w:szCs w:val="21"/>
              </w:rPr>
              <w:t>本项目配套建设一座污水处理站，处理能力</w:t>
            </w:r>
            <w:r>
              <w:rPr>
                <w:rFonts w:hint="eastAsia" w:eastAsiaTheme="minorEastAsia"/>
                <w:bCs/>
                <w:szCs w:val="21"/>
              </w:rPr>
              <w:t>6210</w:t>
            </w:r>
            <w:r>
              <w:rPr>
                <w:rFonts w:eastAsiaTheme="minorEastAsia"/>
                <w:bCs/>
                <w:szCs w:val="21"/>
              </w:rPr>
              <w:t>m</w:t>
            </w:r>
            <w:r>
              <w:rPr>
                <w:rFonts w:eastAsiaTheme="minorEastAsia"/>
                <w:bCs/>
                <w:szCs w:val="21"/>
                <w:vertAlign w:val="superscript"/>
              </w:rPr>
              <w:t>3</w:t>
            </w:r>
            <w:r>
              <w:rPr>
                <w:rFonts w:eastAsiaTheme="minorEastAsia"/>
                <w:bCs/>
                <w:szCs w:val="21"/>
              </w:rPr>
              <w:t>/</w:t>
            </w:r>
            <w:r>
              <w:rPr>
                <w:rFonts w:hint="eastAsia" w:eastAsiaTheme="minorEastAsia"/>
                <w:bCs/>
                <w:szCs w:val="21"/>
              </w:rPr>
              <w:t>d</w:t>
            </w:r>
            <w:r>
              <w:rPr>
                <w:rFonts w:hAnsiTheme="minorEastAsia" w:eastAsiaTheme="minorEastAsia"/>
                <w:bCs/>
                <w:szCs w:val="21"/>
              </w:rPr>
              <w:t>，采用</w:t>
            </w:r>
            <w:r>
              <w:rPr>
                <w:rFonts w:hint="eastAsia" w:hAnsiTheme="minorEastAsia" w:eastAsiaTheme="minorEastAsia"/>
                <w:bCs/>
                <w:szCs w:val="21"/>
              </w:rPr>
              <w:t>“高效旋流过滤、压力式超滤”处理工艺</w:t>
            </w:r>
            <w:r>
              <w:rPr>
                <w:rFonts w:hAnsiTheme="minorEastAsia" w:eastAsiaTheme="minorEastAsia"/>
                <w:bCs/>
                <w:szCs w:val="21"/>
              </w:rPr>
              <w:t>，矿井水经处理后全部回用于井下</w:t>
            </w:r>
            <w:r>
              <w:rPr>
                <w:rFonts w:hint="eastAsia" w:hAnsiTheme="minorEastAsia" w:eastAsiaTheme="minorEastAsia"/>
                <w:bCs/>
                <w:szCs w:val="21"/>
              </w:rPr>
              <w:t>生产用水、锅炉补充用水</w:t>
            </w:r>
            <w:r>
              <w:rPr>
                <w:rFonts w:hAnsiTheme="minorEastAsia" w:eastAsiaTheme="minorEastAsia"/>
                <w:bCs/>
                <w:szCs w:val="21"/>
              </w:rPr>
              <w:t>及洗车平台，不外排。</w:t>
            </w:r>
          </w:p>
        </w:tc>
        <w:tc>
          <w:tcPr>
            <w:tcW w:w="250" w:type="pct"/>
            <w:vMerge w:val="restart"/>
            <w:tcBorders>
              <w:top w:val="single" w:color="auto" w:sz="4" w:space="0"/>
              <w:left w:val="single" w:color="auto" w:sz="4" w:space="0"/>
              <w:right w:val="single" w:color="auto" w:sz="4" w:space="0"/>
            </w:tcBorders>
            <w:noWrap/>
            <w:vAlign w:val="center"/>
          </w:tcPr>
          <w:p>
            <w:pPr>
              <w:jc w:val="center"/>
              <w:rPr>
                <w:rFonts w:eastAsiaTheme="minorEastAsia"/>
                <w:szCs w:val="21"/>
              </w:rPr>
            </w:pPr>
            <w:r>
              <w:rPr>
                <w:rFonts w:eastAsiaTheme="minorEastAsia"/>
                <w:szCs w:val="21"/>
              </w:rPr>
              <w:t>0</w:t>
            </w:r>
          </w:p>
        </w:tc>
        <w:tc>
          <w:tcPr>
            <w:tcW w:w="873" w:type="pct"/>
            <w:vMerge w:val="restart"/>
            <w:tcBorders>
              <w:top w:val="single" w:color="auto" w:sz="4" w:space="0"/>
              <w:left w:val="single" w:color="auto" w:sz="4" w:space="0"/>
              <w:right w:val="single" w:color="auto" w:sz="12" w:space="0"/>
            </w:tcBorders>
            <w:noWrap/>
            <w:vAlign w:val="center"/>
          </w:tcPr>
          <w:p>
            <w:pPr>
              <w:jc w:val="center"/>
              <w:rPr>
                <w:rFonts w:eastAsiaTheme="minorEastAsia"/>
                <w:szCs w:val="21"/>
              </w:rPr>
            </w:pPr>
            <w:r>
              <w:rPr>
                <w:rFonts w:hAnsiTheme="minorEastAsia" w:eastAsiaTheme="minorEastAsia"/>
                <w:spacing w:val="4"/>
                <w:szCs w:val="21"/>
              </w:rPr>
              <w:t>《煤矿井下消防、洒水设计规范》（</w:t>
            </w:r>
            <w:r>
              <w:rPr>
                <w:rFonts w:eastAsiaTheme="minorEastAsia"/>
                <w:spacing w:val="4"/>
                <w:szCs w:val="21"/>
              </w:rPr>
              <w:t>GB50383-2016</w:t>
            </w:r>
            <w:r>
              <w:rPr>
                <w:rFonts w:hAnsiTheme="minorEastAsia" w:eastAsiaTheme="minorEastAsia"/>
                <w:spacing w:val="4"/>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2" w:type="pct"/>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eastAsiaTheme="minorEastAsia"/>
                <w:szCs w:val="21"/>
              </w:rPr>
            </w:pPr>
          </w:p>
        </w:tc>
        <w:tc>
          <w:tcPr>
            <w:tcW w:w="415" w:type="pct"/>
            <w:vMerge w:val="continue"/>
            <w:tcBorders>
              <w:left w:val="single" w:color="auto" w:sz="4" w:space="0"/>
              <w:bottom w:val="single" w:color="auto" w:sz="4" w:space="0"/>
              <w:right w:val="single" w:color="auto" w:sz="4" w:space="0"/>
            </w:tcBorders>
            <w:noWrap/>
            <w:vAlign w:val="center"/>
          </w:tcPr>
          <w:p>
            <w:pPr>
              <w:jc w:val="center"/>
              <w:rPr>
                <w:rFonts w:hAnsiTheme="minorEastAsia" w:eastAsiaTheme="minorEastAsia"/>
                <w:szCs w:val="21"/>
              </w:rPr>
            </w:pP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szCs w:val="21"/>
              </w:rPr>
              <w:t>8、9号煤层960m</w:t>
            </w:r>
            <w:r>
              <w:rPr>
                <w:rFonts w:hint="eastAsia" w:eastAsiaTheme="minorEastAsia"/>
                <w:szCs w:val="21"/>
                <w:vertAlign w:val="superscript"/>
              </w:rPr>
              <w:t>3</w:t>
            </w:r>
            <w:r>
              <w:rPr>
                <w:rFonts w:hint="eastAsia" w:eastAsiaTheme="minorEastAsia"/>
                <w:szCs w:val="21"/>
              </w:rPr>
              <w:t>/d</w:t>
            </w:r>
          </w:p>
        </w:tc>
        <w:tc>
          <w:tcPr>
            <w:tcW w:w="748" w:type="pct"/>
            <w:vMerge w:val="continue"/>
            <w:tcBorders>
              <w:left w:val="single" w:color="auto" w:sz="4" w:space="0"/>
              <w:bottom w:val="single" w:color="auto" w:sz="4" w:space="0"/>
              <w:right w:val="single" w:color="auto" w:sz="4" w:space="0"/>
            </w:tcBorders>
            <w:noWrap/>
            <w:vAlign w:val="center"/>
          </w:tcPr>
          <w:p>
            <w:pPr>
              <w:adjustRightInd w:val="0"/>
              <w:snapToGrid w:val="0"/>
              <w:jc w:val="center"/>
              <w:rPr>
                <w:rFonts w:eastAsiaTheme="minorEastAsia"/>
                <w:szCs w:val="21"/>
              </w:rPr>
            </w:pPr>
          </w:p>
        </w:tc>
        <w:tc>
          <w:tcPr>
            <w:tcW w:w="2144" w:type="pct"/>
            <w:vMerge w:val="continue"/>
            <w:tcBorders>
              <w:left w:val="single" w:color="auto" w:sz="4" w:space="0"/>
              <w:bottom w:val="single" w:color="auto" w:sz="4" w:space="0"/>
              <w:right w:val="single" w:color="auto" w:sz="4" w:space="0"/>
            </w:tcBorders>
            <w:noWrap/>
            <w:vAlign w:val="center"/>
          </w:tcPr>
          <w:p>
            <w:pPr>
              <w:pStyle w:val="10"/>
              <w:spacing w:after="0"/>
              <w:jc w:val="center"/>
              <w:rPr>
                <w:rFonts w:hAnsiTheme="minorEastAsia" w:eastAsiaTheme="minorEastAsia"/>
                <w:bCs/>
                <w:szCs w:val="21"/>
              </w:rPr>
            </w:pPr>
          </w:p>
        </w:tc>
        <w:tc>
          <w:tcPr>
            <w:tcW w:w="250" w:type="pct"/>
            <w:vMerge w:val="continue"/>
            <w:tcBorders>
              <w:left w:val="single" w:color="auto" w:sz="4" w:space="0"/>
              <w:bottom w:val="single" w:color="auto" w:sz="4" w:space="0"/>
              <w:right w:val="single" w:color="auto" w:sz="4" w:space="0"/>
            </w:tcBorders>
            <w:noWrap/>
            <w:vAlign w:val="center"/>
          </w:tcPr>
          <w:p>
            <w:pPr>
              <w:jc w:val="center"/>
              <w:rPr>
                <w:rFonts w:eastAsiaTheme="minorEastAsia"/>
                <w:szCs w:val="21"/>
              </w:rPr>
            </w:pPr>
          </w:p>
        </w:tc>
        <w:tc>
          <w:tcPr>
            <w:tcW w:w="873" w:type="pct"/>
            <w:vMerge w:val="continue"/>
            <w:tcBorders>
              <w:left w:val="single" w:color="auto" w:sz="4" w:space="0"/>
              <w:bottom w:val="single" w:color="auto" w:sz="4" w:space="0"/>
              <w:right w:val="single" w:color="auto" w:sz="12" w:space="0"/>
            </w:tcBorders>
            <w:noWrap/>
            <w:vAlign w:val="center"/>
          </w:tcPr>
          <w:p>
            <w:pPr>
              <w:jc w:val="center"/>
              <w:rPr>
                <w:rFonts w:hAnsiTheme="minorEastAsia" w:eastAsiaTheme="minorEastAsia"/>
                <w:spacing w:val="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122" w:type="pct"/>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车辆</w:t>
            </w:r>
          </w:p>
          <w:p>
            <w:pPr>
              <w:jc w:val="center"/>
              <w:rPr>
                <w:rFonts w:eastAsiaTheme="minorEastAsia"/>
                <w:szCs w:val="21"/>
              </w:rPr>
            </w:pPr>
            <w:r>
              <w:rPr>
                <w:rFonts w:hAnsiTheme="minorEastAsia" w:eastAsiaTheme="minorEastAsia"/>
                <w:szCs w:val="21"/>
              </w:rPr>
              <w:t>清洗废水</w:t>
            </w: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eastAsiaTheme="minorEastAsia"/>
                <w:szCs w:val="21"/>
              </w:rPr>
              <w:t>/</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eastAsiaTheme="minorEastAsia"/>
                <w:szCs w:val="21"/>
              </w:rPr>
              <w:t>CODcr</w:t>
            </w:r>
            <w:r>
              <w:rPr>
                <w:rFonts w:hAnsiTheme="minorEastAsia" w:eastAsiaTheme="minorEastAsia"/>
                <w:szCs w:val="21"/>
              </w:rPr>
              <w:t>、</w:t>
            </w:r>
            <w:r>
              <w:rPr>
                <w:rFonts w:eastAsiaTheme="minorEastAsia"/>
                <w:szCs w:val="21"/>
              </w:rPr>
              <w:t>BOD</w:t>
            </w:r>
            <w:r>
              <w:rPr>
                <w:rFonts w:eastAsiaTheme="minorEastAsia"/>
                <w:szCs w:val="21"/>
                <w:vertAlign w:val="subscript"/>
              </w:rPr>
              <w:t>5</w:t>
            </w:r>
            <w:r>
              <w:rPr>
                <w:rFonts w:hAnsiTheme="minorEastAsia" w:eastAsiaTheme="minorEastAsia"/>
                <w:szCs w:val="21"/>
              </w:rPr>
              <w:t>、</w:t>
            </w:r>
            <w:r>
              <w:rPr>
                <w:rFonts w:eastAsiaTheme="minorEastAsia"/>
                <w:bCs/>
                <w:spacing w:val="-4"/>
                <w:szCs w:val="21"/>
              </w:rPr>
              <w:t>SS</w:t>
            </w:r>
            <w:r>
              <w:rPr>
                <w:rFonts w:hAnsiTheme="minorEastAsia" w:eastAsiaTheme="minorEastAsia"/>
                <w:bCs/>
                <w:spacing w:val="-4"/>
                <w:szCs w:val="21"/>
              </w:rPr>
              <w:t>、</w:t>
            </w:r>
            <w:r>
              <w:rPr>
                <w:rFonts w:eastAsiaTheme="minorEastAsia"/>
                <w:szCs w:val="21"/>
              </w:rPr>
              <w:t>NH</w:t>
            </w:r>
            <w:r>
              <w:rPr>
                <w:rFonts w:eastAsiaTheme="minorEastAsia"/>
                <w:szCs w:val="21"/>
                <w:vertAlign w:val="subscript"/>
              </w:rPr>
              <w:t>3</w:t>
            </w:r>
            <w:r>
              <w:rPr>
                <w:rFonts w:eastAsiaTheme="minorEastAsia"/>
                <w:szCs w:val="21"/>
              </w:rPr>
              <w:t>-N</w:t>
            </w:r>
            <w:r>
              <w:rPr>
                <w:rFonts w:hAnsiTheme="minorEastAsia" w:eastAsiaTheme="minorEastAsia"/>
                <w:szCs w:val="21"/>
              </w:rPr>
              <w:t>、氟化物、石油类</w:t>
            </w:r>
          </w:p>
        </w:tc>
        <w:tc>
          <w:tcPr>
            <w:tcW w:w="2144" w:type="pct"/>
            <w:tcBorders>
              <w:top w:val="single" w:color="auto" w:sz="4" w:space="0"/>
              <w:left w:val="single" w:color="auto" w:sz="4" w:space="0"/>
              <w:bottom w:val="single" w:color="auto" w:sz="4" w:space="0"/>
              <w:right w:val="single" w:color="auto" w:sz="4" w:space="0"/>
            </w:tcBorders>
            <w:noWrap/>
            <w:vAlign w:val="center"/>
          </w:tcPr>
          <w:p>
            <w:pPr>
              <w:pStyle w:val="99"/>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设置一套洗车设备，设沉淀池和清水池，用于喷洗车辆，废水经沉淀后、清水进入清水池，循环利用，不外排</w:t>
            </w:r>
          </w:p>
        </w:tc>
        <w:tc>
          <w:tcPr>
            <w:tcW w:w="250"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eastAsiaTheme="minorEastAsia"/>
                <w:szCs w:val="21"/>
              </w:rPr>
              <w:t>0</w:t>
            </w:r>
          </w:p>
        </w:tc>
        <w:tc>
          <w:tcPr>
            <w:tcW w:w="873" w:type="pct"/>
            <w:tcBorders>
              <w:top w:val="single" w:color="auto" w:sz="4" w:space="0"/>
              <w:left w:val="single" w:color="auto" w:sz="4" w:space="0"/>
              <w:bottom w:val="single" w:color="auto" w:sz="4" w:space="0"/>
              <w:right w:val="single" w:color="auto" w:sz="12" w:space="0"/>
            </w:tcBorders>
            <w:noWrap/>
            <w:vAlign w:val="center"/>
          </w:tcPr>
          <w:p>
            <w:pPr>
              <w:jc w:val="center"/>
              <w:rPr>
                <w:rFonts w:eastAsiaTheme="minorEastAsia"/>
                <w:szCs w:val="21"/>
              </w:rPr>
            </w:pPr>
            <w:r>
              <w:rPr>
                <w:rFonts w:hAnsiTheme="minorEastAsia" w:eastAsiaTheme="minorEastAsia"/>
                <w:szCs w:val="21"/>
              </w:rPr>
              <w:t>无废水外排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vMerge w:val="restart"/>
            <w:tcBorders>
              <w:top w:val="single" w:color="auto" w:sz="4" w:space="0"/>
              <w:left w:val="single" w:color="auto" w:sz="12"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固废</w:t>
            </w:r>
          </w:p>
        </w:tc>
        <w:tc>
          <w:tcPr>
            <w:tcW w:w="415"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bCs/>
                <w:szCs w:val="21"/>
              </w:rPr>
            </w:pPr>
            <w:r>
              <w:rPr>
                <w:rFonts w:hAnsiTheme="minorEastAsia" w:eastAsiaTheme="minorEastAsia"/>
                <w:bCs/>
                <w:szCs w:val="21"/>
              </w:rPr>
              <w:t>矸石</w:t>
            </w: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szCs w:val="21"/>
              </w:rPr>
              <w:t>12万t</w:t>
            </w:r>
          </w:p>
          <w:p>
            <w:pPr>
              <w:jc w:val="center"/>
              <w:rPr>
                <w:rFonts w:eastAsiaTheme="minorEastAsia"/>
                <w:szCs w:val="21"/>
              </w:rPr>
            </w:pPr>
            <w:r>
              <w:rPr>
                <w:rFonts w:hint="eastAsia" w:eastAsiaTheme="minorEastAsia"/>
                <w:szCs w:val="21"/>
              </w:rPr>
              <w:t>/a</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bCs/>
                <w:szCs w:val="21"/>
              </w:rPr>
              <w:t>矸石</w:t>
            </w:r>
          </w:p>
        </w:tc>
        <w:tc>
          <w:tcPr>
            <w:tcW w:w="2144" w:type="pct"/>
            <w:tcBorders>
              <w:top w:val="single" w:color="auto" w:sz="4" w:space="0"/>
              <w:left w:val="single" w:color="auto" w:sz="4" w:space="0"/>
              <w:bottom w:val="single" w:color="auto" w:sz="4" w:space="0"/>
              <w:right w:val="single" w:color="auto" w:sz="4" w:space="0"/>
            </w:tcBorders>
            <w:noWrap/>
            <w:vAlign w:val="center"/>
          </w:tcPr>
          <w:p>
            <w:pPr>
              <w:jc w:val="center"/>
              <w:rPr>
                <w:bCs/>
                <w:szCs w:val="21"/>
              </w:rPr>
            </w:pPr>
            <w:r>
              <w:rPr>
                <w:rFonts w:hint="eastAsia" w:eastAsiaTheme="minorEastAsia"/>
                <w:szCs w:val="21"/>
              </w:rPr>
              <w:t>矸石全部送往山西华光发电有限责任公司综合利用，综合利用不畅的情况下，临时</w:t>
            </w:r>
            <w:r>
              <w:rPr>
                <w:rFonts w:eastAsiaTheme="minorEastAsia"/>
                <w:szCs w:val="21"/>
              </w:rPr>
              <w:t>运至</w:t>
            </w:r>
            <w:r>
              <w:rPr>
                <w:rFonts w:hint="eastAsia" w:eastAsiaTheme="minorEastAsia"/>
                <w:szCs w:val="21"/>
              </w:rPr>
              <w:t>原环评批复的临时矸石堆场填埋处理</w:t>
            </w:r>
          </w:p>
        </w:tc>
        <w:tc>
          <w:tcPr>
            <w:tcW w:w="250"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eastAsiaTheme="minorEastAsia"/>
                <w:szCs w:val="21"/>
              </w:rPr>
              <w:t>0</w:t>
            </w:r>
          </w:p>
        </w:tc>
        <w:tc>
          <w:tcPr>
            <w:tcW w:w="873" w:type="pct"/>
            <w:vMerge w:val="restart"/>
            <w:tcBorders>
              <w:top w:val="single" w:color="auto" w:sz="4" w:space="0"/>
              <w:left w:val="single" w:color="auto" w:sz="4" w:space="0"/>
              <w:bottom w:val="single" w:color="auto" w:sz="4" w:space="0"/>
              <w:right w:val="single" w:color="auto" w:sz="12" w:space="0"/>
            </w:tcBorders>
            <w:noWrap/>
            <w:vAlign w:val="center"/>
          </w:tcPr>
          <w:p>
            <w:pPr>
              <w:jc w:val="center"/>
              <w:rPr>
                <w:rFonts w:eastAsiaTheme="minorEastAsia"/>
                <w:szCs w:val="21"/>
              </w:rPr>
            </w:pPr>
            <w:r>
              <w:rPr>
                <w:rFonts w:hAnsiTheme="minorEastAsia" w:eastAsiaTheme="minorEastAsia"/>
                <w:szCs w:val="21"/>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bCs/>
                <w:szCs w:val="21"/>
              </w:rPr>
            </w:pPr>
            <w:r>
              <w:rPr>
                <w:rFonts w:hAnsiTheme="minorEastAsia" w:eastAsiaTheme="minorEastAsia"/>
                <w:bCs/>
                <w:szCs w:val="21"/>
              </w:rPr>
              <w:t>生活污水</w:t>
            </w:r>
          </w:p>
          <w:p>
            <w:pPr>
              <w:jc w:val="center"/>
              <w:rPr>
                <w:rFonts w:eastAsiaTheme="minorEastAsia"/>
                <w:bCs/>
                <w:szCs w:val="21"/>
              </w:rPr>
            </w:pPr>
            <w:r>
              <w:rPr>
                <w:rFonts w:hAnsiTheme="minorEastAsia" w:eastAsiaTheme="minorEastAsia"/>
                <w:bCs/>
                <w:szCs w:val="21"/>
              </w:rPr>
              <w:t>处理站</w:t>
            </w: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szCs w:val="21"/>
              </w:rPr>
              <w:t>14.44</w:t>
            </w:r>
            <w:r>
              <w:rPr>
                <w:rFonts w:eastAsiaTheme="minorEastAsia"/>
                <w:bCs/>
                <w:szCs w:val="21"/>
              </w:rPr>
              <w:t>t/a</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bCs/>
                <w:szCs w:val="21"/>
              </w:rPr>
              <w:t>生活污水处理站污泥</w:t>
            </w:r>
          </w:p>
        </w:tc>
        <w:tc>
          <w:tcPr>
            <w:tcW w:w="2144" w:type="pct"/>
            <w:tcBorders>
              <w:top w:val="single" w:color="auto" w:sz="4" w:space="0"/>
              <w:left w:val="single" w:color="auto" w:sz="4" w:space="0"/>
              <w:bottom w:val="single" w:color="auto" w:sz="4" w:space="0"/>
              <w:right w:val="single" w:color="auto" w:sz="4" w:space="0"/>
            </w:tcBorders>
            <w:noWrap/>
            <w:vAlign w:val="center"/>
          </w:tcPr>
          <w:p>
            <w:pPr>
              <w:pStyle w:val="7"/>
              <w:ind w:firstLine="480"/>
              <w:jc w:val="center"/>
              <w:rPr>
                <w:sz w:val="21"/>
                <w:szCs w:val="21"/>
              </w:rPr>
            </w:pPr>
            <w:r>
              <w:rPr>
                <w:rFonts w:hint="eastAsia"/>
                <w:sz w:val="21"/>
                <w:szCs w:val="21"/>
              </w:rPr>
              <w:t>污泥干化后送矸石场填埋</w:t>
            </w:r>
          </w:p>
        </w:tc>
        <w:tc>
          <w:tcPr>
            <w:tcW w:w="250"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eastAsiaTheme="minorEastAsia"/>
                <w:szCs w:val="21"/>
              </w:rPr>
              <w:t>0</w:t>
            </w:r>
          </w:p>
        </w:tc>
        <w:tc>
          <w:tcPr>
            <w:tcW w:w="873" w:type="pct"/>
            <w:vMerge w:val="continue"/>
            <w:tcBorders>
              <w:top w:val="single" w:color="auto" w:sz="4" w:space="0"/>
              <w:left w:val="single" w:color="auto" w:sz="4" w:space="0"/>
              <w:bottom w:val="single" w:color="auto" w:sz="4" w:space="0"/>
              <w:right w:val="single" w:color="auto" w:sz="12" w:space="0"/>
            </w:tcBorders>
            <w:vAlign w:val="center"/>
          </w:tcPr>
          <w:p>
            <w:pPr>
              <w:widowControl/>
              <w:jc w:val="left"/>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bCs/>
                <w:szCs w:val="21"/>
              </w:rPr>
            </w:pPr>
            <w:r>
              <w:rPr>
                <w:rFonts w:hAnsiTheme="minorEastAsia" w:eastAsiaTheme="minorEastAsia"/>
                <w:bCs/>
                <w:szCs w:val="21"/>
              </w:rPr>
              <w:t>矿井水</w:t>
            </w:r>
          </w:p>
          <w:p>
            <w:pPr>
              <w:jc w:val="center"/>
              <w:rPr>
                <w:rFonts w:eastAsiaTheme="minorEastAsia"/>
                <w:bCs/>
                <w:szCs w:val="21"/>
              </w:rPr>
            </w:pPr>
            <w:r>
              <w:rPr>
                <w:rFonts w:hAnsiTheme="minorEastAsia" w:eastAsiaTheme="minorEastAsia"/>
                <w:bCs/>
                <w:szCs w:val="21"/>
              </w:rPr>
              <w:t>处理站</w:t>
            </w: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bCs/>
                <w:szCs w:val="21"/>
              </w:rPr>
              <w:t>260.32</w:t>
            </w:r>
            <w:r>
              <w:rPr>
                <w:rFonts w:eastAsiaTheme="minorEastAsia"/>
                <w:bCs/>
                <w:szCs w:val="21"/>
              </w:rPr>
              <w:t>t/a</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bCs/>
                <w:szCs w:val="21"/>
              </w:rPr>
              <w:t>矿井水处理站污泥</w:t>
            </w:r>
          </w:p>
        </w:tc>
        <w:tc>
          <w:tcPr>
            <w:tcW w:w="2144" w:type="pct"/>
            <w:tcBorders>
              <w:top w:val="single" w:color="auto" w:sz="4" w:space="0"/>
              <w:left w:val="single" w:color="auto" w:sz="4" w:space="0"/>
              <w:bottom w:val="single" w:color="auto" w:sz="4" w:space="0"/>
              <w:right w:val="single" w:color="auto" w:sz="4" w:space="0"/>
            </w:tcBorders>
            <w:noWrap/>
            <w:vAlign w:val="center"/>
          </w:tcPr>
          <w:p>
            <w:pPr>
              <w:pStyle w:val="7"/>
              <w:ind w:firstLine="0"/>
              <w:jc w:val="center"/>
              <w:rPr>
                <w:sz w:val="21"/>
                <w:szCs w:val="21"/>
              </w:rPr>
            </w:pPr>
            <w:r>
              <w:rPr>
                <w:sz w:val="21"/>
                <w:szCs w:val="21"/>
              </w:rPr>
              <w:t>污泥经浓缩后送至选煤厂煤泥浓缩池一并处理，最后混入末煤产品销售</w:t>
            </w:r>
          </w:p>
        </w:tc>
        <w:tc>
          <w:tcPr>
            <w:tcW w:w="250"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eastAsiaTheme="minorEastAsia"/>
                <w:szCs w:val="21"/>
              </w:rPr>
              <w:t>0</w:t>
            </w:r>
          </w:p>
        </w:tc>
        <w:tc>
          <w:tcPr>
            <w:tcW w:w="873" w:type="pct"/>
            <w:vMerge w:val="continue"/>
            <w:tcBorders>
              <w:top w:val="single" w:color="auto" w:sz="4" w:space="0"/>
              <w:left w:val="single" w:color="auto" w:sz="4" w:space="0"/>
              <w:bottom w:val="single" w:color="auto" w:sz="4" w:space="0"/>
              <w:right w:val="single" w:color="auto" w:sz="12" w:space="0"/>
            </w:tcBorders>
            <w:vAlign w:val="center"/>
          </w:tcPr>
          <w:p>
            <w:pPr>
              <w:widowControl/>
              <w:jc w:val="left"/>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bCs/>
                <w:szCs w:val="21"/>
              </w:rPr>
            </w:pPr>
            <w:r>
              <w:rPr>
                <w:rFonts w:hAnsiTheme="minorEastAsia" w:eastAsiaTheme="minorEastAsia"/>
                <w:bCs/>
                <w:szCs w:val="21"/>
              </w:rPr>
              <w:t>生活垃圾</w:t>
            </w: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szCs w:val="21"/>
              </w:rPr>
              <w:t>114.43</w:t>
            </w:r>
            <w:r>
              <w:rPr>
                <w:rFonts w:eastAsiaTheme="minorEastAsia"/>
                <w:bCs/>
                <w:szCs w:val="21"/>
              </w:rPr>
              <w:t>t/a</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bCs/>
                <w:szCs w:val="21"/>
              </w:rPr>
              <w:t>生活垃圾</w:t>
            </w:r>
          </w:p>
        </w:tc>
        <w:tc>
          <w:tcPr>
            <w:tcW w:w="2144" w:type="pct"/>
            <w:tcBorders>
              <w:top w:val="single" w:color="auto" w:sz="4" w:space="0"/>
              <w:left w:val="single" w:color="auto" w:sz="4" w:space="0"/>
              <w:bottom w:val="single" w:color="auto" w:sz="4" w:space="0"/>
              <w:right w:val="single" w:color="auto" w:sz="4" w:space="0"/>
            </w:tcBorders>
            <w:noWrap/>
            <w:vAlign w:val="center"/>
          </w:tcPr>
          <w:p>
            <w:pPr>
              <w:ind w:firstLine="420" w:firstLineChars="200"/>
              <w:jc w:val="center"/>
              <w:rPr>
                <w:szCs w:val="21"/>
              </w:rPr>
            </w:pPr>
            <w:r>
              <w:rPr>
                <w:rFonts w:hint="eastAsia"/>
                <w:szCs w:val="21"/>
              </w:rPr>
              <w:t>在工业场地及办公区设置封闭式垃圾箱，集中收集后送往当地环卫部门指定地点</w:t>
            </w:r>
          </w:p>
        </w:tc>
        <w:tc>
          <w:tcPr>
            <w:tcW w:w="250"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eastAsiaTheme="minorEastAsia"/>
                <w:szCs w:val="21"/>
              </w:rPr>
              <w:t>0</w:t>
            </w:r>
          </w:p>
        </w:tc>
        <w:tc>
          <w:tcPr>
            <w:tcW w:w="873" w:type="pct"/>
            <w:vMerge w:val="continue"/>
            <w:tcBorders>
              <w:top w:val="single" w:color="auto" w:sz="4" w:space="0"/>
              <w:left w:val="single" w:color="auto" w:sz="4" w:space="0"/>
              <w:bottom w:val="single" w:color="auto" w:sz="4" w:space="0"/>
              <w:right w:val="single" w:color="auto" w:sz="12" w:space="0"/>
            </w:tcBorders>
            <w:vAlign w:val="center"/>
          </w:tcPr>
          <w:p>
            <w:pPr>
              <w:widowControl/>
              <w:jc w:val="left"/>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122" w:type="pct"/>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bCs/>
                <w:szCs w:val="21"/>
              </w:rPr>
            </w:pPr>
            <w:r>
              <w:rPr>
                <w:rFonts w:hAnsiTheme="minorEastAsia" w:eastAsiaTheme="minorEastAsia"/>
                <w:bCs/>
                <w:szCs w:val="21"/>
              </w:rPr>
              <w:t>废矿物油</w:t>
            </w: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bCs/>
                <w:szCs w:val="21"/>
              </w:rPr>
              <w:t>15</w:t>
            </w:r>
            <w:r>
              <w:rPr>
                <w:rFonts w:eastAsiaTheme="minorEastAsia"/>
                <w:bCs/>
                <w:szCs w:val="21"/>
              </w:rPr>
              <w:t>t/a</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bCs/>
                <w:szCs w:val="21"/>
              </w:rPr>
              <w:t>废矿物油</w:t>
            </w:r>
          </w:p>
        </w:tc>
        <w:tc>
          <w:tcPr>
            <w:tcW w:w="2144" w:type="pct"/>
            <w:tcBorders>
              <w:top w:val="single" w:color="auto" w:sz="4" w:space="0"/>
              <w:left w:val="single" w:color="auto" w:sz="4" w:space="0"/>
              <w:bottom w:val="single" w:color="auto" w:sz="4" w:space="0"/>
              <w:right w:val="single" w:color="auto" w:sz="4" w:space="0"/>
            </w:tcBorders>
            <w:noWrap/>
            <w:vAlign w:val="center"/>
          </w:tcPr>
          <w:p>
            <w:pPr>
              <w:jc w:val="center"/>
              <w:rPr>
                <w:bCs/>
                <w:szCs w:val="21"/>
              </w:rPr>
            </w:pPr>
            <w:r>
              <w:rPr>
                <w:rFonts w:hint="eastAsia"/>
                <w:szCs w:val="21"/>
              </w:rPr>
              <w:t>收集暂存于危废暂存间，委托有资质进行专业处置</w:t>
            </w:r>
          </w:p>
        </w:tc>
        <w:tc>
          <w:tcPr>
            <w:tcW w:w="250"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eastAsiaTheme="minorEastAsia"/>
                <w:szCs w:val="21"/>
              </w:rPr>
              <w:t>0</w:t>
            </w:r>
          </w:p>
        </w:tc>
        <w:tc>
          <w:tcPr>
            <w:tcW w:w="873" w:type="pct"/>
            <w:tcBorders>
              <w:top w:val="single" w:color="auto" w:sz="4" w:space="0"/>
              <w:left w:val="single" w:color="auto" w:sz="4" w:space="0"/>
              <w:bottom w:val="single" w:color="auto" w:sz="4" w:space="0"/>
              <w:right w:val="single" w:color="auto" w:sz="12" w:space="0"/>
            </w:tcBorders>
            <w:noWrap/>
            <w:vAlign w:val="center"/>
          </w:tcPr>
          <w:p>
            <w:pPr>
              <w:jc w:val="center"/>
              <w:rPr>
                <w:rFonts w:eastAsiaTheme="minorEastAsia"/>
                <w:szCs w:val="21"/>
              </w:rPr>
            </w:pPr>
            <w:r>
              <w:rPr>
                <w:rFonts w:hAnsiTheme="minorEastAsia" w:eastAsiaTheme="minorEastAsia"/>
                <w:spacing w:val="6"/>
                <w:szCs w:val="21"/>
              </w:rPr>
              <w:t>《危险废物贮存污染控制标准》（</w:t>
            </w:r>
            <w:r>
              <w:rPr>
                <w:rFonts w:eastAsiaTheme="minorEastAsia"/>
                <w:spacing w:val="6"/>
                <w:szCs w:val="21"/>
              </w:rPr>
              <w:t>GB18597-2001</w:t>
            </w:r>
            <w:r>
              <w:rPr>
                <w:rFonts w:hAnsiTheme="minorEastAsia" w:eastAsiaTheme="minorEastAsia"/>
                <w:spacing w:val="6"/>
                <w:szCs w:val="21"/>
              </w:rPr>
              <w:t>）及</w:t>
            </w:r>
            <w:r>
              <w:rPr>
                <w:rFonts w:eastAsiaTheme="minorEastAsia"/>
                <w:spacing w:val="6"/>
                <w:szCs w:val="21"/>
              </w:rPr>
              <w:t>2013</w:t>
            </w:r>
            <w:r>
              <w:rPr>
                <w:rFonts w:hAnsiTheme="minorEastAsia" w:eastAsiaTheme="minorEastAsia"/>
                <w:spacing w:val="6"/>
                <w:szCs w:val="21"/>
              </w:rPr>
              <w:t>修改单的相关要求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tcBorders>
              <w:top w:val="single" w:color="auto" w:sz="4" w:space="0"/>
              <w:left w:val="single" w:color="auto" w:sz="12"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噪声</w:t>
            </w:r>
          </w:p>
        </w:tc>
        <w:tc>
          <w:tcPr>
            <w:tcW w:w="415"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工业场地及风井场地</w:t>
            </w:r>
          </w:p>
        </w:tc>
        <w:tc>
          <w:tcPr>
            <w:tcW w:w="4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b/>
                <w:bCs/>
                <w:szCs w:val="21"/>
              </w:rPr>
            </w:pPr>
            <w:r>
              <w:rPr>
                <w:rFonts w:eastAsiaTheme="minorEastAsia"/>
                <w:b/>
                <w:bCs/>
                <w:szCs w:val="21"/>
              </w:rPr>
              <w:t>--</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噪声</w:t>
            </w:r>
          </w:p>
        </w:tc>
        <w:tc>
          <w:tcPr>
            <w:tcW w:w="2144"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AnsiTheme="minorEastAsia" w:eastAsiaTheme="minorEastAsia"/>
                <w:szCs w:val="21"/>
              </w:rPr>
              <w:t>建筑隔声、基础减振、消声</w:t>
            </w:r>
          </w:p>
        </w:tc>
        <w:tc>
          <w:tcPr>
            <w:tcW w:w="250" w:type="pct"/>
            <w:tcBorders>
              <w:top w:val="single" w:color="auto" w:sz="4" w:space="0"/>
              <w:left w:val="single" w:color="auto" w:sz="4" w:space="0"/>
              <w:bottom w:val="single" w:color="auto" w:sz="4" w:space="0"/>
              <w:right w:val="single" w:color="auto" w:sz="4" w:space="0"/>
            </w:tcBorders>
            <w:noWrap/>
            <w:vAlign w:val="center"/>
          </w:tcPr>
          <w:p>
            <w:pPr>
              <w:jc w:val="center"/>
              <w:rPr>
                <w:rFonts w:eastAsiaTheme="minorEastAsia"/>
                <w:szCs w:val="21"/>
              </w:rPr>
            </w:pPr>
            <w:r>
              <w:rPr>
                <w:rFonts w:hint="eastAsia" w:eastAsiaTheme="minorEastAsia"/>
                <w:szCs w:val="21"/>
              </w:rPr>
              <w:t>/</w:t>
            </w:r>
          </w:p>
        </w:tc>
        <w:tc>
          <w:tcPr>
            <w:tcW w:w="873" w:type="pct"/>
            <w:tcBorders>
              <w:top w:val="single" w:color="auto" w:sz="4" w:space="0"/>
              <w:left w:val="single" w:color="auto" w:sz="4" w:space="0"/>
              <w:bottom w:val="single" w:color="auto" w:sz="4" w:space="0"/>
              <w:right w:val="single" w:color="auto" w:sz="12" w:space="0"/>
            </w:tcBorders>
            <w:noWrap/>
            <w:vAlign w:val="center"/>
          </w:tcPr>
          <w:p>
            <w:pPr>
              <w:jc w:val="center"/>
              <w:rPr>
                <w:rFonts w:eastAsiaTheme="minorEastAsia"/>
                <w:szCs w:val="21"/>
              </w:rPr>
            </w:pPr>
            <w:r>
              <w:rPr>
                <w:rFonts w:hAnsiTheme="minorEastAsia" w:eastAsiaTheme="minorEastAsia"/>
                <w:szCs w:val="21"/>
              </w:rPr>
              <w:t>《工业企业厂界环境噪声排放标准》（</w:t>
            </w:r>
            <w:r>
              <w:rPr>
                <w:rFonts w:eastAsiaTheme="minorEastAsia"/>
                <w:szCs w:val="21"/>
              </w:rPr>
              <w:t>GB12348-2008</w:t>
            </w:r>
            <w:r>
              <w:rPr>
                <w:rFonts w:hAnsiTheme="minorEastAsia" w:eastAsiaTheme="minorEastAsia"/>
                <w:szCs w:val="21"/>
              </w:rPr>
              <w:t>）</w:t>
            </w:r>
            <w:r>
              <w:rPr>
                <w:rFonts w:eastAsiaTheme="minorEastAsia"/>
                <w:szCs w:val="21"/>
              </w:rPr>
              <w:t>2</w:t>
            </w:r>
            <w:r>
              <w:rPr>
                <w:rFonts w:hAnsiTheme="minorEastAsia" w:eastAsiaTheme="minorEastAsia"/>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vMerge w:val="restart"/>
            <w:tcBorders>
              <w:top w:val="single" w:color="auto" w:sz="4" w:space="0"/>
              <w:left w:val="single" w:color="auto" w:sz="12" w:space="0"/>
              <w:bottom w:val="single" w:color="auto" w:sz="12" w:space="0"/>
              <w:right w:val="single" w:color="auto" w:sz="4" w:space="0"/>
            </w:tcBorders>
            <w:noWrap/>
            <w:vAlign w:val="center"/>
          </w:tcPr>
          <w:p>
            <w:pPr>
              <w:jc w:val="center"/>
              <w:rPr>
                <w:rFonts w:eastAsiaTheme="minorEastAsia"/>
                <w:szCs w:val="21"/>
              </w:rPr>
            </w:pPr>
            <w:r>
              <w:rPr>
                <w:rFonts w:hAnsiTheme="minorEastAsia" w:eastAsiaTheme="minorEastAsia"/>
                <w:szCs w:val="21"/>
              </w:rPr>
              <w:t>生态</w:t>
            </w:r>
          </w:p>
          <w:p>
            <w:pPr>
              <w:jc w:val="center"/>
              <w:rPr>
                <w:rFonts w:eastAsiaTheme="minorEastAsia"/>
                <w:szCs w:val="21"/>
              </w:rPr>
            </w:pPr>
            <w:r>
              <w:rPr>
                <w:rFonts w:hAnsiTheme="minorEastAsia" w:eastAsiaTheme="minorEastAsia"/>
                <w:szCs w:val="21"/>
              </w:rPr>
              <w:t>环境</w:t>
            </w:r>
          </w:p>
        </w:tc>
        <w:tc>
          <w:tcPr>
            <w:tcW w:w="1611" w:type="pct"/>
            <w:gridSpan w:val="3"/>
            <w:tcBorders>
              <w:top w:val="single" w:color="auto" w:sz="4" w:space="0"/>
              <w:left w:val="single" w:color="auto" w:sz="4" w:space="0"/>
              <w:bottom w:val="single" w:color="auto" w:sz="4" w:space="0"/>
              <w:right w:val="single" w:color="auto" w:sz="4" w:space="0"/>
            </w:tcBorders>
            <w:noWrap/>
            <w:vAlign w:val="center"/>
          </w:tcPr>
          <w:p>
            <w:pPr>
              <w:pStyle w:val="90"/>
              <w:snapToGrid/>
              <w:spacing w:line="240" w:lineRule="auto"/>
              <w:rPr>
                <w:rFonts w:ascii="Times New Roman" w:hAnsi="Times New Roman" w:cs="Times New Roman"/>
                <w:kern w:val="0"/>
                <w:szCs w:val="21"/>
              </w:rPr>
            </w:pPr>
            <w:r>
              <w:rPr>
                <w:rFonts w:ascii="Times New Roman" w:cs="Times New Roman" w:hAnsiTheme="minorEastAsia"/>
                <w:szCs w:val="21"/>
              </w:rPr>
              <w:t>居民点</w:t>
            </w:r>
          </w:p>
        </w:tc>
        <w:tc>
          <w:tcPr>
            <w:tcW w:w="2394" w:type="pct"/>
            <w:gridSpan w:val="2"/>
            <w:tcBorders>
              <w:top w:val="single" w:color="auto" w:sz="4" w:space="0"/>
              <w:left w:val="single" w:color="auto" w:sz="4" w:space="0"/>
              <w:bottom w:val="single" w:color="auto" w:sz="4" w:space="0"/>
              <w:right w:val="single" w:color="auto" w:sz="4" w:space="0"/>
            </w:tcBorders>
            <w:noWrap/>
            <w:vAlign w:val="center"/>
          </w:tcPr>
          <w:p>
            <w:pPr>
              <w:pStyle w:val="90"/>
              <w:snapToGrid/>
              <w:spacing w:line="240" w:lineRule="auto"/>
              <w:rPr>
                <w:rFonts w:ascii="Times New Roman" w:hAnsi="Times New Roman" w:cs="Times New Roman"/>
                <w:kern w:val="0"/>
                <w:szCs w:val="21"/>
              </w:rPr>
            </w:pPr>
            <w:r>
              <w:rPr>
                <w:rFonts w:ascii="Times New Roman" w:cs="Times New Roman" w:hAnsiTheme="minorEastAsia"/>
                <w:szCs w:val="21"/>
              </w:rPr>
              <w:t>确保涉及村民的居住民房和生活质量不降低</w:t>
            </w:r>
          </w:p>
        </w:tc>
        <w:tc>
          <w:tcPr>
            <w:tcW w:w="873" w:type="pct"/>
            <w:vMerge w:val="restart"/>
            <w:tcBorders>
              <w:top w:val="single" w:color="auto" w:sz="4" w:space="0"/>
              <w:left w:val="single" w:color="auto" w:sz="4" w:space="0"/>
              <w:bottom w:val="single" w:color="auto" w:sz="12" w:space="0"/>
              <w:right w:val="single" w:color="auto" w:sz="12" w:space="0"/>
            </w:tcBorders>
            <w:noWrap/>
            <w:vAlign w:val="center"/>
          </w:tcPr>
          <w:p>
            <w:pPr>
              <w:jc w:val="center"/>
              <w:rPr>
                <w:rFonts w:eastAsiaTheme="minorEastAsia"/>
                <w:szCs w:val="21"/>
              </w:rPr>
            </w:pPr>
            <w:r>
              <w:rPr>
                <w:rFonts w:hAnsiTheme="minorEastAsia" w:eastAsiaTheme="minorEastAsia"/>
                <w:szCs w:val="21"/>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vMerge w:val="continue"/>
            <w:tcBorders>
              <w:top w:val="single" w:color="auto" w:sz="4" w:space="0"/>
              <w:left w:val="single" w:color="auto" w:sz="12" w:space="0"/>
              <w:bottom w:val="single" w:color="auto" w:sz="12" w:space="0"/>
              <w:right w:val="single" w:color="auto" w:sz="4" w:space="0"/>
            </w:tcBorders>
            <w:vAlign w:val="center"/>
          </w:tcPr>
          <w:p>
            <w:pPr>
              <w:widowControl/>
              <w:jc w:val="left"/>
              <w:rPr>
                <w:rFonts w:eastAsiaTheme="minorEastAsia"/>
                <w:szCs w:val="21"/>
              </w:rPr>
            </w:pPr>
          </w:p>
        </w:tc>
        <w:tc>
          <w:tcPr>
            <w:tcW w:w="1611" w:type="pct"/>
            <w:gridSpan w:val="3"/>
            <w:tcBorders>
              <w:top w:val="single" w:color="auto" w:sz="4" w:space="0"/>
              <w:left w:val="single" w:color="auto" w:sz="4" w:space="0"/>
              <w:bottom w:val="single" w:color="auto" w:sz="4" w:space="0"/>
              <w:right w:val="single" w:color="auto" w:sz="4" w:space="0"/>
            </w:tcBorders>
            <w:noWrap/>
            <w:vAlign w:val="center"/>
          </w:tcPr>
          <w:p>
            <w:pPr>
              <w:pStyle w:val="90"/>
              <w:snapToGrid/>
              <w:spacing w:line="240" w:lineRule="auto"/>
              <w:rPr>
                <w:rFonts w:ascii="Times New Roman" w:hAnsi="Times New Roman" w:cs="Times New Roman"/>
                <w:kern w:val="0"/>
                <w:szCs w:val="21"/>
              </w:rPr>
            </w:pPr>
            <w:r>
              <w:rPr>
                <w:rFonts w:ascii="Times New Roman" w:cs="Times New Roman" w:hAnsiTheme="minorEastAsia"/>
                <w:szCs w:val="21"/>
              </w:rPr>
              <w:t>地表植被</w:t>
            </w:r>
          </w:p>
        </w:tc>
        <w:tc>
          <w:tcPr>
            <w:tcW w:w="2394" w:type="pct"/>
            <w:gridSpan w:val="2"/>
            <w:tcBorders>
              <w:top w:val="single" w:color="auto" w:sz="4" w:space="0"/>
              <w:left w:val="single" w:color="auto" w:sz="4" w:space="0"/>
              <w:bottom w:val="single" w:color="auto" w:sz="4" w:space="0"/>
              <w:right w:val="single" w:color="auto" w:sz="4" w:space="0"/>
            </w:tcBorders>
            <w:noWrap/>
            <w:vAlign w:val="center"/>
          </w:tcPr>
          <w:p>
            <w:pPr>
              <w:pStyle w:val="90"/>
              <w:snapToGrid/>
              <w:spacing w:line="240" w:lineRule="auto"/>
              <w:rPr>
                <w:rFonts w:ascii="Times New Roman" w:hAnsi="Times New Roman" w:cs="Times New Roman"/>
                <w:kern w:val="0"/>
                <w:szCs w:val="21"/>
              </w:rPr>
            </w:pPr>
            <w:r>
              <w:rPr>
                <w:rFonts w:ascii="Times New Roman" w:cs="Times New Roman" w:hAnsiTheme="minorEastAsia"/>
                <w:szCs w:val="21"/>
              </w:rPr>
              <w:t>破坏后及时恢复到原来状态</w:t>
            </w:r>
          </w:p>
          <w:p>
            <w:pPr>
              <w:pStyle w:val="90"/>
              <w:snapToGrid/>
              <w:spacing w:line="240" w:lineRule="auto"/>
              <w:rPr>
                <w:rFonts w:ascii="Times New Roman" w:hAnsi="Times New Roman" w:cs="Times New Roman"/>
                <w:kern w:val="0"/>
                <w:szCs w:val="21"/>
              </w:rPr>
            </w:pPr>
            <w:r>
              <w:rPr>
                <w:rFonts w:ascii="Times New Roman" w:cs="Times New Roman" w:hAnsiTheme="minorEastAsia"/>
                <w:szCs w:val="21"/>
              </w:rPr>
              <w:t>风井场地进行地面硬化和绿化</w:t>
            </w:r>
          </w:p>
        </w:tc>
        <w:tc>
          <w:tcPr>
            <w:tcW w:w="873" w:type="pct"/>
            <w:vMerge w:val="continue"/>
            <w:tcBorders>
              <w:top w:val="single" w:color="auto" w:sz="4" w:space="0"/>
              <w:left w:val="single" w:color="auto" w:sz="4" w:space="0"/>
              <w:bottom w:val="single" w:color="auto" w:sz="12" w:space="0"/>
              <w:right w:val="single" w:color="auto" w:sz="12" w:space="0"/>
            </w:tcBorders>
            <w:vAlign w:val="center"/>
          </w:tcPr>
          <w:p>
            <w:pPr>
              <w:widowControl/>
              <w:jc w:val="left"/>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vMerge w:val="continue"/>
            <w:tcBorders>
              <w:top w:val="single" w:color="auto" w:sz="4" w:space="0"/>
              <w:left w:val="single" w:color="auto" w:sz="12" w:space="0"/>
              <w:bottom w:val="single" w:color="auto" w:sz="12" w:space="0"/>
              <w:right w:val="single" w:color="auto" w:sz="4" w:space="0"/>
            </w:tcBorders>
            <w:vAlign w:val="center"/>
          </w:tcPr>
          <w:p>
            <w:pPr>
              <w:widowControl/>
              <w:jc w:val="left"/>
              <w:rPr>
                <w:rFonts w:eastAsiaTheme="minorEastAsia"/>
                <w:szCs w:val="21"/>
              </w:rPr>
            </w:pPr>
          </w:p>
        </w:tc>
        <w:tc>
          <w:tcPr>
            <w:tcW w:w="1611" w:type="pct"/>
            <w:gridSpan w:val="3"/>
            <w:tcBorders>
              <w:top w:val="single" w:color="auto" w:sz="4" w:space="0"/>
              <w:left w:val="single" w:color="auto" w:sz="4" w:space="0"/>
              <w:bottom w:val="single" w:color="auto" w:sz="4" w:space="0"/>
              <w:right w:val="single" w:color="auto" w:sz="4" w:space="0"/>
            </w:tcBorders>
            <w:noWrap/>
            <w:vAlign w:val="center"/>
          </w:tcPr>
          <w:p>
            <w:pPr>
              <w:pStyle w:val="90"/>
              <w:snapToGrid/>
              <w:spacing w:line="240" w:lineRule="auto"/>
              <w:rPr>
                <w:rFonts w:ascii="Times New Roman" w:hAnsi="Times New Roman" w:cs="Times New Roman"/>
                <w:kern w:val="0"/>
                <w:szCs w:val="21"/>
              </w:rPr>
            </w:pPr>
            <w:r>
              <w:rPr>
                <w:rFonts w:ascii="Times New Roman" w:cs="Times New Roman" w:hAnsiTheme="minorEastAsia"/>
                <w:szCs w:val="21"/>
              </w:rPr>
              <w:t>水土流失</w:t>
            </w:r>
          </w:p>
        </w:tc>
        <w:tc>
          <w:tcPr>
            <w:tcW w:w="2394" w:type="pct"/>
            <w:gridSpan w:val="2"/>
            <w:tcBorders>
              <w:top w:val="single" w:color="auto" w:sz="4" w:space="0"/>
              <w:left w:val="single" w:color="auto" w:sz="4" w:space="0"/>
              <w:bottom w:val="single" w:color="auto" w:sz="4" w:space="0"/>
              <w:right w:val="single" w:color="auto" w:sz="4" w:space="0"/>
            </w:tcBorders>
            <w:noWrap/>
            <w:vAlign w:val="center"/>
          </w:tcPr>
          <w:p>
            <w:pPr>
              <w:pStyle w:val="90"/>
              <w:snapToGrid/>
              <w:spacing w:line="240" w:lineRule="auto"/>
              <w:rPr>
                <w:rFonts w:ascii="Times New Roman" w:hAnsi="Times New Roman" w:cs="Times New Roman"/>
                <w:kern w:val="0"/>
                <w:szCs w:val="21"/>
              </w:rPr>
            </w:pPr>
            <w:r>
              <w:rPr>
                <w:rFonts w:ascii="Times New Roman" w:cs="Times New Roman" w:hAnsiTheme="minorEastAsia"/>
                <w:szCs w:val="21"/>
              </w:rPr>
              <w:t>采取水保措施，防止水土流失加重</w:t>
            </w:r>
          </w:p>
        </w:tc>
        <w:tc>
          <w:tcPr>
            <w:tcW w:w="873" w:type="pct"/>
            <w:vMerge w:val="continue"/>
            <w:tcBorders>
              <w:top w:val="single" w:color="auto" w:sz="4" w:space="0"/>
              <w:left w:val="single" w:color="auto" w:sz="4" w:space="0"/>
              <w:bottom w:val="single" w:color="auto" w:sz="12" w:space="0"/>
              <w:right w:val="single" w:color="auto" w:sz="12" w:space="0"/>
            </w:tcBorders>
            <w:vAlign w:val="center"/>
          </w:tcPr>
          <w:p>
            <w:pPr>
              <w:widowControl/>
              <w:jc w:val="left"/>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 w:type="pct"/>
            <w:vMerge w:val="continue"/>
            <w:tcBorders>
              <w:top w:val="single" w:color="auto" w:sz="4" w:space="0"/>
              <w:left w:val="single" w:color="auto" w:sz="12" w:space="0"/>
              <w:bottom w:val="single" w:color="auto" w:sz="12" w:space="0"/>
              <w:right w:val="single" w:color="auto" w:sz="4" w:space="0"/>
            </w:tcBorders>
            <w:vAlign w:val="center"/>
          </w:tcPr>
          <w:p>
            <w:pPr>
              <w:widowControl/>
              <w:jc w:val="left"/>
              <w:rPr>
                <w:rFonts w:eastAsiaTheme="minorEastAsia"/>
                <w:szCs w:val="21"/>
              </w:rPr>
            </w:pPr>
          </w:p>
        </w:tc>
        <w:tc>
          <w:tcPr>
            <w:tcW w:w="1611" w:type="pct"/>
            <w:gridSpan w:val="3"/>
            <w:tcBorders>
              <w:top w:val="single" w:color="auto" w:sz="4" w:space="0"/>
              <w:left w:val="single" w:color="auto" w:sz="4" w:space="0"/>
              <w:bottom w:val="single" w:color="auto" w:sz="12" w:space="0"/>
              <w:right w:val="single" w:color="auto" w:sz="4" w:space="0"/>
            </w:tcBorders>
            <w:noWrap/>
            <w:vAlign w:val="center"/>
          </w:tcPr>
          <w:p>
            <w:pPr>
              <w:pStyle w:val="90"/>
              <w:snapToGrid/>
              <w:spacing w:line="240" w:lineRule="auto"/>
              <w:rPr>
                <w:rFonts w:ascii="Times New Roman" w:hAnsi="Times New Roman" w:cs="Times New Roman"/>
                <w:kern w:val="0"/>
                <w:szCs w:val="21"/>
              </w:rPr>
            </w:pPr>
            <w:r>
              <w:rPr>
                <w:rFonts w:ascii="Times New Roman" w:cs="Times New Roman" w:hAnsiTheme="minorEastAsia"/>
                <w:szCs w:val="21"/>
              </w:rPr>
              <w:t>农田和农作物</w:t>
            </w:r>
          </w:p>
        </w:tc>
        <w:tc>
          <w:tcPr>
            <w:tcW w:w="2394" w:type="pct"/>
            <w:gridSpan w:val="2"/>
            <w:tcBorders>
              <w:top w:val="single" w:color="auto" w:sz="4" w:space="0"/>
              <w:left w:val="single" w:color="auto" w:sz="4" w:space="0"/>
              <w:bottom w:val="single" w:color="auto" w:sz="12" w:space="0"/>
              <w:right w:val="single" w:color="auto" w:sz="4" w:space="0"/>
            </w:tcBorders>
            <w:noWrap/>
            <w:vAlign w:val="center"/>
          </w:tcPr>
          <w:p>
            <w:pPr>
              <w:pStyle w:val="90"/>
              <w:snapToGrid/>
              <w:spacing w:line="240" w:lineRule="auto"/>
              <w:rPr>
                <w:rFonts w:ascii="Times New Roman" w:hAnsi="Times New Roman" w:cs="Times New Roman"/>
                <w:kern w:val="0"/>
                <w:szCs w:val="21"/>
              </w:rPr>
            </w:pPr>
            <w:r>
              <w:rPr>
                <w:rFonts w:ascii="Times New Roman" w:cs="Times New Roman" w:hAnsiTheme="minorEastAsia"/>
                <w:szCs w:val="21"/>
              </w:rPr>
              <w:t>及时修整、恢复，防止减产。</w:t>
            </w:r>
          </w:p>
        </w:tc>
        <w:tc>
          <w:tcPr>
            <w:tcW w:w="873" w:type="pct"/>
            <w:vMerge w:val="continue"/>
            <w:tcBorders>
              <w:top w:val="single" w:color="auto" w:sz="4" w:space="0"/>
              <w:left w:val="single" w:color="auto" w:sz="4" w:space="0"/>
              <w:bottom w:val="single" w:color="auto" w:sz="12" w:space="0"/>
              <w:right w:val="single" w:color="auto" w:sz="12" w:space="0"/>
            </w:tcBorders>
            <w:vAlign w:val="center"/>
          </w:tcPr>
          <w:p>
            <w:pPr>
              <w:widowControl/>
              <w:jc w:val="left"/>
              <w:rPr>
                <w:rFonts w:eastAsiaTheme="minorEastAsia"/>
                <w:szCs w:val="21"/>
              </w:rPr>
            </w:pPr>
          </w:p>
        </w:tc>
      </w:tr>
    </w:tbl>
    <w:p>
      <w:pPr>
        <w:rPr>
          <w:rFonts w:eastAsiaTheme="minorEastAsia"/>
          <w:b/>
        </w:rPr>
      </w:pPr>
    </w:p>
    <w:p>
      <w:pPr>
        <w:rPr>
          <w:rFonts w:eastAsiaTheme="minorEastAsia"/>
          <w:b/>
        </w:rPr>
      </w:pPr>
    </w:p>
    <w:p>
      <w:pPr>
        <w:rPr>
          <w:rFonts w:eastAsiaTheme="minorEastAsia"/>
          <w:b/>
        </w:rPr>
      </w:pPr>
    </w:p>
    <w:p>
      <w:pPr>
        <w:rPr>
          <w:rFonts w:eastAsiaTheme="minorEastAsia"/>
          <w:b/>
        </w:rPr>
        <w:sectPr>
          <w:headerReference r:id="rId44" w:type="default"/>
          <w:footerReference r:id="rId45" w:type="default"/>
          <w:pgSz w:w="16838" w:h="11906" w:orient="landscape"/>
          <w:pgMar w:top="1134" w:right="1418" w:bottom="1134" w:left="1418" w:header="851" w:footer="992" w:gutter="0"/>
          <w:cols w:space="720" w:num="1"/>
          <w:docGrid w:type="linesAndChars" w:linePitch="312" w:charSpace="0"/>
        </w:sectPr>
      </w:pPr>
    </w:p>
    <w:p>
      <w:pPr>
        <w:pStyle w:val="4"/>
        <w:spacing w:before="0" w:after="0" w:line="360" w:lineRule="auto"/>
        <w:rPr>
          <w:rFonts w:eastAsiaTheme="minorEastAsia"/>
          <w:sz w:val="24"/>
          <w:szCs w:val="24"/>
        </w:rPr>
      </w:pPr>
      <w:bookmarkStart w:id="330" w:name="_Toc498088097"/>
      <w:r>
        <w:rPr>
          <w:rFonts w:eastAsiaTheme="minorEastAsia"/>
          <w:sz w:val="24"/>
          <w:szCs w:val="24"/>
        </w:rPr>
        <w:t>8.1.4信息公开</w:t>
      </w:r>
      <w:bookmarkEnd w:id="330"/>
    </w:p>
    <w:p>
      <w:pPr>
        <w:pStyle w:val="77"/>
        <w:ind w:firstLine="480"/>
        <w:rPr>
          <w:rFonts w:eastAsiaTheme="minorEastAsia"/>
        </w:rPr>
      </w:pPr>
      <w:r>
        <w:rPr>
          <w:rFonts w:eastAsiaTheme="minorEastAsia"/>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pPr>
        <w:pStyle w:val="77"/>
        <w:ind w:firstLine="480"/>
        <w:rPr>
          <w:rFonts w:eastAsiaTheme="minorEastAsia"/>
        </w:rPr>
      </w:pPr>
      <w:r>
        <w:rPr>
          <w:rFonts w:eastAsiaTheme="minorEastAsia"/>
        </w:rPr>
        <w:t>（1）基础信息，包括单位名称、组织机构代码、法定代表人、生产地址、联系方式，以及生产经营和管理服务的主要内容、产品及规模；</w:t>
      </w:r>
    </w:p>
    <w:p>
      <w:pPr>
        <w:pStyle w:val="77"/>
        <w:ind w:firstLine="480"/>
        <w:rPr>
          <w:rFonts w:eastAsiaTheme="minorEastAsia"/>
        </w:rPr>
      </w:pPr>
      <w:r>
        <w:rPr>
          <w:rFonts w:eastAsiaTheme="minorEastAsia"/>
        </w:rPr>
        <w:t>（2）排污信息，包括主要污染物及特征污染物的名称、排放方式、排放口数量和分布情况、排放浓度和总量、超标情况，以及执行的污染物排放标准、核定的排放总量；</w:t>
      </w:r>
    </w:p>
    <w:p>
      <w:pPr>
        <w:pStyle w:val="77"/>
        <w:ind w:firstLine="480"/>
        <w:rPr>
          <w:rFonts w:eastAsiaTheme="minorEastAsia"/>
        </w:rPr>
      </w:pPr>
      <w:r>
        <w:rPr>
          <w:rFonts w:eastAsiaTheme="minorEastAsia"/>
        </w:rPr>
        <w:t>（3）防治污染设施的建设和运行情况；</w:t>
      </w:r>
    </w:p>
    <w:p>
      <w:pPr>
        <w:pStyle w:val="77"/>
        <w:ind w:firstLine="480"/>
        <w:rPr>
          <w:rFonts w:eastAsiaTheme="minorEastAsia"/>
        </w:rPr>
      </w:pPr>
      <w:r>
        <w:rPr>
          <w:rFonts w:eastAsiaTheme="minorEastAsia"/>
        </w:rPr>
        <w:t>（4）建设项目环境影响评价及其他环境保护行政许可情况；</w:t>
      </w:r>
    </w:p>
    <w:p>
      <w:pPr>
        <w:pStyle w:val="77"/>
        <w:ind w:firstLine="480"/>
        <w:rPr>
          <w:rFonts w:eastAsiaTheme="minorEastAsia"/>
        </w:rPr>
      </w:pPr>
      <w:r>
        <w:rPr>
          <w:rFonts w:eastAsiaTheme="minorEastAsia"/>
        </w:rPr>
        <w:t>（5）突发环境事件应急预案；</w:t>
      </w:r>
    </w:p>
    <w:p>
      <w:pPr>
        <w:pStyle w:val="77"/>
        <w:ind w:firstLine="480"/>
        <w:rPr>
          <w:rFonts w:eastAsiaTheme="minorEastAsia"/>
        </w:rPr>
      </w:pPr>
      <w:r>
        <w:rPr>
          <w:rFonts w:eastAsiaTheme="minorEastAsia"/>
        </w:rPr>
        <w:t>（6）其他应当公开的环境信息。如自行监测工作开展情况及监测结果。</w:t>
      </w:r>
    </w:p>
    <w:p>
      <w:pPr>
        <w:pStyle w:val="4"/>
        <w:spacing w:before="0" w:after="0" w:line="360" w:lineRule="auto"/>
        <w:rPr>
          <w:rFonts w:eastAsiaTheme="minorEastAsia"/>
          <w:sz w:val="24"/>
          <w:szCs w:val="24"/>
        </w:rPr>
      </w:pPr>
      <w:bookmarkStart w:id="331" w:name="_Toc498088098"/>
      <w:r>
        <w:rPr>
          <w:rFonts w:eastAsiaTheme="minorEastAsia"/>
          <w:sz w:val="24"/>
          <w:szCs w:val="24"/>
        </w:rPr>
        <w:t>8.1.5排污口规范化管理</w:t>
      </w:r>
      <w:bookmarkEnd w:id="331"/>
    </w:p>
    <w:p>
      <w:pPr>
        <w:pStyle w:val="77"/>
        <w:ind w:firstLine="480"/>
        <w:rPr>
          <w:rFonts w:eastAsiaTheme="minorEastAsia"/>
        </w:rPr>
      </w:pPr>
      <w:r>
        <w:rPr>
          <w:rFonts w:eastAsiaTheme="minorEastAsia"/>
        </w:rPr>
        <w:t>企业遵照国家对排污口规范的要求，“三废”及噪声排放点设置明显标志，标志的设置应执行《环境保护图形标志排放口》（GB15562.1－1995）、《环境保护图形标志固体废物贮存（处置）场》（GB15562.2-1995）中有关规定，见图8.1-2。</w:t>
      </w:r>
    </w:p>
    <w:tbl>
      <w:tblPr>
        <w:tblStyle w:val="25"/>
        <w:tblW w:w="4867" w:type="pct"/>
        <w:jc w:val="right"/>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6"/>
        <w:gridCol w:w="1701"/>
        <w:gridCol w:w="1701"/>
        <w:gridCol w:w="1842"/>
        <w:gridCol w:w="19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right"/>
        </w:trPr>
        <w:tc>
          <w:tcPr>
            <w:tcW w:w="1021"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20"/>
              </w:rPr>
              <w:drawing>
                <wp:inline distT="0" distB="0" distL="0" distR="0">
                  <wp:extent cx="714375" cy="714375"/>
                  <wp:effectExtent l="19050" t="0" r="9525" b="0"/>
                  <wp:docPr id="3" name="图片 423" descr="http://www.anquan.com.cn/tubiao/image/huanj/H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3" descr="http://www.anquan.com.cn/tubiao/image/huanj/HP003.jpg"/>
                          <pic:cNvPicPr>
                            <a:picLocks noChangeAspect="1" noChangeArrowheads="1"/>
                          </pic:cNvPicPr>
                        </pic:nvPicPr>
                        <pic:blipFill>
                          <a:blip r:embed="rId125" cstate="print"/>
                          <a:srcRect/>
                          <a:stretch>
                            <a:fillRect/>
                          </a:stretch>
                        </pic:blipFill>
                        <pic:spPr>
                          <a:xfrm>
                            <a:off x="0" y="0"/>
                            <a:ext cx="714375" cy="714375"/>
                          </a:xfrm>
                          <a:prstGeom prst="rect">
                            <a:avLst/>
                          </a:prstGeom>
                          <a:noFill/>
                          <a:ln w="9525">
                            <a:noFill/>
                            <a:miter lim="800000"/>
                            <a:headEnd/>
                            <a:tailEnd/>
                          </a:ln>
                        </pic:spPr>
                      </pic:pic>
                    </a:graphicData>
                  </a:graphic>
                </wp:inline>
              </w:drawing>
            </w:r>
          </w:p>
        </w:tc>
        <w:tc>
          <w:tcPr>
            <w:tcW w:w="941"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20"/>
              </w:rPr>
              <w:drawing>
                <wp:anchor distT="0" distB="0" distL="114300" distR="114300" simplePos="0" relativeHeight="251684864" behindDoc="0" locked="0" layoutInCell="1" allowOverlap="1">
                  <wp:simplePos x="0" y="0"/>
                  <wp:positionH relativeFrom="column">
                    <wp:posOffset>72390</wp:posOffset>
                  </wp:positionH>
                  <wp:positionV relativeFrom="paragraph">
                    <wp:posOffset>-24765</wp:posOffset>
                  </wp:positionV>
                  <wp:extent cx="713740" cy="706755"/>
                  <wp:effectExtent l="19050" t="0" r="0" b="0"/>
                  <wp:wrapNone/>
                  <wp:docPr id="7" name="图片 329" descr="https://www.agri35.com/UploadFiles/img_1_551056581_2022523378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9" descr="https://www.agri35.com/UploadFiles/img_1_551056581_2022523378_26.jpg"/>
                          <pic:cNvPicPr>
                            <a:picLocks noChangeAspect="1" noChangeArrowheads="1"/>
                          </pic:cNvPicPr>
                        </pic:nvPicPr>
                        <pic:blipFill>
                          <a:blip r:embed="rId126"/>
                          <a:srcRect l="40362" t="24812" r="6684" b="24022"/>
                          <a:stretch>
                            <a:fillRect/>
                          </a:stretch>
                        </pic:blipFill>
                        <pic:spPr>
                          <a:xfrm>
                            <a:off x="0" y="0"/>
                            <a:ext cx="713740" cy="706755"/>
                          </a:xfrm>
                          <a:prstGeom prst="rect">
                            <a:avLst/>
                          </a:prstGeom>
                          <a:noFill/>
                          <a:ln w="9525">
                            <a:noFill/>
                            <a:miter lim="800000"/>
                            <a:headEnd/>
                            <a:tailEnd/>
                          </a:ln>
                        </pic:spPr>
                      </pic:pic>
                    </a:graphicData>
                  </a:graphic>
                </wp:anchor>
              </w:drawing>
            </w:r>
          </w:p>
        </w:tc>
        <w:tc>
          <w:tcPr>
            <w:tcW w:w="941"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20"/>
              </w:rPr>
              <w:drawing>
                <wp:inline distT="0" distB="0" distL="0" distR="0">
                  <wp:extent cx="714375" cy="714375"/>
                  <wp:effectExtent l="19050" t="0" r="9525" b="0"/>
                  <wp:docPr id="4" name="图片 424" descr="http://www.anquan.com.cn/tubiao/image/huanj/H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4" descr="http://www.anquan.com.cn/tubiao/image/huanj/HP005.jpg"/>
                          <pic:cNvPicPr>
                            <a:picLocks noChangeAspect="1" noChangeArrowheads="1"/>
                          </pic:cNvPicPr>
                        </pic:nvPicPr>
                        <pic:blipFill>
                          <a:blip r:embed="rId127" cstate="print"/>
                          <a:srcRect/>
                          <a:stretch>
                            <a:fillRect/>
                          </a:stretch>
                        </pic:blipFill>
                        <pic:spPr>
                          <a:xfrm>
                            <a:off x="0" y="0"/>
                            <a:ext cx="714375" cy="714375"/>
                          </a:xfrm>
                          <a:prstGeom prst="rect">
                            <a:avLst/>
                          </a:prstGeom>
                          <a:noFill/>
                          <a:ln w="9525">
                            <a:noFill/>
                            <a:miter lim="800000"/>
                            <a:headEnd/>
                            <a:tailEnd/>
                          </a:ln>
                        </pic:spPr>
                      </pic:pic>
                    </a:graphicData>
                  </a:graphic>
                </wp:inline>
              </w:drawing>
            </w:r>
          </w:p>
        </w:tc>
        <w:tc>
          <w:tcPr>
            <w:tcW w:w="1019"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20"/>
              </w:rPr>
              <w:drawing>
                <wp:inline distT="0" distB="0" distL="0" distR="0">
                  <wp:extent cx="714375" cy="714375"/>
                  <wp:effectExtent l="19050" t="0" r="9525" b="0"/>
                  <wp:docPr id="5" name="图片 425" descr="http://www.anquan.com.cn/tubiao/image/huanj/H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5" descr="http://www.anquan.com.cn/tubiao/image/huanj/HP007.jpg"/>
                          <pic:cNvPicPr>
                            <a:picLocks noChangeAspect="1" noChangeArrowheads="1"/>
                          </pic:cNvPicPr>
                        </pic:nvPicPr>
                        <pic:blipFill>
                          <a:blip r:embed="rId128" cstate="print"/>
                          <a:srcRect/>
                          <a:stretch>
                            <a:fillRect/>
                          </a:stretch>
                        </pic:blipFill>
                        <pic:spPr>
                          <a:xfrm>
                            <a:off x="0" y="0"/>
                            <a:ext cx="714375" cy="714375"/>
                          </a:xfrm>
                          <a:prstGeom prst="rect">
                            <a:avLst/>
                          </a:prstGeom>
                          <a:noFill/>
                          <a:ln w="9525">
                            <a:noFill/>
                            <a:miter lim="800000"/>
                            <a:headEnd/>
                            <a:tailEnd/>
                          </a:ln>
                        </pic:spPr>
                      </pic:pic>
                    </a:graphicData>
                  </a:graphic>
                </wp:inline>
              </w:drawing>
            </w:r>
          </w:p>
        </w:tc>
        <w:tc>
          <w:tcPr>
            <w:tcW w:w="1078"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20"/>
              </w:rPr>
              <w:drawing>
                <wp:inline distT="0" distB="0" distL="0" distR="0">
                  <wp:extent cx="982980" cy="922655"/>
                  <wp:effectExtent l="19050" t="0" r="7189" b="0"/>
                  <wp:docPr id="6"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无标题"/>
                          <pic:cNvPicPr>
                            <a:picLocks noChangeAspect="1" noChangeArrowheads="1"/>
                          </pic:cNvPicPr>
                        </pic:nvPicPr>
                        <pic:blipFill>
                          <a:blip r:embed="rId129" cstate="print"/>
                          <a:srcRect l="9300" t="33577" r="83576" b="59407"/>
                          <a:stretch>
                            <a:fillRect/>
                          </a:stretch>
                        </pic:blipFill>
                        <pic:spPr>
                          <a:xfrm>
                            <a:off x="0" y="0"/>
                            <a:ext cx="983411" cy="923027"/>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right"/>
        </w:trPr>
        <w:tc>
          <w:tcPr>
            <w:tcW w:w="1021"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18"/>
                <w:szCs w:val="18"/>
              </w:rPr>
              <w:t>废气排放口</w:t>
            </w:r>
          </w:p>
        </w:tc>
        <w:tc>
          <w:tcPr>
            <w:tcW w:w="941"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18"/>
                <w:szCs w:val="18"/>
              </w:rPr>
              <w:t>废水排放口</w:t>
            </w:r>
          </w:p>
        </w:tc>
        <w:tc>
          <w:tcPr>
            <w:tcW w:w="941"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18"/>
                <w:szCs w:val="18"/>
              </w:rPr>
              <w:t>噪声排放源</w:t>
            </w:r>
          </w:p>
        </w:tc>
        <w:tc>
          <w:tcPr>
            <w:tcW w:w="1019"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18"/>
                <w:szCs w:val="18"/>
              </w:rPr>
              <w:t>一般固体废物</w:t>
            </w:r>
          </w:p>
        </w:tc>
        <w:tc>
          <w:tcPr>
            <w:tcW w:w="1078" w:type="pct"/>
            <w:vAlign w:val="center"/>
          </w:tcPr>
          <w:p>
            <w:pPr>
              <w:tabs>
                <w:tab w:val="left" w:pos="1366"/>
                <w:tab w:val="left" w:pos="2732"/>
                <w:tab w:val="left" w:pos="4098"/>
                <w:tab w:val="left" w:pos="5464"/>
                <w:tab w:val="left" w:pos="6915"/>
                <w:tab w:val="left" w:pos="8282"/>
              </w:tabs>
              <w:jc w:val="center"/>
              <w:rPr>
                <w:rFonts w:eastAsiaTheme="minorEastAsia"/>
                <w:kern w:val="0"/>
                <w:sz w:val="20"/>
              </w:rPr>
            </w:pPr>
            <w:r>
              <w:rPr>
                <w:rFonts w:eastAsiaTheme="minorEastAsia"/>
                <w:kern w:val="0"/>
                <w:sz w:val="18"/>
                <w:szCs w:val="18"/>
              </w:rPr>
              <w:t>危险固体废物</w:t>
            </w:r>
          </w:p>
        </w:tc>
      </w:tr>
    </w:tbl>
    <w:p>
      <w:pPr>
        <w:tabs>
          <w:tab w:val="left" w:pos="1366"/>
          <w:tab w:val="left" w:pos="2732"/>
          <w:tab w:val="left" w:pos="4098"/>
          <w:tab w:val="left" w:pos="5464"/>
          <w:tab w:val="left" w:pos="6915"/>
          <w:tab w:val="left" w:pos="8282"/>
        </w:tabs>
        <w:spacing w:line="360" w:lineRule="auto"/>
        <w:jc w:val="center"/>
        <w:rPr>
          <w:rFonts w:eastAsiaTheme="minorEastAsia"/>
          <w:b/>
        </w:rPr>
      </w:pPr>
      <w:r>
        <w:rPr>
          <w:rFonts w:eastAsiaTheme="minorEastAsia"/>
          <w:b/>
          <w:bCs/>
        </w:rPr>
        <w:t>图8.1-2   排放口的图形标志</w:t>
      </w:r>
    </w:p>
    <w:p>
      <w:pPr>
        <w:pStyle w:val="77"/>
        <w:ind w:firstLine="480"/>
        <w:rPr>
          <w:rFonts w:eastAsiaTheme="minorEastAsia"/>
        </w:rPr>
      </w:pPr>
      <w:r>
        <w:rPr>
          <w:rFonts w:eastAsiaTheme="minorEastAsia"/>
        </w:rPr>
        <w:t>1、排污口管理</w:t>
      </w:r>
    </w:p>
    <w:p>
      <w:pPr>
        <w:pStyle w:val="10"/>
        <w:spacing w:after="0" w:line="360" w:lineRule="auto"/>
        <w:ind w:firstLine="200"/>
        <w:rPr>
          <w:rFonts w:eastAsiaTheme="minorEastAsia"/>
          <w:sz w:val="24"/>
        </w:rPr>
      </w:pPr>
      <w:r>
        <w:rPr>
          <w:rFonts w:eastAsiaTheme="minorEastAsia"/>
          <w:sz w:val="24"/>
        </w:rPr>
        <w:t>排污口是企业污染物进入环境，污染环境的通道，强化排污口的管理是实施污染物总量控制的基础工作之一，也是区域环境管理逐步实现污染物排放科学化、定量化的重要手段。</w:t>
      </w:r>
    </w:p>
    <w:p>
      <w:pPr>
        <w:pStyle w:val="77"/>
        <w:ind w:firstLine="480"/>
        <w:rPr>
          <w:rFonts w:eastAsiaTheme="minorEastAsia"/>
        </w:rPr>
      </w:pPr>
      <w:r>
        <w:rPr>
          <w:rFonts w:eastAsiaTheme="minorEastAsia"/>
        </w:rPr>
        <w:t>具体管理原则如下：</w:t>
      </w:r>
    </w:p>
    <w:p>
      <w:pPr>
        <w:pStyle w:val="77"/>
        <w:ind w:firstLine="480"/>
        <w:rPr>
          <w:rFonts w:eastAsiaTheme="minorEastAsia"/>
        </w:rPr>
      </w:pPr>
      <w:r>
        <w:rPr>
          <w:rFonts w:eastAsiaTheme="minorEastAsia"/>
        </w:rPr>
        <w:t>（1）向环境排放的污染物的排放口必须规范化。</w:t>
      </w:r>
    </w:p>
    <w:p>
      <w:pPr>
        <w:pStyle w:val="77"/>
        <w:ind w:firstLine="480"/>
        <w:rPr>
          <w:rFonts w:eastAsiaTheme="minorEastAsia"/>
        </w:rPr>
      </w:pPr>
      <w:r>
        <w:rPr>
          <w:rFonts w:eastAsiaTheme="minorEastAsia"/>
        </w:rPr>
        <w:t>（2）列入总量控制的污染物、排污口列为管理的重点。</w:t>
      </w:r>
    </w:p>
    <w:p>
      <w:pPr>
        <w:pStyle w:val="77"/>
        <w:ind w:firstLine="480"/>
        <w:rPr>
          <w:rFonts w:eastAsiaTheme="minorEastAsia"/>
        </w:rPr>
      </w:pPr>
      <w:r>
        <w:rPr>
          <w:rFonts w:eastAsiaTheme="minorEastAsia"/>
        </w:rPr>
        <w:t>（3）排污口应便于采样与计量监测，便于日常现场监督检查。</w:t>
      </w:r>
    </w:p>
    <w:p>
      <w:pPr>
        <w:pStyle w:val="77"/>
        <w:ind w:firstLine="480"/>
        <w:rPr>
          <w:rFonts w:eastAsiaTheme="minorEastAsia"/>
        </w:rPr>
      </w:pPr>
      <w:r>
        <w:rPr>
          <w:rFonts w:eastAsiaTheme="minorEastAsia"/>
        </w:rPr>
        <w:t>（4）如实向环保管理部门申报排污口数量、位置及所排放的主要污染物种类、数量、浓度、排放去向等情况。</w:t>
      </w:r>
    </w:p>
    <w:p>
      <w:pPr>
        <w:pStyle w:val="77"/>
        <w:ind w:firstLine="480"/>
        <w:rPr>
          <w:rFonts w:eastAsiaTheme="minorEastAsia"/>
        </w:rPr>
      </w:pPr>
      <w:r>
        <w:rPr>
          <w:rFonts w:eastAsiaTheme="minorEastAsia"/>
        </w:rPr>
        <w:t>（5）废气排气装置应设置便于采样、监测的采样孔和采样平台，设置应符合《污染源监测技术规范》。</w:t>
      </w:r>
    </w:p>
    <w:p>
      <w:pPr>
        <w:pStyle w:val="77"/>
        <w:ind w:firstLine="480"/>
        <w:rPr>
          <w:rFonts w:eastAsiaTheme="minorEastAsia"/>
        </w:rPr>
      </w:pPr>
      <w:r>
        <w:rPr>
          <w:rFonts w:eastAsiaTheme="minorEastAsia"/>
        </w:rPr>
        <w:t>（6）工程固废堆存时，专用堆放场应设有防扬散、防流失、防渗漏措施。</w:t>
      </w:r>
    </w:p>
    <w:p>
      <w:pPr>
        <w:pStyle w:val="77"/>
        <w:ind w:firstLine="480"/>
        <w:rPr>
          <w:rFonts w:eastAsiaTheme="minorEastAsia"/>
        </w:rPr>
      </w:pPr>
      <w:r>
        <w:rPr>
          <w:rFonts w:eastAsiaTheme="minorEastAsia"/>
        </w:rPr>
        <w:t>2、排污口立标管理</w:t>
      </w:r>
    </w:p>
    <w:p>
      <w:pPr>
        <w:pStyle w:val="77"/>
        <w:ind w:firstLine="480"/>
        <w:rPr>
          <w:rFonts w:eastAsiaTheme="minorEastAsia"/>
        </w:rPr>
      </w:pPr>
      <w:r>
        <w:rPr>
          <w:rFonts w:eastAsiaTheme="minorEastAsia"/>
        </w:rPr>
        <w:t>对上述污染物排放口和固体废物堆场，应按照国家《环境保护图形标志》（GB15562.1-95）与（GB1556.2-95）规定，设置国家环保局统一制作的环境保护图形标志牌；</w:t>
      </w:r>
    </w:p>
    <w:p>
      <w:pPr>
        <w:pStyle w:val="77"/>
        <w:ind w:firstLine="480"/>
        <w:rPr>
          <w:rFonts w:eastAsiaTheme="minorEastAsia"/>
        </w:rPr>
      </w:pPr>
      <w:r>
        <w:rPr>
          <w:rFonts w:eastAsiaTheme="minorEastAsia"/>
        </w:rPr>
        <w:t>（1）污染物排放口的环保图形标志牌应设置在靠近采样点且醒目处，标志牌设置高度为其上边缘距离地面约2m；</w:t>
      </w:r>
    </w:p>
    <w:p>
      <w:pPr>
        <w:pStyle w:val="77"/>
        <w:ind w:firstLine="480"/>
        <w:rPr>
          <w:rFonts w:eastAsiaTheme="minorEastAsia"/>
        </w:rPr>
      </w:pPr>
      <w:r>
        <w:rPr>
          <w:rFonts w:eastAsiaTheme="minorEastAsia"/>
        </w:rPr>
        <w:t>（2）重点排污单位的污染物排放口以设置立式标志牌为主，一般排污单位的污染物排放口，可根据情况设置立式或平面固定式标志牌。</w:t>
      </w:r>
    </w:p>
    <w:p>
      <w:pPr>
        <w:pStyle w:val="77"/>
        <w:ind w:firstLine="480"/>
        <w:rPr>
          <w:rFonts w:eastAsiaTheme="minorEastAsia"/>
        </w:rPr>
      </w:pPr>
      <w:r>
        <w:rPr>
          <w:rFonts w:eastAsiaTheme="minorEastAsia"/>
        </w:rPr>
        <w:t>3、排污口建档管理</w:t>
      </w:r>
    </w:p>
    <w:p>
      <w:pPr>
        <w:pStyle w:val="77"/>
        <w:ind w:firstLine="480"/>
        <w:rPr>
          <w:rFonts w:eastAsiaTheme="minorEastAsia"/>
        </w:rPr>
      </w:pPr>
      <w:r>
        <w:rPr>
          <w:rFonts w:eastAsiaTheme="minorEastAsia"/>
        </w:rPr>
        <w:t>（1）本项目应使用国家环保局统一印制的《中华人民共和国规范化排污口标志登记证》，并按要求填写有关内容；</w:t>
      </w:r>
    </w:p>
    <w:p>
      <w:pPr>
        <w:pStyle w:val="77"/>
        <w:ind w:firstLine="480"/>
        <w:rPr>
          <w:rFonts w:eastAsiaTheme="minorEastAsia"/>
        </w:rPr>
      </w:pPr>
      <w:r>
        <w:rPr>
          <w:rFonts w:eastAsiaTheme="minorEastAsia"/>
        </w:rPr>
        <w:t>（2）根据排污口管理内容要求，项目建成投产后，应将主要污染物种类、数量、浓度、排放去向，立标情况及设施运行情况记录于档案。</w:t>
      </w:r>
    </w:p>
    <w:p>
      <w:pPr>
        <w:pStyle w:val="4"/>
        <w:spacing w:before="0" w:after="0" w:line="360" w:lineRule="auto"/>
        <w:rPr>
          <w:rFonts w:eastAsiaTheme="minorEastAsia"/>
          <w:sz w:val="24"/>
          <w:szCs w:val="24"/>
        </w:rPr>
      </w:pPr>
      <w:bookmarkStart w:id="332" w:name="_Toc498088099"/>
      <w:r>
        <w:rPr>
          <w:rFonts w:eastAsiaTheme="minorEastAsia"/>
          <w:sz w:val="24"/>
          <w:szCs w:val="24"/>
        </w:rPr>
        <w:t>8.1.6日常环境管理</w:t>
      </w:r>
      <w:bookmarkEnd w:id="332"/>
    </w:p>
    <w:p>
      <w:pPr>
        <w:spacing w:line="360" w:lineRule="auto"/>
        <w:ind w:firstLine="496" w:firstLineChars="200"/>
        <w:rPr>
          <w:rFonts w:eastAsiaTheme="minorEastAsia"/>
          <w:bCs/>
          <w:spacing w:val="4"/>
          <w:sz w:val="24"/>
        </w:rPr>
      </w:pPr>
      <w:r>
        <w:rPr>
          <w:rFonts w:eastAsiaTheme="minorEastAsia"/>
          <w:bCs/>
          <w:spacing w:val="4"/>
          <w:sz w:val="24"/>
        </w:rPr>
        <w:t>企业应根据设置的环境管理机构及相关环境管理制度开展日常环境管理工作。</w:t>
      </w:r>
    </w:p>
    <w:p>
      <w:pPr>
        <w:spacing w:line="360" w:lineRule="auto"/>
        <w:ind w:firstLine="496" w:firstLineChars="200"/>
        <w:rPr>
          <w:rFonts w:eastAsiaTheme="minorEastAsia"/>
          <w:bCs/>
          <w:spacing w:val="4"/>
          <w:sz w:val="24"/>
        </w:rPr>
      </w:pPr>
      <w:r>
        <w:rPr>
          <w:rFonts w:eastAsiaTheme="minorEastAsia"/>
          <w:bCs/>
          <w:spacing w:val="4"/>
          <w:sz w:val="24"/>
        </w:rPr>
        <w:t>1、矿长总体负责企业的环境保护工作，领导各级部门执行国家的环境保护政策；负责上报和批准企业环境保护相关的规章制度；</w:t>
      </w:r>
    </w:p>
    <w:p>
      <w:pPr>
        <w:spacing w:line="360" w:lineRule="auto"/>
        <w:ind w:firstLine="496" w:firstLineChars="200"/>
        <w:rPr>
          <w:rFonts w:eastAsiaTheme="minorEastAsia"/>
          <w:bCs/>
          <w:spacing w:val="4"/>
          <w:sz w:val="24"/>
        </w:rPr>
      </w:pPr>
      <w:r>
        <w:rPr>
          <w:rFonts w:eastAsiaTheme="minorEastAsia"/>
          <w:bCs/>
          <w:spacing w:val="4"/>
          <w:sz w:val="24"/>
        </w:rPr>
        <w:t>2、 副矿长（生产及环保）在企业内部推广和宣传环保方案，收集员工意见和合理化建议；监督环保方案的进度和实施情况；负责与地方环保部门保持联系，及时了解、传达有关环保信息。</w:t>
      </w:r>
    </w:p>
    <w:p>
      <w:pPr>
        <w:spacing w:line="360" w:lineRule="auto"/>
        <w:ind w:firstLine="496" w:firstLineChars="200"/>
        <w:rPr>
          <w:rFonts w:eastAsiaTheme="minorEastAsia"/>
          <w:bCs/>
          <w:spacing w:val="4"/>
          <w:sz w:val="24"/>
        </w:rPr>
      </w:pPr>
      <w:r>
        <w:rPr>
          <w:rFonts w:eastAsiaTheme="minorEastAsia"/>
          <w:bCs/>
          <w:spacing w:val="4"/>
          <w:sz w:val="24"/>
        </w:rPr>
        <w:t>3、环保科：</w:t>
      </w:r>
    </w:p>
    <w:p>
      <w:pPr>
        <w:spacing w:line="360" w:lineRule="auto"/>
        <w:ind w:firstLine="496" w:firstLineChars="200"/>
        <w:rPr>
          <w:rFonts w:eastAsiaTheme="minorEastAsia"/>
          <w:bCs/>
          <w:spacing w:val="4"/>
          <w:sz w:val="24"/>
        </w:rPr>
      </w:pPr>
      <w:r>
        <w:rPr>
          <w:rFonts w:hint="eastAsia" w:ascii="宋体" w:hAnsi="宋体" w:cs="宋体"/>
          <w:bCs/>
          <w:spacing w:val="4"/>
          <w:sz w:val="24"/>
        </w:rPr>
        <w:t>①</w:t>
      </w:r>
      <w:r>
        <w:rPr>
          <w:rFonts w:eastAsiaTheme="minorEastAsia"/>
          <w:bCs/>
          <w:spacing w:val="4"/>
          <w:sz w:val="24"/>
        </w:rPr>
        <w:t>全面贯彻落实环保政策，监督工程项目的各项环境保护工作；</w:t>
      </w:r>
    </w:p>
    <w:p>
      <w:pPr>
        <w:spacing w:line="360" w:lineRule="auto"/>
        <w:ind w:firstLine="496" w:firstLineChars="200"/>
        <w:rPr>
          <w:rFonts w:eastAsiaTheme="minorEastAsia"/>
          <w:bCs/>
          <w:spacing w:val="4"/>
          <w:sz w:val="24"/>
        </w:rPr>
      </w:pPr>
      <w:r>
        <w:rPr>
          <w:rFonts w:hint="eastAsia" w:ascii="宋体" w:hAnsi="宋体" w:cs="宋体"/>
          <w:bCs/>
          <w:spacing w:val="4"/>
          <w:sz w:val="24"/>
        </w:rPr>
        <w:t>②</w:t>
      </w:r>
      <w:r>
        <w:rPr>
          <w:rFonts w:eastAsiaTheme="minorEastAsia"/>
          <w:bCs/>
          <w:spacing w:val="4"/>
          <w:sz w:val="24"/>
        </w:rPr>
        <w:t>制定本企业环境保护的近、远期发展规划和年度工作计划，制定并检查各项环境保护管理制度及其执行情况；</w:t>
      </w:r>
    </w:p>
    <w:p>
      <w:pPr>
        <w:spacing w:line="360" w:lineRule="auto"/>
        <w:ind w:firstLine="496" w:firstLineChars="200"/>
        <w:rPr>
          <w:rFonts w:eastAsiaTheme="minorEastAsia"/>
          <w:bCs/>
          <w:spacing w:val="4"/>
          <w:sz w:val="24"/>
        </w:rPr>
      </w:pPr>
      <w:r>
        <w:rPr>
          <w:rFonts w:hint="eastAsia" w:ascii="宋体" w:hAnsi="宋体" w:cs="宋体"/>
          <w:bCs/>
          <w:spacing w:val="4"/>
          <w:sz w:val="24"/>
        </w:rPr>
        <w:t>③</w:t>
      </w:r>
      <w:r>
        <w:rPr>
          <w:rFonts w:eastAsiaTheme="minorEastAsia"/>
          <w:bCs/>
          <w:spacing w:val="4"/>
          <w:sz w:val="24"/>
        </w:rPr>
        <w:t>根据环保部门下达的环境保护目标、污染物总量控制指标，制定本企业的环境保护目标和实施措施，并在年度中予以落实；</w:t>
      </w:r>
    </w:p>
    <w:p>
      <w:pPr>
        <w:spacing w:line="360" w:lineRule="auto"/>
        <w:ind w:firstLine="496" w:firstLineChars="200"/>
        <w:rPr>
          <w:rFonts w:eastAsiaTheme="minorEastAsia"/>
          <w:bCs/>
          <w:spacing w:val="4"/>
          <w:sz w:val="24"/>
        </w:rPr>
      </w:pPr>
      <w:r>
        <w:rPr>
          <w:rFonts w:hint="eastAsia" w:ascii="宋体" w:hAnsi="宋体" w:cs="宋体"/>
          <w:bCs/>
          <w:spacing w:val="4"/>
          <w:sz w:val="24"/>
        </w:rPr>
        <w:t>④</w:t>
      </w:r>
      <w:r>
        <w:rPr>
          <w:rFonts w:eastAsiaTheme="minorEastAsia"/>
          <w:bCs/>
          <w:spacing w:val="4"/>
          <w:sz w:val="24"/>
        </w:rPr>
        <w:t>负责建立企业内部环境保护责任制度和考核制度，协助企业完成围绕环境保护的各项考核指标；</w:t>
      </w:r>
    </w:p>
    <w:p>
      <w:pPr>
        <w:spacing w:line="360" w:lineRule="auto"/>
        <w:ind w:firstLine="496" w:firstLineChars="200"/>
        <w:rPr>
          <w:rFonts w:eastAsiaTheme="minorEastAsia"/>
          <w:bCs/>
          <w:spacing w:val="4"/>
          <w:sz w:val="24"/>
        </w:rPr>
      </w:pPr>
      <w:r>
        <w:rPr>
          <w:rFonts w:hint="eastAsia" w:ascii="宋体" w:hAnsi="宋体" w:cs="宋体"/>
          <w:bCs/>
          <w:spacing w:val="4"/>
          <w:sz w:val="24"/>
        </w:rPr>
        <w:t>⑤</w:t>
      </w:r>
      <w:r>
        <w:rPr>
          <w:rFonts w:eastAsiaTheme="minorEastAsia"/>
          <w:bCs/>
          <w:spacing w:val="4"/>
          <w:sz w:val="24"/>
        </w:rPr>
        <w:t>做好环保设施管理工作，建立环保设施档案，保证环保设施按照设计要求运行，定期检查、定期上报，杜绝擅自拆除和闲置不用的现象发生；</w:t>
      </w:r>
    </w:p>
    <w:p>
      <w:pPr>
        <w:spacing w:line="360" w:lineRule="auto"/>
        <w:ind w:firstLine="496" w:firstLineChars="200"/>
        <w:rPr>
          <w:rFonts w:eastAsiaTheme="minorEastAsia"/>
          <w:bCs/>
          <w:spacing w:val="4"/>
          <w:sz w:val="24"/>
        </w:rPr>
      </w:pPr>
      <w:r>
        <w:rPr>
          <w:rFonts w:hint="eastAsia" w:ascii="宋体" w:hAnsi="宋体" w:cs="宋体"/>
          <w:bCs/>
          <w:spacing w:val="4"/>
          <w:sz w:val="24"/>
        </w:rPr>
        <w:t>⑥</w:t>
      </w:r>
      <w:r>
        <w:rPr>
          <w:rFonts w:eastAsiaTheme="minorEastAsia"/>
          <w:bCs/>
          <w:spacing w:val="4"/>
          <w:sz w:val="24"/>
        </w:rPr>
        <w:t>负责企业环境保护的宣传教育工作，做好普及环境科学知识和环保法规的宣传，树立环保法制观念；</w:t>
      </w:r>
    </w:p>
    <w:p>
      <w:pPr>
        <w:spacing w:line="360" w:lineRule="auto"/>
        <w:ind w:firstLine="496" w:firstLineChars="200"/>
        <w:rPr>
          <w:rFonts w:eastAsiaTheme="minorEastAsia"/>
          <w:bCs/>
          <w:spacing w:val="4"/>
          <w:sz w:val="24"/>
        </w:rPr>
      </w:pPr>
      <w:r>
        <w:rPr>
          <w:rFonts w:hint="eastAsia" w:ascii="宋体" w:hAnsi="宋体" w:cs="宋体"/>
          <w:bCs/>
          <w:spacing w:val="4"/>
          <w:sz w:val="24"/>
        </w:rPr>
        <w:t>⑦</w:t>
      </w:r>
      <w:r>
        <w:rPr>
          <w:rFonts w:eastAsiaTheme="minorEastAsia"/>
          <w:bCs/>
          <w:spacing w:val="4"/>
          <w:sz w:val="24"/>
        </w:rPr>
        <w:t>定期组织当地环境监测部门对污染物进行监测检查；</w:t>
      </w:r>
    </w:p>
    <w:p>
      <w:pPr>
        <w:spacing w:line="360" w:lineRule="auto"/>
        <w:ind w:firstLine="496" w:firstLineChars="200"/>
        <w:rPr>
          <w:rFonts w:eastAsiaTheme="minorEastAsia"/>
          <w:bCs/>
          <w:spacing w:val="4"/>
          <w:sz w:val="24"/>
        </w:rPr>
      </w:pPr>
      <w:r>
        <w:rPr>
          <w:rFonts w:hint="eastAsia" w:ascii="宋体" w:hAnsi="宋体" w:cs="宋体"/>
          <w:bCs/>
          <w:spacing w:val="4"/>
          <w:sz w:val="24"/>
        </w:rPr>
        <w:t>⑧</w:t>
      </w:r>
      <w:r>
        <w:rPr>
          <w:rFonts w:eastAsiaTheme="minorEastAsia"/>
          <w:bCs/>
          <w:spacing w:val="4"/>
          <w:sz w:val="24"/>
        </w:rPr>
        <w:t>负责与地方各级环保部门的联系，按要求上报各项环保报表，并定时向上级主管部门汇报环保工作情况。</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33" w:name="_Toc498088100"/>
      <w:bookmarkStart w:id="334" w:name="_Toc71551958"/>
      <w:r>
        <w:rPr>
          <w:rFonts w:ascii="Times New Roman" w:hAnsi="Times New Roman" w:eastAsiaTheme="minorEastAsia"/>
          <w:kern w:val="44"/>
          <w:sz w:val="30"/>
          <w:szCs w:val="30"/>
        </w:rPr>
        <w:t>8.2 环境监测计划</w:t>
      </w:r>
      <w:bookmarkEnd w:id="333"/>
      <w:bookmarkEnd w:id="334"/>
    </w:p>
    <w:p>
      <w:pPr>
        <w:pStyle w:val="4"/>
        <w:spacing w:before="0" w:after="0" w:line="360" w:lineRule="auto"/>
        <w:rPr>
          <w:rFonts w:eastAsiaTheme="minorEastAsia"/>
          <w:sz w:val="24"/>
          <w:szCs w:val="24"/>
        </w:rPr>
      </w:pPr>
      <w:bookmarkStart w:id="335" w:name="_Toc498088101"/>
      <w:bookmarkStart w:id="336" w:name="_Toc471224898"/>
      <w:r>
        <w:rPr>
          <w:rFonts w:eastAsiaTheme="minorEastAsia"/>
          <w:sz w:val="24"/>
          <w:szCs w:val="24"/>
        </w:rPr>
        <w:t>8.2.1 环境监测计划</w:t>
      </w:r>
      <w:bookmarkEnd w:id="335"/>
      <w:bookmarkEnd w:id="336"/>
    </w:p>
    <w:p>
      <w:pPr>
        <w:spacing w:line="360" w:lineRule="auto"/>
        <w:ind w:firstLine="480" w:firstLineChars="200"/>
        <w:rPr>
          <w:rFonts w:eastAsiaTheme="minorEastAsia"/>
          <w:sz w:val="24"/>
        </w:rPr>
      </w:pPr>
      <w:r>
        <w:rPr>
          <w:rFonts w:eastAsiaTheme="minorEastAsia"/>
          <w:sz w:val="24"/>
        </w:rPr>
        <w:t>监测时间、频率、点位服从当地环保部门的规定和要求，监测项目针对本工程运为检查落实国家和地方的各项环保法规、标准的执行情况，为工程污染控制及管理提供依据</w:t>
      </w:r>
      <w:r>
        <w:rPr>
          <w:rFonts w:hint="eastAsia" w:eastAsiaTheme="minorEastAsia"/>
          <w:sz w:val="24"/>
        </w:rPr>
        <w:t>，</w:t>
      </w:r>
      <w:r>
        <w:rPr>
          <w:rFonts w:hint="eastAsia" w:eastAsiaTheme="minorEastAsia"/>
          <w:bCs/>
          <w:sz w:val="24"/>
        </w:rPr>
        <w:t>山西煤炭运销集团新工煤业有限公司变更工程</w:t>
      </w:r>
      <w:r>
        <w:rPr>
          <w:rFonts w:eastAsiaTheme="minorEastAsia"/>
          <w:sz w:val="24"/>
        </w:rPr>
        <w:t>必须建立环境监测计划，建立详细的监测检查环境程序，并制定处理突发事故应急响应计划。</w:t>
      </w:r>
    </w:p>
    <w:p>
      <w:pPr>
        <w:pStyle w:val="77"/>
        <w:ind w:firstLine="480"/>
        <w:rPr>
          <w:rFonts w:eastAsiaTheme="minorEastAsia"/>
        </w:rPr>
      </w:pPr>
      <w:r>
        <w:rPr>
          <w:rFonts w:eastAsiaTheme="minorEastAsia"/>
        </w:rPr>
        <w:t>1、</w:t>
      </w:r>
      <w:r>
        <w:rPr>
          <w:rFonts w:hint="eastAsia" w:eastAsiaTheme="minorEastAsia"/>
        </w:rPr>
        <w:t>废气</w:t>
      </w:r>
      <w:r>
        <w:rPr>
          <w:rFonts w:eastAsiaTheme="minorEastAsia"/>
        </w:rPr>
        <w:t>污染源监测</w:t>
      </w:r>
    </w:p>
    <w:p>
      <w:pPr>
        <w:pStyle w:val="77"/>
        <w:ind w:firstLine="480"/>
        <w:rPr>
          <w:rFonts w:eastAsiaTheme="minorEastAsia"/>
        </w:rPr>
      </w:pPr>
      <w:r>
        <w:rPr>
          <w:rFonts w:eastAsiaTheme="minorEastAsia"/>
        </w:rPr>
        <w:t>根据项目的污染特点，结合企业具体情况，选择下列项目作为监测项目。</w:t>
      </w:r>
    </w:p>
    <w:p>
      <w:pPr>
        <w:pStyle w:val="77"/>
        <w:ind w:firstLine="480"/>
        <w:rPr>
          <w:rFonts w:eastAsiaTheme="minorEastAsia"/>
        </w:rPr>
      </w:pPr>
      <w:r>
        <w:rPr>
          <w:rFonts w:hint="eastAsia" w:ascii="宋体" w:hAnsi="宋体" w:cs="宋体"/>
        </w:rPr>
        <w:t>（1）</w:t>
      </w:r>
      <w:r>
        <w:rPr>
          <w:rFonts w:eastAsiaTheme="minorEastAsia"/>
        </w:rPr>
        <w:t>有组织排放监测：</w:t>
      </w:r>
    </w:p>
    <w:p>
      <w:pPr>
        <w:pStyle w:val="77"/>
        <w:ind w:firstLine="480"/>
        <w:rPr>
          <w:rFonts w:ascii="宋体" w:hAnsi="宋体" w:cs="宋体"/>
        </w:rPr>
      </w:pPr>
      <w:r>
        <w:rPr>
          <w:rFonts w:eastAsiaTheme="minorEastAsia"/>
        </w:rPr>
        <w:t>a.</w:t>
      </w:r>
      <w:r>
        <w:rPr>
          <w:rFonts w:hint="eastAsia" w:ascii="宋体" w:hAnsi="宋体" w:cs="宋体"/>
        </w:rPr>
        <w:t>各场地锅炉</w:t>
      </w:r>
    </w:p>
    <w:p>
      <w:pPr>
        <w:pStyle w:val="77"/>
        <w:ind w:firstLine="480"/>
        <w:rPr>
          <w:rFonts w:eastAsiaTheme="minorEastAsia"/>
        </w:rPr>
      </w:pPr>
      <w:r>
        <w:rPr>
          <w:rFonts w:hint="eastAsia" w:ascii="宋体" w:hAnsi="宋体" w:cs="宋体"/>
        </w:rPr>
        <w:t>①</w:t>
      </w:r>
      <w:r>
        <w:rPr>
          <w:rFonts w:eastAsiaTheme="minorEastAsia"/>
        </w:rPr>
        <w:t>监测项目：SO</w:t>
      </w:r>
      <w:r>
        <w:rPr>
          <w:rFonts w:eastAsiaTheme="minorEastAsia"/>
          <w:vertAlign w:val="subscript"/>
        </w:rPr>
        <w:t>2</w:t>
      </w:r>
      <w:r>
        <w:rPr>
          <w:rFonts w:eastAsiaTheme="minorEastAsia"/>
        </w:rPr>
        <w:t>、NO</w:t>
      </w:r>
      <w:r>
        <w:rPr>
          <w:rFonts w:eastAsiaTheme="minorEastAsia"/>
          <w:vertAlign w:val="subscript"/>
        </w:rPr>
        <w:t>x</w:t>
      </w:r>
      <w:r>
        <w:rPr>
          <w:rFonts w:eastAsiaTheme="minorEastAsia"/>
        </w:rPr>
        <w:t>、烟尘、烟气量、烟气温度；</w:t>
      </w:r>
    </w:p>
    <w:p>
      <w:pPr>
        <w:pStyle w:val="77"/>
        <w:ind w:firstLine="480"/>
        <w:rPr>
          <w:rFonts w:eastAsiaTheme="minorEastAsia"/>
        </w:rPr>
      </w:pPr>
      <w:r>
        <w:rPr>
          <w:rFonts w:hint="eastAsia" w:ascii="宋体" w:hAnsi="宋体" w:cs="宋体"/>
        </w:rPr>
        <w:t>②</w:t>
      </w:r>
      <w:r>
        <w:rPr>
          <w:rFonts w:eastAsiaTheme="minorEastAsia"/>
        </w:rPr>
        <w:t xml:space="preserve">监测布点：设在锅炉房排气筒处，并设标牌注明； </w:t>
      </w:r>
    </w:p>
    <w:p>
      <w:pPr>
        <w:pStyle w:val="77"/>
        <w:ind w:firstLine="480"/>
        <w:rPr>
          <w:rFonts w:eastAsiaTheme="minorEastAsia"/>
        </w:rPr>
      </w:pPr>
      <w:r>
        <w:rPr>
          <w:rFonts w:hint="eastAsia" w:ascii="宋体" w:hAnsi="宋体" w:cs="宋体"/>
        </w:rPr>
        <w:t>③</w:t>
      </w:r>
      <w:r>
        <w:rPr>
          <w:rFonts w:eastAsiaTheme="minorEastAsia"/>
        </w:rPr>
        <w:t>监测时间：每半年监测一次。</w:t>
      </w:r>
    </w:p>
    <w:p>
      <w:pPr>
        <w:pStyle w:val="77"/>
        <w:ind w:firstLine="480"/>
        <w:rPr>
          <w:rFonts w:eastAsiaTheme="minorEastAsia"/>
        </w:rPr>
      </w:pPr>
      <w:r>
        <w:rPr>
          <w:rFonts w:eastAsiaTheme="minorEastAsia"/>
        </w:rPr>
        <w:t>b.</w:t>
      </w:r>
      <w:r>
        <w:rPr>
          <w:rFonts w:hint="eastAsia" w:eastAsiaTheme="minorEastAsia"/>
        </w:rPr>
        <w:t>筛分车间</w:t>
      </w:r>
    </w:p>
    <w:p>
      <w:pPr>
        <w:pStyle w:val="77"/>
        <w:ind w:firstLine="480"/>
        <w:rPr>
          <w:rFonts w:eastAsiaTheme="minorEastAsia"/>
        </w:rPr>
      </w:pPr>
      <w:r>
        <w:rPr>
          <w:rFonts w:hint="eastAsia" w:ascii="宋体" w:hAnsi="宋体" w:cs="宋体"/>
        </w:rPr>
        <w:t>①</w:t>
      </w:r>
      <w:r>
        <w:rPr>
          <w:rFonts w:eastAsiaTheme="minorEastAsia"/>
        </w:rPr>
        <w:t>监测项目：颗粒物；</w:t>
      </w:r>
    </w:p>
    <w:p>
      <w:pPr>
        <w:pStyle w:val="77"/>
        <w:ind w:firstLine="480"/>
        <w:rPr>
          <w:rFonts w:eastAsiaTheme="minorEastAsia"/>
        </w:rPr>
      </w:pPr>
      <w:r>
        <w:rPr>
          <w:rFonts w:hint="eastAsia" w:ascii="宋体" w:hAnsi="宋体" w:cs="宋体"/>
        </w:rPr>
        <w:t>②</w:t>
      </w:r>
      <w:r>
        <w:rPr>
          <w:rFonts w:eastAsiaTheme="minorEastAsia"/>
        </w:rPr>
        <w:t>监测布点：设在</w:t>
      </w:r>
      <w:r>
        <w:rPr>
          <w:rFonts w:hint="eastAsia" w:eastAsiaTheme="minorEastAsia"/>
        </w:rPr>
        <w:t>筛分车间</w:t>
      </w:r>
      <w:r>
        <w:rPr>
          <w:rFonts w:eastAsiaTheme="minorEastAsia"/>
        </w:rPr>
        <w:t>排气筒处，并设标牌注明；</w:t>
      </w:r>
    </w:p>
    <w:p>
      <w:pPr>
        <w:pStyle w:val="77"/>
        <w:ind w:firstLine="480"/>
        <w:rPr>
          <w:rFonts w:eastAsiaTheme="minorEastAsia"/>
        </w:rPr>
      </w:pPr>
      <w:r>
        <w:rPr>
          <w:rFonts w:hint="eastAsia" w:ascii="宋体" w:hAnsi="宋体" w:cs="宋体"/>
        </w:rPr>
        <w:t>③</w:t>
      </w:r>
      <w:r>
        <w:rPr>
          <w:rFonts w:eastAsiaTheme="minorEastAsia"/>
        </w:rPr>
        <w:t>监测时间：每年监测一次。</w:t>
      </w:r>
    </w:p>
    <w:p>
      <w:pPr>
        <w:pStyle w:val="77"/>
        <w:ind w:firstLine="480"/>
        <w:rPr>
          <w:rFonts w:eastAsiaTheme="minorEastAsia"/>
        </w:rPr>
      </w:pPr>
      <w:r>
        <w:rPr>
          <w:rFonts w:hint="eastAsia" w:eastAsiaTheme="minorEastAsia"/>
        </w:rPr>
        <w:t>（2）</w:t>
      </w:r>
      <w:r>
        <w:rPr>
          <w:rFonts w:eastAsiaTheme="minorEastAsia"/>
        </w:rPr>
        <w:t>厂界无组织排放监测</w:t>
      </w:r>
    </w:p>
    <w:p>
      <w:pPr>
        <w:pStyle w:val="77"/>
        <w:ind w:firstLine="480"/>
        <w:rPr>
          <w:rFonts w:eastAsiaTheme="minorEastAsia"/>
        </w:rPr>
      </w:pPr>
      <w:r>
        <w:rPr>
          <w:rFonts w:hint="eastAsia" w:ascii="宋体" w:hAnsi="宋体" w:cs="宋体"/>
        </w:rPr>
        <w:t>①</w:t>
      </w:r>
      <w:r>
        <w:rPr>
          <w:rFonts w:eastAsiaTheme="minorEastAsia"/>
        </w:rPr>
        <w:t>监测项目：颗粒物；</w:t>
      </w:r>
    </w:p>
    <w:p>
      <w:pPr>
        <w:pStyle w:val="77"/>
        <w:ind w:firstLine="480"/>
        <w:rPr>
          <w:rFonts w:eastAsiaTheme="minorEastAsia"/>
        </w:rPr>
      </w:pPr>
      <w:r>
        <w:rPr>
          <w:rFonts w:hint="eastAsia" w:ascii="宋体" w:hAnsi="宋体" w:cs="宋体"/>
        </w:rPr>
        <w:t>②</w:t>
      </w:r>
      <w:r>
        <w:rPr>
          <w:rFonts w:eastAsiaTheme="minorEastAsia"/>
        </w:rPr>
        <w:t>监测布点：厂界</w:t>
      </w:r>
      <w:r>
        <w:rPr>
          <w:rFonts w:hint="eastAsia" w:eastAsiaTheme="minorEastAsia"/>
        </w:rPr>
        <w:t>上风向设1个监测点，</w:t>
      </w:r>
      <w:r>
        <w:rPr>
          <w:rFonts w:eastAsiaTheme="minorEastAsia"/>
        </w:rPr>
        <w:t>下风向设</w:t>
      </w:r>
      <w:r>
        <w:rPr>
          <w:rFonts w:hint="eastAsia" w:eastAsiaTheme="minorEastAsia"/>
        </w:rPr>
        <w:t>4</w:t>
      </w:r>
      <w:r>
        <w:rPr>
          <w:rFonts w:eastAsiaTheme="minorEastAsia"/>
        </w:rPr>
        <w:t>个监测点。</w:t>
      </w:r>
    </w:p>
    <w:p>
      <w:pPr>
        <w:pStyle w:val="77"/>
        <w:ind w:firstLine="480"/>
        <w:rPr>
          <w:rFonts w:eastAsiaTheme="minorEastAsia"/>
        </w:rPr>
      </w:pPr>
      <w:r>
        <w:rPr>
          <w:rFonts w:hint="eastAsia" w:ascii="宋体" w:hAnsi="宋体" w:cs="宋体"/>
        </w:rPr>
        <w:t>③</w:t>
      </w:r>
      <w:r>
        <w:rPr>
          <w:rFonts w:eastAsiaTheme="minorEastAsia"/>
        </w:rPr>
        <w:t>监测时间：每年监测一次。</w:t>
      </w:r>
    </w:p>
    <w:p>
      <w:pPr>
        <w:pStyle w:val="77"/>
        <w:ind w:firstLine="480"/>
        <w:rPr>
          <w:rFonts w:eastAsiaTheme="minorEastAsia"/>
        </w:rPr>
      </w:pPr>
      <w:r>
        <w:rPr>
          <w:rFonts w:hint="eastAsia" w:eastAsiaTheme="minorEastAsia"/>
        </w:rPr>
        <w:t>2</w:t>
      </w:r>
      <w:r>
        <w:rPr>
          <w:rFonts w:eastAsiaTheme="minorEastAsia"/>
        </w:rPr>
        <w:t>、地下水监测</w:t>
      </w:r>
    </w:p>
    <w:p>
      <w:pPr>
        <w:pStyle w:val="68"/>
        <w:rPr>
          <w:rFonts w:hAnsi="Times New Roman" w:cs="Times New Roman" w:eastAsiaTheme="minorEastAsia"/>
        </w:rPr>
      </w:pPr>
      <w:r>
        <w:rPr>
          <w:rFonts w:hint="eastAsia" w:ascii="宋体"/>
        </w:rPr>
        <w:t>①</w:t>
      </w:r>
      <w:r>
        <w:rPr>
          <w:rFonts w:hAnsi="Times New Roman" w:cs="Times New Roman" w:eastAsiaTheme="minorEastAsia"/>
        </w:rPr>
        <w:t>监测项目</w:t>
      </w:r>
    </w:p>
    <w:p>
      <w:pPr>
        <w:pStyle w:val="68"/>
        <w:rPr>
          <w:rFonts w:hAnsi="Times New Roman" w:cs="Times New Roman" w:eastAsiaTheme="minorEastAsia"/>
        </w:rPr>
      </w:pPr>
      <w:r>
        <w:rPr>
          <w:rFonts w:hAnsi="Times New Roman" w:cs="Times New Roman" w:eastAsiaTheme="minorEastAsia"/>
        </w:rPr>
        <w:t>pH、总硬度、溶解性总固体、氟化物、氨氮、氯化物、硫酸盐、硝酸盐、亚硝酸盐、砷、铁、锰、汞、</w:t>
      </w:r>
      <w:r>
        <w:rPr>
          <w:rFonts w:hint="eastAsia" w:hAnsi="Times New Roman" w:cs="Times New Roman" w:eastAsiaTheme="minorEastAsia"/>
        </w:rPr>
        <w:t>耗氧量</w:t>
      </w:r>
      <w:r>
        <w:rPr>
          <w:rFonts w:hAnsi="Times New Roman" w:cs="Times New Roman" w:eastAsiaTheme="minorEastAsia"/>
        </w:rPr>
        <w:t>、六价铬、挥发</w:t>
      </w:r>
      <w:r>
        <w:rPr>
          <w:rFonts w:hint="eastAsia" w:hAnsi="Times New Roman" w:cs="Times New Roman" w:eastAsiaTheme="minorEastAsia"/>
        </w:rPr>
        <w:t>性</w:t>
      </w:r>
      <w:r>
        <w:rPr>
          <w:rFonts w:hAnsi="Times New Roman" w:cs="Times New Roman" w:eastAsiaTheme="minorEastAsia"/>
        </w:rPr>
        <w:t>酚</w:t>
      </w:r>
      <w:r>
        <w:rPr>
          <w:rFonts w:hint="eastAsia" w:hAnsi="Times New Roman" w:cs="Times New Roman" w:eastAsiaTheme="minorEastAsia"/>
        </w:rPr>
        <w:t>类</w:t>
      </w:r>
      <w:r>
        <w:rPr>
          <w:rFonts w:hAnsi="Times New Roman" w:cs="Times New Roman" w:eastAsiaTheme="minorEastAsia"/>
        </w:rPr>
        <w:t>、氰化物、铅、镉、</w:t>
      </w:r>
      <w:r>
        <w:rPr>
          <w:rFonts w:hint="eastAsia" w:hAnsi="Times New Roman" w:cs="Times New Roman" w:eastAsiaTheme="minorEastAsia"/>
        </w:rPr>
        <w:t>总</w:t>
      </w:r>
      <w:r>
        <w:rPr>
          <w:rFonts w:hAnsi="Times New Roman" w:cs="Times New Roman" w:eastAsiaTheme="minorEastAsia"/>
        </w:rPr>
        <w:t>大肠菌群、细菌总数共计21项，同时记录各点井深、水位、水温。</w:t>
      </w:r>
    </w:p>
    <w:p>
      <w:pPr>
        <w:pStyle w:val="68"/>
        <w:rPr>
          <w:rFonts w:hAnsi="Times New Roman" w:cs="Times New Roman" w:eastAsiaTheme="minorEastAsia"/>
        </w:rPr>
      </w:pPr>
      <w:r>
        <w:rPr>
          <w:rFonts w:hint="eastAsia" w:ascii="宋体"/>
        </w:rPr>
        <w:t>②</w:t>
      </w:r>
      <w:r>
        <w:rPr>
          <w:rFonts w:hAnsi="Times New Roman" w:cs="Times New Roman" w:eastAsiaTheme="minorEastAsia"/>
        </w:rPr>
        <w:t>监测点位：</w:t>
      </w:r>
    </w:p>
    <w:p>
      <w:pPr>
        <w:pStyle w:val="68"/>
        <w:rPr>
          <w:rFonts w:hAnsi="Times New Roman" w:cs="Times New Roman" w:eastAsiaTheme="minorEastAsia"/>
        </w:rPr>
      </w:pPr>
      <w:r>
        <w:rPr>
          <w:rFonts w:hint="eastAsia" w:hAnsi="Times New Roman" w:cs="Times New Roman" w:eastAsiaTheme="minorEastAsia"/>
        </w:rPr>
        <w:t>井田内监控水井：太长水井</w:t>
      </w:r>
    </w:p>
    <w:p>
      <w:pPr>
        <w:pStyle w:val="68"/>
        <w:rPr>
          <w:rFonts w:hAnsi="Times New Roman" w:cs="Times New Roman" w:eastAsiaTheme="minorEastAsia"/>
        </w:rPr>
      </w:pPr>
      <w:r>
        <w:rPr>
          <w:rFonts w:hint="eastAsia" w:ascii="宋体"/>
        </w:rPr>
        <w:t>③</w:t>
      </w:r>
      <w:r>
        <w:rPr>
          <w:rFonts w:hAnsi="Times New Roman" w:cs="Times New Roman" w:eastAsiaTheme="minorEastAsia"/>
        </w:rPr>
        <w:t>监测频率</w:t>
      </w:r>
    </w:p>
    <w:p>
      <w:pPr>
        <w:pStyle w:val="68"/>
        <w:rPr>
          <w:rFonts w:hAnsi="Times New Roman" w:cs="Times New Roman" w:eastAsiaTheme="minorEastAsia"/>
        </w:rPr>
      </w:pPr>
      <w:r>
        <w:rPr>
          <w:rFonts w:hAnsi="Times New Roman" w:cs="Times New Roman" w:eastAsiaTheme="minorEastAsia"/>
        </w:rPr>
        <w:t>建议企业委托有资质监测单位，</w:t>
      </w:r>
      <w:r>
        <w:rPr>
          <w:rFonts w:hint="eastAsia" w:hAnsi="Times New Roman" w:cs="Times New Roman" w:eastAsiaTheme="minorEastAsia"/>
        </w:rPr>
        <w:t>每年</w:t>
      </w:r>
      <w:r>
        <w:rPr>
          <w:rFonts w:hAnsi="Times New Roman" w:cs="Times New Roman" w:eastAsiaTheme="minorEastAsia"/>
        </w:rPr>
        <w:t>选定</w:t>
      </w:r>
      <w:r>
        <w:rPr>
          <w:rFonts w:hint="eastAsia" w:hAnsi="Times New Roman" w:cs="Times New Roman" w:eastAsiaTheme="minorEastAsia"/>
        </w:rPr>
        <w:t>采区内的村庄</w:t>
      </w:r>
      <w:r>
        <w:rPr>
          <w:rFonts w:hAnsi="Times New Roman" w:cs="Times New Roman" w:eastAsiaTheme="minorEastAsia"/>
        </w:rPr>
        <w:t>水井进行监测。每年监测一次。</w:t>
      </w:r>
    </w:p>
    <w:p>
      <w:pPr>
        <w:pStyle w:val="77"/>
        <w:ind w:firstLine="480"/>
        <w:rPr>
          <w:rFonts w:eastAsiaTheme="minorEastAsia"/>
        </w:rPr>
      </w:pPr>
      <w:r>
        <w:rPr>
          <w:rFonts w:hint="eastAsia" w:eastAsiaTheme="minorEastAsia"/>
        </w:rPr>
        <w:t>4</w:t>
      </w:r>
      <w:r>
        <w:rPr>
          <w:rFonts w:eastAsiaTheme="minorEastAsia"/>
        </w:rPr>
        <w:t>、声环境监测</w:t>
      </w:r>
    </w:p>
    <w:p>
      <w:pPr>
        <w:pStyle w:val="77"/>
        <w:ind w:firstLine="480"/>
        <w:rPr>
          <w:rFonts w:eastAsiaTheme="minorEastAsia"/>
        </w:rPr>
      </w:pPr>
      <w:r>
        <w:rPr>
          <w:rFonts w:hint="eastAsia" w:ascii="宋体" w:hAnsi="宋体" w:cs="宋体"/>
        </w:rPr>
        <w:t>①</w:t>
      </w:r>
      <w:r>
        <w:rPr>
          <w:rFonts w:eastAsiaTheme="minorEastAsia"/>
        </w:rPr>
        <w:t>监测项目：厂界噪声、敏感点噪声；</w:t>
      </w:r>
    </w:p>
    <w:p>
      <w:pPr>
        <w:pStyle w:val="77"/>
        <w:ind w:firstLine="480"/>
        <w:rPr>
          <w:rFonts w:eastAsiaTheme="minorEastAsia"/>
        </w:rPr>
      </w:pPr>
      <w:r>
        <w:rPr>
          <w:rFonts w:hint="eastAsia" w:ascii="宋体" w:hAnsi="宋体" w:cs="宋体"/>
        </w:rPr>
        <w:t>②</w:t>
      </w:r>
      <w:r>
        <w:rPr>
          <w:rFonts w:eastAsiaTheme="minorEastAsia"/>
        </w:rPr>
        <w:t>监测布点：工业场地、风井场地厂界外1m处、</w:t>
      </w:r>
      <w:r>
        <w:rPr>
          <w:rFonts w:hint="eastAsia" w:eastAsiaTheme="minorEastAsia"/>
        </w:rPr>
        <w:t>高家庄</w:t>
      </w:r>
      <w:r>
        <w:rPr>
          <w:rFonts w:eastAsiaTheme="minorEastAsia"/>
        </w:rPr>
        <w:t>村；</w:t>
      </w:r>
    </w:p>
    <w:p>
      <w:pPr>
        <w:pStyle w:val="77"/>
        <w:ind w:firstLine="480"/>
        <w:rPr>
          <w:rFonts w:eastAsiaTheme="minorEastAsia"/>
        </w:rPr>
      </w:pPr>
      <w:r>
        <w:rPr>
          <w:rFonts w:hint="eastAsia" w:ascii="宋体" w:hAnsi="宋体" w:cs="宋体"/>
        </w:rPr>
        <w:t>③</w:t>
      </w:r>
      <w:r>
        <w:rPr>
          <w:rFonts w:eastAsiaTheme="minorEastAsia"/>
        </w:rPr>
        <w:t>监测时间：厂界噪声每季度监测一次，每次监测按昼夜各监测一次。</w:t>
      </w:r>
    </w:p>
    <w:p>
      <w:pPr>
        <w:pStyle w:val="77"/>
        <w:ind w:firstLine="480"/>
        <w:rPr>
          <w:rFonts w:eastAsiaTheme="minorEastAsia"/>
        </w:rPr>
      </w:pPr>
      <w:r>
        <w:rPr>
          <w:rFonts w:hint="eastAsia" w:eastAsiaTheme="minorEastAsia"/>
        </w:rPr>
        <w:t>5</w:t>
      </w:r>
      <w:r>
        <w:rPr>
          <w:rFonts w:eastAsiaTheme="minorEastAsia"/>
        </w:rPr>
        <w:t>、土壤环境监测</w:t>
      </w:r>
    </w:p>
    <w:p>
      <w:pPr>
        <w:pStyle w:val="77"/>
        <w:ind w:firstLine="480"/>
        <w:rPr>
          <w:rFonts w:eastAsiaTheme="minorEastAsia"/>
        </w:rPr>
      </w:pPr>
      <w:r>
        <w:rPr>
          <w:rFonts w:hint="eastAsia" w:ascii="宋体" w:hAnsi="宋体" w:cs="宋体"/>
        </w:rPr>
        <w:t>①</w:t>
      </w:r>
      <w:r>
        <w:rPr>
          <w:rFonts w:eastAsiaTheme="minorEastAsia"/>
        </w:rPr>
        <w:t>监测项目：砷；</w:t>
      </w:r>
    </w:p>
    <w:p>
      <w:pPr>
        <w:pStyle w:val="77"/>
        <w:ind w:firstLine="480"/>
        <w:rPr>
          <w:rFonts w:eastAsiaTheme="minorEastAsia"/>
        </w:rPr>
      </w:pPr>
      <w:r>
        <w:rPr>
          <w:rFonts w:hint="eastAsia" w:ascii="宋体" w:hAnsi="宋体" w:cs="宋体"/>
        </w:rPr>
        <w:t>②</w:t>
      </w:r>
      <w:r>
        <w:rPr>
          <w:rFonts w:eastAsiaTheme="minorEastAsia"/>
        </w:rPr>
        <w:t>监测布点：工业场地外200m范围内；</w:t>
      </w:r>
    </w:p>
    <w:p>
      <w:pPr>
        <w:pStyle w:val="77"/>
        <w:ind w:firstLine="480"/>
        <w:rPr>
          <w:rFonts w:eastAsiaTheme="minorEastAsia"/>
        </w:rPr>
      </w:pPr>
      <w:r>
        <w:rPr>
          <w:rFonts w:hint="eastAsia" w:ascii="宋体" w:hAnsi="宋体" w:cs="宋体"/>
        </w:rPr>
        <w:t>③</w:t>
      </w:r>
      <w:r>
        <w:rPr>
          <w:rFonts w:eastAsiaTheme="minorEastAsia"/>
        </w:rPr>
        <w:t>监测时间：5年一次。</w:t>
      </w:r>
    </w:p>
    <w:p>
      <w:pPr>
        <w:pStyle w:val="77"/>
        <w:ind w:firstLine="480"/>
        <w:rPr>
          <w:rFonts w:eastAsiaTheme="minorEastAsia"/>
        </w:rPr>
      </w:pPr>
      <w:r>
        <w:rPr>
          <w:rFonts w:hint="eastAsia" w:eastAsiaTheme="minorEastAsia"/>
        </w:rPr>
        <w:t>6</w:t>
      </w:r>
      <w:r>
        <w:rPr>
          <w:rFonts w:eastAsiaTheme="minorEastAsia"/>
        </w:rPr>
        <w:t>、地表移动变形观测</w:t>
      </w:r>
    </w:p>
    <w:p>
      <w:pPr>
        <w:pStyle w:val="77"/>
        <w:ind w:firstLine="480"/>
        <w:rPr>
          <w:rFonts w:eastAsiaTheme="minorEastAsia"/>
        </w:rPr>
      </w:pPr>
      <w:r>
        <w:rPr>
          <w:rFonts w:eastAsiaTheme="minorEastAsia"/>
        </w:rPr>
        <w:t>矿井应设立地表移动变形观测站，依托煤矿地质测量科，开展地表塌陷及移动变形观测。</w:t>
      </w:r>
    </w:p>
    <w:p>
      <w:pPr>
        <w:pStyle w:val="77"/>
        <w:ind w:firstLine="480"/>
        <w:rPr>
          <w:rFonts w:eastAsiaTheme="minorEastAsia"/>
        </w:rPr>
      </w:pPr>
      <w:r>
        <w:rPr>
          <w:rFonts w:hint="eastAsia" w:ascii="宋体" w:hAnsi="宋体" w:cs="宋体"/>
        </w:rPr>
        <w:t>①</w:t>
      </w:r>
      <w:r>
        <w:rPr>
          <w:rFonts w:eastAsiaTheme="minorEastAsia"/>
        </w:rPr>
        <w:t>观测范围：受矿井采动影响范围内的土地；</w:t>
      </w:r>
    </w:p>
    <w:p>
      <w:pPr>
        <w:pStyle w:val="77"/>
        <w:ind w:firstLine="480"/>
        <w:rPr>
          <w:rFonts w:eastAsiaTheme="minorEastAsia"/>
        </w:rPr>
      </w:pPr>
      <w:r>
        <w:rPr>
          <w:rFonts w:hint="eastAsia" w:ascii="宋体" w:hAnsi="宋体" w:cs="宋体"/>
        </w:rPr>
        <w:t>②</w:t>
      </w:r>
      <w:r>
        <w:rPr>
          <w:rFonts w:eastAsiaTheme="minorEastAsia"/>
        </w:rPr>
        <w:t>观测项目：下沉量、下沉速度、倾斜值、位移值（按地表变形测量要求进行）；</w:t>
      </w:r>
    </w:p>
    <w:p>
      <w:pPr>
        <w:pStyle w:val="77"/>
        <w:ind w:firstLine="480"/>
        <w:rPr>
          <w:rFonts w:eastAsiaTheme="minorEastAsia"/>
        </w:rPr>
      </w:pPr>
      <w:r>
        <w:rPr>
          <w:rFonts w:hint="eastAsia" w:ascii="宋体" w:hAnsi="宋体" w:cs="宋体"/>
        </w:rPr>
        <w:t>③</w:t>
      </w:r>
      <w:r>
        <w:rPr>
          <w:rFonts w:eastAsiaTheme="minorEastAsia"/>
        </w:rPr>
        <w:t>观测地点：煤层综合厚度最大处设1个观测站；</w:t>
      </w:r>
    </w:p>
    <w:p>
      <w:pPr>
        <w:pStyle w:val="77"/>
        <w:ind w:firstLine="480"/>
        <w:rPr>
          <w:rFonts w:eastAsiaTheme="minorEastAsia"/>
        </w:rPr>
      </w:pPr>
      <w:r>
        <w:rPr>
          <w:rFonts w:hint="eastAsia" w:ascii="宋体" w:hAnsi="宋体" w:cs="宋体"/>
        </w:rPr>
        <w:t>④</w:t>
      </w:r>
      <w:r>
        <w:rPr>
          <w:rFonts w:eastAsiaTheme="minorEastAsia"/>
        </w:rPr>
        <w:t>观测时间、频率：在第一个工作面开采前开始观测，观测一个地表移动变形延迟周期；</w:t>
      </w:r>
    </w:p>
    <w:p>
      <w:pPr>
        <w:pStyle w:val="77"/>
        <w:ind w:firstLine="480"/>
        <w:rPr>
          <w:rFonts w:eastAsiaTheme="minorEastAsia"/>
        </w:rPr>
      </w:pPr>
      <w:r>
        <w:rPr>
          <w:rFonts w:hint="eastAsia" w:ascii="宋体" w:hAnsi="宋体" w:cs="宋体"/>
        </w:rPr>
        <w:t>⑤</w:t>
      </w:r>
      <w:r>
        <w:rPr>
          <w:rFonts w:eastAsiaTheme="minorEastAsia"/>
        </w:rPr>
        <w:t>观测人员、设备：利用矿井测量科人员进行观测，至少安排2人专职负责地表移动变形观测，观测设备利用矿井测量科已配备的设备，主要包括皮尺、经纬仪、全站仪、GPS定位仪等，地表移动变形观测不专门配置设备。</w:t>
      </w:r>
    </w:p>
    <w:p>
      <w:pPr>
        <w:pStyle w:val="4"/>
        <w:spacing w:before="0" w:after="0" w:line="360" w:lineRule="auto"/>
        <w:rPr>
          <w:rFonts w:eastAsiaTheme="minorEastAsia"/>
          <w:sz w:val="24"/>
          <w:szCs w:val="24"/>
        </w:rPr>
      </w:pPr>
      <w:bookmarkStart w:id="337" w:name="_Toc498088102"/>
      <w:bookmarkStart w:id="338" w:name="_Toc471224899"/>
      <w:r>
        <w:rPr>
          <w:rFonts w:eastAsiaTheme="minorEastAsia"/>
          <w:sz w:val="24"/>
          <w:szCs w:val="24"/>
        </w:rPr>
        <w:t>8.2.2 监测结果反馈</w:t>
      </w:r>
      <w:bookmarkEnd w:id="337"/>
      <w:bookmarkEnd w:id="338"/>
    </w:p>
    <w:p>
      <w:pPr>
        <w:pStyle w:val="77"/>
        <w:ind w:firstLine="480"/>
        <w:rPr>
          <w:rFonts w:eastAsiaTheme="minorEastAsia"/>
        </w:rPr>
      </w:pPr>
      <w:r>
        <w:rPr>
          <w:rFonts w:eastAsiaTheme="minorEastAsia"/>
        </w:rPr>
        <w:t>根据以上的监测项目、点位及频率进行监测，每次监测完毕后，及时整理监测数据，以报表形式写出监测分析报告，经环保科报送总工和分管矿长，同时报送市环保部门，以便公司内各级管理部门和地方环保部门及时了解全公司排污及环保治理措施运行状况，及时发现问题，采取措施解决。</w:t>
      </w:r>
    </w:p>
    <w:p>
      <w:pPr>
        <w:pStyle w:val="4"/>
        <w:spacing w:before="0" w:after="0" w:line="360" w:lineRule="auto"/>
        <w:rPr>
          <w:rFonts w:eastAsiaTheme="minorEastAsia"/>
          <w:sz w:val="24"/>
          <w:szCs w:val="24"/>
        </w:rPr>
      </w:pPr>
      <w:bookmarkStart w:id="339" w:name="_Toc498088103"/>
      <w:bookmarkStart w:id="340" w:name="_Toc471224900"/>
      <w:r>
        <w:rPr>
          <w:rFonts w:eastAsiaTheme="minorEastAsia"/>
          <w:sz w:val="24"/>
          <w:szCs w:val="24"/>
        </w:rPr>
        <w:t>8.2.3 监测经费预算</w:t>
      </w:r>
      <w:bookmarkEnd w:id="339"/>
      <w:bookmarkEnd w:id="340"/>
    </w:p>
    <w:p>
      <w:pPr>
        <w:pStyle w:val="77"/>
        <w:ind w:firstLine="480"/>
        <w:rPr>
          <w:rFonts w:eastAsiaTheme="minorEastAsia"/>
        </w:rPr>
      </w:pPr>
      <w:r>
        <w:rPr>
          <w:rFonts w:eastAsiaTheme="minorEastAsia"/>
        </w:rPr>
        <w:t xml:space="preserve"> 1、一次性投资</w:t>
      </w:r>
    </w:p>
    <w:p>
      <w:pPr>
        <w:pStyle w:val="77"/>
        <w:ind w:firstLine="480"/>
        <w:rPr>
          <w:rFonts w:eastAsiaTheme="minorEastAsia"/>
        </w:rPr>
      </w:pPr>
      <w:r>
        <w:rPr>
          <w:rFonts w:eastAsiaTheme="minorEastAsia"/>
        </w:rPr>
        <w:t>原环评：环境监测开展日常工作购置了必要设备、仪器和器皿，投资经费10万元。变更后一次性投资不变。详见表8.2-1。</w:t>
      </w:r>
    </w:p>
    <w:p>
      <w:pPr>
        <w:pStyle w:val="13"/>
        <w:spacing w:line="360" w:lineRule="auto"/>
        <w:jc w:val="center"/>
        <w:rPr>
          <w:rFonts w:ascii="Times New Roman" w:hAnsi="Times New Roman" w:eastAsiaTheme="minorEastAsia"/>
          <w:b/>
          <w:szCs w:val="21"/>
        </w:rPr>
      </w:pPr>
      <w:r>
        <w:rPr>
          <w:rFonts w:ascii="Times New Roman" w:hAnsi="Times New Roman" w:eastAsiaTheme="minorEastAsia"/>
          <w:b/>
          <w:szCs w:val="21"/>
        </w:rPr>
        <w:t>表8.2-1  监测仪器及费用</w:t>
      </w:r>
    </w:p>
    <w:tbl>
      <w:tblPr>
        <w:tblStyle w:val="24"/>
        <w:tblW w:w="495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3069"/>
        <w:gridCol w:w="3401"/>
        <w:gridCol w:w="17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序号</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名  称</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台（件）数</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费用（万元）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w:t>
            </w:r>
          </w:p>
        </w:tc>
        <w:tc>
          <w:tcPr>
            <w:tcW w:w="1669" w:type="pct"/>
            <w:vAlign w:val="center"/>
          </w:tcPr>
          <w:p>
            <w:pPr>
              <w:jc w:val="center"/>
              <w:rPr>
                <w:rFonts w:eastAsiaTheme="minorEastAsia"/>
                <w:szCs w:val="21"/>
              </w:rPr>
            </w:pPr>
            <w:r>
              <w:rPr>
                <w:rFonts w:eastAsiaTheme="minorEastAsia"/>
                <w:szCs w:val="21"/>
              </w:rPr>
              <w:t>COD测定仪</w:t>
            </w:r>
          </w:p>
        </w:tc>
        <w:tc>
          <w:tcPr>
            <w:tcW w:w="1850" w:type="pct"/>
            <w:vAlign w:val="center"/>
          </w:tcPr>
          <w:p>
            <w:pPr>
              <w:jc w:val="center"/>
              <w:rPr>
                <w:rFonts w:eastAsiaTheme="minorEastAsia"/>
                <w:szCs w:val="21"/>
              </w:rPr>
            </w:pPr>
            <w:r>
              <w:rPr>
                <w:rFonts w:eastAsiaTheme="minorEastAsia"/>
                <w:szCs w:val="21"/>
              </w:rPr>
              <w:t>1</w:t>
            </w:r>
          </w:p>
        </w:tc>
        <w:tc>
          <w:tcPr>
            <w:tcW w:w="949" w:type="pct"/>
            <w:vAlign w:val="center"/>
          </w:tcPr>
          <w:p>
            <w:pPr>
              <w:jc w:val="center"/>
              <w:rPr>
                <w:rFonts w:eastAsiaTheme="minorEastAsia"/>
                <w:szCs w:val="21"/>
              </w:rPr>
            </w:pPr>
            <w:r>
              <w:rPr>
                <w:rFonts w:eastAsiaTheme="minorEastAsia"/>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2</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BOD</w:t>
            </w:r>
            <w:r>
              <w:rPr>
                <w:rFonts w:ascii="Times New Roman" w:hAnsi="Times New Roman" w:eastAsiaTheme="minorEastAsia"/>
                <w:szCs w:val="21"/>
                <w:vertAlign w:val="subscript"/>
              </w:rPr>
              <w:t>5</w:t>
            </w:r>
            <w:r>
              <w:rPr>
                <w:rFonts w:ascii="Times New Roman" w:hAnsi="Times New Roman" w:eastAsiaTheme="minorEastAsia"/>
                <w:szCs w:val="21"/>
              </w:rPr>
              <w:t>培养箱</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3</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水量流速仪</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4</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水样采样器</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5</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分析天平（1/万）</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6</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721分光光度计</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7</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声级计</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2</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8</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冰箱</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9</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烘箱</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10</w:t>
            </w:r>
          </w:p>
        </w:tc>
        <w:tc>
          <w:tcPr>
            <w:tcW w:w="1669" w:type="pct"/>
            <w:vAlign w:val="center"/>
          </w:tcPr>
          <w:p>
            <w:pPr>
              <w:jc w:val="center"/>
              <w:rPr>
                <w:rFonts w:eastAsiaTheme="minorEastAsia"/>
                <w:szCs w:val="21"/>
              </w:rPr>
            </w:pPr>
            <w:r>
              <w:rPr>
                <w:rFonts w:eastAsiaTheme="minorEastAsia"/>
                <w:szCs w:val="21"/>
              </w:rPr>
              <w:t>PH计</w:t>
            </w:r>
          </w:p>
        </w:tc>
        <w:tc>
          <w:tcPr>
            <w:tcW w:w="1850" w:type="pct"/>
            <w:vAlign w:val="center"/>
          </w:tcPr>
          <w:p>
            <w:pPr>
              <w:jc w:val="center"/>
              <w:rPr>
                <w:rFonts w:eastAsiaTheme="minorEastAsia"/>
                <w:szCs w:val="21"/>
              </w:rPr>
            </w:pPr>
            <w:r>
              <w:rPr>
                <w:rFonts w:eastAsiaTheme="minorEastAsia"/>
                <w:szCs w:val="21"/>
              </w:rPr>
              <w:t>1</w:t>
            </w:r>
          </w:p>
        </w:tc>
        <w:tc>
          <w:tcPr>
            <w:tcW w:w="949" w:type="pct"/>
            <w:vAlign w:val="center"/>
          </w:tcPr>
          <w:p>
            <w:pPr>
              <w:jc w:val="center"/>
              <w:rPr>
                <w:rFonts w:eastAsiaTheme="minorEastAsia"/>
                <w:szCs w:val="21"/>
              </w:rPr>
            </w:pPr>
            <w:r>
              <w:rPr>
                <w:rFonts w:eastAsiaTheme="minorEastAsia"/>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11</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玻璃仪器（套）</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常规（含COD、BOD</w:t>
            </w:r>
            <w:r>
              <w:rPr>
                <w:rFonts w:ascii="Times New Roman" w:hAnsi="Times New Roman" w:eastAsiaTheme="minorEastAsia"/>
                <w:szCs w:val="21"/>
                <w:vertAlign w:val="subscript"/>
              </w:rPr>
              <w:t>5</w:t>
            </w:r>
            <w:r>
              <w:rPr>
                <w:rFonts w:ascii="Times New Roman" w:hAnsi="Times New Roman" w:eastAsiaTheme="minorEastAsia"/>
                <w:szCs w:val="21"/>
              </w:rPr>
              <w:t>玻璃仪器）</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12</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化学试剂（种）</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常规</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13</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计算机</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2</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14</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办公桌椅（套）</w:t>
            </w:r>
          </w:p>
        </w:tc>
        <w:tc>
          <w:tcPr>
            <w:tcW w:w="1850"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3</w:t>
            </w: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15</w:t>
            </w:r>
          </w:p>
        </w:tc>
        <w:tc>
          <w:tcPr>
            <w:tcW w:w="166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合计</w:t>
            </w:r>
          </w:p>
        </w:tc>
        <w:tc>
          <w:tcPr>
            <w:tcW w:w="1850" w:type="pct"/>
            <w:vAlign w:val="center"/>
          </w:tcPr>
          <w:p>
            <w:pPr>
              <w:pStyle w:val="13"/>
              <w:jc w:val="center"/>
              <w:rPr>
                <w:rFonts w:ascii="Times New Roman" w:hAnsi="Times New Roman" w:eastAsiaTheme="minorEastAsia"/>
                <w:szCs w:val="21"/>
              </w:rPr>
            </w:pPr>
          </w:p>
        </w:tc>
        <w:tc>
          <w:tcPr>
            <w:tcW w:w="949" w:type="pct"/>
            <w:vAlign w:val="center"/>
          </w:tcPr>
          <w:p>
            <w:pPr>
              <w:pStyle w:val="13"/>
              <w:jc w:val="center"/>
              <w:rPr>
                <w:rFonts w:ascii="Times New Roman" w:hAnsi="Times New Roman" w:eastAsiaTheme="minorEastAsia"/>
                <w:szCs w:val="21"/>
              </w:rPr>
            </w:pPr>
            <w:r>
              <w:rPr>
                <w:rFonts w:ascii="Times New Roman" w:hAnsi="Times New Roman" w:eastAsiaTheme="minorEastAsia"/>
                <w:szCs w:val="21"/>
              </w:rPr>
              <w:t>10.0</w:t>
            </w:r>
          </w:p>
        </w:tc>
      </w:tr>
    </w:tbl>
    <w:p>
      <w:pPr>
        <w:pStyle w:val="77"/>
        <w:ind w:firstLine="480"/>
        <w:rPr>
          <w:rFonts w:eastAsiaTheme="minorEastAsia"/>
        </w:rPr>
      </w:pPr>
      <w:r>
        <w:rPr>
          <w:rFonts w:eastAsiaTheme="minorEastAsia"/>
        </w:rPr>
        <w:t>2、常规性开支</w:t>
      </w:r>
    </w:p>
    <w:p>
      <w:pPr>
        <w:pStyle w:val="77"/>
        <w:ind w:firstLine="464"/>
        <w:rPr>
          <w:rFonts w:eastAsiaTheme="minorEastAsia"/>
        </w:rPr>
      </w:pPr>
      <w:r>
        <w:rPr>
          <w:rFonts w:eastAsiaTheme="minorEastAsia"/>
          <w:bCs/>
          <w:spacing w:val="-4"/>
        </w:rPr>
        <w:t>常规性开支包括</w:t>
      </w:r>
      <w:r>
        <w:rPr>
          <w:rFonts w:hint="eastAsia" w:eastAsiaTheme="minorEastAsia"/>
          <w:bCs/>
          <w:spacing w:val="-4"/>
        </w:rPr>
        <w:t>综合管理部</w:t>
      </w:r>
      <w:r>
        <w:rPr>
          <w:rFonts w:eastAsiaTheme="minorEastAsia"/>
          <w:bCs/>
          <w:spacing w:val="-4"/>
        </w:rPr>
        <w:t>人员进行日常工作，开展宣传教育、报刊订阅，维修设备仪器，进行监测等工作的费用。预计每年约需10万元</w:t>
      </w:r>
      <w:r>
        <w:rPr>
          <w:rFonts w:eastAsiaTheme="minorEastAsia"/>
        </w:rPr>
        <w:t>。</w:t>
      </w:r>
    </w:p>
    <w:p>
      <w:pPr>
        <w:pStyle w:val="77"/>
        <w:ind w:firstLine="480"/>
        <w:rPr>
          <w:rFonts w:eastAsiaTheme="minorEastAsia"/>
        </w:rPr>
        <w:sectPr>
          <w:headerReference r:id="rId46" w:type="default"/>
          <w:footerReference r:id="rId47" w:type="default"/>
          <w:pgSz w:w="11906" w:h="16838"/>
          <w:pgMar w:top="1701" w:right="1418" w:bottom="1701" w:left="1418" w:header="1134" w:footer="992" w:gutter="0"/>
          <w:cols w:space="425" w:num="1"/>
          <w:docGrid w:type="lines" w:linePitch="312" w:charSpace="0"/>
        </w:sectPr>
      </w:pPr>
    </w:p>
    <w:p>
      <w:pPr>
        <w:pStyle w:val="2"/>
        <w:spacing w:before="0" w:after="0" w:line="360" w:lineRule="auto"/>
        <w:jc w:val="center"/>
        <w:rPr>
          <w:rFonts w:eastAsiaTheme="minorEastAsia"/>
        </w:rPr>
      </w:pPr>
      <w:bookmarkStart w:id="341" w:name="_Toc257612423"/>
      <w:bookmarkStart w:id="342" w:name="_Toc71551959"/>
      <w:r>
        <w:rPr>
          <w:rFonts w:eastAsiaTheme="minorEastAsia"/>
        </w:rPr>
        <w:t>9、结  论</w:t>
      </w:r>
      <w:bookmarkEnd w:id="341"/>
      <w:bookmarkEnd w:id="342"/>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43" w:name="_Toc59520795"/>
      <w:bookmarkStart w:id="344" w:name="_Toc219787029"/>
      <w:bookmarkStart w:id="345" w:name="_Toc71551960"/>
      <w:bookmarkStart w:id="346" w:name="_Toc257612424"/>
      <w:r>
        <w:rPr>
          <w:rFonts w:ascii="Times New Roman" w:hAnsi="Times New Roman" w:eastAsiaTheme="minorEastAsia"/>
          <w:kern w:val="44"/>
          <w:sz w:val="30"/>
          <w:szCs w:val="30"/>
        </w:rPr>
        <w:t>9.1</w:t>
      </w:r>
      <w:bookmarkEnd w:id="343"/>
      <w:r>
        <w:rPr>
          <w:rFonts w:ascii="Times New Roman" w:hAnsi="Times New Roman" w:eastAsiaTheme="minorEastAsia"/>
          <w:kern w:val="44"/>
          <w:sz w:val="30"/>
          <w:szCs w:val="30"/>
        </w:rPr>
        <w:t>建设项目概况</w:t>
      </w:r>
      <w:bookmarkEnd w:id="344"/>
      <w:bookmarkEnd w:id="345"/>
      <w:bookmarkEnd w:id="346"/>
    </w:p>
    <w:p>
      <w:pPr>
        <w:spacing w:line="360" w:lineRule="auto"/>
        <w:ind w:firstLine="480" w:firstLineChars="200"/>
        <w:rPr>
          <w:rFonts w:eastAsiaTheme="minorEastAsia"/>
          <w:sz w:val="24"/>
        </w:rPr>
      </w:pPr>
      <w:r>
        <w:rPr>
          <w:rFonts w:hAnsiTheme="minorEastAsia" w:eastAsiaTheme="minorEastAsia"/>
          <w:sz w:val="24"/>
        </w:rPr>
        <w:t>山西煤炭运销集团新工煤业有限公司属于证照齐全的合法生产矿井，根据</w:t>
      </w:r>
      <w:r>
        <w:rPr>
          <w:rFonts w:hint="eastAsia" w:hAnsiTheme="minorEastAsia" w:eastAsiaTheme="minorEastAsia"/>
          <w:sz w:val="24"/>
        </w:rPr>
        <w:t>山西省国土资源厅</w:t>
      </w:r>
      <w:r>
        <w:rPr>
          <w:rFonts w:eastAsiaTheme="minorEastAsia"/>
          <w:sz w:val="24"/>
        </w:rPr>
        <w:t>20</w:t>
      </w:r>
      <w:r>
        <w:rPr>
          <w:rFonts w:hint="eastAsia" w:eastAsiaTheme="minorEastAsia"/>
          <w:sz w:val="24"/>
        </w:rPr>
        <w:t>16</w:t>
      </w:r>
      <w:r>
        <w:rPr>
          <w:rFonts w:hAnsiTheme="minorEastAsia" w:eastAsiaTheme="minorEastAsia"/>
          <w:sz w:val="24"/>
        </w:rPr>
        <w:t>年</w:t>
      </w:r>
      <w:r>
        <w:rPr>
          <w:rFonts w:hint="eastAsia" w:eastAsiaTheme="minorEastAsia"/>
          <w:sz w:val="24"/>
        </w:rPr>
        <w:t>1</w:t>
      </w:r>
      <w:r>
        <w:rPr>
          <w:rFonts w:hAnsiTheme="minorEastAsia" w:eastAsiaTheme="minorEastAsia"/>
          <w:sz w:val="24"/>
        </w:rPr>
        <w:t>月</w:t>
      </w:r>
      <w:r>
        <w:rPr>
          <w:rFonts w:hint="eastAsia" w:hAnsiTheme="minorEastAsia" w:eastAsiaTheme="minorEastAsia"/>
          <w:sz w:val="24"/>
        </w:rPr>
        <w:t>28日</w:t>
      </w:r>
      <w:r>
        <w:rPr>
          <w:rFonts w:hAnsiTheme="minorEastAsia" w:eastAsiaTheme="minorEastAsia"/>
          <w:sz w:val="24"/>
        </w:rPr>
        <w:t>为该矿颁发的采矿许可证（证号：</w:t>
      </w:r>
      <w:r>
        <w:rPr>
          <w:rFonts w:hint="eastAsia" w:hAnsiTheme="minorEastAsia" w:eastAsiaTheme="minorEastAsia"/>
          <w:sz w:val="24"/>
        </w:rPr>
        <w:t>C140000</w:t>
      </w:r>
      <w:r>
        <w:rPr>
          <w:rFonts w:hint="eastAsia" w:eastAsiaTheme="minorEastAsia"/>
          <w:sz w:val="24"/>
        </w:rPr>
        <w:t>2009121220047240</w:t>
      </w:r>
      <w:r>
        <w:rPr>
          <w:rFonts w:hAnsiTheme="minorEastAsia" w:eastAsiaTheme="minorEastAsia"/>
          <w:sz w:val="24"/>
        </w:rPr>
        <w:t>），</w:t>
      </w:r>
      <w:r>
        <w:rPr>
          <w:rFonts w:hint="eastAsia" w:hAnsiTheme="minorEastAsia" w:eastAsiaTheme="minorEastAsia"/>
          <w:sz w:val="24"/>
        </w:rPr>
        <w:t>新工煤业</w:t>
      </w:r>
      <w:r>
        <w:rPr>
          <w:rFonts w:hAnsiTheme="minorEastAsia" w:eastAsiaTheme="minorEastAsia"/>
          <w:sz w:val="24"/>
        </w:rPr>
        <w:t>井田面积为</w:t>
      </w:r>
      <w:r>
        <w:rPr>
          <w:rFonts w:hint="eastAsia" w:eastAsiaTheme="minorEastAsia"/>
          <w:sz w:val="24"/>
        </w:rPr>
        <w:t>5.4518</w:t>
      </w:r>
      <w:r>
        <w:rPr>
          <w:rFonts w:eastAsiaTheme="minorEastAsia"/>
          <w:sz w:val="24"/>
        </w:rPr>
        <w:t>km</w:t>
      </w:r>
      <w:r>
        <w:rPr>
          <w:rFonts w:eastAsiaTheme="minorEastAsia"/>
          <w:sz w:val="24"/>
          <w:vertAlign w:val="superscript"/>
        </w:rPr>
        <w:t>2</w:t>
      </w:r>
      <w:r>
        <w:rPr>
          <w:rFonts w:hAnsiTheme="minorEastAsia" w:eastAsiaTheme="minorEastAsia"/>
          <w:sz w:val="24"/>
        </w:rPr>
        <w:t>，可采煤层为</w:t>
      </w:r>
      <w:r>
        <w:rPr>
          <w:rFonts w:hint="eastAsia" w:eastAsiaTheme="minorEastAsia"/>
          <w:sz w:val="24"/>
        </w:rPr>
        <w:t>4#-</w:t>
      </w:r>
      <w:r>
        <w:rPr>
          <w:rFonts w:eastAsiaTheme="minorEastAsia"/>
          <w:sz w:val="24"/>
        </w:rPr>
        <w:t>9</w:t>
      </w:r>
      <w:r>
        <w:rPr>
          <w:rFonts w:hint="eastAsia" w:hAnsiTheme="minorEastAsia" w:eastAsiaTheme="minorEastAsia"/>
          <w:sz w:val="24"/>
        </w:rPr>
        <w:t>#</w:t>
      </w:r>
      <w:r>
        <w:rPr>
          <w:rFonts w:hAnsiTheme="minorEastAsia" w:eastAsiaTheme="minorEastAsia"/>
          <w:sz w:val="24"/>
        </w:rPr>
        <w:t>煤层</w:t>
      </w:r>
      <w:r>
        <w:rPr>
          <w:rFonts w:hint="eastAsia" w:hAnsiTheme="minorEastAsia" w:eastAsiaTheme="minorEastAsia"/>
          <w:sz w:val="24"/>
        </w:rPr>
        <w:t>，开采方式为地下开采，</w:t>
      </w:r>
      <w:r>
        <w:rPr>
          <w:rFonts w:hAnsiTheme="minorEastAsia" w:eastAsiaTheme="minorEastAsia"/>
          <w:sz w:val="24"/>
        </w:rPr>
        <w:t>矿井生产能力</w:t>
      </w:r>
      <w:r>
        <w:rPr>
          <w:rFonts w:hint="eastAsia" w:hAnsiTheme="minorEastAsia" w:eastAsiaTheme="minorEastAsia"/>
          <w:sz w:val="24"/>
        </w:rPr>
        <w:t>120万</w:t>
      </w:r>
      <w:r>
        <w:rPr>
          <w:rFonts w:eastAsiaTheme="minorEastAsia"/>
          <w:sz w:val="24"/>
        </w:rPr>
        <w:t>t/a</w:t>
      </w:r>
      <w:r>
        <w:rPr>
          <w:rFonts w:hAnsiTheme="minorEastAsia" w:eastAsiaTheme="minorEastAsia"/>
          <w:sz w:val="24"/>
        </w:rPr>
        <w:t>。</w:t>
      </w:r>
    </w:p>
    <w:p>
      <w:pPr>
        <w:spacing w:line="360" w:lineRule="auto"/>
        <w:ind w:firstLine="480" w:firstLineChars="200"/>
        <w:rPr>
          <w:rFonts w:hAnsiTheme="minorEastAsia" w:eastAsiaTheme="minorEastAsia"/>
          <w:sz w:val="24"/>
        </w:rPr>
      </w:pPr>
      <w:r>
        <w:rPr>
          <w:rFonts w:hint="eastAsia" w:eastAsiaTheme="minorEastAsia"/>
          <w:sz w:val="24"/>
        </w:rPr>
        <w:t>2010年10月，</w:t>
      </w:r>
      <w:r>
        <w:rPr>
          <w:rFonts w:hint="eastAsia" w:eastAsiaTheme="minorEastAsia"/>
          <w:bCs/>
          <w:sz w:val="24"/>
        </w:rPr>
        <w:t>山西同地源地质矿产技术有限公司</w:t>
      </w:r>
      <w:r>
        <w:rPr>
          <w:rFonts w:hint="eastAsia" w:eastAsiaTheme="minorEastAsia"/>
          <w:sz w:val="24"/>
        </w:rPr>
        <w:t>编制完成了《山西煤炭运销集团新工煤业有限公司兼并重组整合矿井地质报告》， 2010年10月19日，山西省煤炭工业厅以“晋煤规发[2010]1257号”对山西煤炭运销集团新工煤业有限公司兼并重组整合矿井地质报告进行了批复；2010年12月，</w:t>
      </w:r>
      <w:r>
        <w:rPr>
          <w:rFonts w:hint="eastAsia" w:eastAsiaTheme="minorEastAsia"/>
          <w:bCs/>
          <w:sz w:val="24"/>
        </w:rPr>
        <w:t>煤炭工业合肥设计研究院</w:t>
      </w:r>
      <w:r>
        <w:rPr>
          <w:rFonts w:hint="eastAsia" w:eastAsiaTheme="minorEastAsia"/>
          <w:sz w:val="24"/>
        </w:rPr>
        <w:t>编制完成了山西煤炭运销集团新工煤业有限公司兼并重组整合项目初步设计，2011年1月，山西省煤炭工业厅下发了新工矿井初步设计的批复文件（晋煤办基发[2011]61号）；2014年5月山西清源环境咨询有限公司编制完成了《</w:t>
      </w:r>
      <w:r>
        <w:rPr>
          <w:rFonts w:hint="eastAsia" w:eastAsiaTheme="minorEastAsia"/>
          <w:bCs/>
          <w:sz w:val="24"/>
        </w:rPr>
        <w:t>山西煤炭运销集团新工煤业有限公司120万t/a矿井兼并重组整合项目环境影响报告书</w:t>
      </w:r>
      <w:r>
        <w:rPr>
          <w:rFonts w:hint="eastAsia" w:eastAsiaTheme="minorEastAsia"/>
          <w:sz w:val="24"/>
        </w:rPr>
        <w:t>》，</w:t>
      </w:r>
      <w:r>
        <w:rPr>
          <w:rFonts w:eastAsiaTheme="minorEastAsia"/>
          <w:sz w:val="24"/>
        </w:rPr>
        <w:t>20</w:t>
      </w:r>
      <w:r>
        <w:rPr>
          <w:rFonts w:hint="eastAsia" w:eastAsiaTheme="minorEastAsia"/>
          <w:sz w:val="24"/>
        </w:rPr>
        <w:t>14</w:t>
      </w:r>
      <w:r>
        <w:rPr>
          <w:rFonts w:hAnsiTheme="minorEastAsia" w:eastAsiaTheme="minorEastAsia"/>
          <w:sz w:val="24"/>
        </w:rPr>
        <w:t>年</w:t>
      </w:r>
      <w:r>
        <w:rPr>
          <w:rFonts w:hint="eastAsia" w:eastAsiaTheme="minorEastAsia"/>
          <w:sz w:val="24"/>
        </w:rPr>
        <w:t>7</w:t>
      </w:r>
      <w:r>
        <w:rPr>
          <w:rFonts w:hAnsiTheme="minorEastAsia" w:eastAsiaTheme="minorEastAsia"/>
          <w:sz w:val="24"/>
        </w:rPr>
        <w:t>月</w:t>
      </w:r>
      <w:r>
        <w:rPr>
          <w:rFonts w:eastAsiaTheme="minorEastAsia"/>
          <w:sz w:val="24"/>
        </w:rPr>
        <w:t>1</w:t>
      </w:r>
      <w:r>
        <w:rPr>
          <w:rFonts w:hint="eastAsia" w:eastAsiaTheme="minorEastAsia"/>
          <w:sz w:val="24"/>
        </w:rPr>
        <w:t>4</w:t>
      </w:r>
      <w:r>
        <w:rPr>
          <w:rFonts w:hAnsiTheme="minorEastAsia" w:eastAsiaTheme="minorEastAsia"/>
          <w:sz w:val="24"/>
        </w:rPr>
        <w:t>日，</w:t>
      </w:r>
      <w:r>
        <w:rPr>
          <w:rFonts w:hint="eastAsia" w:hAnsiTheme="minorEastAsia" w:eastAsiaTheme="minorEastAsia"/>
          <w:sz w:val="24"/>
        </w:rPr>
        <w:t>山西省环境保护厅</w:t>
      </w:r>
      <w:r>
        <w:rPr>
          <w:rFonts w:hAnsiTheme="minorEastAsia" w:eastAsiaTheme="minorEastAsia"/>
          <w:sz w:val="24"/>
        </w:rPr>
        <w:t>以</w:t>
      </w:r>
      <w:r>
        <w:rPr>
          <w:rFonts w:hint="eastAsia" w:hAnsiTheme="minorEastAsia" w:eastAsiaTheme="minorEastAsia"/>
          <w:sz w:val="24"/>
        </w:rPr>
        <w:t>“晋</w:t>
      </w:r>
      <w:r>
        <w:rPr>
          <w:rFonts w:hAnsiTheme="minorEastAsia" w:eastAsiaTheme="minorEastAsia"/>
          <w:sz w:val="24"/>
        </w:rPr>
        <w:t>环</w:t>
      </w:r>
      <w:r>
        <w:rPr>
          <w:rFonts w:hint="eastAsia" w:hAnsiTheme="minorEastAsia" w:eastAsiaTheme="minorEastAsia"/>
          <w:sz w:val="24"/>
        </w:rPr>
        <w:t>函</w:t>
      </w:r>
      <w:r>
        <w:rPr>
          <w:rFonts w:hint="eastAsia" w:eastAsiaTheme="minorEastAsia"/>
          <w:sz w:val="24"/>
        </w:rPr>
        <w:t>[2014]745号”对</w:t>
      </w:r>
      <w:r>
        <w:rPr>
          <w:rFonts w:hAnsiTheme="minorEastAsia" w:eastAsiaTheme="minorEastAsia"/>
          <w:sz w:val="24"/>
        </w:rPr>
        <w:t>《</w:t>
      </w:r>
      <w:r>
        <w:rPr>
          <w:rFonts w:hint="eastAsia" w:eastAsiaTheme="minorEastAsia"/>
          <w:bCs/>
          <w:sz w:val="24"/>
        </w:rPr>
        <w:t>山西煤炭运销集团新工煤业有限公司120万t/a矿井兼并重组整合项目环境影响报告书</w:t>
      </w:r>
      <w:r>
        <w:rPr>
          <w:rFonts w:hAnsiTheme="minorEastAsia" w:eastAsiaTheme="minorEastAsia"/>
          <w:sz w:val="24"/>
        </w:rPr>
        <w:t>》</w:t>
      </w:r>
      <w:r>
        <w:rPr>
          <w:rFonts w:hint="eastAsia" w:hAnsiTheme="minorEastAsia" w:eastAsiaTheme="minorEastAsia"/>
          <w:sz w:val="24"/>
        </w:rPr>
        <w:t>进行了</w:t>
      </w:r>
      <w:r>
        <w:rPr>
          <w:rFonts w:hAnsiTheme="minorEastAsia" w:eastAsiaTheme="minorEastAsia"/>
          <w:sz w:val="24"/>
        </w:rPr>
        <w:t>批复。</w:t>
      </w:r>
    </w:p>
    <w:p>
      <w:pPr>
        <w:pStyle w:val="39"/>
        <w:rPr>
          <w:rFonts w:ascii="Times New Roman" w:hAnsi="Times New Roman"/>
        </w:rPr>
      </w:pPr>
      <w:r>
        <w:rPr>
          <w:rFonts w:hint="eastAsia" w:hAnsiTheme="minorEastAsia" w:eastAsiaTheme="minorEastAsia"/>
        </w:rPr>
        <w:t>因外部因素影响，2012年矿井主、副斜井各施工60m后停工。</w:t>
      </w:r>
      <w:r>
        <w:rPr>
          <w:rFonts w:hint="eastAsia" w:hAnsiTheme="minorEastAsia" w:eastAsiaTheme="minorEastAsia"/>
          <w:bCs/>
        </w:rPr>
        <w:t>由于地面设施、平面布置、矿井开拓及井上、下相关系统均发生了较大变化，以及部分规范、规程的更新，</w:t>
      </w:r>
      <w:r>
        <w:rPr>
          <w:rFonts w:hint="eastAsia" w:ascii="Times New Roman" w:hAnsi="Times New Roman"/>
        </w:rPr>
        <w:t>风井场地位置发生了变化，依据《关于印发环评管理中部分行业建设项目重大重大变动清单的通知》（环发【</w:t>
      </w:r>
      <w:r>
        <w:rPr>
          <w:rFonts w:ascii="Times New Roman" w:hAnsi="Times New Roman"/>
        </w:rPr>
        <w:t>2015</w:t>
      </w:r>
      <w:r>
        <w:rPr>
          <w:rFonts w:hint="eastAsia" w:ascii="Times New Roman" w:hAnsi="Times New Roman"/>
        </w:rPr>
        <w:t>】</w:t>
      </w:r>
      <w:r>
        <w:rPr>
          <w:rFonts w:ascii="Times New Roman" w:hAnsi="Times New Roman"/>
        </w:rPr>
        <w:t>52</w:t>
      </w:r>
      <w:r>
        <w:rPr>
          <w:rFonts w:hint="eastAsia" w:ascii="Times New Roman" w:hAnsi="Times New Roman"/>
        </w:rPr>
        <w:t>号文）中</w:t>
      </w:r>
      <w:r>
        <w:rPr>
          <w:rFonts w:ascii="Times New Roman" w:hAnsi="Times New Roman"/>
        </w:rPr>
        <w:t>“</w:t>
      </w:r>
      <w:r>
        <w:rPr>
          <w:rFonts w:hint="eastAsia" w:ascii="Times New Roman" w:hAnsi="Times New Roman"/>
        </w:rPr>
        <w:t>煤炭建设项目重大变动清单</w:t>
      </w:r>
      <w:r>
        <w:rPr>
          <w:rFonts w:ascii="Times New Roman" w:hAnsi="Times New Roman"/>
        </w:rPr>
        <w:t>”</w:t>
      </w:r>
      <w:r>
        <w:rPr>
          <w:rFonts w:hint="eastAsia" w:ascii="Times New Roman" w:hAnsi="Times New Roman"/>
        </w:rPr>
        <w:t>中“地点：4</w:t>
      </w:r>
      <w:r>
        <w:rPr>
          <w:rFonts w:ascii="Times New Roman" w:hAnsi="Times New Roman"/>
        </w:rPr>
        <w:t>.</w:t>
      </w:r>
      <w:r>
        <w:rPr>
          <w:rFonts w:hint="eastAsia" w:ascii="Times New Roman" w:hAnsi="Times New Roman"/>
        </w:rPr>
        <w:t>新增主（副）井工业场地、风井场地等各类场地（包括排矸场、外排土场），或各类场地位置变化属于重大变动”。因此，根据《中华人民共和国环境保护法》、《中华人民共和国环境影响评价法》、《建设项目环境保护管理条例》、《关于印发环评管理中部分行业建设项目重大重大变动清单的通知》（环发【</w:t>
      </w:r>
      <w:r>
        <w:rPr>
          <w:rFonts w:ascii="Times New Roman" w:hAnsi="Times New Roman"/>
        </w:rPr>
        <w:t>2015</w:t>
      </w:r>
      <w:r>
        <w:rPr>
          <w:rFonts w:hint="eastAsia" w:ascii="Times New Roman" w:hAnsi="Times New Roman"/>
        </w:rPr>
        <w:t>】</w:t>
      </w:r>
      <w:r>
        <w:rPr>
          <w:rFonts w:ascii="Times New Roman" w:hAnsi="Times New Roman"/>
        </w:rPr>
        <w:t>52</w:t>
      </w:r>
      <w:r>
        <w:rPr>
          <w:rFonts w:hint="eastAsia" w:ascii="Times New Roman" w:hAnsi="Times New Roman"/>
        </w:rPr>
        <w:t>号文）及有关法律法规要求，该项目需要编制变更环境影评价响报告书。</w:t>
      </w:r>
    </w:p>
    <w:p>
      <w:pPr>
        <w:spacing w:line="360" w:lineRule="auto"/>
        <w:ind w:firstLine="482" w:firstLineChars="200"/>
        <w:rPr>
          <w:rFonts w:hAnsiTheme="minorEastAsia" w:eastAsiaTheme="minorEastAsia"/>
          <w:b/>
          <w:bCs/>
          <w:sz w:val="24"/>
        </w:rPr>
      </w:pP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47" w:name="_Toc71551961"/>
      <w:r>
        <w:rPr>
          <w:rFonts w:ascii="Times New Roman" w:hAnsi="Times New Roman" w:eastAsiaTheme="minorEastAsia"/>
          <w:kern w:val="44"/>
          <w:sz w:val="30"/>
          <w:szCs w:val="30"/>
        </w:rPr>
        <w:t>9.2  环境质量现状</w:t>
      </w:r>
      <w:bookmarkEnd w:id="347"/>
    </w:p>
    <w:p>
      <w:pPr>
        <w:pStyle w:val="4"/>
        <w:spacing w:before="0" w:after="0" w:line="360" w:lineRule="auto"/>
        <w:rPr>
          <w:rFonts w:eastAsiaTheme="minorEastAsia"/>
          <w:sz w:val="24"/>
          <w:szCs w:val="24"/>
        </w:rPr>
      </w:pPr>
      <w:r>
        <w:rPr>
          <w:rFonts w:eastAsiaTheme="minorEastAsia"/>
          <w:sz w:val="24"/>
          <w:szCs w:val="24"/>
        </w:rPr>
        <w:t>9.2.1 空气环境质量现状</w:t>
      </w:r>
    </w:p>
    <w:p>
      <w:pPr>
        <w:pStyle w:val="39"/>
        <w:rPr>
          <w:rFonts w:ascii="Times New Roman" w:hAnsi="Times New Roman" w:eastAsiaTheme="minorEastAsia"/>
          <w:bCs/>
        </w:rPr>
      </w:pPr>
      <w:r>
        <w:rPr>
          <w:rFonts w:ascii="Times New Roman" w:hAnsi="Times New Roman" w:eastAsiaTheme="minorEastAsia"/>
          <w:bCs/>
        </w:rPr>
        <w:t>（1）区域环境空气状况</w:t>
      </w:r>
    </w:p>
    <w:p>
      <w:pPr>
        <w:spacing w:line="360" w:lineRule="auto"/>
        <w:ind w:firstLine="480" w:firstLineChars="200"/>
        <w:jc w:val="left"/>
        <w:rPr>
          <w:rFonts w:eastAsiaTheme="minorEastAsia"/>
          <w:sz w:val="24"/>
        </w:rPr>
      </w:pPr>
      <w:r>
        <w:rPr>
          <w:rFonts w:eastAsiaTheme="minorEastAsia"/>
          <w:sz w:val="24"/>
        </w:rPr>
        <w:t>根据大气功能区划分，本项目所在地为二类功能区，环境空气质量执行《环境空气质量标准》（GB3095-2012）二级标准。本次评价引用2019</w:t>
      </w:r>
      <w:r>
        <w:rPr>
          <w:rFonts w:hint="eastAsia" w:hAnsiTheme="minorEastAsia" w:eastAsiaTheme="minorEastAsia"/>
          <w:sz w:val="24"/>
        </w:rPr>
        <w:t>年吕梁市临县环境空气常规因子</w:t>
      </w:r>
      <w:r>
        <w:rPr>
          <w:rFonts w:eastAsiaTheme="minorEastAsia"/>
          <w:sz w:val="24"/>
        </w:rPr>
        <w:t>PM</w:t>
      </w:r>
      <w:r>
        <w:rPr>
          <w:rFonts w:eastAsiaTheme="minorEastAsia"/>
          <w:sz w:val="24"/>
          <w:vertAlign w:val="subscript"/>
        </w:rPr>
        <w:t>10</w:t>
      </w:r>
      <w:r>
        <w:rPr>
          <w:rFonts w:hint="eastAsia" w:hAnsiTheme="minorEastAsia" w:eastAsiaTheme="minorEastAsia"/>
          <w:sz w:val="24"/>
        </w:rPr>
        <w:t>、</w:t>
      </w:r>
      <w:r>
        <w:rPr>
          <w:rFonts w:eastAsiaTheme="minorEastAsia"/>
          <w:sz w:val="24"/>
        </w:rPr>
        <w:t>PM</w:t>
      </w:r>
      <w:r>
        <w:rPr>
          <w:rFonts w:eastAsiaTheme="minorEastAsia"/>
          <w:sz w:val="24"/>
          <w:vertAlign w:val="subscript"/>
        </w:rPr>
        <w:t>2.5</w:t>
      </w:r>
      <w:r>
        <w:rPr>
          <w:rFonts w:hint="eastAsia" w:hAnsiTheme="minorEastAsia" w:eastAsiaTheme="minorEastAsia"/>
          <w:sz w:val="24"/>
        </w:rPr>
        <w:t>、</w:t>
      </w:r>
      <w:r>
        <w:rPr>
          <w:rFonts w:eastAsiaTheme="minorEastAsia"/>
          <w:sz w:val="24"/>
        </w:rPr>
        <w:t>SO</w:t>
      </w:r>
      <w:r>
        <w:rPr>
          <w:rFonts w:eastAsiaTheme="minorEastAsia"/>
          <w:sz w:val="24"/>
          <w:vertAlign w:val="subscript"/>
        </w:rPr>
        <w:t>2</w:t>
      </w:r>
      <w:r>
        <w:rPr>
          <w:rFonts w:hint="eastAsia" w:hAnsiTheme="minorEastAsia" w:eastAsiaTheme="minorEastAsia"/>
          <w:sz w:val="24"/>
        </w:rPr>
        <w:t>、</w:t>
      </w:r>
      <w:r>
        <w:rPr>
          <w:rFonts w:eastAsiaTheme="minorEastAsia"/>
          <w:sz w:val="24"/>
        </w:rPr>
        <w:t>NO</w:t>
      </w:r>
      <w:r>
        <w:rPr>
          <w:rFonts w:eastAsiaTheme="minorEastAsia"/>
          <w:sz w:val="24"/>
          <w:vertAlign w:val="subscript"/>
        </w:rPr>
        <w:t>2</w:t>
      </w:r>
      <w:r>
        <w:rPr>
          <w:rFonts w:hint="eastAsia" w:hAnsiTheme="minorEastAsia" w:eastAsiaTheme="minorEastAsia"/>
          <w:sz w:val="24"/>
        </w:rPr>
        <w:t>、</w:t>
      </w:r>
      <w:r>
        <w:rPr>
          <w:rFonts w:eastAsiaTheme="minorEastAsia"/>
          <w:sz w:val="24"/>
        </w:rPr>
        <w:t>CO</w:t>
      </w:r>
      <w:r>
        <w:rPr>
          <w:rFonts w:hint="eastAsia" w:hAnsiTheme="minorEastAsia" w:eastAsiaTheme="minorEastAsia"/>
          <w:sz w:val="24"/>
        </w:rPr>
        <w:t>、</w:t>
      </w:r>
      <w:r>
        <w:rPr>
          <w:rFonts w:eastAsiaTheme="minorEastAsia"/>
          <w:sz w:val="24"/>
        </w:rPr>
        <w:t>O</w:t>
      </w:r>
      <w:r>
        <w:rPr>
          <w:rFonts w:eastAsiaTheme="minorEastAsia"/>
          <w:sz w:val="24"/>
          <w:vertAlign w:val="subscript"/>
        </w:rPr>
        <w:t>3</w:t>
      </w:r>
      <w:r>
        <w:rPr>
          <w:rFonts w:hint="eastAsia" w:hAnsiTheme="minorEastAsia" w:eastAsiaTheme="minorEastAsia"/>
          <w:sz w:val="24"/>
        </w:rPr>
        <w:t>的年平均质量浓度</w:t>
      </w:r>
      <w:r>
        <w:rPr>
          <w:rFonts w:eastAsiaTheme="minorEastAsia"/>
          <w:sz w:val="24"/>
        </w:rPr>
        <w:t>。</w:t>
      </w:r>
    </w:p>
    <w:p>
      <w:pPr>
        <w:spacing w:line="460" w:lineRule="exact"/>
        <w:ind w:firstLine="480" w:firstLineChars="200"/>
        <w:jc w:val="left"/>
        <w:rPr>
          <w:rFonts w:eastAsiaTheme="minorEastAsia"/>
          <w:sz w:val="24"/>
        </w:rPr>
      </w:pPr>
      <w:r>
        <w:rPr>
          <w:rFonts w:hAnsiTheme="minorEastAsia" w:eastAsiaTheme="minorEastAsia"/>
          <w:sz w:val="24"/>
        </w:rPr>
        <w:t>根据</w:t>
      </w:r>
      <w:r>
        <w:rPr>
          <w:rFonts w:hint="eastAsia" w:hAnsiTheme="minorEastAsia" w:eastAsiaTheme="minorEastAsia"/>
          <w:sz w:val="24"/>
        </w:rPr>
        <w:t>临县</w:t>
      </w:r>
      <w:r>
        <w:rPr>
          <w:rFonts w:eastAsiaTheme="minorEastAsia"/>
          <w:sz w:val="24"/>
        </w:rPr>
        <w:t>201</w:t>
      </w:r>
      <w:r>
        <w:rPr>
          <w:rFonts w:hint="eastAsia" w:eastAsiaTheme="minorEastAsia"/>
          <w:sz w:val="24"/>
        </w:rPr>
        <w:t>9</w:t>
      </w:r>
      <w:r>
        <w:rPr>
          <w:rFonts w:hAnsiTheme="minorEastAsia" w:eastAsiaTheme="minorEastAsia"/>
          <w:sz w:val="24"/>
        </w:rPr>
        <w:t>年例行监测数据可知，评价区</w:t>
      </w:r>
      <w:r>
        <w:rPr>
          <w:rFonts w:eastAsiaTheme="minorEastAsia"/>
          <w:sz w:val="24"/>
        </w:rPr>
        <w:t>PM</w:t>
      </w:r>
      <w:r>
        <w:rPr>
          <w:rFonts w:eastAsiaTheme="minorEastAsia"/>
          <w:sz w:val="24"/>
          <w:vertAlign w:val="subscript"/>
        </w:rPr>
        <w:t>10</w:t>
      </w:r>
      <w:r>
        <w:rPr>
          <w:rFonts w:hAnsiTheme="minorEastAsia" w:eastAsiaTheme="minorEastAsia"/>
          <w:sz w:val="24"/>
        </w:rPr>
        <w:t>、</w:t>
      </w:r>
      <w:r>
        <w:rPr>
          <w:rFonts w:eastAsiaTheme="minorEastAsia"/>
          <w:sz w:val="24"/>
        </w:rPr>
        <w:t>PM</w:t>
      </w:r>
      <w:r>
        <w:rPr>
          <w:rFonts w:eastAsiaTheme="minorEastAsia"/>
          <w:sz w:val="24"/>
          <w:vertAlign w:val="subscript"/>
        </w:rPr>
        <w:t>2.5</w:t>
      </w:r>
      <w:r>
        <w:rPr>
          <w:rFonts w:hAnsiTheme="minorEastAsia" w:eastAsiaTheme="minorEastAsia"/>
          <w:sz w:val="24"/>
        </w:rPr>
        <w:t>年均值均超过环境空气质量二级标准</w:t>
      </w:r>
      <w:r>
        <w:rPr>
          <w:rFonts w:hAnsiTheme="minorEastAsia" w:eastAsiaTheme="minorEastAsia"/>
          <w:kern w:val="0"/>
          <w:sz w:val="24"/>
        </w:rPr>
        <w:t>，</w:t>
      </w:r>
      <w:r>
        <w:rPr>
          <w:rFonts w:eastAsiaTheme="minorEastAsia"/>
          <w:kern w:val="0"/>
          <w:sz w:val="24"/>
        </w:rPr>
        <w:t>SO</w:t>
      </w:r>
      <w:r>
        <w:rPr>
          <w:rFonts w:eastAsiaTheme="minorEastAsia"/>
          <w:kern w:val="0"/>
          <w:sz w:val="24"/>
          <w:vertAlign w:val="subscript"/>
        </w:rPr>
        <w:t>2</w:t>
      </w:r>
      <w:r>
        <w:rPr>
          <w:rFonts w:hAnsiTheme="minorEastAsia" w:eastAsiaTheme="minorEastAsia"/>
          <w:kern w:val="0"/>
          <w:sz w:val="24"/>
        </w:rPr>
        <w:t>占标率为</w:t>
      </w:r>
      <w:r>
        <w:rPr>
          <w:rFonts w:hint="eastAsia" w:eastAsiaTheme="minorEastAsia"/>
          <w:kern w:val="0"/>
          <w:sz w:val="24"/>
        </w:rPr>
        <w:t>61.67</w:t>
      </w:r>
      <w:r>
        <w:rPr>
          <w:rFonts w:eastAsiaTheme="minorEastAsia"/>
          <w:kern w:val="0"/>
          <w:sz w:val="24"/>
        </w:rPr>
        <w:t>%</w:t>
      </w:r>
      <w:r>
        <w:rPr>
          <w:rFonts w:hAnsiTheme="minorEastAsia" w:eastAsiaTheme="minorEastAsia"/>
          <w:kern w:val="0"/>
          <w:sz w:val="24"/>
        </w:rPr>
        <w:t>，</w:t>
      </w:r>
      <w:r>
        <w:rPr>
          <w:rFonts w:eastAsiaTheme="minorEastAsia"/>
          <w:sz w:val="24"/>
        </w:rPr>
        <w:t>NO</w:t>
      </w:r>
      <w:r>
        <w:rPr>
          <w:rFonts w:eastAsiaTheme="minorEastAsia"/>
          <w:sz w:val="24"/>
          <w:vertAlign w:val="subscript"/>
        </w:rPr>
        <w:t>2</w:t>
      </w:r>
      <w:r>
        <w:rPr>
          <w:rFonts w:hAnsiTheme="minorEastAsia" w:eastAsiaTheme="minorEastAsia"/>
          <w:kern w:val="0"/>
          <w:sz w:val="24"/>
        </w:rPr>
        <w:t>占标率为</w:t>
      </w:r>
      <w:r>
        <w:rPr>
          <w:rFonts w:hint="eastAsia" w:eastAsiaTheme="minorEastAsia"/>
          <w:kern w:val="0"/>
          <w:sz w:val="24"/>
        </w:rPr>
        <w:t>75.00</w:t>
      </w:r>
      <w:r>
        <w:rPr>
          <w:rFonts w:eastAsiaTheme="minorEastAsia"/>
          <w:kern w:val="0"/>
          <w:sz w:val="24"/>
        </w:rPr>
        <w:t>%</w:t>
      </w:r>
      <w:r>
        <w:rPr>
          <w:rFonts w:hAnsiTheme="minorEastAsia" w:eastAsiaTheme="minorEastAsia"/>
          <w:kern w:val="0"/>
          <w:sz w:val="24"/>
        </w:rPr>
        <w:t>，</w:t>
      </w:r>
      <w:r>
        <w:rPr>
          <w:rFonts w:eastAsiaTheme="minorEastAsia"/>
          <w:kern w:val="0"/>
          <w:sz w:val="24"/>
        </w:rPr>
        <w:t>CO</w:t>
      </w:r>
      <w:r>
        <w:rPr>
          <w:rFonts w:hAnsiTheme="minorEastAsia" w:eastAsiaTheme="minorEastAsia"/>
          <w:kern w:val="0"/>
          <w:sz w:val="24"/>
        </w:rPr>
        <w:t>占标率为</w:t>
      </w:r>
      <w:r>
        <w:rPr>
          <w:rFonts w:hint="eastAsia" w:eastAsiaTheme="minorEastAsia"/>
          <w:kern w:val="0"/>
          <w:sz w:val="24"/>
        </w:rPr>
        <w:t>42.50</w:t>
      </w:r>
      <w:r>
        <w:rPr>
          <w:rFonts w:eastAsiaTheme="minorEastAsia"/>
          <w:kern w:val="0"/>
          <w:sz w:val="24"/>
        </w:rPr>
        <w:t>%</w:t>
      </w:r>
      <w:r>
        <w:rPr>
          <w:rFonts w:hAnsiTheme="minorEastAsia" w:eastAsiaTheme="minorEastAsia"/>
          <w:kern w:val="0"/>
          <w:sz w:val="24"/>
        </w:rPr>
        <w:t>，</w:t>
      </w:r>
      <w:r>
        <w:rPr>
          <w:rFonts w:hAnsiTheme="minorEastAsia" w:eastAsiaTheme="minorEastAsia"/>
          <w:sz w:val="24"/>
        </w:rPr>
        <w:t>，</w:t>
      </w:r>
      <w:r>
        <w:rPr>
          <w:rFonts w:eastAsiaTheme="minorEastAsia"/>
          <w:kern w:val="0"/>
          <w:sz w:val="24"/>
        </w:rPr>
        <w:t>O</w:t>
      </w:r>
      <w:r>
        <w:rPr>
          <w:rFonts w:eastAsiaTheme="minorEastAsia"/>
          <w:kern w:val="0"/>
          <w:sz w:val="24"/>
          <w:vertAlign w:val="subscript"/>
        </w:rPr>
        <w:t>3</w:t>
      </w:r>
      <w:r>
        <w:rPr>
          <w:rFonts w:hAnsiTheme="minorEastAsia" w:eastAsiaTheme="minorEastAsia"/>
          <w:kern w:val="0"/>
          <w:sz w:val="24"/>
        </w:rPr>
        <w:t>占标率为</w:t>
      </w:r>
      <w:r>
        <w:rPr>
          <w:rFonts w:hint="eastAsia" w:eastAsiaTheme="minorEastAsia"/>
          <w:kern w:val="0"/>
          <w:sz w:val="24"/>
        </w:rPr>
        <w:t>85.63</w:t>
      </w:r>
      <w:r>
        <w:rPr>
          <w:rFonts w:eastAsiaTheme="minorEastAsia"/>
          <w:kern w:val="0"/>
          <w:sz w:val="24"/>
        </w:rPr>
        <w:t>%</w:t>
      </w:r>
      <w:r>
        <w:rPr>
          <w:rFonts w:hint="eastAsia" w:eastAsiaTheme="minorEastAsia"/>
          <w:kern w:val="0"/>
          <w:sz w:val="24"/>
        </w:rPr>
        <w:t>。</w:t>
      </w:r>
      <w:r>
        <w:rPr>
          <w:rFonts w:hAnsiTheme="minorEastAsia" w:eastAsiaTheme="minorEastAsia"/>
          <w:sz w:val="24"/>
        </w:rPr>
        <w:t>由此可见，</w:t>
      </w:r>
      <w:r>
        <w:rPr>
          <w:rFonts w:hAnsiTheme="minorEastAsia" w:eastAsiaTheme="minorEastAsia"/>
          <w:kern w:val="0"/>
          <w:sz w:val="24"/>
        </w:rPr>
        <w:t>本区环境空气质量不达标。</w:t>
      </w:r>
    </w:p>
    <w:p>
      <w:pPr>
        <w:pStyle w:val="39"/>
        <w:rPr>
          <w:rFonts w:ascii="Times New Roman" w:hAnsi="Times New Roman" w:eastAsiaTheme="minorEastAsia"/>
          <w:bCs/>
        </w:rPr>
      </w:pPr>
      <w:r>
        <w:rPr>
          <w:rFonts w:ascii="Times New Roman" w:hAnsi="Times New Roman" w:eastAsiaTheme="minorEastAsia"/>
          <w:bCs/>
        </w:rPr>
        <w:t>（2）TSP 环境空气现状</w:t>
      </w:r>
      <w:r>
        <w:rPr>
          <w:rFonts w:hint="eastAsia" w:ascii="Times New Roman" w:hAnsi="Times New Roman" w:eastAsiaTheme="minorEastAsia"/>
          <w:bCs/>
        </w:rPr>
        <w:t>补充</w:t>
      </w:r>
      <w:r>
        <w:rPr>
          <w:rFonts w:ascii="Times New Roman" w:hAnsi="Times New Roman" w:eastAsiaTheme="minorEastAsia"/>
          <w:bCs/>
        </w:rPr>
        <w:t>监测</w:t>
      </w:r>
    </w:p>
    <w:p>
      <w:pPr>
        <w:spacing w:line="360" w:lineRule="auto"/>
        <w:ind w:firstLine="480" w:firstLineChars="200"/>
        <w:textAlignment w:val="baseline"/>
        <w:rPr>
          <w:rFonts w:eastAsiaTheme="minorEastAsia"/>
          <w:sz w:val="24"/>
        </w:rPr>
      </w:pPr>
      <w:r>
        <w:rPr>
          <w:rFonts w:eastAsiaTheme="minorEastAsia"/>
          <w:sz w:val="24"/>
        </w:rPr>
        <w:t>根据</w:t>
      </w:r>
      <w:r>
        <w:rPr>
          <w:rFonts w:hint="eastAsia" w:eastAsiaTheme="minorEastAsia"/>
          <w:sz w:val="24"/>
        </w:rPr>
        <w:t>补充</w:t>
      </w:r>
      <w:r>
        <w:rPr>
          <w:rFonts w:eastAsiaTheme="minorEastAsia"/>
          <w:sz w:val="24"/>
        </w:rPr>
        <w:t>监测结果可知，其浓度范围为</w:t>
      </w:r>
      <w:r>
        <w:rPr>
          <w:rFonts w:hint="eastAsia" w:eastAsiaTheme="minorEastAsia"/>
          <w:sz w:val="24"/>
        </w:rPr>
        <w:t xml:space="preserve">    </w:t>
      </w:r>
      <w:r>
        <w:rPr>
          <w:rFonts w:eastAsiaTheme="minorEastAsia"/>
          <w:sz w:val="24"/>
        </w:rPr>
        <w:t>mg/Nm</w:t>
      </w:r>
      <w:r>
        <w:rPr>
          <w:rFonts w:eastAsiaTheme="minorEastAsia"/>
          <w:sz w:val="24"/>
          <w:vertAlign w:val="superscript"/>
        </w:rPr>
        <w:t>3</w:t>
      </w:r>
      <w:r>
        <w:rPr>
          <w:rFonts w:eastAsiaTheme="minorEastAsia"/>
          <w:sz w:val="24"/>
        </w:rPr>
        <w:t>之间，最大浓度占标率</w:t>
      </w:r>
      <w:r>
        <w:rPr>
          <w:rFonts w:hint="eastAsia" w:eastAsiaTheme="minorEastAsia"/>
          <w:sz w:val="24"/>
        </w:rPr>
        <w:t xml:space="preserve">    </w:t>
      </w:r>
      <w:r>
        <w:rPr>
          <w:rFonts w:eastAsiaTheme="minorEastAsia"/>
          <w:sz w:val="24"/>
        </w:rPr>
        <w:t>，各监测值均可达到环境空气质量二级标准（300μg/Nm</w:t>
      </w:r>
      <w:r>
        <w:rPr>
          <w:rFonts w:eastAsiaTheme="minorEastAsia"/>
          <w:sz w:val="24"/>
          <w:vertAlign w:val="superscript"/>
        </w:rPr>
        <w:t>3</w:t>
      </w:r>
      <w:r>
        <w:rPr>
          <w:rFonts w:eastAsiaTheme="minorEastAsia"/>
          <w:sz w:val="24"/>
        </w:rPr>
        <w:t>）。</w:t>
      </w:r>
    </w:p>
    <w:p>
      <w:pPr>
        <w:pStyle w:val="4"/>
        <w:spacing w:before="0" w:after="0" w:line="360" w:lineRule="auto"/>
        <w:rPr>
          <w:rFonts w:eastAsiaTheme="minorEastAsia"/>
          <w:sz w:val="24"/>
          <w:szCs w:val="24"/>
        </w:rPr>
      </w:pPr>
      <w:r>
        <w:rPr>
          <w:rFonts w:eastAsiaTheme="minorEastAsia"/>
          <w:sz w:val="24"/>
          <w:szCs w:val="24"/>
        </w:rPr>
        <w:t>9.2.2地表水环境质量现状</w:t>
      </w:r>
    </w:p>
    <w:p>
      <w:pPr>
        <w:pStyle w:val="10"/>
        <w:spacing w:after="0" w:line="500" w:lineRule="exact"/>
        <w:ind w:firstLine="480" w:firstLineChars="200"/>
      </w:pPr>
      <w:r>
        <w:rPr>
          <w:rFonts w:hint="eastAsia"/>
          <w:sz w:val="24"/>
        </w:rPr>
        <w:t>项目所在区域地表水系属于湫水河，本项目矿区范围内没有河流。根据监测结果可知，湫水河各监测断面的各监测因子均达到了《地表水环境质量标准》（</w:t>
      </w:r>
      <w:r>
        <w:rPr>
          <w:sz w:val="24"/>
        </w:rPr>
        <w:t>GB3838-2002</w:t>
      </w:r>
      <w:r>
        <w:rPr>
          <w:rFonts w:hint="eastAsia"/>
          <w:sz w:val="24"/>
        </w:rPr>
        <w:t>）中</w:t>
      </w:r>
      <w:r>
        <w:rPr>
          <w:sz w:val="24"/>
        </w:rPr>
        <w:fldChar w:fldCharType="begin"/>
      </w:r>
      <w:r>
        <w:rPr>
          <w:sz w:val="24"/>
        </w:rPr>
        <w:instrText xml:space="preserve"> = 4 \* ROMAN \* MERGEFORMAT </w:instrText>
      </w:r>
      <w:r>
        <w:rPr>
          <w:sz w:val="24"/>
        </w:rPr>
        <w:fldChar w:fldCharType="separate"/>
      </w:r>
      <w:r>
        <w:rPr>
          <w:sz w:val="24"/>
        </w:rPr>
        <w:t>IV</w:t>
      </w:r>
      <w:r>
        <w:rPr>
          <w:sz w:val="24"/>
        </w:rPr>
        <w:fldChar w:fldCharType="end"/>
      </w:r>
      <w:r>
        <w:rPr>
          <w:rFonts w:hint="eastAsia"/>
          <w:sz w:val="24"/>
        </w:rPr>
        <w:t>类水质标准。</w:t>
      </w:r>
    </w:p>
    <w:p>
      <w:pPr>
        <w:pStyle w:val="4"/>
        <w:spacing w:before="0" w:after="0" w:line="360" w:lineRule="auto"/>
        <w:rPr>
          <w:rFonts w:eastAsiaTheme="minorEastAsia"/>
          <w:sz w:val="24"/>
          <w:szCs w:val="24"/>
        </w:rPr>
      </w:pPr>
      <w:r>
        <w:rPr>
          <w:rFonts w:eastAsiaTheme="minorEastAsia"/>
          <w:sz w:val="24"/>
          <w:szCs w:val="24"/>
        </w:rPr>
        <w:t>9.2.3地下水环境质量现状</w:t>
      </w:r>
    </w:p>
    <w:p>
      <w:pPr>
        <w:pStyle w:val="68"/>
        <w:rPr>
          <w:rFonts w:hAnsi="Times New Roman" w:cs="Times New Roman" w:eastAsiaTheme="minorEastAsia"/>
          <w:szCs w:val="24"/>
        </w:rPr>
      </w:pPr>
      <w:r>
        <w:rPr>
          <w:rFonts w:hAnsi="Times New Roman" w:cs="Times New Roman" w:eastAsiaTheme="minorEastAsia"/>
          <w:szCs w:val="24"/>
        </w:rPr>
        <w:t>根据</w:t>
      </w:r>
      <w:r>
        <w:rPr>
          <w:rFonts w:hint="eastAsia" w:hAnsi="Times New Roman" w:cs="Times New Roman" w:eastAsiaTheme="minorEastAsia"/>
          <w:szCs w:val="24"/>
        </w:rPr>
        <w:t>监测</w:t>
      </w:r>
      <w:r>
        <w:rPr>
          <w:rFonts w:hAnsi="Times New Roman" w:cs="Times New Roman" w:eastAsiaTheme="minorEastAsia"/>
          <w:szCs w:val="24"/>
        </w:rPr>
        <w:t>结果，各监测点位各项指标都达到了《地下水质量标准》（GB/T14848-93）</w:t>
      </w:r>
      <w:r>
        <w:rPr>
          <w:rFonts w:hint="eastAsia" w:ascii="宋体"/>
          <w:szCs w:val="24"/>
        </w:rPr>
        <w:t>Ⅲ</w:t>
      </w:r>
      <w:r>
        <w:rPr>
          <w:rFonts w:hAnsi="Times New Roman" w:cs="Times New Roman" w:eastAsiaTheme="minorEastAsia"/>
          <w:szCs w:val="24"/>
        </w:rPr>
        <w:t>类水质标准。评价区域地下水质量较好，受污染程度较低。</w:t>
      </w:r>
    </w:p>
    <w:p>
      <w:pPr>
        <w:pStyle w:val="4"/>
        <w:spacing w:before="0" w:after="0" w:line="360" w:lineRule="auto"/>
        <w:rPr>
          <w:rFonts w:eastAsiaTheme="minorEastAsia"/>
          <w:sz w:val="24"/>
          <w:szCs w:val="24"/>
        </w:rPr>
      </w:pPr>
      <w:r>
        <w:rPr>
          <w:rFonts w:eastAsiaTheme="minorEastAsia"/>
          <w:sz w:val="24"/>
          <w:szCs w:val="24"/>
        </w:rPr>
        <w:t>9.2.4声环境质量现状</w:t>
      </w:r>
    </w:p>
    <w:p>
      <w:pPr>
        <w:spacing w:line="360" w:lineRule="auto"/>
        <w:ind w:firstLine="480" w:firstLineChars="200"/>
        <w:rPr>
          <w:rFonts w:eastAsiaTheme="minorEastAsia"/>
          <w:sz w:val="24"/>
        </w:rPr>
      </w:pPr>
      <w:r>
        <w:rPr>
          <w:rFonts w:eastAsiaTheme="minorEastAsia"/>
          <w:sz w:val="24"/>
        </w:rPr>
        <w:t>根据监测结果可知，场地场地各监测点噪声均满足《工业企业厂界环境噪声排放标准》(GB12348-2008)2类标准；</w:t>
      </w:r>
      <w:r>
        <w:rPr>
          <w:rFonts w:hint="eastAsia" w:eastAsiaTheme="minorEastAsia"/>
          <w:sz w:val="24"/>
        </w:rPr>
        <w:t>高家庄</w:t>
      </w:r>
      <w:r>
        <w:rPr>
          <w:rFonts w:eastAsiaTheme="minorEastAsia"/>
          <w:sz w:val="24"/>
        </w:rPr>
        <w:t>村昼夜噪声均未超过《声环境质量标准》（GB3096-2008）中1类标准。</w:t>
      </w:r>
    </w:p>
    <w:p>
      <w:pPr>
        <w:pStyle w:val="4"/>
        <w:spacing w:before="0" w:after="0" w:line="360" w:lineRule="auto"/>
        <w:rPr>
          <w:rFonts w:eastAsiaTheme="minorEastAsia"/>
          <w:sz w:val="24"/>
          <w:szCs w:val="24"/>
        </w:rPr>
      </w:pPr>
      <w:r>
        <w:rPr>
          <w:rFonts w:eastAsiaTheme="minorEastAsia"/>
          <w:sz w:val="24"/>
          <w:szCs w:val="24"/>
        </w:rPr>
        <w:t>9.2.5土壤环境质量现状</w:t>
      </w:r>
    </w:p>
    <w:p>
      <w:pPr>
        <w:spacing w:line="360" w:lineRule="auto"/>
        <w:ind w:firstLine="480" w:firstLineChars="200"/>
        <w:rPr>
          <w:rFonts w:eastAsiaTheme="minorEastAsia"/>
          <w:sz w:val="24"/>
        </w:rPr>
      </w:pPr>
      <w:r>
        <w:rPr>
          <w:rFonts w:eastAsiaTheme="minorEastAsia"/>
          <w:sz w:val="24"/>
        </w:rPr>
        <w:t>本项目存在污染的场地主要有工业广场的储煤场、矿井水处理站、</w:t>
      </w:r>
      <w:r>
        <w:rPr>
          <w:rFonts w:hint="eastAsia" w:eastAsiaTheme="minorEastAsia"/>
          <w:sz w:val="24"/>
        </w:rPr>
        <w:t>危废暂存间和</w:t>
      </w:r>
      <w:r>
        <w:rPr>
          <w:rFonts w:eastAsiaTheme="minorEastAsia"/>
          <w:sz w:val="24"/>
        </w:rPr>
        <w:t>生活污水处理站，</w:t>
      </w:r>
      <w:r>
        <w:rPr>
          <w:rFonts w:hint="eastAsia" w:eastAsiaTheme="minorEastAsia"/>
          <w:sz w:val="24"/>
        </w:rPr>
        <w:t>临时矸石堆场</w:t>
      </w:r>
      <w:r>
        <w:rPr>
          <w:rFonts w:eastAsiaTheme="minorEastAsia"/>
          <w:sz w:val="24"/>
        </w:rPr>
        <w:t>等。</w:t>
      </w:r>
    </w:p>
    <w:p>
      <w:pPr>
        <w:spacing w:line="360" w:lineRule="auto"/>
        <w:ind w:firstLine="480" w:firstLineChars="200"/>
        <w:rPr>
          <w:rFonts w:eastAsiaTheme="minorEastAsia"/>
          <w:sz w:val="24"/>
        </w:rPr>
      </w:pPr>
      <w:r>
        <w:rPr>
          <w:rFonts w:hint="eastAsia" w:eastAsiaTheme="minorEastAsia"/>
          <w:sz w:val="24"/>
        </w:rPr>
        <w:t>污染影响型土壤现状监测：</w:t>
      </w:r>
      <w:r>
        <w:rPr>
          <w:rFonts w:eastAsiaTheme="minorEastAsia"/>
          <w:sz w:val="24"/>
        </w:rPr>
        <w:t>根据监测结果，</w:t>
      </w:r>
      <w:r>
        <w:rPr>
          <w:rFonts w:hint="eastAsia" w:eastAsiaTheme="minorEastAsia"/>
          <w:sz w:val="24"/>
        </w:rPr>
        <w:t>工业场地及各风井场地</w:t>
      </w:r>
      <w:r>
        <w:rPr>
          <w:rFonts w:eastAsiaTheme="minorEastAsia"/>
          <w:sz w:val="24"/>
        </w:rPr>
        <w:t>各监测点各项指标均未超过《土壤环境质量标准 建设用地土壤污染风险管控标准（试行）》（GB36600-2018）中第二类用地筛选值标准</w:t>
      </w:r>
      <w:r>
        <w:rPr>
          <w:rFonts w:hint="eastAsia" w:eastAsiaTheme="minorEastAsia"/>
          <w:sz w:val="24"/>
        </w:rPr>
        <w:t>，</w:t>
      </w:r>
      <w:r>
        <w:rPr>
          <w:rFonts w:eastAsiaTheme="minorEastAsia"/>
          <w:sz w:val="24"/>
        </w:rPr>
        <w:t xml:space="preserve">各场地外各监测点均未超过《土壤环境质量标准 </w:t>
      </w:r>
      <w:r>
        <w:rPr>
          <w:rFonts w:hint="eastAsia" w:eastAsiaTheme="minorEastAsia"/>
          <w:sz w:val="24"/>
        </w:rPr>
        <w:t>农</w:t>
      </w:r>
      <w:r>
        <w:rPr>
          <w:rFonts w:eastAsiaTheme="minorEastAsia"/>
          <w:sz w:val="24"/>
        </w:rPr>
        <w:t>用地土壤污染风险管控标准（试行）》（GB15618-2018）</w:t>
      </w:r>
      <w:r>
        <w:rPr>
          <w:rFonts w:hint="eastAsia" w:eastAsiaTheme="minorEastAsia"/>
          <w:sz w:val="24"/>
        </w:rPr>
        <w:t>表1中农用地其他用地</w:t>
      </w:r>
      <w:r>
        <w:rPr>
          <w:rFonts w:eastAsiaTheme="minorEastAsia"/>
          <w:sz w:val="24"/>
        </w:rPr>
        <w:t>的筛选值标准，说明区域土壤环境质量良好。</w:t>
      </w:r>
    </w:p>
    <w:p>
      <w:pPr>
        <w:spacing w:line="360" w:lineRule="auto"/>
        <w:ind w:firstLine="480" w:firstLineChars="200"/>
        <w:rPr>
          <w:rFonts w:eastAsiaTheme="minorEastAsia"/>
          <w:sz w:val="24"/>
        </w:rPr>
      </w:pPr>
      <w:r>
        <w:rPr>
          <w:rFonts w:hint="eastAsia" w:eastAsiaTheme="minorEastAsia"/>
          <w:sz w:val="24"/>
        </w:rPr>
        <w:t>生态影响型土壤现状监测：根据监测结果，本项目位于半干旱地区，且井田范围内及周边土壤含盐量SCG为0.84~1.85g/kg，根据导则附录D.1土壤盐化分级标准可知，项目周边地区土壤盐化程度为轻度盐化区；土壤pH为7.03~8.46，根据导则附录D.2土壤酸化、碱化分级标准可知，本项目周边土壤无酸化或碱化现象。</w:t>
      </w:r>
    </w:p>
    <w:p>
      <w:pPr>
        <w:pStyle w:val="4"/>
        <w:spacing w:before="0" w:after="0" w:line="360" w:lineRule="auto"/>
        <w:rPr>
          <w:rFonts w:eastAsiaTheme="minorEastAsia"/>
          <w:sz w:val="24"/>
          <w:szCs w:val="24"/>
        </w:rPr>
      </w:pPr>
      <w:r>
        <w:rPr>
          <w:rFonts w:eastAsiaTheme="minorEastAsia"/>
          <w:sz w:val="24"/>
          <w:szCs w:val="24"/>
        </w:rPr>
        <w:t>9.2.6生态环境现状</w:t>
      </w:r>
    </w:p>
    <w:p>
      <w:pPr>
        <w:spacing w:line="360" w:lineRule="auto"/>
        <w:ind w:firstLine="480" w:firstLineChars="200"/>
        <w:rPr>
          <w:rFonts w:eastAsiaTheme="minorEastAsia"/>
          <w:sz w:val="24"/>
        </w:rPr>
      </w:pPr>
      <w:r>
        <w:rPr>
          <w:rFonts w:eastAsiaTheme="minorEastAsia"/>
          <w:sz w:val="24"/>
        </w:rPr>
        <w:t>生态评价区域土地利用类型主要为其他草地、耕地和灌木林地。评价区草地呈片状分布于井田各处，以白羊草、黄背草等次生灌草丛植被为主，以及稀疏、矮小的灌木丛，本区草地主要为中覆盖度草地。林地呈带状集中分布于井田中部，旱地以农村宅基地附近分布为主。评价区内中度侵蚀所占比例最大，其次是轻度侵蚀和强烈侵蚀，由土壤侵蚀图结合地形地势图和河流水系图，本矿水土流失类型既有水里侵蚀也有锋利侵蚀。强烈侵蚀主要分布在河流两侧和起伏较大的山脊上，轻度侵蚀主要分布在沟谷，中度侵蚀主要分布在山脉上起伏较小的山坡。</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48" w:name="_Toc71551962"/>
      <w:r>
        <w:rPr>
          <w:rFonts w:ascii="Times New Roman" w:hAnsi="Times New Roman" w:eastAsiaTheme="minorEastAsia"/>
          <w:kern w:val="44"/>
          <w:sz w:val="30"/>
          <w:szCs w:val="30"/>
        </w:rPr>
        <w:t>9.3环境影响评价</w:t>
      </w:r>
      <w:bookmarkEnd w:id="348"/>
    </w:p>
    <w:p>
      <w:pPr>
        <w:pStyle w:val="4"/>
        <w:spacing w:before="0" w:after="0" w:line="360" w:lineRule="auto"/>
        <w:rPr>
          <w:rFonts w:eastAsiaTheme="minorEastAsia"/>
          <w:sz w:val="24"/>
          <w:szCs w:val="24"/>
        </w:rPr>
      </w:pPr>
      <w:r>
        <w:rPr>
          <w:rFonts w:eastAsiaTheme="minorEastAsia"/>
          <w:sz w:val="24"/>
          <w:szCs w:val="24"/>
        </w:rPr>
        <w:t>9.3.1环境空气影响评价</w:t>
      </w:r>
    </w:p>
    <w:p>
      <w:pPr>
        <w:pStyle w:val="7"/>
        <w:spacing w:line="500" w:lineRule="exact"/>
        <w:ind w:firstLine="480" w:firstLineChars="200"/>
        <w:rPr>
          <w:kern w:val="0"/>
          <w:sz w:val="24"/>
          <w:szCs w:val="24"/>
        </w:rPr>
      </w:pPr>
      <w:r>
        <w:rPr>
          <w:rFonts w:hint="eastAsia"/>
          <w:kern w:val="0"/>
          <w:sz w:val="24"/>
          <w:szCs w:val="24"/>
        </w:rPr>
        <w:t>针对项目各大气污染源，项目配套了一一对应的环保措施。原运输道路进行硬化，设专用洒水车，定期洒水降尘，保持路面清洁和相对湿度；对外运输汽车加盖篷布，限制超载，燃气锅炉采用超低氮锅炉，各污染物均做到达标排放。</w:t>
      </w:r>
    </w:p>
    <w:p>
      <w:pPr>
        <w:pStyle w:val="4"/>
        <w:spacing w:before="0" w:after="0" w:line="360" w:lineRule="auto"/>
        <w:rPr>
          <w:rFonts w:eastAsiaTheme="minorEastAsia"/>
          <w:sz w:val="24"/>
          <w:szCs w:val="24"/>
        </w:rPr>
      </w:pPr>
      <w:r>
        <w:rPr>
          <w:rFonts w:eastAsiaTheme="minorEastAsia"/>
          <w:sz w:val="24"/>
          <w:szCs w:val="24"/>
        </w:rPr>
        <w:t>9.3.2地表水环境影响评价</w:t>
      </w:r>
    </w:p>
    <w:p>
      <w:pPr>
        <w:spacing w:line="500" w:lineRule="exact"/>
        <w:ind w:firstLine="480" w:firstLineChars="200"/>
        <w:rPr>
          <w:sz w:val="24"/>
        </w:rPr>
      </w:pPr>
      <w:r>
        <w:rPr>
          <w:rFonts w:hint="eastAsia"/>
          <w:sz w:val="24"/>
        </w:rPr>
        <w:t>根据预测结果，正常生产情况下，本项目排水经处理后各项污染物达标排放，各个断面</w:t>
      </w:r>
      <w:r>
        <w:rPr>
          <w:sz w:val="24"/>
        </w:rPr>
        <w:t>COD</w:t>
      </w:r>
      <w:r>
        <w:rPr>
          <w:rFonts w:hint="eastAsia"/>
          <w:sz w:val="24"/>
        </w:rPr>
        <w:t>、氨氮浓度均满足《地表水环境质量标准》（</w:t>
      </w:r>
      <w:r>
        <w:rPr>
          <w:sz w:val="24"/>
        </w:rPr>
        <w:t>GB3838-2002</w:t>
      </w:r>
      <w:r>
        <w:rPr>
          <w:rFonts w:hint="eastAsia"/>
          <w:sz w:val="24"/>
        </w:rPr>
        <w:t>）</w:t>
      </w:r>
      <w:r>
        <w:rPr>
          <w:sz w:val="24"/>
        </w:rPr>
        <w:fldChar w:fldCharType="begin"/>
      </w:r>
      <w:r>
        <w:rPr>
          <w:sz w:val="24"/>
        </w:rPr>
        <w:instrText xml:space="preserve"> = 4 \* ROMAN \* MERGEFORMAT </w:instrText>
      </w:r>
      <w:r>
        <w:rPr>
          <w:sz w:val="24"/>
        </w:rPr>
        <w:fldChar w:fldCharType="separate"/>
      </w:r>
      <w:r>
        <w:t>IV</w:t>
      </w:r>
      <w:r>
        <w:rPr>
          <w:sz w:val="24"/>
        </w:rPr>
        <w:fldChar w:fldCharType="end"/>
      </w:r>
      <w:r>
        <w:rPr>
          <w:rFonts w:hint="eastAsia"/>
          <w:sz w:val="24"/>
        </w:rPr>
        <w:t>类水质标准，本项目废水外排对湫水河河流水质影响较小。</w:t>
      </w:r>
    </w:p>
    <w:p>
      <w:pPr>
        <w:pStyle w:val="4"/>
        <w:spacing w:before="0" w:after="0" w:line="360" w:lineRule="auto"/>
        <w:rPr>
          <w:rFonts w:eastAsiaTheme="minorEastAsia"/>
          <w:sz w:val="24"/>
          <w:szCs w:val="24"/>
        </w:rPr>
      </w:pPr>
      <w:r>
        <w:rPr>
          <w:rFonts w:eastAsiaTheme="minorEastAsia"/>
          <w:sz w:val="24"/>
          <w:szCs w:val="24"/>
        </w:rPr>
        <w:t>9.3.3地下水环境影响评价</w:t>
      </w:r>
    </w:p>
    <w:p>
      <w:pPr>
        <w:pStyle w:val="10"/>
        <w:spacing w:after="0" w:line="500" w:lineRule="exact"/>
        <w:ind w:firstLine="480" w:firstLineChars="200"/>
        <w:rPr>
          <w:rFonts w:eastAsiaTheme="minorEastAsia"/>
          <w:sz w:val="24"/>
        </w:rPr>
      </w:pPr>
      <w:r>
        <w:rPr>
          <w:rFonts w:hint="eastAsia" w:eastAsiaTheme="minorEastAsia"/>
          <w:sz w:val="24"/>
        </w:rPr>
        <w:t>正常工况下，</w:t>
      </w:r>
      <w:r>
        <w:rPr>
          <w:rFonts w:hint="eastAsia"/>
          <w:kern w:val="0"/>
          <w:sz w:val="24"/>
        </w:rPr>
        <w:t>工业场地矿井水排入矿井水处理站，生活污水排入</w:t>
      </w:r>
      <w:r>
        <w:rPr>
          <w:rFonts w:hint="eastAsia" w:eastAsiaTheme="minorEastAsia"/>
          <w:sz w:val="24"/>
        </w:rPr>
        <w:t>生活污水处理站。生活污水</w:t>
      </w:r>
      <w:r>
        <w:rPr>
          <w:rFonts w:hint="eastAsia"/>
          <w:sz w:val="24"/>
        </w:rPr>
        <w:t>处理后回</w:t>
      </w:r>
      <w:r>
        <w:rPr>
          <w:rFonts w:hint="eastAsia"/>
          <w:bCs/>
          <w:sz w:val="24"/>
        </w:rPr>
        <w:t>用于厂区道路地面洒水抑尘、厂区绿化等，不外排，矿井水经处理后全部回用于井下生产用水、锅炉补充水及洗车平台，不外排。</w:t>
      </w:r>
    </w:p>
    <w:p>
      <w:pPr>
        <w:pStyle w:val="68"/>
        <w:spacing w:line="500" w:lineRule="exact"/>
        <w:rPr>
          <w:rFonts w:hAnsi="Times New Roman" w:cs="Times New Roman" w:eastAsiaTheme="minorEastAsia"/>
          <w:szCs w:val="24"/>
        </w:rPr>
      </w:pPr>
      <w:r>
        <w:rPr>
          <w:rFonts w:hint="eastAsia" w:hAnsi="Times New Roman" w:cs="Times New Roman" w:eastAsiaTheme="minorEastAsia"/>
          <w:szCs w:val="24"/>
        </w:rPr>
        <w:t>非正常工况下，生活污水处理站及其收集管道发生渗漏，未经处理的污、废水直接进入浅层地下水，对浅层地下水环境产生影响，受污染的浅层地下水下渗污染深层地下水。根据预测结果，对区域地下水环境影响较小。</w:t>
      </w:r>
    </w:p>
    <w:p>
      <w:pPr>
        <w:pStyle w:val="4"/>
        <w:spacing w:before="0" w:after="0" w:line="360" w:lineRule="auto"/>
        <w:rPr>
          <w:rFonts w:eastAsiaTheme="minorEastAsia"/>
          <w:sz w:val="24"/>
          <w:szCs w:val="24"/>
        </w:rPr>
      </w:pPr>
      <w:r>
        <w:rPr>
          <w:rFonts w:eastAsiaTheme="minorEastAsia"/>
          <w:sz w:val="24"/>
          <w:szCs w:val="24"/>
        </w:rPr>
        <w:t>9.3.4声环境影响评价</w:t>
      </w:r>
    </w:p>
    <w:p>
      <w:pPr>
        <w:tabs>
          <w:tab w:val="left" w:pos="0"/>
        </w:tabs>
        <w:spacing w:line="500" w:lineRule="exact"/>
        <w:ind w:firstLine="496" w:firstLineChars="200"/>
        <w:rPr>
          <w:spacing w:val="4"/>
          <w:sz w:val="24"/>
        </w:rPr>
      </w:pPr>
      <w:r>
        <w:rPr>
          <w:rFonts w:hint="eastAsia"/>
          <w:spacing w:val="4"/>
          <w:sz w:val="24"/>
        </w:rPr>
        <w:t>噪声预测结果显示，</w:t>
      </w:r>
      <w:r>
        <w:rPr>
          <w:rFonts w:hint="eastAsia"/>
          <w:sz w:val="24"/>
        </w:rPr>
        <w:t>工业场地各预测点厂界噪声值范围均可以满足《工业企业厂界环境噪声排放标准》（</w:t>
      </w:r>
      <w:r>
        <w:rPr>
          <w:sz w:val="24"/>
        </w:rPr>
        <w:t>GB12348-2008</w:t>
      </w:r>
      <w:r>
        <w:rPr>
          <w:rFonts w:hint="eastAsia"/>
          <w:sz w:val="24"/>
        </w:rPr>
        <w:t>）</w:t>
      </w:r>
      <w:r>
        <w:rPr>
          <w:sz w:val="24"/>
        </w:rPr>
        <w:t>2</w:t>
      </w:r>
      <w:r>
        <w:rPr>
          <w:rFonts w:hint="eastAsia"/>
          <w:sz w:val="24"/>
        </w:rPr>
        <w:t>类昼间</w:t>
      </w:r>
      <w:r>
        <w:rPr>
          <w:sz w:val="24"/>
        </w:rPr>
        <w:t>60dB(A)</w:t>
      </w:r>
      <w:r>
        <w:rPr>
          <w:rFonts w:hint="eastAsia"/>
          <w:sz w:val="24"/>
        </w:rPr>
        <w:t>，夜间</w:t>
      </w:r>
      <w:r>
        <w:rPr>
          <w:sz w:val="24"/>
        </w:rPr>
        <w:t>50dB(A)</w:t>
      </w:r>
      <w:r>
        <w:rPr>
          <w:rFonts w:hint="eastAsia"/>
          <w:sz w:val="24"/>
        </w:rPr>
        <w:t>的要求。敏感点噪声值可以满足《声环境质量标准》（</w:t>
      </w:r>
      <w:r>
        <w:rPr>
          <w:sz w:val="24"/>
        </w:rPr>
        <w:t>GB3096-2008</w:t>
      </w:r>
      <w:r>
        <w:rPr>
          <w:rFonts w:hint="eastAsia"/>
          <w:sz w:val="24"/>
        </w:rPr>
        <w:t>）</w:t>
      </w:r>
      <w:r>
        <w:rPr>
          <w:sz w:val="24"/>
        </w:rPr>
        <w:t>1</w:t>
      </w:r>
      <w:r>
        <w:rPr>
          <w:rFonts w:hint="eastAsia"/>
          <w:sz w:val="24"/>
        </w:rPr>
        <w:t>类标准。</w:t>
      </w:r>
    </w:p>
    <w:p>
      <w:pPr>
        <w:pStyle w:val="4"/>
        <w:spacing w:before="0" w:after="0" w:line="360" w:lineRule="auto"/>
        <w:rPr>
          <w:rFonts w:eastAsiaTheme="minorEastAsia"/>
          <w:sz w:val="24"/>
          <w:szCs w:val="24"/>
        </w:rPr>
      </w:pPr>
      <w:r>
        <w:rPr>
          <w:rFonts w:eastAsiaTheme="minorEastAsia"/>
          <w:sz w:val="24"/>
          <w:szCs w:val="24"/>
        </w:rPr>
        <w:t>9.3.5固废环境影响评价</w:t>
      </w:r>
    </w:p>
    <w:p>
      <w:pPr>
        <w:spacing w:line="500" w:lineRule="exact"/>
        <w:ind w:firstLine="480" w:firstLineChars="200"/>
        <w:rPr>
          <w:rFonts w:eastAsiaTheme="minorEastAsia"/>
          <w:sz w:val="24"/>
        </w:rPr>
      </w:pPr>
      <w:r>
        <w:rPr>
          <w:rFonts w:hint="eastAsia"/>
          <w:sz w:val="24"/>
          <w:szCs w:val="22"/>
        </w:rPr>
        <w:t>本项目运营过程中产生的固体废弃物主要为</w:t>
      </w:r>
      <w:r>
        <w:rPr>
          <w:rFonts w:hint="eastAsia" w:eastAsiaTheme="minorEastAsia"/>
          <w:sz w:val="24"/>
        </w:rPr>
        <w:t>煤炭开采过程中产生的矸石、矿井水和生活污水处理站产生的污泥、废矿物油以及生活垃圾等。</w:t>
      </w:r>
    </w:p>
    <w:p>
      <w:pPr>
        <w:spacing w:line="500" w:lineRule="exact"/>
        <w:ind w:firstLine="480" w:firstLineChars="200"/>
        <w:rPr>
          <w:spacing w:val="4"/>
          <w:sz w:val="24"/>
        </w:rPr>
      </w:pPr>
      <w:r>
        <w:rPr>
          <w:rFonts w:hint="eastAsia" w:eastAsiaTheme="minorEastAsia"/>
          <w:sz w:val="24"/>
        </w:rPr>
        <w:t>矸石</w:t>
      </w:r>
      <w:r>
        <w:rPr>
          <w:rFonts w:hint="eastAsia" w:hAnsi="宋体"/>
          <w:kern w:val="0"/>
          <w:sz w:val="24"/>
        </w:rPr>
        <w:t>全部</w:t>
      </w:r>
      <w:r>
        <w:rPr>
          <w:rFonts w:hint="eastAsia" w:hAnsiTheme="minorEastAsia" w:eastAsiaTheme="minorEastAsia"/>
          <w:sz w:val="24"/>
        </w:rPr>
        <w:t>送往山西华光发电有限责任公司综合利用</w:t>
      </w:r>
      <w:r>
        <w:rPr>
          <w:rFonts w:hint="eastAsia" w:hAnsi="宋体"/>
          <w:kern w:val="0"/>
          <w:sz w:val="24"/>
        </w:rPr>
        <w:t>，</w:t>
      </w:r>
      <w:r>
        <w:rPr>
          <w:rFonts w:hint="eastAsia" w:hAnsiTheme="minorEastAsia" w:eastAsiaTheme="minorEastAsia"/>
          <w:sz w:val="24"/>
        </w:rPr>
        <w:t>综合利用不畅的情况下，临时</w:t>
      </w:r>
      <w:r>
        <w:rPr>
          <w:rFonts w:hAnsiTheme="minorEastAsia" w:eastAsiaTheme="minorEastAsia"/>
          <w:sz w:val="24"/>
        </w:rPr>
        <w:t>运至</w:t>
      </w:r>
      <w:r>
        <w:rPr>
          <w:rFonts w:hint="eastAsia" w:hAnsiTheme="minorEastAsia" w:eastAsiaTheme="minorEastAsia"/>
          <w:sz w:val="24"/>
        </w:rPr>
        <w:t>原环评批复的临时矸石堆场填埋处理</w:t>
      </w:r>
      <w:r>
        <w:rPr>
          <w:rFonts w:hint="eastAsia" w:eastAsiaTheme="minorEastAsia"/>
          <w:sz w:val="24"/>
        </w:rPr>
        <w:t>；</w:t>
      </w:r>
      <w:r>
        <w:rPr>
          <w:rFonts w:hint="eastAsia"/>
          <w:sz w:val="24"/>
        </w:rPr>
        <w:t>矿井水处理站污泥干化后，混入末煤外售；生活污水处理站污泥定期清掏，</w:t>
      </w:r>
      <w:r>
        <w:rPr>
          <w:rFonts w:hint="eastAsia" w:eastAsiaTheme="minorEastAsia"/>
          <w:sz w:val="24"/>
        </w:rPr>
        <w:t>送往矸石场填埋</w:t>
      </w:r>
      <w:r>
        <w:rPr>
          <w:rFonts w:hint="eastAsia"/>
          <w:sz w:val="24"/>
        </w:rPr>
        <w:t>；废矿物油收集暂存于危废暂存间，委托有资质的单位进行专业处置；生活垃圾集中收集后送往当地环卫部门指定地点。</w:t>
      </w:r>
    </w:p>
    <w:p>
      <w:pPr>
        <w:pStyle w:val="4"/>
        <w:spacing w:before="0" w:after="0" w:line="360" w:lineRule="auto"/>
        <w:rPr>
          <w:rFonts w:eastAsiaTheme="minorEastAsia"/>
          <w:sz w:val="24"/>
          <w:szCs w:val="24"/>
        </w:rPr>
      </w:pPr>
      <w:r>
        <w:rPr>
          <w:rFonts w:eastAsiaTheme="minorEastAsia"/>
          <w:sz w:val="24"/>
          <w:szCs w:val="24"/>
        </w:rPr>
        <w:t>9.3.6土壤环境影响分析</w:t>
      </w:r>
    </w:p>
    <w:p>
      <w:pPr>
        <w:spacing w:line="360" w:lineRule="auto"/>
        <w:ind w:firstLine="480" w:firstLineChars="200"/>
        <w:rPr>
          <w:rFonts w:eastAsiaTheme="minorEastAsia"/>
          <w:sz w:val="24"/>
        </w:rPr>
      </w:pPr>
      <w:r>
        <w:rPr>
          <w:rFonts w:eastAsiaTheme="minorEastAsia"/>
          <w:sz w:val="24"/>
        </w:rPr>
        <w:t>本项目为污染影响型</w:t>
      </w:r>
      <w:r>
        <w:rPr>
          <w:rFonts w:hint="eastAsia" w:eastAsiaTheme="minorEastAsia"/>
          <w:sz w:val="24"/>
        </w:rPr>
        <w:t>和生态影响型</w:t>
      </w:r>
      <w:r>
        <w:rPr>
          <w:rFonts w:eastAsiaTheme="minorEastAsia"/>
          <w:sz w:val="24"/>
        </w:rPr>
        <w:t>建设项目，重点分析为运营期对项目周边区域土壤环境的影响。本项目存在污染的场地主要有主工业广场内储煤场、筛分车间、矿井水处理站、油脂库</w:t>
      </w:r>
      <w:r>
        <w:rPr>
          <w:rFonts w:hint="eastAsia" w:eastAsiaTheme="minorEastAsia"/>
          <w:sz w:val="24"/>
        </w:rPr>
        <w:t>和</w:t>
      </w:r>
      <w:r>
        <w:rPr>
          <w:rFonts w:eastAsiaTheme="minorEastAsia"/>
          <w:sz w:val="24"/>
        </w:rPr>
        <w:t>生活污水处理站等。土壤污染途径主要为有组织废气和无组织污染物通过降水、扩散和重力作用降落至地面，渗透入土壤产生影响；废水外排入河流后，再作为农业灌溉用水，土壤受到污染；固体废弃物在堆存、掩埋过程中产生的渗滤液进入到土壤，也会导致土质和土壤结构的改造，危害土壤环境。</w:t>
      </w:r>
    </w:p>
    <w:p>
      <w:pPr>
        <w:spacing w:line="360" w:lineRule="auto"/>
        <w:ind w:firstLine="480" w:firstLineChars="200"/>
        <w:rPr>
          <w:rFonts w:eastAsiaTheme="minorEastAsia"/>
          <w:sz w:val="24"/>
        </w:rPr>
      </w:pPr>
      <w:r>
        <w:rPr>
          <w:rFonts w:hint="eastAsia" w:eastAsiaTheme="minorEastAsia"/>
          <w:sz w:val="24"/>
        </w:rPr>
        <w:t>污染影响型：</w:t>
      </w:r>
      <w:r>
        <w:rPr>
          <w:rFonts w:eastAsiaTheme="minorEastAsia"/>
          <w:sz w:val="24"/>
        </w:rPr>
        <w:t>本次评价着重分析有组织粉尘通过降水、扩散和重力作用降落至地面，渗透入土壤产生影响。选择砷作为本次环评的预测因子。根据预测结果可知，项目运营期后直至服务期满后单位质量表层土壤中砷的预测值为1.43mg/kg，小于《土壤环境质量</w:t>
      </w:r>
      <w:r>
        <w:rPr>
          <w:rFonts w:hint="eastAsia" w:eastAsiaTheme="minorEastAsia"/>
          <w:sz w:val="24"/>
        </w:rPr>
        <w:t xml:space="preserve"> 农</w:t>
      </w:r>
      <w:r>
        <w:rPr>
          <w:rFonts w:eastAsiaTheme="minorEastAsia"/>
          <w:sz w:val="24"/>
        </w:rPr>
        <w:t>用地土壤污染风险管控标准（试行）》（GB15618-2018）中pH≥7.5其他用地的筛选值25mg/kg。项目对周围土壤环境的影响很小。</w:t>
      </w:r>
    </w:p>
    <w:p>
      <w:pPr>
        <w:spacing w:line="360" w:lineRule="auto"/>
        <w:ind w:firstLine="480" w:firstLineChars="200"/>
        <w:rPr>
          <w:rFonts w:eastAsiaTheme="minorEastAsia"/>
          <w:sz w:val="24"/>
        </w:rPr>
      </w:pPr>
      <w:r>
        <w:rPr>
          <w:rFonts w:hint="eastAsia" w:eastAsiaTheme="minorEastAsia"/>
          <w:sz w:val="24"/>
        </w:rPr>
        <w:t>生态影响型：本次生态影响土壤评价工作等级为三级。</w:t>
      </w:r>
      <w:r>
        <w:rPr>
          <w:rFonts w:hint="eastAsia" w:hAnsiTheme="minorEastAsia" w:eastAsiaTheme="minorEastAsia"/>
          <w:sz w:val="24"/>
        </w:rPr>
        <w:t>山西明朗检测科技有限公司</w:t>
      </w:r>
      <w:r>
        <w:rPr>
          <w:rFonts w:hAnsiTheme="minorEastAsia" w:eastAsiaTheme="minorEastAsia"/>
          <w:sz w:val="24"/>
        </w:rPr>
        <w:t>于</w:t>
      </w:r>
      <w:r>
        <w:rPr>
          <w:rFonts w:eastAsiaTheme="minorEastAsia"/>
          <w:sz w:val="24"/>
        </w:rPr>
        <w:t>20</w:t>
      </w:r>
      <w:r>
        <w:rPr>
          <w:rFonts w:hint="eastAsia" w:eastAsiaTheme="minorEastAsia"/>
          <w:sz w:val="24"/>
        </w:rPr>
        <w:t>21</w:t>
      </w:r>
      <w:r>
        <w:rPr>
          <w:rFonts w:hAnsiTheme="minorEastAsia" w:eastAsiaTheme="minorEastAsia"/>
          <w:sz w:val="24"/>
        </w:rPr>
        <w:t>年</w:t>
      </w:r>
      <w:r>
        <w:rPr>
          <w:rFonts w:hint="eastAsia" w:eastAsiaTheme="minorEastAsia"/>
          <w:sz w:val="24"/>
        </w:rPr>
        <w:t>3</w:t>
      </w:r>
      <w:r>
        <w:rPr>
          <w:rFonts w:hAnsiTheme="minorEastAsia" w:eastAsiaTheme="minorEastAsia"/>
          <w:sz w:val="24"/>
        </w:rPr>
        <w:t>月</w:t>
      </w:r>
      <w:r>
        <w:rPr>
          <w:rFonts w:hint="eastAsia" w:eastAsiaTheme="minorEastAsia"/>
          <w:sz w:val="24"/>
        </w:rPr>
        <w:t>23</w:t>
      </w:r>
      <w:r>
        <w:rPr>
          <w:rFonts w:hAnsiTheme="minorEastAsia" w:eastAsiaTheme="minorEastAsia"/>
          <w:sz w:val="24"/>
        </w:rPr>
        <w:t>日对项目区的土壤进行了现状监测</w:t>
      </w:r>
      <w:r>
        <w:rPr>
          <w:rFonts w:hint="eastAsia" w:hAnsiTheme="minorEastAsia" w:eastAsiaTheme="minorEastAsia"/>
          <w:sz w:val="24"/>
        </w:rPr>
        <w:t>，</w:t>
      </w:r>
      <w:r>
        <w:rPr>
          <w:rFonts w:hint="eastAsia" w:eastAsiaTheme="minorEastAsia"/>
          <w:sz w:val="24"/>
        </w:rPr>
        <w:t>根据监测结果，本项目位于半干旱地区，且井田范围内及周边土壤含盐量SCG为    g/kg，根据导则附录D.1土壤盐化分级标准可知，项目周边地区土壤盐化程度为轻度盐化区；土壤pH为    ，根据导则附录D.2土壤酸化、碱化分级标准可知，本项目周边土壤无酸化或碱化现象。故本项目运行不会造成土壤的酸化、碱化和盐化，对周边土壤影响很小。</w:t>
      </w:r>
    </w:p>
    <w:p>
      <w:pPr>
        <w:pStyle w:val="4"/>
        <w:spacing w:before="0" w:after="0" w:line="360" w:lineRule="auto"/>
        <w:rPr>
          <w:rFonts w:eastAsiaTheme="minorEastAsia"/>
          <w:sz w:val="24"/>
          <w:szCs w:val="24"/>
        </w:rPr>
      </w:pPr>
      <w:r>
        <w:rPr>
          <w:rFonts w:eastAsiaTheme="minorEastAsia"/>
          <w:sz w:val="24"/>
          <w:szCs w:val="24"/>
        </w:rPr>
        <w:t>9.3.7地表沉陷环境影响评价</w:t>
      </w:r>
    </w:p>
    <w:p>
      <w:pPr>
        <w:spacing w:line="440" w:lineRule="exact"/>
        <w:ind w:firstLine="480" w:firstLineChars="200"/>
        <w:rPr>
          <w:rFonts w:eastAsiaTheme="minorEastAsia"/>
          <w:sz w:val="24"/>
        </w:rPr>
      </w:pPr>
      <w:r>
        <w:rPr>
          <w:rFonts w:eastAsiaTheme="minorEastAsia"/>
          <w:sz w:val="24"/>
        </w:rPr>
        <w:t>1）地表沉陷对地下水将产生影响，</w:t>
      </w:r>
      <w:r>
        <w:rPr>
          <w:rFonts w:eastAsiaTheme="minorEastAsia"/>
          <w:bCs/>
          <w:sz w:val="24"/>
        </w:rPr>
        <w:t>评价要求在煤层开采时，坚持“预测预报、有掘必探、先探后掘、先治后采”的原则，既可以避免发生突水，保护资源，又可以保证煤矿安全生产。</w:t>
      </w:r>
    </w:p>
    <w:p>
      <w:pPr>
        <w:spacing w:line="440" w:lineRule="exact"/>
        <w:ind w:firstLine="480" w:firstLineChars="200"/>
        <w:rPr>
          <w:rFonts w:eastAsiaTheme="minorEastAsia"/>
          <w:bCs/>
          <w:sz w:val="24"/>
        </w:rPr>
      </w:pPr>
      <w:r>
        <w:rPr>
          <w:rFonts w:eastAsiaTheme="minorEastAsia"/>
          <w:sz w:val="24"/>
        </w:rPr>
        <w:t>2）地表沉陷将对地表水体产生影响，</w:t>
      </w:r>
      <w:r>
        <w:rPr>
          <w:rFonts w:eastAsiaTheme="minorEastAsia"/>
          <w:bCs/>
          <w:sz w:val="24"/>
        </w:rPr>
        <w:t>评价要求</w:t>
      </w:r>
      <w:r>
        <w:rPr>
          <w:rFonts w:eastAsiaTheme="minorEastAsia"/>
          <w:sz w:val="24"/>
        </w:rPr>
        <w:t>平时要注意及时填堵裂缝，防止下渗对地表水体可能造成影响。</w:t>
      </w:r>
    </w:p>
    <w:p>
      <w:pPr>
        <w:pStyle w:val="4"/>
        <w:spacing w:before="0" w:after="0" w:line="360" w:lineRule="auto"/>
        <w:rPr>
          <w:rFonts w:eastAsiaTheme="minorEastAsia"/>
          <w:sz w:val="24"/>
          <w:szCs w:val="24"/>
        </w:rPr>
      </w:pPr>
      <w:r>
        <w:rPr>
          <w:rFonts w:eastAsiaTheme="minorEastAsia"/>
          <w:sz w:val="24"/>
          <w:szCs w:val="24"/>
        </w:rPr>
        <w:t>9.3.8生态环境影响评价</w:t>
      </w:r>
    </w:p>
    <w:p>
      <w:pPr>
        <w:tabs>
          <w:tab w:val="left" w:pos="0"/>
        </w:tabs>
        <w:spacing w:line="500" w:lineRule="exact"/>
        <w:ind w:firstLine="496" w:firstLineChars="200"/>
        <w:rPr>
          <w:spacing w:val="4"/>
          <w:sz w:val="24"/>
        </w:rPr>
      </w:pPr>
      <w:r>
        <w:rPr>
          <w:rFonts w:hint="eastAsia"/>
          <w:spacing w:val="4"/>
          <w:sz w:val="24"/>
        </w:rPr>
        <w:t>本矿开采后，严格按照土地复垦规定进行土地复垦，恢复植被，严格执行水土保持和环评规定的治理措施的前提下，工程对评价区的生态影响可以降低到最低程度。工程建设及运营期带来的影响是区域自然体系可以承受的。</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49" w:name="_Toc71551963"/>
      <w:r>
        <w:rPr>
          <w:rFonts w:ascii="Times New Roman" w:hAnsi="Times New Roman" w:eastAsiaTheme="minorEastAsia"/>
          <w:kern w:val="44"/>
          <w:sz w:val="30"/>
          <w:szCs w:val="30"/>
        </w:rPr>
        <w:t>9.4  总量控制</w:t>
      </w:r>
      <w:bookmarkEnd w:id="349"/>
    </w:p>
    <w:p>
      <w:pPr>
        <w:pStyle w:val="149"/>
        <w:spacing w:line="360" w:lineRule="auto"/>
        <w:ind w:firstLine="480"/>
        <w:rPr>
          <w:sz w:val="24"/>
        </w:rPr>
      </w:pPr>
      <w:r>
        <w:rPr>
          <w:rFonts w:hint="eastAsia"/>
          <w:sz w:val="24"/>
        </w:rPr>
        <w:t>本项目产生的污染物主要为燃气锅炉产生的二氧化硫、氮氧化物、烟尘，需要申请的总量为烟尘</w:t>
      </w:r>
      <w:r>
        <w:rPr>
          <w:sz w:val="24"/>
        </w:rPr>
        <w:t>0.</w:t>
      </w:r>
      <w:r>
        <w:rPr>
          <w:rFonts w:hint="eastAsia"/>
          <w:sz w:val="24"/>
        </w:rPr>
        <w:t>205</w:t>
      </w:r>
      <w:r>
        <w:rPr>
          <w:sz w:val="24"/>
        </w:rPr>
        <w:t>t/a</w:t>
      </w:r>
      <w:r>
        <w:rPr>
          <w:rFonts w:hint="eastAsia"/>
          <w:sz w:val="24"/>
        </w:rPr>
        <w:t>、SO</w:t>
      </w:r>
      <w:r>
        <w:rPr>
          <w:rFonts w:hint="eastAsia"/>
          <w:sz w:val="24"/>
          <w:vertAlign w:val="subscript"/>
        </w:rPr>
        <w:t xml:space="preserve">2 </w:t>
      </w:r>
      <w:r>
        <w:rPr>
          <w:rFonts w:hint="eastAsia"/>
          <w:sz w:val="24"/>
        </w:rPr>
        <w:t>1.43</w:t>
      </w:r>
      <w:r>
        <w:rPr>
          <w:sz w:val="24"/>
        </w:rPr>
        <w:t>t/a</w:t>
      </w:r>
      <w:r>
        <w:rPr>
          <w:rFonts w:hint="eastAsia"/>
          <w:sz w:val="24"/>
        </w:rPr>
        <w:t>、</w:t>
      </w:r>
      <w:r>
        <w:rPr>
          <w:sz w:val="24"/>
        </w:rPr>
        <w:t>NOx</w:t>
      </w:r>
      <w:r>
        <w:rPr>
          <w:rFonts w:hint="eastAsia"/>
          <w:sz w:val="24"/>
        </w:rPr>
        <w:t>2.05</w:t>
      </w:r>
      <w:r>
        <w:rPr>
          <w:sz w:val="24"/>
        </w:rPr>
        <w:t>t/a</w:t>
      </w:r>
      <w:r>
        <w:rPr>
          <w:rFonts w:hint="eastAsia"/>
          <w:sz w:val="24"/>
        </w:rPr>
        <w:t>。</w:t>
      </w:r>
    </w:p>
    <w:p>
      <w:pPr>
        <w:pStyle w:val="149"/>
        <w:spacing w:line="360" w:lineRule="auto"/>
        <w:ind w:firstLine="496"/>
        <w:rPr>
          <w:spacing w:val="4"/>
          <w:sz w:val="24"/>
        </w:rPr>
      </w:pPr>
      <w:r>
        <w:rPr>
          <w:rFonts w:hint="eastAsia"/>
          <w:spacing w:val="4"/>
          <w:sz w:val="24"/>
        </w:rPr>
        <w:t>根据原吕梁市环境保护局吕环函【</w:t>
      </w:r>
      <w:r>
        <w:rPr>
          <w:spacing w:val="4"/>
          <w:sz w:val="24"/>
        </w:rPr>
        <w:t>201</w:t>
      </w:r>
      <w:r>
        <w:rPr>
          <w:rFonts w:hint="eastAsia"/>
          <w:spacing w:val="4"/>
          <w:sz w:val="24"/>
        </w:rPr>
        <w:t>2】121号文</w:t>
      </w:r>
      <w:r>
        <w:rPr>
          <w:spacing w:val="4"/>
          <w:sz w:val="24"/>
        </w:rPr>
        <w:t>“</w:t>
      </w:r>
      <w:r>
        <w:rPr>
          <w:rFonts w:hint="eastAsia"/>
          <w:spacing w:val="4"/>
          <w:sz w:val="24"/>
        </w:rPr>
        <w:t>关于</w:t>
      </w:r>
      <w:r>
        <w:rPr>
          <w:rFonts w:hint="eastAsia" w:eastAsiaTheme="minorEastAsia"/>
          <w:bCs/>
          <w:spacing w:val="4"/>
          <w:sz w:val="24"/>
        </w:rPr>
        <w:t>山西煤炭运销集团新工煤业有限公司12</w:t>
      </w:r>
      <w:r>
        <w:rPr>
          <w:rFonts w:eastAsiaTheme="minorEastAsia"/>
          <w:bCs/>
          <w:spacing w:val="4"/>
          <w:sz w:val="24"/>
        </w:rPr>
        <w:t>0</w:t>
      </w:r>
      <w:r>
        <w:rPr>
          <w:rFonts w:hint="eastAsia" w:eastAsiaTheme="minorEastAsia"/>
          <w:bCs/>
          <w:spacing w:val="4"/>
          <w:sz w:val="24"/>
        </w:rPr>
        <w:t>万</w:t>
      </w:r>
      <w:r>
        <w:rPr>
          <w:rFonts w:eastAsiaTheme="minorEastAsia"/>
          <w:bCs/>
          <w:spacing w:val="4"/>
          <w:sz w:val="24"/>
        </w:rPr>
        <w:t>t/a</w:t>
      </w:r>
      <w:r>
        <w:rPr>
          <w:rFonts w:hint="eastAsia" w:eastAsiaTheme="minorEastAsia"/>
          <w:bCs/>
          <w:spacing w:val="4"/>
          <w:sz w:val="24"/>
        </w:rPr>
        <w:t>矿井兼并重组整合项目主要污染物排放总量指标的批复</w:t>
      </w:r>
      <w:r>
        <w:rPr>
          <w:spacing w:val="4"/>
          <w:sz w:val="24"/>
        </w:rPr>
        <w:t>”</w:t>
      </w:r>
      <w:r>
        <w:rPr>
          <w:rFonts w:hint="eastAsia"/>
          <w:spacing w:val="4"/>
          <w:sz w:val="24"/>
        </w:rPr>
        <w:t>，核定总量为SO</w:t>
      </w:r>
      <w:r>
        <w:rPr>
          <w:rFonts w:hint="eastAsia"/>
          <w:spacing w:val="4"/>
          <w:sz w:val="24"/>
          <w:vertAlign w:val="subscript"/>
        </w:rPr>
        <w:t>2</w:t>
      </w:r>
      <w:r>
        <w:rPr>
          <w:rFonts w:hint="eastAsia"/>
          <w:spacing w:val="4"/>
          <w:sz w:val="24"/>
        </w:rPr>
        <w:t>19.61</w:t>
      </w:r>
      <w:r>
        <w:rPr>
          <w:spacing w:val="4"/>
          <w:sz w:val="24"/>
        </w:rPr>
        <w:t>t/a</w:t>
      </w:r>
      <w:r>
        <w:rPr>
          <w:rFonts w:hint="eastAsia"/>
          <w:spacing w:val="4"/>
          <w:sz w:val="24"/>
        </w:rPr>
        <w:t>、</w:t>
      </w:r>
      <w:r>
        <w:rPr>
          <w:spacing w:val="4"/>
          <w:sz w:val="24"/>
        </w:rPr>
        <w:t>NOx</w:t>
      </w:r>
      <w:r>
        <w:rPr>
          <w:rFonts w:hint="eastAsia"/>
          <w:spacing w:val="4"/>
          <w:sz w:val="24"/>
        </w:rPr>
        <w:t xml:space="preserve"> 25.04</w:t>
      </w:r>
      <w:r>
        <w:rPr>
          <w:spacing w:val="4"/>
          <w:sz w:val="24"/>
        </w:rPr>
        <w:t>t/a</w:t>
      </w:r>
      <w:r>
        <w:rPr>
          <w:rFonts w:hint="eastAsia"/>
          <w:spacing w:val="4"/>
          <w:sz w:val="24"/>
        </w:rPr>
        <w:t>，烟尘9.39</w:t>
      </w:r>
      <w:r>
        <w:rPr>
          <w:spacing w:val="4"/>
          <w:sz w:val="24"/>
        </w:rPr>
        <w:t>t/a</w:t>
      </w:r>
      <w:r>
        <w:rPr>
          <w:rFonts w:hint="eastAsia"/>
          <w:spacing w:val="4"/>
          <w:sz w:val="24"/>
        </w:rPr>
        <w:t>、粉尘3.38</w:t>
      </w:r>
      <w:r>
        <w:rPr>
          <w:spacing w:val="4"/>
          <w:sz w:val="24"/>
        </w:rPr>
        <w:t>t/a</w:t>
      </w:r>
      <w:r>
        <w:rPr>
          <w:rFonts w:hint="eastAsia"/>
          <w:spacing w:val="4"/>
          <w:sz w:val="24"/>
        </w:rPr>
        <w:t>，烟尘、二氧化硫、氮氧化物均可满足本次变更环评总量控制指标要求。</w:t>
      </w:r>
    </w:p>
    <w:p>
      <w:pPr>
        <w:pStyle w:val="149"/>
        <w:spacing w:line="360" w:lineRule="auto"/>
        <w:ind w:firstLine="496"/>
        <w:rPr>
          <w:spacing w:val="4"/>
          <w:sz w:val="24"/>
        </w:rPr>
      </w:pPr>
      <w:r>
        <w:rPr>
          <w:rFonts w:hint="eastAsia"/>
          <w:spacing w:val="4"/>
          <w:sz w:val="24"/>
        </w:rPr>
        <w:t>由此，本变更项目无需另需申请总量</w:t>
      </w:r>
      <w:r>
        <w:rPr>
          <w:rFonts w:hint="eastAsia"/>
          <w:sz w:val="24"/>
        </w:rPr>
        <w:t>。</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50" w:name="_Toc71551964"/>
      <w:r>
        <w:rPr>
          <w:rFonts w:ascii="Times New Roman" w:hAnsi="Times New Roman" w:eastAsiaTheme="minorEastAsia"/>
          <w:kern w:val="44"/>
          <w:sz w:val="30"/>
          <w:szCs w:val="30"/>
        </w:rPr>
        <w:t>9.5  环境经济损益分析</w:t>
      </w:r>
      <w:bookmarkEnd w:id="350"/>
    </w:p>
    <w:p>
      <w:pPr>
        <w:spacing w:line="360" w:lineRule="auto"/>
        <w:ind w:firstLine="480" w:firstLineChars="200"/>
        <w:jc w:val="left"/>
        <w:rPr>
          <w:rFonts w:eastAsiaTheme="minorEastAsia"/>
          <w:bCs/>
          <w:sz w:val="24"/>
        </w:rPr>
      </w:pPr>
      <w:r>
        <w:rPr>
          <w:rFonts w:eastAsiaTheme="minorEastAsia"/>
          <w:bCs/>
          <w:sz w:val="24"/>
        </w:rPr>
        <w:t>本项目实施过程中加强了对环保工程设施的投资力度，但是在建设和运行中仍不可避免会对周围群众的生活带来一定的影响。因此矿方在施工和运行阶段必须严格落实环评提出的各项环保措施，应投入</w:t>
      </w:r>
      <w:r>
        <w:rPr>
          <w:rFonts w:eastAsiaTheme="minorEastAsia"/>
          <w:sz w:val="24"/>
        </w:rPr>
        <w:t>足够</w:t>
      </w:r>
      <w:r>
        <w:rPr>
          <w:rFonts w:eastAsiaTheme="minorEastAsia"/>
          <w:bCs/>
          <w:sz w:val="24"/>
        </w:rPr>
        <w:t>的环保资金保护环境是本工程建设的前提之一。</w:t>
      </w:r>
    </w:p>
    <w:p>
      <w:pPr>
        <w:spacing w:line="360" w:lineRule="auto"/>
        <w:ind w:firstLine="480" w:firstLineChars="200"/>
        <w:jc w:val="left"/>
        <w:rPr>
          <w:rFonts w:eastAsiaTheme="minorEastAsia"/>
          <w:bCs/>
          <w:sz w:val="24"/>
        </w:rPr>
      </w:pPr>
      <w:r>
        <w:rPr>
          <w:rFonts w:eastAsiaTheme="minorEastAsia"/>
          <w:bCs/>
          <w:sz w:val="24"/>
        </w:rPr>
        <w:t>项目在采取了相应的环保治理措施后，资源、能源可得到充分的利用，环境资源损失相应减少，污染物排放量大大减少。项目建成后，污染治理设施的运行费用可与取得的环境经济效益基本持平，环保投资可取得预期的效益。环保投资在工程运行成本中所占比例较小，与建设规模和生产成本相比在减轻环境污染的同时还可取得很好的经济效益。实现社会、经济和</w:t>
      </w:r>
      <w:r>
        <w:rPr>
          <w:rFonts w:eastAsiaTheme="minorEastAsia"/>
          <w:sz w:val="24"/>
        </w:rPr>
        <w:t>环境</w:t>
      </w:r>
      <w:r>
        <w:rPr>
          <w:rFonts w:eastAsiaTheme="minorEastAsia"/>
          <w:bCs/>
          <w:sz w:val="24"/>
        </w:rPr>
        <w:t>效益的和谐统一，同时也符合经济与环境协调持续发展的原则。</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51" w:name="_Toc71551965"/>
      <w:r>
        <w:rPr>
          <w:rFonts w:ascii="Times New Roman" w:hAnsi="Times New Roman" w:eastAsiaTheme="minorEastAsia"/>
          <w:kern w:val="44"/>
          <w:sz w:val="30"/>
          <w:szCs w:val="30"/>
        </w:rPr>
        <w:t>9.6  环境管理与监测计划</w:t>
      </w:r>
      <w:bookmarkEnd w:id="351"/>
    </w:p>
    <w:p>
      <w:pPr>
        <w:spacing w:line="360" w:lineRule="auto"/>
        <w:ind w:firstLine="480" w:firstLineChars="200"/>
        <w:jc w:val="left"/>
        <w:rPr>
          <w:rFonts w:eastAsiaTheme="minorEastAsia"/>
          <w:bCs/>
          <w:sz w:val="24"/>
        </w:rPr>
      </w:pPr>
      <w:r>
        <w:rPr>
          <w:rFonts w:eastAsiaTheme="minorEastAsia"/>
          <w:bCs/>
          <w:sz w:val="24"/>
        </w:rPr>
        <w:t>项目设置了环保管理机构，设</w:t>
      </w:r>
      <w:r>
        <w:rPr>
          <w:rFonts w:hint="eastAsia" w:eastAsiaTheme="minorEastAsia"/>
          <w:bCs/>
          <w:sz w:val="24"/>
        </w:rPr>
        <w:t>综合管理部</w:t>
      </w:r>
      <w:r>
        <w:rPr>
          <w:rFonts w:eastAsiaTheme="minorEastAsia"/>
          <w:bCs/>
          <w:sz w:val="24"/>
        </w:rPr>
        <w:t>。根据环保管理的工作内容和特点，明确环保机构的职责，并制定相应的环保管理</w:t>
      </w:r>
      <w:r>
        <w:rPr>
          <w:rFonts w:eastAsiaTheme="minorEastAsia"/>
          <w:sz w:val="24"/>
        </w:rPr>
        <w:t>制度</w:t>
      </w:r>
      <w:r>
        <w:rPr>
          <w:rFonts w:eastAsiaTheme="minorEastAsia"/>
          <w:bCs/>
          <w:sz w:val="24"/>
        </w:rPr>
        <w:t>。</w:t>
      </w:r>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52" w:name="_Toc71551966"/>
      <w:r>
        <w:rPr>
          <w:rFonts w:ascii="Times New Roman" w:hAnsi="Times New Roman" w:eastAsiaTheme="minorEastAsia"/>
          <w:kern w:val="44"/>
          <w:sz w:val="30"/>
          <w:szCs w:val="30"/>
        </w:rPr>
        <w:t>9.7  公众参与</w:t>
      </w:r>
      <w:bookmarkEnd w:id="352"/>
    </w:p>
    <w:p>
      <w:pPr>
        <w:adjustRightInd w:val="0"/>
        <w:snapToGrid w:val="0"/>
        <w:spacing w:line="360" w:lineRule="auto"/>
        <w:ind w:firstLine="480" w:firstLineChars="200"/>
        <w:rPr>
          <w:rFonts w:eastAsiaTheme="minorEastAsia"/>
          <w:sz w:val="24"/>
          <w:szCs w:val="20"/>
        </w:rPr>
      </w:pPr>
      <w:bookmarkStart w:id="353" w:name="_Toc19889424"/>
      <w:r>
        <w:rPr>
          <w:rFonts w:eastAsiaTheme="minorEastAsia"/>
          <w:sz w:val="24"/>
          <w:szCs w:val="20"/>
        </w:rPr>
        <w:t>按照国家环保总局于2018年正式发布的《环境影响评价公众参与办法》中有关规定，根据建设单位对本项目进行的公众参与调查统计结果可知：本次调查未收到公众意见表，无人提反对意见，总体上反映当地群众支持本项目建设。</w:t>
      </w:r>
      <w:bookmarkEnd w:id="353"/>
    </w:p>
    <w:p>
      <w:pPr>
        <w:pStyle w:val="3"/>
        <w:tabs>
          <w:tab w:val="left" w:pos="2340"/>
          <w:tab w:val="left" w:pos="3240"/>
        </w:tabs>
        <w:spacing w:before="0" w:after="0" w:line="360" w:lineRule="auto"/>
        <w:jc w:val="left"/>
        <w:rPr>
          <w:rFonts w:ascii="Times New Roman" w:hAnsi="Times New Roman" w:eastAsiaTheme="minorEastAsia"/>
          <w:kern w:val="44"/>
          <w:sz w:val="30"/>
          <w:szCs w:val="30"/>
        </w:rPr>
      </w:pPr>
      <w:bookmarkStart w:id="354" w:name="_Toc71551967"/>
      <w:r>
        <w:rPr>
          <w:rFonts w:ascii="Times New Roman" w:hAnsi="Times New Roman" w:eastAsiaTheme="minorEastAsia"/>
          <w:kern w:val="44"/>
          <w:sz w:val="30"/>
          <w:szCs w:val="30"/>
        </w:rPr>
        <w:t>9.8  总结论</w:t>
      </w:r>
      <w:bookmarkEnd w:id="354"/>
    </w:p>
    <w:p>
      <w:pPr>
        <w:spacing w:line="360" w:lineRule="auto"/>
        <w:ind w:firstLine="496" w:firstLineChars="200"/>
        <w:jc w:val="left"/>
        <w:rPr>
          <w:rFonts w:eastAsiaTheme="minorEastAsia"/>
          <w:spacing w:val="4"/>
          <w:sz w:val="24"/>
        </w:rPr>
      </w:pPr>
      <w:r>
        <w:rPr>
          <w:rFonts w:hint="eastAsia" w:eastAsiaTheme="minorEastAsia"/>
          <w:bCs/>
          <w:spacing w:val="4"/>
          <w:sz w:val="24"/>
        </w:rPr>
        <w:t>山西煤炭运销集团新工煤业有限公司120万t/a矿井兼并重组整合项目变更</w:t>
      </w:r>
      <w:r>
        <w:rPr>
          <w:rFonts w:eastAsiaTheme="minorEastAsia"/>
          <w:spacing w:val="4"/>
          <w:sz w:val="24"/>
        </w:rPr>
        <w:t>符合国家及山西省产业政策；在认真贯彻执行国家环保法律、法规，严格落实环评规定的各项环保措施，加强环境管理情况下，污染物的排放可以满足达标排放和总量控制的要求；矿址的选择符合环境可行性的要求。因此，从合理利用资源和环境保护的角度出发，本项目的建设是可行的。</w:t>
      </w:r>
    </w:p>
    <w:p>
      <w:pPr>
        <w:pStyle w:val="77"/>
        <w:ind w:firstLine="480"/>
        <w:rPr>
          <w:rFonts w:eastAsiaTheme="minorEastAsia"/>
        </w:rPr>
      </w:pPr>
    </w:p>
    <w:p>
      <w:pPr>
        <w:rPr>
          <w:rFonts w:eastAsiaTheme="minorEastAsia"/>
        </w:rPr>
      </w:pPr>
    </w:p>
    <w:p>
      <w:pPr>
        <w:rPr>
          <w:rFonts w:eastAsiaTheme="minorEastAsia"/>
        </w:rPr>
      </w:pPr>
    </w:p>
    <w:sectPr>
      <w:pgSz w:w="11906" w:h="16838"/>
      <w:pgMar w:top="1701" w:right="1418" w:bottom="1701" w:left="1418" w:header="113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58049"/>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112</w:t>
        </w:r>
        <w:r>
          <w:rPr>
            <w:lang w:val="zh-CN"/>
          </w:rPr>
          <w:fldChar w:fldCharType="end"/>
        </w:r>
        <w:r>
          <w:rPr>
            <w:rFonts w:hint="eastAsia" w:ascii="宋体" w:hAnsi="宋体"/>
          </w:rPr>
          <w:t xml:space="preserve">                                           国环评证乙字第1335号</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58048"/>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117</w:t>
        </w:r>
        <w:r>
          <w:rPr>
            <w:lang w:val="zh-CN"/>
          </w:rPr>
          <w:fldChar w:fldCharType="end"/>
        </w:r>
        <w:r>
          <w:rPr>
            <w:rFonts w:hint="eastAsia" w:ascii="宋体" w:hAnsi="宋体"/>
          </w:rPr>
          <w:t xml:space="preserve">                        国环评证乙字第1335号</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58009"/>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134</w:t>
        </w:r>
        <w:r>
          <w:rPr>
            <w:lang w:val="zh-CN"/>
          </w:rPr>
          <w:fldChar w:fldCharType="end"/>
        </w:r>
        <w:r>
          <w:rPr>
            <w:rFonts w:hint="eastAsia" w:ascii="宋体" w:hAnsi="宋体"/>
          </w:rPr>
          <w:t xml:space="preserve">                                                国环评证乙字第1335号 </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58008"/>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167</w:t>
        </w:r>
        <w:r>
          <w:rPr>
            <w:lang w:val="zh-CN"/>
          </w:rPr>
          <w:fldChar w:fldCharType="end"/>
        </w:r>
        <w:r>
          <w:rPr>
            <w:rFonts w:hint="eastAsia" w:ascii="宋体" w:hAnsi="宋体"/>
          </w:rPr>
          <w:t xml:space="preserve">                      国环评证乙字第1335号</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85395"/>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174</w:t>
        </w:r>
        <w:r>
          <w:rPr>
            <w:lang w:val="zh-CN"/>
          </w:rPr>
          <w:fldChar w:fldCharType="end"/>
        </w:r>
        <w:r>
          <w:rPr>
            <w:rFonts w:hint="eastAsia" w:ascii="宋体" w:hAnsi="宋体"/>
          </w:rPr>
          <w:t xml:space="preserve">                                                  国环评证乙字第1335号</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76466"/>
      <w:docPartObj>
        <w:docPartGallery w:val="autotext"/>
      </w:docPartObj>
    </w:sdtPr>
    <w:sdtContent>
      <w:p>
        <w:pPr>
          <w:pStyle w:val="16"/>
          <w:pBdr>
            <w:top w:val="single" w:color="auto" w:sz="4" w:space="1"/>
          </w:pBdr>
          <w:spacing w:before="120"/>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193</w:t>
        </w:r>
        <w:r>
          <w:rPr>
            <w:lang w:val="zh-CN"/>
          </w:rPr>
          <w:fldChar w:fldCharType="end"/>
        </w:r>
        <w:r>
          <w:rPr>
            <w:rFonts w:hint="eastAsia" w:ascii="宋体" w:hAnsi="宋体"/>
          </w:rPr>
          <w:t xml:space="preserve">                        国环评证乙字第1335号</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76479"/>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207</w:t>
        </w:r>
        <w:r>
          <w:rPr>
            <w:lang w:val="zh-CN"/>
          </w:rPr>
          <w:fldChar w:fldCharType="end"/>
        </w:r>
        <w:r>
          <w:rPr>
            <w:rFonts w:hint="eastAsia" w:ascii="宋体" w:hAnsi="宋体"/>
          </w:rPr>
          <w:t xml:space="preserve">                      国环评证乙字第1335号</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57968"/>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209</w:t>
        </w:r>
        <w:r>
          <w:rPr>
            <w:lang w:val="zh-CN"/>
          </w:rPr>
          <w:fldChar w:fldCharType="end"/>
        </w:r>
        <w:r>
          <w:rPr>
            <w:rFonts w:hint="eastAsia" w:ascii="宋体" w:hAnsi="宋体"/>
          </w:rPr>
          <w:t xml:space="preserve">                                           国环评证乙字第1335号</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792125"/>
      <w:docPartObj>
        <w:docPartGallery w:val="autotext"/>
      </w:docPartObj>
    </w:sdtPr>
    <w:sdtContent>
      <w:p>
        <w:pPr>
          <w:pStyle w:val="16"/>
          <w:pBdr>
            <w:top w:val="single" w:color="auto" w:sz="4" w:space="1"/>
          </w:pBdr>
          <w:spacing w:before="120"/>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212</w:t>
        </w:r>
        <w:r>
          <w:rPr>
            <w:lang w:val="zh-CN"/>
          </w:rPr>
          <w:fldChar w:fldCharType="end"/>
        </w:r>
        <w:r>
          <w:rPr>
            <w:rFonts w:hint="eastAsia" w:ascii="宋体" w:hAnsi="宋体"/>
          </w:rPr>
          <w:t xml:space="preserve">                        国环评证乙字第1335号</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7"/>
      </w:rPr>
    </w:pPr>
    <w:r>
      <w:rPr>
        <w:rStyle w:val="27"/>
      </w:rPr>
      <w:fldChar w:fldCharType="begin"/>
    </w:r>
    <w:r>
      <w:rPr>
        <w:rStyle w:val="27"/>
      </w:rPr>
      <w:instrText xml:space="preserve">PAGE  </w:instrText>
    </w:r>
    <w:r>
      <w:rPr>
        <w:rStyle w:val="27"/>
      </w:rPr>
      <w:fldChar w:fldCharType="end"/>
    </w:r>
  </w:p>
  <w:p>
    <w:pPr>
      <w:pStyle w:val="1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04828"/>
      <w:docPartObj>
        <w:docPartGallery w:val="autotext"/>
      </w:docPartObj>
    </w:sdtPr>
    <w:sdtContent>
      <w:p>
        <w:pPr>
          <w:pStyle w:val="16"/>
          <w:pBdr>
            <w:top w:val="single" w:color="auto" w:sz="4" w:space="1"/>
          </w:pBdr>
          <w:spacing w:before="120"/>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220</w:t>
        </w:r>
        <w:r>
          <w:rPr>
            <w:lang w:val="zh-CN"/>
          </w:rPr>
          <w:fldChar w:fldCharType="end"/>
        </w:r>
        <w:r>
          <w:rPr>
            <w:rFonts w:hint="eastAsia" w:ascii="宋体" w:hAnsi="宋体"/>
          </w:rPr>
          <w:t xml:space="preserve">                                                        国环评证乙字第1335号</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04829"/>
      <w:docPartObj>
        <w:docPartGallery w:val="autotext"/>
      </w:docPartObj>
    </w:sdtPr>
    <w:sdtContent>
      <w:p>
        <w:pPr>
          <w:pStyle w:val="16"/>
          <w:pBdr>
            <w:top w:val="single" w:color="auto" w:sz="4" w:space="1"/>
          </w:pBdr>
          <w:spacing w:before="120"/>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227</w:t>
        </w:r>
        <w:r>
          <w:rPr>
            <w:lang w:val="zh-CN"/>
          </w:rPr>
          <w:fldChar w:fldCharType="end"/>
        </w:r>
        <w:r>
          <w:rPr>
            <w:rFonts w:hint="eastAsia" w:ascii="宋体" w:hAnsi="宋体"/>
          </w:rPr>
          <w:t xml:space="preserve">                        国环评证乙字第1335号</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76460"/>
      <w:docPartObj>
        <w:docPartGallery w:val="autotext"/>
      </w:docPartObj>
    </w:sdtPr>
    <w:sdtContent>
      <w:p>
        <w:pPr>
          <w:pStyle w:val="16"/>
          <w:pBdr>
            <w:top w:val="single" w:color="auto" w:sz="4" w:space="1"/>
          </w:pBdr>
          <w:spacing w:before="120"/>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4</w:t>
        </w:r>
        <w:r>
          <w:rPr>
            <w:lang w:val="zh-CN"/>
          </w:rPr>
          <w:fldChar w:fldCharType="end"/>
        </w:r>
        <w:r>
          <w:rPr>
            <w:rFonts w:hint="eastAsia" w:ascii="宋体" w:hAnsi="宋体"/>
          </w:rPr>
          <w:t xml:space="preserve">                            国环评证乙字第1335号</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76461"/>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26</w:t>
        </w:r>
        <w:r>
          <w:rPr>
            <w:lang w:val="zh-CN"/>
          </w:rPr>
          <w:fldChar w:fldCharType="end"/>
        </w:r>
        <w:r>
          <w:rPr>
            <w:rFonts w:hint="eastAsia" w:ascii="宋体" w:hAnsi="宋体"/>
          </w:rPr>
          <w:t xml:space="preserve">                                                    国环评证乙字第1335号</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76462"/>
      <w:docPartObj>
        <w:docPartGallery w:val="autotext"/>
      </w:docPartObj>
    </w:sdtPr>
    <w:sdtContent>
      <w:p>
        <w:pPr>
          <w:pStyle w:val="16"/>
          <w:pBdr>
            <w:top w:val="single" w:color="auto" w:sz="4" w:space="1"/>
          </w:pBdr>
          <w:spacing w:before="120"/>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45</w:t>
        </w:r>
        <w:r>
          <w:rPr>
            <w:lang w:val="zh-CN"/>
          </w:rPr>
          <w:fldChar w:fldCharType="end"/>
        </w:r>
        <w:r>
          <w:rPr>
            <w:rFonts w:hint="eastAsia" w:ascii="宋体" w:hAnsi="宋体"/>
          </w:rPr>
          <w:t xml:space="preserve">                        国环评证乙字第1335号</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76463"/>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61</w:t>
        </w:r>
        <w:r>
          <w:rPr>
            <w:lang w:val="zh-CN"/>
          </w:rPr>
          <w:fldChar w:fldCharType="end"/>
        </w:r>
        <w:r>
          <w:rPr>
            <w:rFonts w:hint="eastAsia" w:ascii="宋体" w:hAnsi="宋体"/>
          </w:rPr>
          <w:t xml:space="preserve">                       国环评证乙字第1335号</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210566"/>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91</w:t>
        </w:r>
        <w:r>
          <w:rPr>
            <w:lang w:val="zh-CN"/>
          </w:rPr>
          <w:fldChar w:fldCharType="end"/>
        </w:r>
        <w:r>
          <w:rPr>
            <w:rFonts w:hint="eastAsia" w:ascii="宋体" w:hAnsi="宋体"/>
          </w:rPr>
          <w:t xml:space="preserve">                                                        国环评证乙字第1335号</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76464"/>
      <w:docPartObj>
        <w:docPartGallery w:val="autotext"/>
      </w:docPartObj>
    </w:sdtPr>
    <w:sdtContent>
      <w:p>
        <w:pPr>
          <w:pStyle w:val="16"/>
          <w:pBdr>
            <w:top w:val="single" w:color="auto" w:sz="4" w:space="1"/>
          </w:pBdr>
          <w:spacing w:before="120"/>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102</w:t>
        </w:r>
        <w:r>
          <w:rPr>
            <w:lang w:val="zh-CN"/>
          </w:rPr>
          <w:fldChar w:fldCharType="end"/>
        </w:r>
        <w:r>
          <w:rPr>
            <w:rFonts w:hint="eastAsia" w:ascii="宋体" w:hAnsi="宋体"/>
          </w:rPr>
          <w:t xml:space="preserve">                         国环评证乙字第1335号</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76465"/>
      <w:docPartObj>
        <w:docPartGallery w:val="autotext"/>
      </w:docPartObj>
    </w:sdtPr>
    <w:sdtContent>
      <w:p>
        <w:pPr>
          <w:pStyle w:val="16"/>
          <w:pBdr>
            <w:top w:val="single" w:color="auto" w:sz="4" w:space="1"/>
          </w:pBdr>
          <w:spacing w:before="120"/>
          <w:jc w:val="center"/>
          <w:rPr>
            <w:rFonts w:ascii="宋体" w:hAnsi="宋体"/>
          </w:rPr>
        </w:pPr>
        <w:r>
          <w:rPr>
            <w:rFonts w:hint="eastAsia" w:ascii="宋体" w:hAnsi="宋体"/>
          </w:rPr>
          <w:t xml:space="preserve">北京绿方舟科技有限责任公司                         </w:t>
        </w:r>
        <w:r>
          <w:fldChar w:fldCharType="begin"/>
        </w:r>
        <w:r>
          <w:instrText xml:space="preserve"> PAGE   \* MERGEFORMAT </w:instrText>
        </w:r>
        <w:r>
          <w:fldChar w:fldCharType="separate"/>
        </w:r>
        <w:r>
          <w:rPr>
            <w:lang w:val="zh-CN"/>
          </w:rPr>
          <w:t>104</w:t>
        </w:r>
        <w:r>
          <w:rPr>
            <w:lang w:val="zh-CN"/>
          </w:rPr>
          <w:fldChar w:fldCharType="end"/>
        </w:r>
        <w:r>
          <w:rPr>
            <w:rFonts w:hint="eastAsia" w:ascii="宋体" w:hAnsi="宋体"/>
          </w:rPr>
          <w:t xml:space="preserve">                     国环评证乙字第1335号</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rPr>
        <w:b/>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line="300" w:lineRule="exact"/>
      <w:ind w:firstLine="310" w:firstLineChars="147"/>
      <w:jc w:val="center"/>
      <w:rPr>
        <w:rFonts w:ascii="宋体" w:hAnsi="宋体"/>
        <w:b/>
        <w:sz w:val="18"/>
      </w:rPr>
    </w:pPr>
    <w:r>
      <w:rPr>
        <w:rFonts w:hint="eastAsia"/>
        <w:b/>
      </w:rPr>
      <w:t>山西煤炭运销集团新工煤业有限公司矿井兼并重组整合项目变更</w:t>
    </w:r>
    <w:r>
      <w:rPr>
        <w:b/>
      </w:rPr>
      <w:t>环境影响报告书</w:t>
    </w:r>
    <w:r>
      <w:rPr>
        <w:rFonts w:hint="eastAsia"/>
        <w:b/>
      </w:rPr>
      <w:t xml:space="preserve">  </w:t>
    </w:r>
    <w:r>
      <w:rPr>
        <w:b/>
      </w:rPr>
      <w:pict>
        <v:line id="_x0000_s1051" o:spid="_x0000_s1051" o:spt="20" style="position:absolute;left:0pt;margin-left:-2.4pt;margin-top:15.15pt;height:0pt;width:459pt;z-index:251675648;mso-width-relative:page;mso-height-relative:page;" coordsize="21600,21600">
          <v:path arrowok="t"/>
          <v:fill focussize="0,0"/>
          <v:stroke/>
          <v:imagedata o:title=""/>
          <o:lock v:ext="edit"/>
        </v:lin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line="300" w:lineRule="exact"/>
      <w:ind w:firstLine="310" w:firstLineChars="147"/>
      <w:jc w:val="center"/>
      <w:rPr>
        <w:rFonts w:ascii="宋体" w:hAnsi="宋体"/>
        <w:b/>
        <w:sz w:val="18"/>
      </w:rPr>
    </w:pPr>
    <w:r>
      <w:rPr>
        <w:b/>
      </w:rPr>
      <w:pict>
        <v:line id="_x0000_s1054" o:spid="_x0000_s1054" o:spt="20" style="position:absolute;left:0pt;margin-left:-2.4pt;margin-top:15.15pt;height:0pt;width:672.1pt;z-index:251679744;mso-width-relative:page;mso-height-relative:page;" coordsize="21600,21600">
          <v:path arrowok="t"/>
          <v:fill focussize="0,0"/>
          <v:stroke/>
          <v:imagedata o:title=""/>
          <o:lock v:ext="edit"/>
        </v:line>
      </w:pict>
    </w:r>
    <w:r>
      <w:rPr>
        <w:rFonts w:hint="eastAsia"/>
        <w:b/>
        <w:bCs/>
      </w:rPr>
      <w:t>山西煤炭运销集团新工煤业有限公司矿井兼并重组整合项目变更</w:t>
    </w:r>
    <w:r>
      <w:rPr>
        <w:rFonts w:hint="eastAsia"/>
        <w:b/>
      </w:rPr>
      <w:t>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sz w:val="21"/>
      </w:rPr>
      <w:t>山西煤炭运销集团新工煤业有限公司矿井兼并重组整合项目变更</w:t>
    </w:r>
    <w:r>
      <w:rPr>
        <w:b/>
        <w:sz w:val="21"/>
      </w:rPr>
      <w:t>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sz w:val="21"/>
      </w:rPr>
      <w:t>山西煤炭运销集团新工煤业有限公司矿井兼并重组整合项目变更</w:t>
    </w:r>
    <w:r>
      <w:rPr>
        <w:b/>
        <w:sz w:val="21"/>
      </w:rPr>
      <w:t>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line="300" w:lineRule="exact"/>
      <w:ind w:firstLine="310" w:firstLineChars="147"/>
      <w:jc w:val="center"/>
      <w:rPr>
        <w:rFonts w:ascii="宋体" w:hAnsi="宋体"/>
        <w:b/>
        <w:sz w:val="18"/>
      </w:rPr>
    </w:pPr>
    <w:r>
      <w:rPr>
        <w:b/>
      </w:rPr>
      <w:pict>
        <v:line id="_x0000_s1053" o:spid="_x0000_s1053" o:spt="20" style="position:absolute;left:0pt;margin-left:-0.65pt;margin-top:15.15pt;height:0pt;width:458.4pt;z-index:251678720;mso-width-relative:page;mso-height-relative:page;" coordsize="21600,21600">
          <v:path arrowok="t"/>
          <v:fill focussize="0,0"/>
          <v:stroke/>
          <v:imagedata o:title=""/>
          <o:lock v:ext="edit"/>
        </v:line>
      </w:pict>
    </w:r>
    <w:r>
      <w:rPr>
        <w:rFonts w:hint="eastAsia"/>
        <w:b/>
      </w:rPr>
      <w:t>山西煤炭运销集团新工煤业有限公司矿井兼并重组整合项目变更</w:t>
    </w:r>
    <w:r>
      <w:rPr>
        <w:b/>
      </w:rPr>
      <w:t>环境影响报告书</w:t>
    </w:r>
    <w:r>
      <w:rPr>
        <w:rFonts w:hint="eastAsia"/>
        <w:b/>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line="300" w:lineRule="exact"/>
      <w:ind w:firstLine="310" w:firstLineChars="147"/>
      <w:jc w:val="center"/>
      <w:rPr>
        <w:rFonts w:ascii="宋体" w:hAnsi="宋体"/>
        <w:b/>
        <w:sz w:val="18"/>
      </w:rPr>
    </w:pPr>
    <w:r>
      <w:rPr>
        <w:b/>
      </w:rPr>
      <w:pict>
        <v:line id="_x0000_s1060" o:spid="_x0000_s1060" o:spt="20" style="position:absolute;left:0pt;margin-left:-0.65pt;margin-top:15.15pt;height:0pt;width:682.35pt;z-index:251680768;mso-width-relative:page;mso-height-relative:page;" coordsize="21600,21600">
          <v:path arrowok="t"/>
          <v:fill focussize="0,0"/>
          <v:stroke/>
          <v:imagedata o:title=""/>
          <o:lock v:ext="edit"/>
        </v:line>
      </w:pict>
    </w:r>
    <w:r>
      <w:rPr>
        <w:rFonts w:hint="eastAsia"/>
        <w:b/>
      </w:rPr>
      <w:t>山西煤炭运销集团新工煤业有限公司矿井兼并重组整合项目变更</w:t>
    </w:r>
    <w:r>
      <w:rPr>
        <w:b/>
      </w:rPr>
      <w:t>环境影响报告书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sz w:val="21"/>
      </w:rPr>
      <w:t>山西煤炭运销集团新工煤业有限公司矿井兼并重组整合项目变更</w:t>
    </w:r>
    <w:r>
      <w:rPr>
        <w:b/>
        <w:sz w:val="21"/>
      </w:rPr>
      <w:t>环境影响报告书</w:t>
    </w:r>
    <w:r>
      <w:rPr>
        <w:rFonts w:hint="eastAsia"/>
        <w:b/>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sz w:val="21"/>
      </w:rPr>
      <w:t>山西煤炭运销集团新工煤业有限公司矿井兼并重组整合项目变更</w:t>
    </w:r>
    <w:r>
      <w:rPr>
        <w:b/>
        <w:sz w:val="21"/>
      </w:rPr>
      <w:t>环境影响报告书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sz w:val="21"/>
      </w:rPr>
      <w:t>山西煤炭运销集团新工煤业有限公司矿井兼并重组整合项目变更</w:t>
    </w:r>
    <w:r>
      <w:rPr>
        <w:b/>
        <w:sz w:val="21"/>
      </w:rPr>
      <w:t>环境影响报告书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sz w:val="21"/>
      </w:rPr>
      <w:t>山西煤炭运销集团新工煤业有限公司矿井兼并重组整合项目变更</w:t>
    </w:r>
    <w:r>
      <w:rPr>
        <w:b/>
        <w:sz w:val="21"/>
      </w:rPr>
      <w:t>环境影响报告书</w:t>
    </w:r>
    <w:r>
      <w:rPr>
        <w:rFonts w:hint="eastAsia"/>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ckThinSmallGap" w:color="auto" w:sz="24" w:space="1"/>
      </w:pBdr>
      <w:jc w:val="center"/>
    </w:pPr>
    <w:r>
      <w:rPr>
        <w:b/>
      </w:rPr>
      <w:pict>
        <v:line id="_x0000_s1039" o:spid="_x0000_s1039" o:spt="20" style="position:absolute;left:0pt;margin-left:-2.4pt;margin-top:15.15pt;height:0pt;width:459pt;z-index:251659264;mso-width-relative:page;mso-height-relative:page;" coordsize="21600,21600">
          <v:path arrowok="t"/>
          <v:fill focussize="0,0"/>
          <v:stroke/>
          <v:imagedata o:title=""/>
          <o:lock v:ext="edit"/>
        </v:line>
      </w:pict>
    </w:r>
    <w:r>
      <w:rPr>
        <w:rFonts w:hint="eastAsia"/>
        <w:b/>
      </w:rPr>
      <w:t>山西煤炭运销集团新工煤业有限公司矿井兼并重组整合项目变更环境影响报告书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sz w:val="21"/>
      </w:rPr>
      <w:t>山西煤炭运销集团新工煤业有限公司矿井兼并重组整合项目变更</w:t>
    </w:r>
    <w:r>
      <w:rPr>
        <w:b/>
        <w:sz w:val="21"/>
      </w:rPr>
      <w:t>环境影响报告书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sz w:val="21"/>
      </w:rPr>
      <w:t>山西煤炭运销集团新工煤业有限公司矿井兼并重组整合项目变更</w:t>
    </w:r>
    <w:r>
      <w:rPr>
        <w:b/>
        <w:sz w:val="21"/>
      </w:rPr>
      <w:t>环境影响报告书</w:t>
    </w:r>
    <w:r>
      <w:rPr>
        <w:rFonts w:hint="eastAsia"/>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line="300" w:lineRule="exact"/>
      <w:ind w:firstLine="310" w:firstLineChars="147"/>
      <w:jc w:val="left"/>
      <w:rPr>
        <w:rFonts w:ascii="宋体" w:hAnsi="宋体"/>
        <w:b/>
        <w:sz w:val="18"/>
        <w:u w:val="single"/>
      </w:rPr>
    </w:pPr>
    <w:r>
      <w:rPr>
        <w:rFonts w:hint="eastAsia"/>
        <w:b/>
        <w:u w:val="single"/>
      </w:rPr>
      <w:t xml:space="preserve">       山西煤炭运销集团新工煤业有限公司矿井兼并重组整合项目变更</w:t>
    </w:r>
    <w:r>
      <w:rPr>
        <w:b/>
        <w:u w:val="single"/>
      </w:rPr>
      <w:t>环境影响报告书</w:t>
    </w:r>
    <w:r>
      <w:rPr>
        <w:rFonts w:hint="eastAsia"/>
        <w:b/>
        <w:u w:val="sing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u w:val="single"/>
      </w:rPr>
      <w:t xml:space="preserve">       </w:t>
    </w:r>
    <w:r>
      <w:rPr>
        <w:rFonts w:hint="eastAsia"/>
        <w:b/>
        <w:sz w:val="21"/>
        <w:u w:val="single"/>
      </w:rPr>
      <w:t>山西煤炭运销集团新工煤业有限公司矿井兼并重组整合项目变更</w:t>
    </w:r>
    <w:r>
      <w:rPr>
        <w:b/>
        <w:sz w:val="21"/>
        <w:u w:val="single"/>
      </w:rPr>
      <w:t>环境影响报告书</w:t>
    </w:r>
    <w:r>
      <w:rPr>
        <w:rFonts w:hint="eastAsia"/>
        <w:b/>
        <w:u w:val="singl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rPr>
      <w:t xml:space="preserve">       </w:t>
    </w:r>
    <w:r>
      <w:rPr>
        <w:rFonts w:hint="eastAsia"/>
        <w:b/>
        <w:sz w:val="21"/>
      </w:rPr>
      <w:t>山西煤炭运销集团新工煤业有限公司矿井兼并重组整合项目变更</w:t>
    </w:r>
    <w:r>
      <w:rPr>
        <w:b/>
        <w:sz w:val="21"/>
      </w:rPr>
      <w:t>环境影响报告书</w:t>
    </w:r>
    <w:r>
      <w:rPr>
        <w:rFonts w:hint="eastAsia"/>
        <w:b/>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sz w:val="21"/>
      </w:rPr>
      <w:t>山西煤炭运销集团新工煤业有限公司矿井兼并重组整合项目变更</w:t>
    </w:r>
    <w:r>
      <w:rPr>
        <w:b/>
        <w:sz w:val="21"/>
      </w:rPr>
      <w:t>环境影响报告书</w:t>
    </w:r>
    <w:r>
      <w:rPr>
        <w:rFonts w:hint="eastAsia"/>
        <w:b/>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line="300" w:lineRule="exact"/>
      <w:ind w:firstLine="310" w:firstLineChars="147"/>
      <w:jc w:val="center"/>
      <w:rPr>
        <w:rFonts w:ascii="宋体" w:hAnsi="宋体"/>
        <w:b/>
        <w:sz w:val="18"/>
      </w:rPr>
    </w:pPr>
    <w:r>
      <w:rPr>
        <w:b/>
      </w:rPr>
      <w:pict>
        <v:line id="_x0000_s1049" o:spid="_x0000_s1049" o:spt="20" style="position:absolute;left:0pt;margin-left:-2.4pt;margin-top:15.15pt;height:0pt;width:701.15pt;z-index:251674624;mso-width-relative:page;mso-height-relative:page;" coordsize="21600,21600">
          <v:path arrowok="t"/>
          <v:fill focussize="0,0"/>
          <v:stroke/>
          <v:imagedata o:title=""/>
          <o:lock v:ext="edit"/>
        </v:line>
      </w:pict>
    </w:r>
    <w:r>
      <w:rPr>
        <w:rFonts w:hint="eastAsia"/>
        <w:b/>
        <w:bCs/>
      </w:rPr>
      <w:t>山西煤炭运销集团新工煤业有限公司矿井兼并重组整合项目变更</w:t>
    </w:r>
    <w:r>
      <w:rPr>
        <w:rFonts w:hint="eastAsia"/>
        <w:b/>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line="300" w:lineRule="exact"/>
      <w:ind w:firstLine="310" w:firstLineChars="147"/>
      <w:jc w:val="center"/>
      <w:rPr>
        <w:rFonts w:ascii="宋体" w:hAnsi="宋体"/>
        <w:b/>
        <w:sz w:val="18"/>
      </w:rPr>
    </w:pPr>
    <w:r>
      <w:rPr>
        <w:b/>
      </w:rPr>
      <w:pict>
        <v:line id="_x0000_s1069" o:spid="_x0000_s1069" o:spt="20" style="position:absolute;left:0pt;margin-left:-1.65pt;margin-top:16.4pt;height:0pt;width:454.25pt;z-index:251681792;mso-width-relative:page;mso-height-relative:page;" coordsize="21600,21600">
          <v:path arrowok="t"/>
          <v:fill focussize="0,0"/>
          <v:stroke/>
          <v:imagedata o:title=""/>
          <o:lock v:ext="edit"/>
        </v:line>
      </w:pict>
    </w:r>
    <w:r>
      <w:rPr>
        <w:rFonts w:hint="eastAsia"/>
        <w:b/>
        <w:bCs/>
      </w:rPr>
      <w:t>山西煤炭运销集团新工煤业有限公司矿井兼并重组整合项目变更</w:t>
    </w:r>
    <w:r>
      <w:rPr>
        <w:rFonts w:hint="eastAsia"/>
        <w:b/>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E2A73"/>
    <w:multiLevelType w:val="multilevel"/>
    <w:tmpl w:val="08AE2A73"/>
    <w:lvl w:ilvl="0" w:tentative="0">
      <w:start w:val="1"/>
      <w:numFmt w:val="decimal"/>
      <w:lvlText w:val="%1、"/>
      <w:lvlJc w:val="left"/>
      <w:pPr>
        <w:ind w:left="255" w:hanging="360"/>
      </w:pPr>
    </w:lvl>
    <w:lvl w:ilvl="1" w:tentative="0">
      <w:start w:val="1"/>
      <w:numFmt w:val="lowerLetter"/>
      <w:lvlText w:val="%2)"/>
      <w:lvlJc w:val="left"/>
      <w:pPr>
        <w:ind w:left="735" w:hanging="420"/>
      </w:pPr>
    </w:lvl>
    <w:lvl w:ilvl="2" w:tentative="0">
      <w:start w:val="1"/>
      <w:numFmt w:val="lowerRoman"/>
      <w:lvlText w:val="%3."/>
      <w:lvlJc w:val="right"/>
      <w:pPr>
        <w:ind w:left="1155" w:hanging="420"/>
      </w:pPr>
    </w:lvl>
    <w:lvl w:ilvl="3" w:tentative="0">
      <w:start w:val="1"/>
      <w:numFmt w:val="decimal"/>
      <w:lvlText w:val="%4."/>
      <w:lvlJc w:val="left"/>
      <w:pPr>
        <w:ind w:left="1575" w:hanging="420"/>
      </w:pPr>
    </w:lvl>
    <w:lvl w:ilvl="4" w:tentative="0">
      <w:start w:val="1"/>
      <w:numFmt w:val="lowerLetter"/>
      <w:lvlText w:val="%5)"/>
      <w:lvlJc w:val="left"/>
      <w:pPr>
        <w:ind w:left="1995" w:hanging="420"/>
      </w:pPr>
    </w:lvl>
    <w:lvl w:ilvl="5" w:tentative="0">
      <w:start w:val="1"/>
      <w:numFmt w:val="lowerRoman"/>
      <w:lvlText w:val="%6."/>
      <w:lvlJc w:val="right"/>
      <w:pPr>
        <w:ind w:left="2415" w:hanging="420"/>
      </w:pPr>
    </w:lvl>
    <w:lvl w:ilvl="6" w:tentative="0">
      <w:start w:val="1"/>
      <w:numFmt w:val="decimal"/>
      <w:lvlText w:val="%7."/>
      <w:lvlJc w:val="left"/>
      <w:pPr>
        <w:ind w:left="2835" w:hanging="420"/>
      </w:pPr>
    </w:lvl>
    <w:lvl w:ilvl="7" w:tentative="0">
      <w:start w:val="1"/>
      <w:numFmt w:val="lowerLetter"/>
      <w:lvlText w:val="%8)"/>
      <w:lvlJc w:val="left"/>
      <w:pPr>
        <w:ind w:left="3255" w:hanging="420"/>
      </w:pPr>
    </w:lvl>
    <w:lvl w:ilvl="8" w:tentative="0">
      <w:start w:val="1"/>
      <w:numFmt w:val="lowerRoman"/>
      <w:lvlText w:val="%9."/>
      <w:lvlJc w:val="right"/>
      <w:pPr>
        <w:ind w:left="3675" w:hanging="420"/>
      </w:pPr>
    </w:lvl>
  </w:abstractNum>
  <w:abstractNum w:abstractNumId="1">
    <w:nsid w:val="37487EF5"/>
    <w:multiLevelType w:val="multilevel"/>
    <w:tmpl w:val="37487EF5"/>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0C07157"/>
    <w:multiLevelType w:val="multilevel"/>
    <w:tmpl w:val="60C07157"/>
    <w:lvl w:ilvl="0" w:tentative="0">
      <w:start w:val="1"/>
      <w:numFmt w:val="decimal"/>
      <w:lvlText w:val="%1、"/>
      <w:lvlJc w:val="left"/>
      <w:pPr>
        <w:ind w:left="255" w:hanging="360"/>
      </w:pPr>
    </w:lvl>
    <w:lvl w:ilvl="1" w:tentative="0">
      <w:start w:val="1"/>
      <w:numFmt w:val="lowerLetter"/>
      <w:lvlText w:val="%2)"/>
      <w:lvlJc w:val="left"/>
      <w:pPr>
        <w:ind w:left="735" w:hanging="420"/>
      </w:pPr>
    </w:lvl>
    <w:lvl w:ilvl="2" w:tentative="0">
      <w:start w:val="1"/>
      <w:numFmt w:val="lowerRoman"/>
      <w:lvlText w:val="%3."/>
      <w:lvlJc w:val="right"/>
      <w:pPr>
        <w:ind w:left="1155" w:hanging="420"/>
      </w:pPr>
    </w:lvl>
    <w:lvl w:ilvl="3" w:tentative="0">
      <w:start w:val="1"/>
      <w:numFmt w:val="decimal"/>
      <w:lvlText w:val="%4."/>
      <w:lvlJc w:val="left"/>
      <w:pPr>
        <w:ind w:left="1575" w:hanging="420"/>
      </w:pPr>
    </w:lvl>
    <w:lvl w:ilvl="4" w:tentative="0">
      <w:start w:val="1"/>
      <w:numFmt w:val="lowerLetter"/>
      <w:lvlText w:val="%5)"/>
      <w:lvlJc w:val="left"/>
      <w:pPr>
        <w:ind w:left="1995" w:hanging="420"/>
      </w:pPr>
    </w:lvl>
    <w:lvl w:ilvl="5" w:tentative="0">
      <w:start w:val="1"/>
      <w:numFmt w:val="lowerRoman"/>
      <w:lvlText w:val="%6."/>
      <w:lvlJc w:val="right"/>
      <w:pPr>
        <w:ind w:left="2415" w:hanging="420"/>
      </w:pPr>
    </w:lvl>
    <w:lvl w:ilvl="6" w:tentative="0">
      <w:start w:val="1"/>
      <w:numFmt w:val="decimal"/>
      <w:lvlText w:val="%7."/>
      <w:lvlJc w:val="left"/>
      <w:pPr>
        <w:ind w:left="2835" w:hanging="420"/>
      </w:pPr>
    </w:lvl>
    <w:lvl w:ilvl="7" w:tentative="0">
      <w:start w:val="1"/>
      <w:numFmt w:val="lowerLetter"/>
      <w:lvlText w:val="%8)"/>
      <w:lvlJc w:val="left"/>
      <w:pPr>
        <w:ind w:left="3255" w:hanging="420"/>
      </w:pPr>
    </w:lvl>
    <w:lvl w:ilvl="8" w:tentative="0">
      <w:start w:val="1"/>
      <w:numFmt w:val="lowerRoman"/>
      <w:lvlText w:val="%9."/>
      <w:lvlJc w:val="right"/>
      <w:pPr>
        <w:ind w:left="3675"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F3A1F"/>
    <w:rsid w:val="000000E3"/>
    <w:rsid w:val="000003FB"/>
    <w:rsid w:val="00000718"/>
    <w:rsid w:val="00000F1A"/>
    <w:rsid w:val="00001204"/>
    <w:rsid w:val="0000156D"/>
    <w:rsid w:val="00001C8D"/>
    <w:rsid w:val="0000202B"/>
    <w:rsid w:val="0000263F"/>
    <w:rsid w:val="00002687"/>
    <w:rsid w:val="00002F55"/>
    <w:rsid w:val="00003208"/>
    <w:rsid w:val="000033BC"/>
    <w:rsid w:val="00003FFC"/>
    <w:rsid w:val="0000446F"/>
    <w:rsid w:val="00004588"/>
    <w:rsid w:val="0000506E"/>
    <w:rsid w:val="0000515D"/>
    <w:rsid w:val="000052D9"/>
    <w:rsid w:val="0000554A"/>
    <w:rsid w:val="000056BC"/>
    <w:rsid w:val="00005C1C"/>
    <w:rsid w:val="00006222"/>
    <w:rsid w:val="000062ED"/>
    <w:rsid w:val="00006306"/>
    <w:rsid w:val="0000654C"/>
    <w:rsid w:val="00006F52"/>
    <w:rsid w:val="000072D7"/>
    <w:rsid w:val="0000744E"/>
    <w:rsid w:val="000075AE"/>
    <w:rsid w:val="000077FC"/>
    <w:rsid w:val="0000795C"/>
    <w:rsid w:val="00010688"/>
    <w:rsid w:val="00010DC0"/>
    <w:rsid w:val="00010E78"/>
    <w:rsid w:val="00011961"/>
    <w:rsid w:val="0001236D"/>
    <w:rsid w:val="000126DF"/>
    <w:rsid w:val="00012C09"/>
    <w:rsid w:val="00012C6A"/>
    <w:rsid w:val="00012FCD"/>
    <w:rsid w:val="00013A1D"/>
    <w:rsid w:val="000147B3"/>
    <w:rsid w:val="000149D7"/>
    <w:rsid w:val="00014E9D"/>
    <w:rsid w:val="0001524F"/>
    <w:rsid w:val="000158BC"/>
    <w:rsid w:val="00015ACF"/>
    <w:rsid w:val="00015C1D"/>
    <w:rsid w:val="0001620A"/>
    <w:rsid w:val="00016381"/>
    <w:rsid w:val="00016437"/>
    <w:rsid w:val="000167F1"/>
    <w:rsid w:val="00016CAE"/>
    <w:rsid w:val="00016DDB"/>
    <w:rsid w:val="00016E26"/>
    <w:rsid w:val="00016FC2"/>
    <w:rsid w:val="0001747F"/>
    <w:rsid w:val="00017515"/>
    <w:rsid w:val="000175AF"/>
    <w:rsid w:val="000178CC"/>
    <w:rsid w:val="00017A7E"/>
    <w:rsid w:val="00017FAD"/>
    <w:rsid w:val="000206FC"/>
    <w:rsid w:val="00020F1E"/>
    <w:rsid w:val="00021904"/>
    <w:rsid w:val="00022054"/>
    <w:rsid w:val="00022418"/>
    <w:rsid w:val="00023A6F"/>
    <w:rsid w:val="00023ACC"/>
    <w:rsid w:val="00023C22"/>
    <w:rsid w:val="00024A1C"/>
    <w:rsid w:val="00025262"/>
    <w:rsid w:val="000252E9"/>
    <w:rsid w:val="00025918"/>
    <w:rsid w:val="00025B64"/>
    <w:rsid w:val="00025CA4"/>
    <w:rsid w:val="00025E51"/>
    <w:rsid w:val="0002625C"/>
    <w:rsid w:val="00026552"/>
    <w:rsid w:val="00026A87"/>
    <w:rsid w:val="0002718B"/>
    <w:rsid w:val="00027326"/>
    <w:rsid w:val="000306A6"/>
    <w:rsid w:val="00030783"/>
    <w:rsid w:val="000308A9"/>
    <w:rsid w:val="00030E77"/>
    <w:rsid w:val="00030ED8"/>
    <w:rsid w:val="00031241"/>
    <w:rsid w:val="00031408"/>
    <w:rsid w:val="00031FBD"/>
    <w:rsid w:val="000320B0"/>
    <w:rsid w:val="0003240D"/>
    <w:rsid w:val="00032934"/>
    <w:rsid w:val="00032FC1"/>
    <w:rsid w:val="000330FE"/>
    <w:rsid w:val="000331BF"/>
    <w:rsid w:val="000332AE"/>
    <w:rsid w:val="00033879"/>
    <w:rsid w:val="00033DE5"/>
    <w:rsid w:val="00033F7D"/>
    <w:rsid w:val="000344C3"/>
    <w:rsid w:val="0003484F"/>
    <w:rsid w:val="000355ED"/>
    <w:rsid w:val="0003673A"/>
    <w:rsid w:val="00036962"/>
    <w:rsid w:val="00037468"/>
    <w:rsid w:val="000377B9"/>
    <w:rsid w:val="000378FB"/>
    <w:rsid w:val="00037A9F"/>
    <w:rsid w:val="00037BB9"/>
    <w:rsid w:val="00037D91"/>
    <w:rsid w:val="00037EBA"/>
    <w:rsid w:val="00040583"/>
    <w:rsid w:val="000407C6"/>
    <w:rsid w:val="00040895"/>
    <w:rsid w:val="00040F1E"/>
    <w:rsid w:val="00040F76"/>
    <w:rsid w:val="0004122A"/>
    <w:rsid w:val="000414C1"/>
    <w:rsid w:val="0004167C"/>
    <w:rsid w:val="000423D2"/>
    <w:rsid w:val="00042480"/>
    <w:rsid w:val="00042B55"/>
    <w:rsid w:val="00042F66"/>
    <w:rsid w:val="00043417"/>
    <w:rsid w:val="00043710"/>
    <w:rsid w:val="00043B6C"/>
    <w:rsid w:val="0004407F"/>
    <w:rsid w:val="0004424D"/>
    <w:rsid w:val="00044E56"/>
    <w:rsid w:val="00044EEB"/>
    <w:rsid w:val="00045D1E"/>
    <w:rsid w:val="00046174"/>
    <w:rsid w:val="00046255"/>
    <w:rsid w:val="00046415"/>
    <w:rsid w:val="000467E9"/>
    <w:rsid w:val="00046A45"/>
    <w:rsid w:val="000471F2"/>
    <w:rsid w:val="000472CE"/>
    <w:rsid w:val="000473A6"/>
    <w:rsid w:val="00047468"/>
    <w:rsid w:val="00047761"/>
    <w:rsid w:val="00047BBB"/>
    <w:rsid w:val="00047E8F"/>
    <w:rsid w:val="00047F04"/>
    <w:rsid w:val="000504B6"/>
    <w:rsid w:val="00050E75"/>
    <w:rsid w:val="00050F99"/>
    <w:rsid w:val="0005103C"/>
    <w:rsid w:val="00051347"/>
    <w:rsid w:val="000513F8"/>
    <w:rsid w:val="00051444"/>
    <w:rsid w:val="00051520"/>
    <w:rsid w:val="000516BD"/>
    <w:rsid w:val="000517CA"/>
    <w:rsid w:val="00051B48"/>
    <w:rsid w:val="00053787"/>
    <w:rsid w:val="00053992"/>
    <w:rsid w:val="00053A8D"/>
    <w:rsid w:val="00053EB1"/>
    <w:rsid w:val="00054063"/>
    <w:rsid w:val="000549C4"/>
    <w:rsid w:val="000551F5"/>
    <w:rsid w:val="00055207"/>
    <w:rsid w:val="000553D9"/>
    <w:rsid w:val="00055762"/>
    <w:rsid w:val="00056140"/>
    <w:rsid w:val="000563A1"/>
    <w:rsid w:val="00056F0B"/>
    <w:rsid w:val="00056F9E"/>
    <w:rsid w:val="000578E9"/>
    <w:rsid w:val="000579E7"/>
    <w:rsid w:val="00057DB7"/>
    <w:rsid w:val="000601C8"/>
    <w:rsid w:val="000606C6"/>
    <w:rsid w:val="00060A23"/>
    <w:rsid w:val="000610CD"/>
    <w:rsid w:val="000612C5"/>
    <w:rsid w:val="000618F9"/>
    <w:rsid w:val="00061A9A"/>
    <w:rsid w:val="00061AF3"/>
    <w:rsid w:val="00061C6A"/>
    <w:rsid w:val="00061D41"/>
    <w:rsid w:val="00062AFE"/>
    <w:rsid w:val="00062F4E"/>
    <w:rsid w:val="000630F0"/>
    <w:rsid w:val="00063712"/>
    <w:rsid w:val="000639C1"/>
    <w:rsid w:val="00063A93"/>
    <w:rsid w:val="00065008"/>
    <w:rsid w:val="000650D3"/>
    <w:rsid w:val="00065206"/>
    <w:rsid w:val="0006538D"/>
    <w:rsid w:val="000654EC"/>
    <w:rsid w:val="000655FB"/>
    <w:rsid w:val="00065722"/>
    <w:rsid w:val="0006622F"/>
    <w:rsid w:val="00066249"/>
    <w:rsid w:val="00066663"/>
    <w:rsid w:val="00066DF2"/>
    <w:rsid w:val="00067116"/>
    <w:rsid w:val="000677D7"/>
    <w:rsid w:val="00067F67"/>
    <w:rsid w:val="0007000F"/>
    <w:rsid w:val="00070241"/>
    <w:rsid w:val="000708AD"/>
    <w:rsid w:val="00071987"/>
    <w:rsid w:val="00071C9B"/>
    <w:rsid w:val="000724EF"/>
    <w:rsid w:val="00072519"/>
    <w:rsid w:val="00073369"/>
    <w:rsid w:val="00073981"/>
    <w:rsid w:val="000743D0"/>
    <w:rsid w:val="00074569"/>
    <w:rsid w:val="00074F48"/>
    <w:rsid w:val="0007558D"/>
    <w:rsid w:val="00075A1A"/>
    <w:rsid w:val="00075B4B"/>
    <w:rsid w:val="00076021"/>
    <w:rsid w:val="00076230"/>
    <w:rsid w:val="00076734"/>
    <w:rsid w:val="000769A5"/>
    <w:rsid w:val="00076AE5"/>
    <w:rsid w:val="00076D25"/>
    <w:rsid w:val="00076E2F"/>
    <w:rsid w:val="00077025"/>
    <w:rsid w:val="000771BA"/>
    <w:rsid w:val="000771F6"/>
    <w:rsid w:val="0007724A"/>
    <w:rsid w:val="000775C5"/>
    <w:rsid w:val="00077A44"/>
    <w:rsid w:val="00077AB0"/>
    <w:rsid w:val="0008092C"/>
    <w:rsid w:val="00081856"/>
    <w:rsid w:val="000818D7"/>
    <w:rsid w:val="00081A53"/>
    <w:rsid w:val="00081E46"/>
    <w:rsid w:val="000822B6"/>
    <w:rsid w:val="00082A9E"/>
    <w:rsid w:val="00083153"/>
    <w:rsid w:val="00083231"/>
    <w:rsid w:val="00083467"/>
    <w:rsid w:val="00083A88"/>
    <w:rsid w:val="00083C77"/>
    <w:rsid w:val="00083EC0"/>
    <w:rsid w:val="00083F0B"/>
    <w:rsid w:val="000840DE"/>
    <w:rsid w:val="00084105"/>
    <w:rsid w:val="000841DB"/>
    <w:rsid w:val="000847C3"/>
    <w:rsid w:val="000848A0"/>
    <w:rsid w:val="00084C8A"/>
    <w:rsid w:val="00084D98"/>
    <w:rsid w:val="00085368"/>
    <w:rsid w:val="0008582E"/>
    <w:rsid w:val="00085A0C"/>
    <w:rsid w:val="00085E4D"/>
    <w:rsid w:val="000862D4"/>
    <w:rsid w:val="00086F6B"/>
    <w:rsid w:val="0008708E"/>
    <w:rsid w:val="0008736C"/>
    <w:rsid w:val="00087979"/>
    <w:rsid w:val="00087BA1"/>
    <w:rsid w:val="0009036B"/>
    <w:rsid w:val="0009059A"/>
    <w:rsid w:val="00090788"/>
    <w:rsid w:val="000912A0"/>
    <w:rsid w:val="00091AE6"/>
    <w:rsid w:val="00092236"/>
    <w:rsid w:val="00092473"/>
    <w:rsid w:val="00092676"/>
    <w:rsid w:val="00092907"/>
    <w:rsid w:val="0009292E"/>
    <w:rsid w:val="00092D0A"/>
    <w:rsid w:val="0009314E"/>
    <w:rsid w:val="00093439"/>
    <w:rsid w:val="00093560"/>
    <w:rsid w:val="000936C1"/>
    <w:rsid w:val="00093ABC"/>
    <w:rsid w:val="00093B3B"/>
    <w:rsid w:val="00094BB0"/>
    <w:rsid w:val="00094E1E"/>
    <w:rsid w:val="000950B1"/>
    <w:rsid w:val="00095285"/>
    <w:rsid w:val="000952EA"/>
    <w:rsid w:val="00095357"/>
    <w:rsid w:val="00095646"/>
    <w:rsid w:val="000957D6"/>
    <w:rsid w:val="00095815"/>
    <w:rsid w:val="00096007"/>
    <w:rsid w:val="0009610E"/>
    <w:rsid w:val="00096416"/>
    <w:rsid w:val="00096E67"/>
    <w:rsid w:val="00096F9C"/>
    <w:rsid w:val="00097395"/>
    <w:rsid w:val="00097742"/>
    <w:rsid w:val="000A03B2"/>
    <w:rsid w:val="000A044D"/>
    <w:rsid w:val="000A076F"/>
    <w:rsid w:val="000A0ADA"/>
    <w:rsid w:val="000A12AB"/>
    <w:rsid w:val="000A1B31"/>
    <w:rsid w:val="000A1D82"/>
    <w:rsid w:val="000A1EB8"/>
    <w:rsid w:val="000A207F"/>
    <w:rsid w:val="000A213A"/>
    <w:rsid w:val="000A2343"/>
    <w:rsid w:val="000A2834"/>
    <w:rsid w:val="000A2CE6"/>
    <w:rsid w:val="000A3075"/>
    <w:rsid w:val="000A3132"/>
    <w:rsid w:val="000A361B"/>
    <w:rsid w:val="000A3BEB"/>
    <w:rsid w:val="000A4207"/>
    <w:rsid w:val="000A4249"/>
    <w:rsid w:val="000A438D"/>
    <w:rsid w:val="000A4570"/>
    <w:rsid w:val="000A5049"/>
    <w:rsid w:val="000A64BE"/>
    <w:rsid w:val="000A650A"/>
    <w:rsid w:val="000A6B01"/>
    <w:rsid w:val="000A6B29"/>
    <w:rsid w:val="000A6B5F"/>
    <w:rsid w:val="000A6BE5"/>
    <w:rsid w:val="000A7580"/>
    <w:rsid w:val="000A7E75"/>
    <w:rsid w:val="000B0193"/>
    <w:rsid w:val="000B0754"/>
    <w:rsid w:val="000B0824"/>
    <w:rsid w:val="000B0AEE"/>
    <w:rsid w:val="000B0DE2"/>
    <w:rsid w:val="000B1123"/>
    <w:rsid w:val="000B1BFC"/>
    <w:rsid w:val="000B2F4D"/>
    <w:rsid w:val="000B3338"/>
    <w:rsid w:val="000B33CB"/>
    <w:rsid w:val="000B34BF"/>
    <w:rsid w:val="000B3FA3"/>
    <w:rsid w:val="000B415B"/>
    <w:rsid w:val="000B435F"/>
    <w:rsid w:val="000B43DD"/>
    <w:rsid w:val="000B4B31"/>
    <w:rsid w:val="000B4DBD"/>
    <w:rsid w:val="000B54AF"/>
    <w:rsid w:val="000B580B"/>
    <w:rsid w:val="000B5A34"/>
    <w:rsid w:val="000B5D08"/>
    <w:rsid w:val="000B5D28"/>
    <w:rsid w:val="000B62BA"/>
    <w:rsid w:val="000B6582"/>
    <w:rsid w:val="000B6BA6"/>
    <w:rsid w:val="000B6BAD"/>
    <w:rsid w:val="000B7030"/>
    <w:rsid w:val="000B707D"/>
    <w:rsid w:val="000B735D"/>
    <w:rsid w:val="000B757B"/>
    <w:rsid w:val="000B76AA"/>
    <w:rsid w:val="000B7986"/>
    <w:rsid w:val="000B7A0A"/>
    <w:rsid w:val="000B7AA6"/>
    <w:rsid w:val="000B7B8D"/>
    <w:rsid w:val="000B7CE5"/>
    <w:rsid w:val="000C00B2"/>
    <w:rsid w:val="000C04E6"/>
    <w:rsid w:val="000C0798"/>
    <w:rsid w:val="000C0FBD"/>
    <w:rsid w:val="000C1311"/>
    <w:rsid w:val="000C1B1F"/>
    <w:rsid w:val="000C1DBC"/>
    <w:rsid w:val="000C2204"/>
    <w:rsid w:val="000C253A"/>
    <w:rsid w:val="000C2540"/>
    <w:rsid w:val="000C27C6"/>
    <w:rsid w:val="000C3073"/>
    <w:rsid w:val="000C31F3"/>
    <w:rsid w:val="000C355E"/>
    <w:rsid w:val="000C3955"/>
    <w:rsid w:val="000C3EAB"/>
    <w:rsid w:val="000C48A6"/>
    <w:rsid w:val="000C49A4"/>
    <w:rsid w:val="000C4F28"/>
    <w:rsid w:val="000C543A"/>
    <w:rsid w:val="000C58BC"/>
    <w:rsid w:val="000C5C3F"/>
    <w:rsid w:val="000C60F5"/>
    <w:rsid w:val="000C6254"/>
    <w:rsid w:val="000C64C8"/>
    <w:rsid w:val="000C6DFE"/>
    <w:rsid w:val="000C71A7"/>
    <w:rsid w:val="000C71F0"/>
    <w:rsid w:val="000C73A5"/>
    <w:rsid w:val="000C799A"/>
    <w:rsid w:val="000C7CF9"/>
    <w:rsid w:val="000C7DCD"/>
    <w:rsid w:val="000C7F98"/>
    <w:rsid w:val="000D0162"/>
    <w:rsid w:val="000D0214"/>
    <w:rsid w:val="000D02C7"/>
    <w:rsid w:val="000D0557"/>
    <w:rsid w:val="000D05AE"/>
    <w:rsid w:val="000D0687"/>
    <w:rsid w:val="000D0876"/>
    <w:rsid w:val="000D099B"/>
    <w:rsid w:val="000D0BC4"/>
    <w:rsid w:val="000D0BF5"/>
    <w:rsid w:val="000D10B6"/>
    <w:rsid w:val="000D1808"/>
    <w:rsid w:val="000D19D3"/>
    <w:rsid w:val="000D1BE7"/>
    <w:rsid w:val="000D2B98"/>
    <w:rsid w:val="000D2D4C"/>
    <w:rsid w:val="000D2E9C"/>
    <w:rsid w:val="000D3280"/>
    <w:rsid w:val="000D3CEE"/>
    <w:rsid w:val="000D3D8B"/>
    <w:rsid w:val="000D46E6"/>
    <w:rsid w:val="000D49CB"/>
    <w:rsid w:val="000D4B37"/>
    <w:rsid w:val="000D4DB9"/>
    <w:rsid w:val="000D4EBF"/>
    <w:rsid w:val="000D55E4"/>
    <w:rsid w:val="000D5A07"/>
    <w:rsid w:val="000D5AD2"/>
    <w:rsid w:val="000D5AFE"/>
    <w:rsid w:val="000D5D37"/>
    <w:rsid w:val="000D65CA"/>
    <w:rsid w:val="000D724A"/>
    <w:rsid w:val="000D7442"/>
    <w:rsid w:val="000E0828"/>
    <w:rsid w:val="000E082D"/>
    <w:rsid w:val="000E0B8B"/>
    <w:rsid w:val="000E0CA9"/>
    <w:rsid w:val="000E0F5D"/>
    <w:rsid w:val="000E0F97"/>
    <w:rsid w:val="000E128A"/>
    <w:rsid w:val="000E165A"/>
    <w:rsid w:val="000E1825"/>
    <w:rsid w:val="000E1A7B"/>
    <w:rsid w:val="000E24C8"/>
    <w:rsid w:val="000E2AAA"/>
    <w:rsid w:val="000E2EBD"/>
    <w:rsid w:val="000E327C"/>
    <w:rsid w:val="000E3A96"/>
    <w:rsid w:val="000E3CDE"/>
    <w:rsid w:val="000E4564"/>
    <w:rsid w:val="000E485A"/>
    <w:rsid w:val="000E4C42"/>
    <w:rsid w:val="000E4DB3"/>
    <w:rsid w:val="000E50AE"/>
    <w:rsid w:val="000E54EB"/>
    <w:rsid w:val="000E551C"/>
    <w:rsid w:val="000E5531"/>
    <w:rsid w:val="000E5944"/>
    <w:rsid w:val="000E5D63"/>
    <w:rsid w:val="000E6781"/>
    <w:rsid w:val="000E679B"/>
    <w:rsid w:val="000E6B36"/>
    <w:rsid w:val="000E73C6"/>
    <w:rsid w:val="000E746B"/>
    <w:rsid w:val="000E7A8D"/>
    <w:rsid w:val="000F021C"/>
    <w:rsid w:val="000F0F48"/>
    <w:rsid w:val="000F13E5"/>
    <w:rsid w:val="000F1D63"/>
    <w:rsid w:val="000F1EF7"/>
    <w:rsid w:val="000F2313"/>
    <w:rsid w:val="000F2356"/>
    <w:rsid w:val="000F2AAC"/>
    <w:rsid w:val="000F2EA9"/>
    <w:rsid w:val="000F31FC"/>
    <w:rsid w:val="000F346C"/>
    <w:rsid w:val="000F3538"/>
    <w:rsid w:val="000F40F4"/>
    <w:rsid w:val="000F4487"/>
    <w:rsid w:val="000F4A7F"/>
    <w:rsid w:val="000F4CED"/>
    <w:rsid w:val="000F503E"/>
    <w:rsid w:val="000F5344"/>
    <w:rsid w:val="000F59CE"/>
    <w:rsid w:val="000F5AC7"/>
    <w:rsid w:val="000F5E2E"/>
    <w:rsid w:val="000F62DD"/>
    <w:rsid w:val="000F66F3"/>
    <w:rsid w:val="000F6CBF"/>
    <w:rsid w:val="000F71BA"/>
    <w:rsid w:val="000F7259"/>
    <w:rsid w:val="000F777F"/>
    <w:rsid w:val="000F795E"/>
    <w:rsid w:val="000F7FB9"/>
    <w:rsid w:val="0010000B"/>
    <w:rsid w:val="00100283"/>
    <w:rsid w:val="00100481"/>
    <w:rsid w:val="00101118"/>
    <w:rsid w:val="00101E00"/>
    <w:rsid w:val="00102F4C"/>
    <w:rsid w:val="0010330A"/>
    <w:rsid w:val="001034BF"/>
    <w:rsid w:val="00103E50"/>
    <w:rsid w:val="00103FFF"/>
    <w:rsid w:val="001046F2"/>
    <w:rsid w:val="001049D6"/>
    <w:rsid w:val="00104F21"/>
    <w:rsid w:val="00105259"/>
    <w:rsid w:val="001054CF"/>
    <w:rsid w:val="00105669"/>
    <w:rsid w:val="00106A50"/>
    <w:rsid w:val="00106D04"/>
    <w:rsid w:val="001102C7"/>
    <w:rsid w:val="0011036D"/>
    <w:rsid w:val="00110471"/>
    <w:rsid w:val="001106B5"/>
    <w:rsid w:val="0011070C"/>
    <w:rsid w:val="001109AA"/>
    <w:rsid w:val="00110A48"/>
    <w:rsid w:val="00110CCC"/>
    <w:rsid w:val="00111537"/>
    <w:rsid w:val="001117A2"/>
    <w:rsid w:val="001119BC"/>
    <w:rsid w:val="00111AC0"/>
    <w:rsid w:val="00112356"/>
    <w:rsid w:val="00112BCA"/>
    <w:rsid w:val="00112E2B"/>
    <w:rsid w:val="001132D0"/>
    <w:rsid w:val="0011331B"/>
    <w:rsid w:val="001138C6"/>
    <w:rsid w:val="001139DD"/>
    <w:rsid w:val="00113C57"/>
    <w:rsid w:val="00113FD7"/>
    <w:rsid w:val="001143C3"/>
    <w:rsid w:val="00114BED"/>
    <w:rsid w:val="00115A01"/>
    <w:rsid w:val="00116777"/>
    <w:rsid w:val="00116932"/>
    <w:rsid w:val="001176BA"/>
    <w:rsid w:val="0011778A"/>
    <w:rsid w:val="00117AE0"/>
    <w:rsid w:val="00117DFE"/>
    <w:rsid w:val="00120531"/>
    <w:rsid w:val="00120603"/>
    <w:rsid w:val="001213D7"/>
    <w:rsid w:val="0012156F"/>
    <w:rsid w:val="00121C46"/>
    <w:rsid w:val="0012262F"/>
    <w:rsid w:val="00122944"/>
    <w:rsid w:val="001232AD"/>
    <w:rsid w:val="00123331"/>
    <w:rsid w:val="00123AEB"/>
    <w:rsid w:val="00123D23"/>
    <w:rsid w:val="00123E4D"/>
    <w:rsid w:val="00124345"/>
    <w:rsid w:val="001249E3"/>
    <w:rsid w:val="00124C41"/>
    <w:rsid w:val="001250EB"/>
    <w:rsid w:val="001253FD"/>
    <w:rsid w:val="00125516"/>
    <w:rsid w:val="00125951"/>
    <w:rsid w:val="00126097"/>
    <w:rsid w:val="0012628F"/>
    <w:rsid w:val="0012685F"/>
    <w:rsid w:val="00126939"/>
    <w:rsid w:val="00126AF0"/>
    <w:rsid w:val="00126F22"/>
    <w:rsid w:val="00126FDE"/>
    <w:rsid w:val="001272A5"/>
    <w:rsid w:val="00127367"/>
    <w:rsid w:val="00127FA4"/>
    <w:rsid w:val="00130687"/>
    <w:rsid w:val="00130B2A"/>
    <w:rsid w:val="00130DA6"/>
    <w:rsid w:val="00131148"/>
    <w:rsid w:val="00131420"/>
    <w:rsid w:val="0013195E"/>
    <w:rsid w:val="0013283E"/>
    <w:rsid w:val="00132A83"/>
    <w:rsid w:val="00132EB9"/>
    <w:rsid w:val="00132FA2"/>
    <w:rsid w:val="001338D1"/>
    <w:rsid w:val="00133911"/>
    <w:rsid w:val="00134A0C"/>
    <w:rsid w:val="00134C76"/>
    <w:rsid w:val="00134FB3"/>
    <w:rsid w:val="0013672E"/>
    <w:rsid w:val="00136D63"/>
    <w:rsid w:val="0013706B"/>
    <w:rsid w:val="00137546"/>
    <w:rsid w:val="00137867"/>
    <w:rsid w:val="001378AE"/>
    <w:rsid w:val="00137B6F"/>
    <w:rsid w:val="00140456"/>
    <w:rsid w:val="00140595"/>
    <w:rsid w:val="0014071E"/>
    <w:rsid w:val="00140773"/>
    <w:rsid w:val="00140850"/>
    <w:rsid w:val="00140BF4"/>
    <w:rsid w:val="00140D6F"/>
    <w:rsid w:val="00140E37"/>
    <w:rsid w:val="0014179F"/>
    <w:rsid w:val="00141A89"/>
    <w:rsid w:val="00142024"/>
    <w:rsid w:val="001423FA"/>
    <w:rsid w:val="00142405"/>
    <w:rsid w:val="0014296C"/>
    <w:rsid w:val="00142B18"/>
    <w:rsid w:val="00142DDD"/>
    <w:rsid w:val="00143449"/>
    <w:rsid w:val="00143DC7"/>
    <w:rsid w:val="00143E3C"/>
    <w:rsid w:val="00144045"/>
    <w:rsid w:val="001443C9"/>
    <w:rsid w:val="001446B1"/>
    <w:rsid w:val="00144909"/>
    <w:rsid w:val="00144A52"/>
    <w:rsid w:val="00144BE4"/>
    <w:rsid w:val="00144FE9"/>
    <w:rsid w:val="00145223"/>
    <w:rsid w:val="0014585F"/>
    <w:rsid w:val="00145A70"/>
    <w:rsid w:val="00146053"/>
    <w:rsid w:val="001461A5"/>
    <w:rsid w:val="00146954"/>
    <w:rsid w:val="00146A53"/>
    <w:rsid w:val="00146BC1"/>
    <w:rsid w:val="00146BE8"/>
    <w:rsid w:val="00146F43"/>
    <w:rsid w:val="001470B2"/>
    <w:rsid w:val="001470D5"/>
    <w:rsid w:val="00147A62"/>
    <w:rsid w:val="001501EB"/>
    <w:rsid w:val="001504E6"/>
    <w:rsid w:val="00150AEA"/>
    <w:rsid w:val="00150C38"/>
    <w:rsid w:val="00150E97"/>
    <w:rsid w:val="00150EE9"/>
    <w:rsid w:val="00151755"/>
    <w:rsid w:val="00151A84"/>
    <w:rsid w:val="00151A99"/>
    <w:rsid w:val="00151CF5"/>
    <w:rsid w:val="00151E16"/>
    <w:rsid w:val="00152099"/>
    <w:rsid w:val="001520F9"/>
    <w:rsid w:val="00152588"/>
    <w:rsid w:val="001526A9"/>
    <w:rsid w:val="00152806"/>
    <w:rsid w:val="001528DD"/>
    <w:rsid w:val="00152B4F"/>
    <w:rsid w:val="0015307F"/>
    <w:rsid w:val="0015309E"/>
    <w:rsid w:val="0015347E"/>
    <w:rsid w:val="0015354D"/>
    <w:rsid w:val="001537BF"/>
    <w:rsid w:val="001537EE"/>
    <w:rsid w:val="00153F88"/>
    <w:rsid w:val="0015414B"/>
    <w:rsid w:val="001541D1"/>
    <w:rsid w:val="00154A6B"/>
    <w:rsid w:val="001550ED"/>
    <w:rsid w:val="00155223"/>
    <w:rsid w:val="00155585"/>
    <w:rsid w:val="001556DD"/>
    <w:rsid w:val="00156168"/>
    <w:rsid w:val="001563DA"/>
    <w:rsid w:val="0015748C"/>
    <w:rsid w:val="0015762E"/>
    <w:rsid w:val="001579FE"/>
    <w:rsid w:val="00157EFC"/>
    <w:rsid w:val="00157FA2"/>
    <w:rsid w:val="001601D6"/>
    <w:rsid w:val="0016037F"/>
    <w:rsid w:val="00160534"/>
    <w:rsid w:val="00160627"/>
    <w:rsid w:val="001607B7"/>
    <w:rsid w:val="00161530"/>
    <w:rsid w:val="001616F8"/>
    <w:rsid w:val="00161A35"/>
    <w:rsid w:val="001620FF"/>
    <w:rsid w:val="00162429"/>
    <w:rsid w:val="001624A8"/>
    <w:rsid w:val="001627E3"/>
    <w:rsid w:val="00162D31"/>
    <w:rsid w:val="001636DB"/>
    <w:rsid w:val="00163814"/>
    <w:rsid w:val="00163922"/>
    <w:rsid w:val="0016398E"/>
    <w:rsid w:val="00163E06"/>
    <w:rsid w:val="0016421A"/>
    <w:rsid w:val="00164425"/>
    <w:rsid w:val="00164576"/>
    <w:rsid w:val="001647DB"/>
    <w:rsid w:val="00165715"/>
    <w:rsid w:val="001667BD"/>
    <w:rsid w:val="00166A3A"/>
    <w:rsid w:val="00166C40"/>
    <w:rsid w:val="00167908"/>
    <w:rsid w:val="00167BBD"/>
    <w:rsid w:val="00167EC4"/>
    <w:rsid w:val="0017039E"/>
    <w:rsid w:val="00170743"/>
    <w:rsid w:val="00170A95"/>
    <w:rsid w:val="00170BBB"/>
    <w:rsid w:val="001710D2"/>
    <w:rsid w:val="001712D7"/>
    <w:rsid w:val="0017130F"/>
    <w:rsid w:val="0017137E"/>
    <w:rsid w:val="00171F8E"/>
    <w:rsid w:val="001722E7"/>
    <w:rsid w:val="00172997"/>
    <w:rsid w:val="00172A7E"/>
    <w:rsid w:val="00172DFC"/>
    <w:rsid w:val="0017380D"/>
    <w:rsid w:val="00173B6D"/>
    <w:rsid w:val="00174160"/>
    <w:rsid w:val="00174256"/>
    <w:rsid w:val="00174372"/>
    <w:rsid w:val="00174961"/>
    <w:rsid w:val="00175738"/>
    <w:rsid w:val="00176D30"/>
    <w:rsid w:val="00176DD8"/>
    <w:rsid w:val="001770AD"/>
    <w:rsid w:val="00177102"/>
    <w:rsid w:val="0017718B"/>
    <w:rsid w:val="001775CE"/>
    <w:rsid w:val="00177B36"/>
    <w:rsid w:val="00177C9C"/>
    <w:rsid w:val="00180A9E"/>
    <w:rsid w:val="00180BE8"/>
    <w:rsid w:val="00180C70"/>
    <w:rsid w:val="00180CA6"/>
    <w:rsid w:val="00180FC5"/>
    <w:rsid w:val="00180FD8"/>
    <w:rsid w:val="00181191"/>
    <w:rsid w:val="00181452"/>
    <w:rsid w:val="0018220E"/>
    <w:rsid w:val="00182625"/>
    <w:rsid w:val="001839F0"/>
    <w:rsid w:val="00183CC6"/>
    <w:rsid w:val="00183DFB"/>
    <w:rsid w:val="00184098"/>
    <w:rsid w:val="0018466E"/>
    <w:rsid w:val="00184870"/>
    <w:rsid w:val="00185337"/>
    <w:rsid w:val="00185689"/>
    <w:rsid w:val="00186036"/>
    <w:rsid w:val="001864AF"/>
    <w:rsid w:val="0018659D"/>
    <w:rsid w:val="0018696E"/>
    <w:rsid w:val="00186BBB"/>
    <w:rsid w:val="00186EDB"/>
    <w:rsid w:val="00186F17"/>
    <w:rsid w:val="0018731C"/>
    <w:rsid w:val="0018788E"/>
    <w:rsid w:val="00187DE9"/>
    <w:rsid w:val="00190265"/>
    <w:rsid w:val="00190ABB"/>
    <w:rsid w:val="00190CB0"/>
    <w:rsid w:val="0019134E"/>
    <w:rsid w:val="001913D4"/>
    <w:rsid w:val="001913E2"/>
    <w:rsid w:val="0019144C"/>
    <w:rsid w:val="00191FD1"/>
    <w:rsid w:val="00192668"/>
    <w:rsid w:val="001931F2"/>
    <w:rsid w:val="001945E9"/>
    <w:rsid w:val="00194852"/>
    <w:rsid w:val="00194CF8"/>
    <w:rsid w:val="0019509A"/>
    <w:rsid w:val="001954E4"/>
    <w:rsid w:val="00196220"/>
    <w:rsid w:val="001965DB"/>
    <w:rsid w:val="00197A08"/>
    <w:rsid w:val="001A0026"/>
    <w:rsid w:val="001A064D"/>
    <w:rsid w:val="001A0950"/>
    <w:rsid w:val="001A130D"/>
    <w:rsid w:val="001A132D"/>
    <w:rsid w:val="001A18EE"/>
    <w:rsid w:val="001A1A9F"/>
    <w:rsid w:val="001A1AC5"/>
    <w:rsid w:val="001A2901"/>
    <w:rsid w:val="001A2A0D"/>
    <w:rsid w:val="001A2BD5"/>
    <w:rsid w:val="001A2F61"/>
    <w:rsid w:val="001A3240"/>
    <w:rsid w:val="001A344D"/>
    <w:rsid w:val="001A35F4"/>
    <w:rsid w:val="001A36C4"/>
    <w:rsid w:val="001A3D44"/>
    <w:rsid w:val="001A4384"/>
    <w:rsid w:val="001A4471"/>
    <w:rsid w:val="001A44FD"/>
    <w:rsid w:val="001A4B56"/>
    <w:rsid w:val="001A4D75"/>
    <w:rsid w:val="001A508E"/>
    <w:rsid w:val="001A5485"/>
    <w:rsid w:val="001A5F72"/>
    <w:rsid w:val="001A7408"/>
    <w:rsid w:val="001A7944"/>
    <w:rsid w:val="001A7AE6"/>
    <w:rsid w:val="001B0DF6"/>
    <w:rsid w:val="001B12C9"/>
    <w:rsid w:val="001B19EE"/>
    <w:rsid w:val="001B21C8"/>
    <w:rsid w:val="001B2433"/>
    <w:rsid w:val="001B28DE"/>
    <w:rsid w:val="001B2A24"/>
    <w:rsid w:val="001B2AAF"/>
    <w:rsid w:val="001B2DF9"/>
    <w:rsid w:val="001B2E68"/>
    <w:rsid w:val="001B3272"/>
    <w:rsid w:val="001B4032"/>
    <w:rsid w:val="001B40DE"/>
    <w:rsid w:val="001B5360"/>
    <w:rsid w:val="001B53C9"/>
    <w:rsid w:val="001B66A3"/>
    <w:rsid w:val="001B684C"/>
    <w:rsid w:val="001B6A53"/>
    <w:rsid w:val="001B73AF"/>
    <w:rsid w:val="001B768F"/>
    <w:rsid w:val="001B7A78"/>
    <w:rsid w:val="001C013A"/>
    <w:rsid w:val="001C0582"/>
    <w:rsid w:val="001C0945"/>
    <w:rsid w:val="001C0B39"/>
    <w:rsid w:val="001C0FD5"/>
    <w:rsid w:val="001C14BE"/>
    <w:rsid w:val="001C260B"/>
    <w:rsid w:val="001C2662"/>
    <w:rsid w:val="001C2807"/>
    <w:rsid w:val="001C2C18"/>
    <w:rsid w:val="001C2EF4"/>
    <w:rsid w:val="001C370D"/>
    <w:rsid w:val="001C3DE2"/>
    <w:rsid w:val="001C3FF6"/>
    <w:rsid w:val="001C4DD0"/>
    <w:rsid w:val="001C529E"/>
    <w:rsid w:val="001C5832"/>
    <w:rsid w:val="001C5E74"/>
    <w:rsid w:val="001C60B1"/>
    <w:rsid w:val="001C6422"/>
    <w:rsid w:val="001C75A4"/>
    <w:rsid w:val="001C7614"/>
    <w:rsid w:val="001C7707"/>
    <w:rsid w:val="001C795F"/>
    <w:rsid w:val="001C7FC7"/>
    <w:rsid w:val="001D056C"/>
    <w:rsid w:val="001D06EB"/>
    <w:rsid w:val="001D071B"/>
    <w:rsid w:val="001D119B"/>
    <w:rsid w:val="001D146F"/>
    <w:rsid w:val="001D1A7E"/>
    <w:rsid w:val="001D2364"/>
    <w:rsid w:val="001D258C"/>
    <w:rsid w:val="001D2758"/>
    <w:rsid w:val="001D2B40"/>
    <w:rsid w:val="001D3A53"/>
    <w:rsid w:val="001D3D4B"/>
    <w:rsid w:val="001D4129"/>
    <w:rsid w:val="001D472E"/>
    <w:rsid w:val="001D4E7C"/>
    <w:rsid w:val="001D58EF"/>
    <w:rsid w:val="001D5FAD"/>
    <w:rsid w:val="001D6379"/>
    <w:rsid w:val="001D653A"/>
    <w:rsid w:val="001D6572"/>
    <w:rsid w:val="001D6611"/>
    <w:rsid w:val="001D6768"/>
    <w:rsid w:val="001E05B8"/>
    <w:rsid w:val="001E08A1"/>
    <w:rsid w:val="001E0931"/>
    <w:rsid w:val="001E0D99"/>
    <w:rsid w:val="001E0EFE"/>
    <w:rsid w:val="001E115B"/>
    <w:rsid w:val="001E1833"/>
    <w:rsid w:val="001E193A"/>
    <w:rsid w:val="001E1A6F"/>
    <w:rsid w:val="001E1C03"/>
    <w:rsid w:val="001E1D08"/>
    <w:rsid w:val="001E200F"/>
    <w:rsid w:val="001E2106"/>
    <w:rsid w:val="001E23C9"/>
    <w:rsid w:val="001E25B8"/>
    <w:rsid w:val="001E2AD5"/>
    <w:rsid w:val="001E2C10"/>
    <w:rsid w:val="001E3560"/>
    <w:rsid w:val="001E3784"/>
    <w:rsid w:val="001E39BF"/>
    <w:rsid w:val="001E3A7B"/>
    <w:rsid w:val="001E3B20"/>
    <w:rsid w:val="001E3B63"/>
    <w:rsid w:val="001E42D0"/>
    <w:rsid w:val="001E4756"/>
    <w:rsid w:val="001E4B20"/>
    <w:rsid w:val="001E4F43"/>
    <w:rsid w:val="001E503F"/>
    <w:rsid w:val="001E50D2"/>
    <w:rsid w:val="001E5168"/>
    <w:rsid w:val="001E5273"/>
    <w:rsid w:val="001E57C5"/>
    <w:rsid w:val="001E58E9"/>
    <w:rsid w:val="001E5930"/>
    <w:rsid w:val="001E66D2"/>
    <w:rsid w:val="001E6ABB"/>
    <w:rsid w:val="001E6DD3"/>
    <w:rsid w:val="001E70ED"/>
    <w:rsid w:val="001E756D"/>
    <w:rsid w:val="001E798B"/>
    <w:rsid w:val="001F181E"/>
    <w:rsid w:val="001F1B9F"/>
    <w:rsid w:val="001F1F7D"/>
    <w:rsid w:val="001F23B5"/>
    <w:rsid w:val="001F2869"/>
    <w:rsid w:val="001F3160"/>
    <w:rsid w:val="001F3974"/>
    <w:rsid w:val="001F3B5B"/>
    <w:rsid w:val="001F44B6"/>
    <w:rsid w:val="001F478C"/>
    <w:rsid w:val="001F4798"/>
    <w:rsid w:val="001F49C2"/>
    <w:rsid w:val="001F5764"/>
    <w:rsid w:val="001F6C99"/>
    <w:rsid w:val="001F79FA"/>
    <w:rsid w:val="001F7CF3"/>
    <w:rsid w:val="00200389"/>
    <w:rsid w:val="0020040E"/>
    <w:rsid w:val="002005D4"/>
    <w:rsid w:val="00200640"/>
    <w:rsid w:val="002007B2"/>
    <w:rsid w:val="00200C79"/>
    <w:rsid w:val="00200DA2"/>
    <w:rsid w:val="002013F9"/>
    <w:rsid w:val="00201492"/>
    <w:rsid w:val="0020190E"/>
    <w:rsid w:val="00201B07"/>
    <w:rsid w:val="00201D1F"/>
    <w:rsid w:val="002039C4"/>
    <w:rsid w:val="00203A70"/>
    <w:rsid w:val="002041B1"/>
    <w:rsid w:val="002043C8"/>
    <w:rsid w:val="00204635"/>
    <w:rsid w:val="002047FE"/>
    <w:rsid w:val="00204D16"/>
    <w:rsid w:val="00205114"/>
    <w:rsid w:val="0020517C"/>
    <w:rsid w:val="00205B23"/>
    <w:rsid w:val="00206043"/>
    <w:rsid w:val="0020608C"/>
    <w:rsid w:val="002060D1"/>
    <w:rsid w:val="002060E6"/>
    <w:rsid w:val="00207B1A"/>
    <w:rsid w:val="00207B7A"/>
    <w:rsid w:val="00210435"/>
    <w:rsid w:val="00210502"/>
    <w:rsid w:val="00210615"/>
    <w:rsid w:val="00210659"/>
    <w:rsid w:val="00210707"/>
    <w:rsid w:val="002119D8"/>
    <w:rsid w:val="002120AC"/>
    <w:rsid w:val="00212265"/>
    <w:rsid w:val="0021281C"/>
    <w:rsid w:val="00212D05"/>
    <w:rsid w:val="00213A40"/>
    <w:rsid w:val="0021486E"/>
    <w:rsid w:val="00214A60"/>
    <w:rsid w:val="00215AD6"/>
    <w:rsid w:val="002160F2"/>
    <w:rsid w:val="00216A2E"/>
    <w:rsid w:val="00216EBB"/>
    <w:rsid w:val="00217032"/>
    <w:rsid w:val="002173B1"/>
    <w:rsid w:val="002176AE"/>
    <w:rsid w:val="002176EC"/>
    <w:rsid w:val="00217F29"/>
    <w:rsid w:val="00220F4C"/>
    <w:rsid w:val="00221369"/>
    <w:rsid w:val="00221464"/>
    <w:rsid w:val="00221584"/>
    <w:rsid w:val="0022173B"/>
    <w:rsid w:val="0022203D"/>
    <w:rsid w:val="002226F8"/>
    <w:rsid w:val="00222A19"/>
    <w:rsid w:val="00222B4D"/>
    <w:rsid w:val="00222BB4"/>
    <w:rsid w:val="002237BC"/>
    <w:rsid w:val="0022397B"/>
    <w:rsid w:val="00223D00"/>
    <w:rsid w:val="00223D83"/>
    <w:rsid w:val="00223F67"/>
    <w:rsid w:val="002247F7"/>
    <w:rsid w:val="002248E5"/>
    <w:rsid w:val="00224AA5"/>
    <w:rsid w:val="00224E6A"/>
    <w:rsid w:val="002254F1"/>
    <w:rsid w:val="00225EC4"/>
    <w:rsid w:val="00227475"/>
    <w:rsid w:val="00227620"/>
    <w:rsid w:val="0022776F"/>
    <w:rsid w:val="00227851"/>
    <w:rsid w:val="00227BC6"/>
    <w:rsid w:val="00227ED8"/>
    <w:rsid w:val="0023002E"/>
    <w:rsid w:val="0023069E"/>
    <w:rsid w:val="00230AC9"/>
    <w:rsid w:val="00230EDB"/>
    <w:rsid w:val="00231754"/>
    <w:rsid w:val="00231C86"/>
    <w:rsid w:val="002320AA"/>
    <w:rsid w:val="002323F7"/>
    <w:rsid w:val="00232933"/>
    <w:rsid w:val="00232D3F"/>
    <w:rsid w:val="002330FB"/>
    <w:rsid w:val="00233B40"/>
    <w:rsid w:val="00233CF6"/>
    <w:rsid w:val="00233D4E"/>
    <w:rsid w:val="0023454D"/>
    <w:rsid w:val="00234B8C"/>
    <w:rsid w:val="00234DC8"/>
    <w:rsid w:val="002351A2"/>
    <w:rsid w:val="002355B2"/>
    <w:rsid w:val="002357B5"/>
    <w:rsid w:val="002359CE"/>
    <w:rsid w:val="00235FD9"/>
    <w:rsid w:val="00236061"/>
    <w:rsid w:val="00236286"/>
    <w:rsid w:val="00236B5B"/>
    <w:rsid w:val="00236D74"/>
    <w:rsid w:val="0023778C"/>
    <w:rsid w:val="00237878"/>
    <w:rsid w:val="002379C2"/>
    <w:rsid w:val="00237EFE"/>
    <w:rsid w:val="00240607"/>
    <w:rsid w:val="002409B1"/>
    <w:rsid w:val="00240CA8"/>
    <w:rsid w:val="00240DF7"/>
    <w:rsid w:val="00240F11"/>
    <w:rsid w:val="002412C1"/>
    <w:rsid w:val="00241462"/>
    <w:rsid w:val="0024203D"/>
    <w:rsid w:val="002424C1"/>
    <w:rsid w:val="0024260C"/>
    <w:rsid w:val="00242EEC"/>
    <w:rsid w:val="00243659"/>
    <w:rsid w:val="00244567"/>
    <w:rsid w:val="00244712"/>
    <w:rsid w:val="0024475C"/>
    <w:rsid w:val="00244CA3"/>
    <w:rsid w:val="00244D02"/>
    <w:rsid w:val="00244E5D"/>
    <w:rsid w:val="00245568"/>
    <w:rsid w:val="00245A70"/>
    <w:rsid w:val="00245E53"/>
    <w:rsid w:val="00245F2C"/>
    <w:rsid w:val="0024641A"/>
    <w:rsid w:val="00246C0F"/>
    <w:rsid w:val="00246CAB"/>
    <w:rsid w:val="00246F5B"/>
    <w:rsid w:val="0024700E"/>
    <w:rsid w:val="002472D2"/>
    <w:rsid w:val="002475A2"/>
    <w:rsid w:val="002475AC"/>
    <w:rsid w:val="002479DC"/>
    <w:rsid w:val="002506EC"/>
    <w:rsid w:val="00250789"/>
    <w:rsid w:val="00250F55"/>
    <w:rsid w:val="00251075"/>
    <w:rsid w:val="002512CA"/>
    <w:rsid w:val="002517C2"/>
    <w:rsid w:val="002519E4"/>
    <w:rsid w:val="002519F4"/>
    <w:rsid w:val="00251C78"/>
    <w:rsid w:val="00252285"/>
    <w:rsid w:val="0025247F"/>
    <w:rsid w:val="00252D8B"/>
    <w:rsid w:val="00252F8D"/>
    <w:rsid w:val="002532C0"/>
    <w:rsid w:val="002533D3"/>
    <w:rsid w:val="00253648"/>
    <w:rsid w:val="00253729"/>
    <w:rsid w:val="00253773"/>
    <w:rsid w:val="00253ADF"/>
    <w:rsid w:val="00253D1B"/>
    <w:rsid w:val="00254C51"/>
    <w:rsid w:val="00254F38"/>
    <w:rsid w:val="00254F63"/>
    <w:rsid w:val="00255284"/>
    <w:rsid w:val="0025531A"/>
    <w:rsid w:val="0025532A"/>
    <w:rsid w:val="0025551F"/>
    <w:rsid w:val="002557E2"/>
    <w:rsid w:val="00255A70"/>
    <w:rsid w:val="00255B0D"/>
    <w:rsid w:val="00255DBC"/>
    <w:rsid w:val="00255E21"/>
    <w:rsid w:val="00255EAB"/>
    <w:rsid w:val="0025639E"/>
    <w:rsid w:val="002566E1"/>
    <w:rsid w:val="00256B8B"/>
    <w:rsid w:val="00256CF4"/>
    <w:rsid w:val="00257513"/>
    <w:rsid w:val="00257709"/>
    <w:rsid w:val="002602BA"/>
    <w:rsid w:val="002602CB"/>
    <w:rsid w:val="00260471"/>
    <w:rsid w:val="00260AF7"/>
    <w:rsid w:val="00261098"/>
    <w:rsid w:val="00261356"/>
    <w:rsid w:val="00262173"/>
    <w:rsid w:val="0026252E"/>
    <w:rsid w:val="002626B8"/>
    <w:rsid w:val="00262D06"/>
    <w:rsid w:val="00262DBB"/>
    <w:rsid w:val="002632E8"/>
    <w:rsid w:val="002635F6"/>
    <w:rsid w:val="00263672"/>
    <w:rsid w:val="002638E6"/>
    <w:rsid w:val="00263F34"/>
    <w:rsid w:val="00264182"/>
    <w:rsid w:val="002643BC"/>
    <w:rsid w:val="0026461B"/>
    <w:rsid w:val="00264F79"/>
    <w:rsid w:val="0026533E"/>
    <w:rsid w:val="00265A3F"/>
    <w:rsid w:val="00266251"/>
    <w:rsid w:val="0026696B"/>
    <w:rsid w:val="00266C0D"/>
    <w:rsid w:val="002670BD"/>
    <w:rsid w:val="002672E4"/>
    <w:rsid w:val="002674B7"/>
    <w:rsid w:val="0026792F"/>
    <w:rsid w:val="00267946"/>
    <w:rsid w:val="00270619"/>
    <w:rsid w:val="0027083A"/>
    <w:rsid w:val="00271318"/>
    <w:rsid w:val="002714BD"/>
    <w:rsid w:val="00271507"/>
    <w:rsid w:val="002717CD"/>
    <w:rsid w:val="00271F6E"/>
    <w:rsid w:val="00272192"/>
    <w:rsid w:val="002725CE"/>
    <w:rsid w:val="00272B62"/>
    <w:rsid w:val="00272C42"/>
    <w:rsid w:val="0027312C"/>
    <w:rsid w:val="00273D87"/>
    <w:rsid w:val="002743DF"/>
    <w:rsid w:val="00274528"/>
    <w:rsid w:val="002748FF"/>
    <w:rsid w:val="00274C99"/>
    <w:rsid w:val="00274FD4"/>
    <w:rsid w:val="002754B8"/>
    <w:rsid w:val="002755DC"/>
    <w:rsid w:val="00275654"/>
    <w:rsid w:val="00275735"/>
    <w:rsid w:val="00275D2B"/>
    <w:rsid w:val="00275DDF"/>
    <w:rsid w:val="00275ECD"/>
    <w:rsid w:val="00276098"/>
    <w:rsid w:val="002764D3"/>
    <w:rsid w:val="00276B28"/>
    <w:rsid w:val="00276FB0"/>
    <w:rsid w:val="00277228"/>
    <w:rsid w:val="00277348"/>
    <w:rsid w:val="002779E1"/>
    <w:rsid w:val="00277A77"/>
    <w:rsid w:val="00277D77"/>
    <w:rsid w:val="00277F69"/>
    <w:rsid w:val="002803E4"/>
    <w:rsid w:val="002804D1"/>
    <w:rsid w:val="002806CD"/>
    <w:rsid w:val="00280ED0"/>
    <w:rsid w:val="00280F77"/>
    <w:rsid w:val="00281780"/>
    <w:rsid w:val="00282142"/>
    <w:rsid w:val="00282556"/>
    <w:rsid w:val="0028281B"/>
    <w:rsid w:val="00282DFC"/>
    <w:rsid w:val="00282E8F"/>
    <w:rsid w:val="002834AD"/>
    <w:rsid w:val="00283B58"/>
    <w:rsid w:val="00283C29"/>
    <w:rsid w:val="002841E5"/>
    <w:rsid w:val="00284B88"/>
    <w:rsid w:val="00284DC4"/>
    <w:rsid w:val="00284E5F"/>
    <w:rsid w:val="002852C2"/>
    <w:rsid w:val="00286956"/>
    <w:rsid w:val="00286B7F"/>
    <w:rsid w:val="00287306"/>
    <w:rsid w:val="00290195"/>
    <w:rsid w:val="002901C0"/>
    <w:rsid w:val="0029059B"/>
    <w:rsid w:val="002911DF"/>
    <w:rsid w:val="002912D0"/>
    <w:rsid w:val="00291605"/>
    <w:rsid w:val="00291781"/>
    <w:rsid w:val="00291A67"/>
    <w:rsid w:val="002921EB"/>
    <w:rsid w:val="00292668"/>
    <w:rsid w:val="00292ABB"/>
    <w:rsid w:val="002931C0"/>
    <w:rsid w:val="00293445"/>
    <w:rsid w:val="00294CA5"/>
    <w:rsid w:val="00294CF7"/>
    <w:rsid w:val="002951B3"/>
    <w:rsid w:val="0029535E"/>
    <w:rsid w:val="00295498"/>
    <w:rsid w:val="00295765"/>
    <w:rsid w:val="00295782"/>
    <w:rsid w:val="0029626D"/>
    <w:rsid w:val="002962BB"/>
    <w:rsid w:val="00296493"/>
    <w:rsid w:val="00296A5D"/>
    <w:rsid w:val="002972D4"/>
    <w:rsid w:val="0029767D"/>
    <w:rsid w:val="00297A41"/>
    <w:rsid w:val="00297D70"/>
    <w:rsid w:val="002A072F"/>
    <w:rsid w:val="002A08E4"/>
    <w:rsid w:val="002A0BD4"/>
    <w:rsid w:val="002A13DE"/>
    <w:rsid w:val="002A14A4"/>
    <w:rsid w:val="002A166C"/>
    <w:rsid w:val="002A1AFB"/>
    <w:rsid w:val="002A28EA"/>
    <w:rsid w:val="002A41C1"/>
    <w:rsid w:val="002A4A94"/>
    <w:rsid w:val="002A4D17"/>
    <w:rsid w:val="002A5357"/>
    <w:rsid w:val="002A5859"/>
    <w:rsid w:val="002A586C"/>
    <w:rsid w:val="002A5DAD"/>
    <w:rsid w:val="002A6264"/>
    <w:rsid w:val="002A6744"/>
    <w:rsid w:val="002A6EA2"/>
    <w:rsid w:val="002A70B1"/>
    <w:rsid w:val="002A757F"/>
    <w:rsid w:val="002A79FF"/>
    <w:rsid w:val="002A7C2B"/>
    <w:rsid w:val="002A7EE3"/>
    <w:rsid w:val="002B0412"/>
    <w:rsid w:val="002B0A46"/>
    <w:rsid w:val="002B0B1B"/>
    <w:rsid w:val="002B164E"/>
    <w:rsid w:val="002B1B23"/>
    <w:rsid w:val="002B1DCE"/>
    <w:rsid w:val="002B2577"/>
    <w:rsid w:val="002B2CE4"/>
    <w:rsid w:val="002B42A7"/>
    <w:rsid w:val="002B48E8"/>
    <w:rsid w:val="002B4FEC"/>
    <w:rsid w:val="002B5CCD"/>
    <w:rsid w:val="002B61DE"/>
    <w:rsid w:val="002B6A6C"/>
    <w:rsid w:val="002B6FF0"/>
    <w:rsid w:val="002B748E"/>
    <w:rsid w:val="002B788D"/>
    <w:rsid w:val="002C01A8"/>
    <w:rsid w:val="002C0643"/>
    <w:rsid w:val="002C0664"/>
    <w:rsid w:val="002C0754"/>
    <w:rsid w:val="002C08F4"/>
    <w:rsid w:val="002C0952"/>
    <w:rsid w:val="002C0AA5"/>
    <w:rsid w:val="002C15B3"/>
    <w:rsid w:val="002C17C9"/>
    <w:rsid w:val="002C2127"/>
    <w:rsid w:val="002C2621"/>
    <w:rsid w:val="002C2B14"/>
    <w:rsid w:val="002C2D13"/>
    <w:rsid w:val="002C35F4"/>
    <w:rsid w:val="002C3C18"/>
    <w:rsid w:val="002C4251"/>
    <w:rsid w:val="002C4614"/>
    <w:rsid w:val="002C47A8"/>
    <w:rsid w:val="002C4FB5"/>
    <w:rsid w:val="002C5C97"/>
    <w:rsid w:val="002C62DB"/>
    <w:rsid w:val="002C65CE"/>
    <w:rsid w:val="002C6DFF"/>
    <w:rsid w:val="002C6FA4"/>
    <w:rsid w:val="002C7561"/>
    <w:rsid w:val="002C772F"/>
    <w:rsid w:val="002C77C2"/>
    <w:rsid w:val="002C7956"/>
    <w:rsid w:val="002C7B67"/>
    <w:rsid w:val="002C7C48"/>
    <w:rsid w:val="002C7CD4"/>
    <w:rsid w:val="002C7FAD"/>
    <w:rsid w:val="002D00D2"/>
    <w:rsid w:val="002D00D9"/>
    <w:rsid w:val="002D0498"/>
    <w:rsid w:val="002D0C9A"/>
    <w:rsid w:val="002D1109"/>
    <w:rsid w:val="002D115C"/>
    <w:rsid w:val="002D117E"/>
    <w:rsid w:val="002D22EC"/>
    <w:rsid w:val="002D2568"/>
    <w:rsid w:val="002D26C4"/>
    <w:rsid w:val="002D2865"/>
    <w:rsid w:val="002D2930"/>
    <w:rsid w:val="002D2E5B"/>
    <w:rsid w:val="002D343A"/>
    <w:rsid w:val="002D4030"/>
    <w:rsid w:val="002D44D0"/>
    <w:rsid w:val="002D45D9"/>
    <w:rsid w:val="002D4C03"/>
    <w:rsid w:val="002D4E66"/>
    <w:rsid w:val="002D50F2"/>
    <w:rsid w:val="002D55C4"/>
    <w:rsid w:val="002D63C2"/>
    <w:rsid w:val="002D6627"/>
    <w:rsid w:val="002D676C"/>
    <w:rsid w:val="002D6897"/>
    <w:rsid w:val="002D6DB6"/>
    <w:rsid w:val="002D748D"/>
    <w:rsid w:val="002D7593"/>
    <w:rsid w:val="002D7FB8"/>
    <w:rsid w:val="002E0383"/>
    <w:rsid w:val="002E0427"/>
    <w:rsid w:val="002E0699"/>
    <w:rsid w:val="002E12AD"/>
    <w:rsid w:val="002E1894"/>
    <w:rsid w:val="002E1C36"/>
    <w:rsid w:val="002E1CB3"/>
    <w:rsid w:val="002E1FC5"/>
    <w:rsid w:val="002E25AD"/>
    <w:rsid w:val="002E2AA8"/>
    <w:rsid w:val="002E2BDC"/>
    <w:rsid w:val="002E2BF4"/>
    <w:rsid w:val="002E2C15"/>
    <w:rsid w:val="002E318F"/>
    <w:rsid w:val="002E397F"/>
    <w:rsid w:val="002E4189"/>
    <w:rsid w:val="002E42B6"/>
    <w:rsid w:val="002E4368"/>
    <w:rsid w:val="002E470C"/>
    <w:rsid w:val="002E52CE"/>
    <w:rsid w:val="002E53B5"/>
    <w:rsid w:val="002E57E4"/>
    <w:rsid w:val="002E58A4"/>
    <w:rsid w:val="002E60C6"/>
    <w:rsid w:val="002E6658"/>
    <w:rsid w:val="002E67E7"/>
    <w:rsid w:val="002E6B06"/>
    <w:rsid w:val="002E6ED4"/>
    <w:rsid w:val="002E70EB"/>
    <w:rsid w:val="002E7256"/>
    <w:rsid w:val="002E7FD0"/>
    <w:rsid w:val="002F0391"/>
    <w:rsid w:val="002F06B5"/>
    <w:rsid w:val="002F0D6A"/>
    <w:rsid w:val="002F0E63"/>
    <w:rsid w:val="002F14A0"/>
    <w:rsid w:val="002F1F26"/>
    <w:rsid w:val="002F2500"/>
    <w:rsid w:val="002F299D"/>
    <w:rsid w:val="002F2A01"/>
    <w:rsid w:val="002F3127"/>
    <w:rsid w:val="002F3678"/>
    <w:rsid w:val="002F382F"/>
    <w:rsid w:val="002F3A13"/>
    <w:rsid w:val="002F3B0D"/>
    <w:rsid w:val="002F3E52"/>
    <w:rsid w:val="002F4632"/>
    <w:rsid w:val="002F47F9"/>
    <w:rsid w:val="002F4804"/>
    <w:rsid w:val="002F4A47"/>
    <w:rsid w:val="002F5506"/>
    <w:rsid w:val="002F550D"/>
    <w:rsid w:val="002F5728"/>
    <w:rsid w:val="002F6591"/>
    <w:rsid w:val="002F6649"/>
    <w:rsid w:val="002F69B8"/>
    <w:rsid w:val="002F720F"/>
    <w:rsid w:val="002F7297"/>
    <w:rsid w:val="002F745F"/>
    <w:rsid w:val="002F77B3"/>
    <w:rsid w:val="002F7BB0"/>
    <w:rsid w:val="00300140"/>
    <w:rsid w:val="00300396"/>
    <w:rsid w:val="0030070C"/>
    <w:rsid w:val="003008C1"/>
    <w:rsid w:val="00300C2D"/>
    <w:rsid w:val="00300DD7"/>
    <w:rsid w:val="00300EBC"/>
    <w:rsid w:val="00301492"/>
    <w:rsid w:val="00301647"/>
    <w:rsid w:val="00301CD6"/>
    <w:rsid w:val="00301DC2"/>
    <w:rsid w:val="003021CD"/>
    <w:rsid w:val="00302531"/>
    <w:rsid w:val="003025B4"/>
    <w:rsid w:val="00302744"/>
    <w:rsid w:val="00303BDF"/>
    <w:rsid w:val="00303D5B"/>
    <w:rsid w:val="00303E91"/>
    <w:rsid w:val="0030447D"/>
    <w:rsid w:val="00304825"/>
    <w:rsid w:val="00304ED2"/>
    <w:rsid w:val="00305DD1"/>
    <w:rsid w:val="00306A71"/>
    <w:rsid w:val="00306A9B"/>
    <w:rsid w:val="00306E00"/>
    <w:rsid w:val="0030712B"/>
    <w:rsid w:val="00307139"/>
    <w:rsid w:val="00307180"/>
    <w:rsid w:val="003079C7"/>
    <w:rsid w:val="00307C6F"/>
    <w:rsid w:val="00307E55"/>
    <w:rsid w:val="00310853"/>
    <w:rsid w:val="00310EDC"/>
    <w:rsid w:val="0031154A"/>
    <w:rsid w:val="00311BEE"/>
    <w:rsid w:val="00311C1F"/>
    <w:rsid w:val="00311DB3"/>
    <w:rsid w:val="0031229B"/>
    <w:rsid w:val="003125DB"/>
    <w:rsid w:val="00312902"/>
    <w:rsid w:val="00312994"/>
    <w:rsid w:val="00312BF9"/>
    <w:rsid w:val="0031338A"/>
    <w:rsid w:val="0031434F"/>
    <w:rsid w:val="003145BF"/>
    <w:rsid w:val="00314805"/>
    <w:rsid w:val="00314814"/>
    <w:rsid w:val="00314994"/>
    <w:rsid w:val="00314BEF"/>
    <w:rsid w:val="0031578A"/>
    <w:rsid w:val="00316277"/>
    <w:rsid w:val="003171D6"/>
    <w:rsid w:val="00317862"/>
    <w:rsid w:val="00317B39"/>
    <w:rsid w:val="00317EBC"/>
    <w:rsid w:val="003202AF"/>
    <w:rsid w:val="00320838"/>
    <w:rsid w:val="003208F0"/>
    <w:rsid w:val="00320DD6"/>
    <w:rsid w:val="00320F56"/>
    <w:rsid w:val="003210E7"/>
    <w:rsid w:val="0032132A"/>
    <w:rsid w:val="003214C5"/>
    <w:rsid w:val="00321E1A"/>
    <w:rsid w:val="00321E31"/>
    <w:rsid w:val="003229A0"/>
    <w:rsid w:val="00322BF3"/>
    <w:rsid w:val="003233B7"/>
    <w:rsid w:val="00323E96"/>
    <w:rsid w:val="003242AC"/>
    <w:rsid w:val="00325981"/>
    <w:rsid w:val="00325B46"/>
    <w:rsid w:val="00325BFB"/>
    <w:rsid w:val="00325FEE"/>
    <w:rsid w:val="003261B2"/>
    <w:rsid w:val="003268DF"/>
    <w:rsid w:val="00326A1E"/>
    <w:rsid w:val="00326A63"/>
    <w:rsid w:val="00326DD5"/>
    <w:rsid w:val="00327302"/>
    <w:rsid w:val="0032785A"/>
    <w:rsid w:val="003301EF"/>
    <w:rsid w:val="00330284"/>
    <w:rsid w:val="00330493"/>
    <w:rsid w:val="0033102A"/>
    <w:rsid w:val="00331370"/>
    <w:rsid w:val="00331466"/>
    <w:rsid w:val="00331F12"/>
    <w:rsid w:val="0033239F"/>
    <w:rsid w:val="00332788"/>
    <w:rsid w:val="00333694"/>
    <w:rsid w:val="00333F00"/>
    <w:rsid w:val="003341DB"/>
    <w:rsid w:val="00334255"/>
    <w:rsid w:val="00334B2C"/>
    <w:rsid w:val="00334F73"/>
    <w:rsid w:val="003351B4"/>
    <w:rsid w:val="0033578E"/>
    <w:rsid w:val="003359B9"/>
    <w:rsid w:val="00335CB2"/>
    <w:rsid w:val="00336D7C"/>
    <w:rsid w:val="0033726C"/>
    <w:rsid w:val="0033742F"/>
    <w:rsid w:val="00337AC3"/>
    <w:rsid w:val="00337F5F"/>
    <w:rsid w:val="0034058C"/>
    <w:rsid w:val="003407F2"/>
    <w:rsid w:val="00340A8A"/>
    <w:rsid w:val="00340F85"/>
    <w:rsid w:val="0034100A"/>
    <w:rsid w:val="003419DD"/>
    <w:rsid w:val="00341A1C"/>
    <w:rsid w:val="0034234E"/>
    <w:rsid w:val="003423CD"/>
    <w:rsid w:val="00342A07"/>
    <w:rsid w:val="00342CEE"/>
    <w:rsid w:val="00342D68"/>
    <w:rsid w:val="00343A55"/>
    <w:rsid w:val="00343AB9"/>
    <w:rsid w:val="00343C57"/>
    <w:rsid w:val="003443D0"/>
    <w:rsid w:val="00344A49"/>
    <w:rsid w:val="00344A6E"/>
    <w:rsid w:val="00344B1F"/>
    <w:rsid w:val="00345648"/>
    <w:rsid w:val="003456BB"/>
    <w:rsid w:val="00345881"/>
    <w:rsid w:val="00345B87"/>
    <w:rsid w:val="00345EC9"/>
    <w:rsid w:val="003460CF"/>
    <w:rsid w:val="00346659"/>
    <w:rsid w:val="003466F4"/>
    <w:rsid w:val="0034690F"/>
    <w:rsid w:val="003469EF"/>
    <w:rsid w:val="003477EC"/>
    <w:rsid w:val="003500A0"/>
    <w:rsid w:val="00350F5C"/>
    <w:rsid w:val="003510CE"/>
    <w:rsid w:val="00351F91"/>
    <w:rsid w:val="0035240E"/>
    <w:rsid w:val="00352686"/>
    <w:rsid w:val="00353A9A"/>
    <w:rsid w:val="00353DB3"/>
    <w:rsid w:val="00353DE8"/>
    <w:rsid w:val="00354139"/>
    <w:rsid w:val="0035455F"/>
    <w:rsid w:val="00354E2B"/>
    <w:rsid w:val="003555A5"/>
    <w:rsid w:val="003556B2"/>
    <w:rsid w:val="00355C0D"/>
    <w:rsid w:val="00355DFD"/>
    <w:rsid w:val="00356374"/>
    <w:rsid w:val="00356B40"/>
    <w:rsid w:val="003601DB"/>
    <w:rsid w:val="003609A4"/>
    <w:rsid w:val="00360ACA"/>
    <w:rsid w:val="00360C69"/>
    <w:rsid w:val="00360EE2"/>
    <w:rsid w:val="0036128B"/>
    <w:rsid w:val="00361486"/>
    <w:rsid w:val="00361BC0"/>
    <w:rsid w:val="00361E92"/>
    <w:rsid w:val="00362108"/>
    <w:rsid w:val="0036249B"/>
    <w:rsid w:val="003624E1"/>
    <w:rsid w:val="00362553"/>
    <w:rsid w:val="00362C1A"/>
    <w:rsid w:val="00362D38"/>
    <w:rsid w:val="0036339E"/>
    <w:rsid w:val="003633B1"/>
    <w:rsid w:val="00363C82"/>
    <w:rsid w:val="00363CD8"/>
    <w:rsid w:val="0036407A"/>
    <w:rsid w:val="0036411E"/>
    <w:rsid w:val="003651F8"/>
    <w:rsid w:val="003652C7"/>
    <w:rsid w:val="0036567A"/>
    <w:rsid w:val="0036713F"/>
    <w:rsid w:val="003672A9"/>
    <w:rsid w:val="003674D4"/>
    <w:rsid w:val="003679BE"/>
    <w:rsid w:val="00370043"/>
    <w:rsid w:val="00370306"/>
    <w:rsid w:val="00370898"/>
    <w:rsid w:val="00370DA2"/>
    <w:rsid w:val="003710C8"/>
    <w:rsid w:val="00372046"/>
    <w:rsid w:val="00372254"/>
    <w:rsid w:val="00373037"/>
    <w:rsid w:val="00373C2F"/>
    <w:rsid w:val="0037444B"/>
    <w:rsid w:val="00374A3C"/>
    <w:rsid w:val="00374C97"/>
    <w:rsid w:val="00374D6F"/>
    <w:rsid w:val="00375424"/>
    <w:rsid w:val="0037627F"/>
    <w:rsid w:val="00376A76"/>
    <w:rsid w:val="00377680"/>
    <w:rsid w:val="0038058F"/>
    <w:rsid w:val="003808E4"/>
    <w:rsid w:val="003809DD"/>
    <w:rsid w:val="003814D9"/>
    <w:rsid w:val="003815EE"/>
    <w:rsid w:val="003817F7"/>
    <w:rsid w:val="0038268C"/>
    <w:rsid w:val="00383BA7"/>
    <w:rsid w:val="00383CEC"/>
    <w:rsid w:val="00383D14"/>
    <w:rsid w:val="00384993"/>
    <w:rsid w:val="00384A2B"/>
    <w:rsid w:val="00384DB0"/>
    <w:rsid w:val="0038505B"/>
    <w:rsid w:val="00385187"/>
    <w:rsid w:val="00385202"/>
    <w:rsid w:val="0038557A"/>
    <w:rsid w:val="00385814"/>
    <w:rsid w:val="003861EA"/>
    <w:rsid w:val="003864B2"/>
    <w:rsid w:val="0038696D"/>
    <w:rsid w:val="00386A30"/>
    <w:rsid w:val="00386BDE"/>
    <w:rsid w:val="00387BB8"/>
    <w:rsid w:val="00387BD3"/>
    <w:rsid w:val="00387D2A"/>
    <w:rsid w:val="00387FDC"/>
    <w:rsid w:val="00390131"/>
    <w:rsid w:val="003906FF"/>
    <w:rsid w:val="00390D5C"/>
    <w:rsid w:val="00390F19"/>
    <w:rsid w:val="00391EE1"/>
    <w:rsid w:val="00392068"/>
    <w:rsid w:val="00392708"/>
    <w:rsid w:val="00392BC0"/>
    <w:rsid w:val="0039312E"/>
    <w:rsid w:val="00393551"/>
    <w:rsid w:val="003937D0"/>
    <w:rsid w:val="00393D1E"/>
    <w:rsid w:val="003940AF"/>
    <w:rsid w:val="0039419B"/>
    <w:rsid w:val="00394717"/>
    <w:rsid w:val="00394989"/>
    <w:rsid w:val="0039519A"/>
    <w:rsid w:val="00395B60"/>
    <w:rsid w:val="00395C42"/>
    <w:rsid w:val="00396477"/>
    <w:rsid w:val="00396772"/>
    <w:rsid w:val="00396AFF"/>
    <w:rsid w:val="00396C37"/>
    <w:rsid w:val="00396FF5"/>
    <w:rsid w:val="003975F4"/>
    <w:rsid w:val="003978BE"/>
    <w:rsid w:val="0039792F"/>
    <w:rsid w:val="00397BF4"/>
    <w:rsid w:val="003A0554"/>
    <w:rsid w:val="003A0A4A"/>
    <w:rsid w:val="003A0EA3"/>
    <w:rsid w:val="003A1EE8"/>
    <w:rsid w:val="003A253E"/>
    <w:rsid w:val="003A2D32"/>
    <w:rsid w:val="003A32A9"/>
    <w:rsid w:val="003A3494"/>
    <w:rsid w:val="003A3590"/>
    <w:rsid w:val="003A397A"/>
    <w:rsid w:val="003A3D32"/>
    <w:rsid w:val="003A473F"/>
    <w:rsid w:val="003A5947"/>
    <w:rsid w:val="003A5A10"/>
    <w:rsid w:val="003A615A"/>
    <w:rsid w:val="003A6271"/>
    <w:rsid w:val="003A6694"/>
    <w:rsid w:val="003A676A"/>
    <w:rsid w:val="003A69EF"/>
    <w:rsid w:val="003A6D49"/>
    <w:rsid w:val="003A6D4A"/>
    <w:rsid w:val="003A7547"/>
    <w:rsid w:val="003A76AD"/>
    <w:rsid w:val="003A7BC2"/>
    <w:rsid w:val="003A7C8A"/>
    <w:rsid w:val="003A7CA9"/>
    <w:rsid w:val="003A7E2A"/>
    <w:rsid w:val="003B13C5"/>
    <w:rsid w:val="003B17A0"/>
    <w:rsid w:val="003B286A"/>
    <w:rsid w:val="003B2EB6"/>
    <w:rsid w:val="003B30B4"/>
    <w:rsid w:val="003B36AE"/>
    <w:rsid w:val="003B392C"/>
    <w:rsid w:val="003B4780"/>
    <w:rsid w:val="003B504C"/>
    <w:rsid w:val="003B561D"/>
    <w:rsid w:val="003B5795"/>
    <w:rsid w:val="003B580E"/>
    <w:rsid w:val="003B5978"/>
    <w:rsid w:val="003B5B62"/>
    <w:rsid w:val="003B5E00"/>
    <w:rsid w:val="003B5F5B"/>
    <w:rsid w:val="003B6242"/>
    <w:rsid w:val="003B6432"/>
    <w:rsid w:val="003B66D2"/>
    <w:rsid w:val="003B71DE"/>
    <w:rsid w:val="003B7468"/>
    <w:rsid w:val="003B7F11"/>
    <w:rsid w:val="003C00CA"/>
    <w:rsid w:val="003C09BB"/>
    <w:rsid w:val="003C10D3"/>
    <w:rsid w:val="003C1286"/>
    <w:rsid w:val="003C1370"/>
    <w:rsid w:val="003C16A0"/>
    <w:rsid w:val="003C1D9F"/>
    <w:rsid w:val="003C1EC2"/>
    <w:rsid w:val="003C1FCE"/>
    <w:rsid w:val="003C253C"/>
    <w:rsid w:val="003C29D1"/>
    <w:rsid w:val="003C2BE8"/>
    <w:rsid w:val="003C2D4F"/>
    <w:rsid w:val="003C2E6D"/>
    <w:rsid w:val="003C3355"/>
    <w:rsid w:val="003C3574"/>
    <w:rsid w:val="003C3688"/>
    <w:rsid w:val="003C3E7C"/>
    <w:rsid w:val="003C3EF9"/>
    <w:rsid w:val="003C3F77"/>
    <w:rsid w:val="003C446E"/>
    <w:rsid w:val="003C494A"/>
    <w:rsid w:val="003C4CD4"/>
    <w:rsid w:val="003C5FA3"/>
    <w:rsid w:val="003C6456"/>
    <w:rsid w:val="003C67D8"/>
    <w:rsid w:val="003C6AC3"/>
    <w:rsid w:val="003C738F"/>
    <w:rsid w:val="003C7DEE"/>
    <w:rsid w:val="003C7F65"/>
    <w:rsid w:val="003D015F"/>
    <w:rsid w:val="003D0266"/>
    <w:rsid w:val="003D03E2"/>
    <w:rsid w:val="003D056D"/>
    <w:rsid w:val="003D0A49"/>
    <w:rsid w:val="003D1525"/>
    <w:rsid w:val="003D1ABA"/>
    <w:rsid w:val="003D2202"/>
    <w:rsid w:val="003D229B"/>
    <w:rsid w:val="003D2485"/>
    <w:rsid w:val="003D252E"/>
    <w:rsid w:val="003D3678"/>
    <w:rsid w:val="003D36EE"/>
    <w:rsid w:val="003D375D"/>
    <w:rsid w:val="003D37DB"/>
    <w:rsid w:val="003D3B2B"/>
    <w:rsid w:val="003D440B"/>
    <w:rsid w:val="003D4488"/>
    <w:rsid w:val="003D4559"/>
    <w:rsid w:val="003D4734"/>
    <w:rsid w:val="003D49E9"/>
    <w:rsid w:val="003D4E9D"/>
    <w:rsid w:val="003D5B75"/>
    <w:rsid w:val="003D6A5A"/>
    <w:rsid w:val="003D6FBA"/>
    <w:rsid w:val="003E0029"/>
    <w:rsid w:val="003E02F2"/>
    <w:rsid w:val="003E0EC3"/>
    <w:rsid w:val="003E1670"/>
    <w:rsid w:val="003E1A36"/>
    <w:rsid w:val="003E2C29"/>
    <w:rsid w:val="003E2C2F"/>
    <w:rsid w:val="003E2C78"/>
    <w:rsid w:val="003E2EE4"/>
    <w:rsid w:val="003E3624"/>
    <w:rsid w:val="003E37DB"/>
    <w:rsid w:val="003E3EE0"/>
    <w:rsid w:val="003E434C"/>
    <w:rsid w:val="003E4B96"/>
    <w:rsid w:val="003E4EB5"/>
    <w:rsid w:val="003E54B8"/>
    <w:rsid w:val="003E56A9"/>
    <w:rsid w:val="003E5C3D"/>
    <w:rsid w:val="003E5C92"/>
    <w:rsid w:val="003E5DA9"/>
    <w:rsid w:val="003E6016"/>
    <w:rsid w:val="003E6037"/>
    <w:rsid w:val="003E62D8"/>
    <w:rsid w:val="003E6373"/>
    <w:rsid w:val="003E7110"/>
    <w:rsid w:val="003E75C5"/>
    <w:rsid w:val="003E76ED"/>
    <w:rsid w:val="003E775B"/>
    <w:rsid w:val="003E7958"/>
    <w:rsid w:val="003E7DDE"/>
    <w:rsid w:val="003F00F4"/>
    <w:rsid w:val="003F054E"/>
    <w:rsid w:val="003F0EF2"/>
    <w:rsid w:val="003F109D"/>
    <w:rsid w:val="003F1A7F"/>
    <w:rsid w:val="003F1B4E"/>
    <w:rsid w:val="003F2101"/>
    <w:rsid w:val="003F3A1F"/>
    <w:rsid w:val="003F3AB1"/>
    <w:rsid w:val="003F3ACD"/>
    <w:rsid w:val="003F3B3E"/>
    <w:rsid w:val="003F3DA3"/>
    <w:rsid w:val="003F3E10"/>
    <w:rsid w:val="003F3E35"/>
    <w:rsid w:val="003F4171"/>
    <w:rsid w:val="003F4DF4"/>
    <w:rsid w:val="003F504F"/>
    <w:rsid w:val="003F6153"/>
    <w:rsid w:val="003F6353"/>
    <w:rsid w:val="003F6555"/>
    <w:rsid w:val="003F65CC"/>
    <w:rsid w:val="003F6A0D"/>
    <w:rsid w:val="003F7429"/>
    <w:rsid w:val="003F754F"/>
    <w:rsid w:val="003F75A6"/>
    <w:rsid w:val="003F76C6"/>
    <w:rsid w:val="003F77A3"/>
    <w:rsid w:val="003F7E57"/>
    <w:rsid w:val="00400303"/>
    <w:rsid w:val="004008F6"/>
    <w:rsid w:val="00400F47"/>
    <w:rsid w:val="00401910"/>
    <w:rsid w:val="00401AAC"/>
    <w:rsid w:val="00401CF2"/>
    <w:rsid w:val="0040297D"/>
    <w:rsid w:val="00402E1D"/>
    <w:rsid w:val="00403576"/>
    <w:rsid w:val="00403CCE"/>
    <w:rsid w:val="004040E8"/>
    <w:rsid w:val="004041E7"/>
    <w:rsid w:val="00404280"/>
    <w:rsid w:val="004046E5"/>
    <w:rsid w:val="00404A28"/>
    <w:rsid w:val="00404D16"/>
    <w:rsid w:val="004051B0"/>
    <w:rsid w:val="00405849"/>
    <w:rsid w:val="004059B3"/>
    <w:rsid w:val="0040665E"/>
    <w:rsid w:val="00406866"/>
    <w:rsid w:val="00407611"/>
    <w:rsid w:val="00407BC3"/>
    <w:rsid w:val="0041008C"/>
    <w:rsid w:val="004102A3"/>
    <w:rsid w:val="00410D0A"/>
    <w:rsid w:val="00410FBC"/>
    <w:rsid w:val="004113AF"/>
    <w:rsid w:val="0041197E"/>
    <w:rsid w:val="00411CAC"/>
    <w:rsid w:val="00411EFC"/>
    <w:rsid w:val="00412256"/>
    <w:rsid w:val="00412584"/>
    <w:rsid w:val="004128E3"/>
    <w:rsid w:val="00412DFB"/>
    <w:rsid w:val="004132B6"/>
    <w:rsid w:val="00413905"/>
    <w:rsid w:val="004139A0"/>
    <w:rsid w:val="0041436C"/>
    <w:rsid w:val="00414515"/>
    <w:rsid w:val="00414571"/>
    <w:rsid w:val="004148A1"/>
    <w:rsid w:val="004152B6"/>
    <w:rsid w:val="004163B4"/>
    <w:rsid w:val="0041657F"/>
    <w:rsid w:val="00416E9A"/>
    <w:rsid w:val="00417895"/>
    <w:rsid w:val="00417F1C"/>
    <w:rsid w:val="0042091E"/>
    <w:rsid w:val="0042096C"/>
    <w:rsid w:val="0042137F"/>
    <w:rsid w:val="00421851"/>
    <w:rsid w:val="0042192A"/>
    <w:rsid w:val="004229EF"/>
    <w:rsid w:val="004230F7"/>
    <w:rsid w:val="004233A2"/>
    <w:rsid w:val="00424209"/>
    <w:rsid w:val="00424A4C"/>
    <w:rsid w:val="00424F48"/>
    <w:rsid w:val="004253BD"/>
    <w:rsid w:val="004255B2"/>
    <w:rsid w:val="004269B5"/>
    <w:rsid w:val="00427073"/>
    <w:rsid w:val="0042713A"/>
    <w:rsid w:val="00427559"/>
    <w:rsid w:val="0042767F"/>
    <w:rsid w:val="004276C6"/>
    <w:rsid w:val="0043017E"/>
    <w:rsid w:val="00430B44"/>
    <w:rsid w:val="00431525"/>
    <w:rsid w:val="00431D24"/>
    <w:rsid w:val="00432004"/>
    <w:rsid w:val="00432342"/>
    <w:rsid w:val="004323B9"/>
    <w:rsid w:val="004324CE"/>
    <w:rsid w:val="00432757"/>
    <w:rsid w:val="00432845"/>
    <w:rsid w:val="0043323B"/>
    <w:rsid w:val="0043325F"/>
    <w:rsid w:val="00433333"/>
    <w:rsid w:val="0043357A"/>
    <w:rsid w:val="004337F5"/>
    <w:rsid w:val="00433810"/>
    <w:rsid w:val="00433828"/>
    <w:rsid w:val="004348A5"/>
    <w:rsid w:val="00434E43"/>
    <w:rsid w:val="00434F83"/>
    <w:rsid w:val="00434FF3"/>
    <w:rsid w:val="004352D0"/>
    <w:rsid w:val="00435814"/>
    <w:rsid w:val="00435CB3"/>
    <w:rsid w:val="00435D2B"/>
    <w:rsid w:val="00435E3C"/>
    <w:rsid w:val="0043652A"/>
    <w:rsid w:val="00436AA1"/>
    <w:rsid w:val="00436FFA"/>
    <w:rsid w:val="00437578"/>
    <w:rsid w:val="00437BAE"/>
    <w:rsid w:val="00437C1C"/>
    <w:rsid w:val="00437D0A"/>
    <w:rsid w:val="00437FCC"/>
    <w:rsid w:val="004401D1"/>
    <w:rsid w:val="00440253"/>
    <w:rsid w:val="00440437"/>
    <w:rsid w:val="00440854"/>
    <w:rsid w:val="00441120"/>
    <w:rsid w:val="004411F5"/>
    <w:rsid w:val="00441371"/>
    <w:rsid w:val="00441446"/>
    <w:rsid w:val="004414D2"/>
    <w:rsid w:val="00441756"/>
    <w:rsid w:val="004417CE"/>
    <w:rsid w:val="00441BFC"/>
    <w:rsid w:val="00441D02"/>
    <w:rsid w:val="00441EF8"/>
    <w:rsid w:val="00441FED"/>
    <w:rsid w:val="0044233F"/>
    <w:rsid w:val="00442458"/>
    <w:rsid w:val="004425D5"/>
    <w:rsid w:val="00442620"/>
    <w:rsid w:val="004427BC"/>
    <w:rsid w:val="004429E3"/>
    <w:rsid w:val="0044315D"/>
    <w:rsid w:val="00443F40"/>
    <w:rsid w:val="004441CF"/>
    <w:rsid w:val="004449B7"/>
    <w:rsid w:val="00444EE2"/>
    <w:rsid w:val="00445074"/>
    <w:rsid w:val="00445176"/>
    <w:rsid w:val="00445777"/>
    <w:rsid w:val="00445D69"/>
    <w:rsid w:val="00445F44"/>
    <w:rsid w:val="00446D34"/>
    <w:rsid w:val="004475C4"/>
    <w:rsid w:val="0045028E"/>
    <w:rsid w:val="004502C6"/>
    <w:rsid w:val="0045033A"/>
    <w:rsid w:val="004509E4"/>
    <w:rsid w:val="00450AFD"/>
    <w:rsid w:val="0045107A"/>
    <w:rsid w:val="00451BB1"/>
    <w:rsid w:val="00451E7E"/>
    <w:rsid w:val="0045262A"/>
    <w:rsid w:val="00452CC0"/>
    <w:rsid w:val="004530F4"/>
    <w:rsid w:val="00454225"/>
    <w:rsid w:val="004546F5"/>
    <w:rsid w:val="00454750"/>
    <w:rsid w:val="004547B7"/>
    <w:rsid w:val="0045546A"/>
    <w:rsid w:val="00455804"/>
    <w:rsid w:val="00455BEC"/>
    <w:rsid w:val="00455C3D"/>
    <w:rsid w:val="004565AF"/>
    <w:rsid w:val="00456750"/>
    <w:rsid w:val="004569F8"/>
    <w:rsid w:val="00456CCD"/>
    <w:rsid w:val="0045760C"/>
    <w:rsid w:val="00460104"/>
    <w:rsid w:val="0046033B"/>
    <w:rsid w:val="00460A03"/>
    <w:rsid w:val="00460F41"/>
    <w:rsid w:val="004612A3"/>
    <w:rsid w:val="00461395"/>
    <w:rsid w:val="004620E5"/>
    <w:rsid w:val="00462729"/>
    <w:rsid w:val="0046275B"/>
    <w:rsid w:val="00462870"/>
    <w:rsid w:val="00462AD4"/>
    <w:rsid w:val="004632DE"/>
    <w:rsid w:val="00463775"/>
    <w:rsid w:val="004638C5"/>
    <w:rsid w:val="00463A58"/>
    <w:rsid w:val="00463F79"/>
    <w:rsid w:val="0046406E"/>
    <w:rsid w:val="00464298"/>
    <w:rsid w:val="00464A54"/>
    <w:rsid w:val="00464D84"/>
    <w:rsid w:val="00464F0C"/>
    <w:rsid w:val="00465214"/>
    <w:rsid w:val="0046570F"/>
    <w:rsid w:val="00465EAD"/>
    <w:rsid w:val="004666C7"/>
    <w:rsid w:val="00467834"/>
    <w:rsid w:val="00467B3A"/>
    <w:rsid w:val="00467CD1"/>
    <w:rsid w:val="00467E1B"/>
    <w:rsid w:val="00470418"/>
    <w:rsid w:val="00470DB4"/>
    <w:rsid w:val="00470FA6"/>
    <w:rsid w:val="00471622"/>
    <w:rsid w:val="00471805"/>
    <w:rsid w:val="0047266B"/>
    <w:rsid w:val="00472D27"/>
    <w:rsid w:val="00472D7D"/>
    <w:rsid w:val="00473068"/>
    <w:rsid w:val="004738B5"/>
    <w:rsid w:val="00474793"/>
    <w:rsid w:val="00474C22"/>
    <w:rsid w:val="00475281"/>
    <w:rsid w:val="00475A06"/>
    <w:rsid w:val="0047662B"/>
    <w:rsid w:val="00476D76"/>
    <w:rsid w:val="00476E77"/>
    <w:rsid w:val="00477583"/>
    <w:rsid w:val="00477B39"/>
    <w:rsid w:val="00477C43"/>
    <w:rsid w:val="00477F2A"/>
    <w:rsid w:val="00480CF1"/>
    <w:rsid w:val="00480E37"/>
    <w:rsid w:val="0048290C"/>
    <w:rsid w:val="004830BA"/>
    <w:rsid w:val="00483445"/>
    <w:rsid w:val="00483EA4"/>
    <w:rsid w:val="004843D2"/>
    <w:rsid w:val="004844DB"/>
    <w:rsid w:val="00484628"/>
    <w:rsid w:val="004849EB"/>
    <w:rsid w:val="00484B43"/>
    <w:rsid w:val="00484ED4"/>
    <w:rsid w:val="00485A98"/>
    <w:rsid w:val="00485C12"/>
    <w:rsid w:val="00486174"/>
    <w:rsid w:val="00486265"/>
    <w:rsid w:val="004863A1"/>
    <w:rsid w:val="0048716C"/>
    <w:rsid w:val="00487300"/>
    <w:rsid w:val="004876F9"/>
    <w:rsid w:val="00487AAE"/>
    <w:rsid w:val="00487D4E"/>
    <w:rsid w:val="00487F66"/>
    <w:rsid w:val="00490AAC"/>
    <w:rsid w:val="00491055"/>
    <w:rsid w:val="004910B2"/>
    <w:rsid w:val="00491408"/>
    <w:rsid w:val="004915A9"/>
    <w:rsid w:val="00491C1F"/>
    <w:rsid w:val="004923A2"/>
    <w:rsid w:val="004929E3"/>
    <w:rsid w:val="00492A75"/>
    <w:rsid w:val="00492C50"/>
    <w:rsid w:val="00493676"/>
    <w:rsid w:val="004938DE"/>
    <w:rsid w:val="00493C42"/>
    <w:rsid w:val="0049448B"/>
    <w:rsid w:val="004947F9"/>
    <w:rsid w:val="00494872"/>
    <w:rsid w:val="004952F0"/>
    <w:rsid w:val="00495390"/>
    <w:rsid w:val="00496ADD"/>
    <w:rsid w:val="00496D7B"/>
    <w:rsid w:val="004974EE"/>
    <w:rsid w:val="004A003E"/>
    <w:rsid w:val="004A0107"/>
    <w:rsid w:val="004A0392"/>
    <w:rsid w:val="004A0586"/>
    <w:rsid w:val="004A0806"/>
    <w:rsid w:val="004A0A2F"/>
    <w:rsid w:val="004A0CAA"/>
    <w:rsid w:val="004A0D0D"/>
    <w:rsid w:val="004A0E5C"/>
    <w:rsid w:val="004A17B0"/>
    <w:rsid w:val="004A1A87"/>
    <w:rsid w:val="004A1D56"/>
    <w:rsid w:val="004A1D74"/>
    <w:rsid w:val="004A2522"/>
    <w:rsid w:val="004A3303"/>
    <w:rsid w:val="004A3EE1"/>
    <w:rsid w:val="004A47F3"/>
    <w:rsid w:val="004A485C"/>
    <w:rsid w:val="004A4873"/>
    <w:rsid w:val="004A48A2"/>
    <w:rsid w:val="004A50A0"/>
    <w:rsid w:val="004A590F"/>
    <w:rsid w:val="004A5DC5"/>
    <w:rsid w:val="004A64D0"/>
    <w:rsid w:val="004A6BC0"/>
    <w:rsid w:val="004A6F09"/>
    <w:rsid w:val="004A74AA"/>
    <w:rsid w:val="004A7782"/>
    <w:rsid w:val="004A79F9"/>
    <w:rsid w:val="004A7AA7"/>
    <w:rsid w:val="004A7EE8"/>
    <w:rsid w:val="004B0478"/>
    <w:rsid w:val="004B0B74"/>
    <w:rsid w:val="004B20C1"/>
    <w:rsid w:val="004B24DF"/>
    <w:rsid w:val="004B2C66"/>
    <w:rsid w:val="004B30AA"/>
    <w:rsid w:val="004B37AB"/>
    <w:rsid w:val="004B3BC0"/>
    <w:rsid w:val="004B3C99"/>
    <w:rsid w:val="004B3D74"/>
    <w:rsid w:val="004B3EB2"/>
    <w:rsid w:val="004B404D"/>
    <w:rsid w:val="004B4530"/>
    <w:rsid w:val="004B4718"/>
    <w:rsid w:val="004B495E"/>
    <w:rsid w:val="004B4E63"/>
    <w:rsid w:val="004B500D"/>
    <w:rsid w:val="004B55FC"/>
    <w:rsid w:val="004B5A9E"/>
    <w:rsid w:val="004B5CCF"/>
    <w:rsid w:val="004B5EAB"/>
    <w:rsid w:val="004B5F69"/>
    <w:rsid w:val="004B6177"/>
    <w:rsid w:val="004B62E6"/>
    <w:rsid w:val="004B6AD7"/>
    <w:rsid w:val="004B73CD"/>
    <w:rsid w:val="004B7859"/>
    <w:rsid w:val="004B7C2A"/>
    <w:rsid w:val="004C0417"/>
    <w:rsid w:val="004C05B3"/>
    <w:rsid w:val="004C0B59"/>
    <w:rsid w:val="004C1B6B"/>
    <w:rsid w:val="004C1C73"/>
    <w:rsid w:val="004C1E47"/>
    <w:rsid w:val="004C22CC"/>
    <w:rsid w:val="004C2806"/>
    <w:rsid w:val="004C2A50"/>
    <w:rsid w:val="004C2DB5"/>
    <w:rsid w:val="004C3258"/>
    <w:rsid w:val="004C35BA"/>
    <w:rsid w:val="004C3D2F"/>
    <w:rsid w:val="004C400D"/>
    <w:rsid w:val="004C435E"/>
    <w:rsid w:val="004C440D"/>
    <w:rsid w:val="004C4A79"/>
    <w:rsid w:val="004C4B00"/>
    <w:rsid w:val="004C4BBF"/>
    <w:rsid w:val="004C5756"/>
    <w:rsid w:val="004C5F90"/>
    <w:rsid w:val="004C6010"/>
    <w:rsid w:val="004C63F6"/>
    <w:rsid w:val="004C65ED"/>
    <w:rsid w:val="004C72EB"/>
    <w:rsid w:val="004C746E"/>
    <w:rsid w:val="004C7835"/>
    <w:rsid w:val="004C7979"/>
    <w:rsid w:val="004C7BB4"/>
    <w:rsid w:val="004C7DE5"/>
    <w:rsid w:val="004D0A83"/>
    <w:rsid w:val="004D0AD6"/>
    <w:rsid w:val="004D163A"/>
    <w:rsid w:val="004D2313"/>
    <w:rsid w:val="004D2471"/>
    <w:rsid w:val="004D2547"/>
    <w:rsid w:val="004D2991"/>
    <w:rsid w:val="004D2F5C"/>
    <w:rsid w:val="004D30E0"/>
    <w:rsid w:val="004D3371"/>
    <w:rsid w:val="004D3E6A"/>
    <w:rsid w:val="004D41A1"/>
    <w:rsid w:val="004D43C7"/>
    <w:rsid w:val="004D469D"/>
    <w:rsid w:val="004D46D5"/>
    <w:rsid w:val="004D53E6"/>
    <w:rsid w:val="004D54D5"/>
    <w:rsid w:val="004D5614"/>
    <w:rsid w:val="004D698D"/>
    <w:rsid w:val="004D6AAF"/>
    <w:rsid w:val="004D6B8D"/>
    <w:rsid w:val="004E01FE"/>
    <w:rsid w:val="004E03A4"/>
    <w:rsid w:val="004E0454"/>
    <w:rsid w:val="004E2598"/>
    <w:rsid w:val="004E2DE0"/>
    <w:rsid w:val="004E2F4F"/>
    <w:rsid w:val="004E4A99"/>
    <w:rsid w:val="004E4D51"/>
    <w:rsid w:val="004E4FD2"/>
    <w:rsid w:val="004E52BC"/>
    <w:rsid w:val="004E5827"/>
    <w:rsid w:val="004E6133"/>
    <w:rsid w:val="004E67C4"/>
    <w:rsid w:val="004E6D9B"/>
    <w:rsid w:val="004E71AF"/>
    <w:rsid w:val="004E756A"/>
    <w:rsid w:val="004E7AAC"/>
    <w:rsid w:val="004E7D01"/>
    <w:rsid w:val="004F0043"/>
    <w:rsid w:val="004F018E"/>
    <w:rsid w:val="004F052C"/>
    <w:rsid w:val="004F0735"/>
    <w:rsid w:val="004F0A0E"/>
    <w:rsid w:val="004F0C68"/>
    <w:rsid w:val="004F1593"/>
    <w:rsid w:val="004F196D"/>
    <w:rsid w:val="004F1A28"/>
    <w:rsid w:val="004F1C0C"/>
    <w:rsid w:val="004F26C8"/>
    <w:rsid w:val="004F26EC"/>
    <w:rsid w:val="004F2EAF"/>
    <w:rsid w:val="004F2ECF"/>
    <w:rsid w:val="004F2FD9"/>
    <w:rsid w:val="004F3253"/>
    <w:rsid w:val="004F3D2A"/>
    <w:rsid w:val="004F3D42"/>
    <w:rsid w:val="004F45DF"/>
    <w:rsid w:val="004F462C"/>
    <w:rsid w:val="004F481E"/>
    <w:rsid w:val="004F5168"/>
    <w:rsid w:val="004F60F0"/>
    <w:rsid w:val="004F69F2"/>
    <w:rsid w:val="004F6A46"/>
    <w:rsid w:val="004F6BF2"/>
    <w:rsid w:val="004F772B"/>
    <w:rsid w:val="004F7D3F"/>
    <w:rsid w:val="00500391"/>
    <w:rsid w:val="005003B1"/>
    <w:rsid w:val="00500401"/>
    <w:rsid w:val="00500C2B"/>
    <w:rsid w:val="00500E65"/>
    <w:rsid w:val="0050116F"/>
    <w:rsid w:val="00501404"/>
    <w:rsid w:val="00501AC3"/>
    <w:rsid w:val="00501D02"/>
    <w:rsid w:val="00501E37"/>
    <w:rsid w:val="00502291"/>
    <w:rsid w:val="005024D8"/>
    <w:rsid w:val="005024F3"/>
    <w:rsid w:val="0050308A"/>
    <w:rsid w:val="0050313A"/>
    <w:rsid w:val="005032A1"/>
    <w:rsid w:val="005032D1"/>
    <w:rsid w:val="00503594"/>
    <w:rsid w:val="005039A4"/>
    <w:rsid w:val="00503BBF"/>
    <w:rsid w:val="00503BF2"/>
    <w:rsid w:val="00504BFA"/>
    <w:rsid w:val="00504EAF"/>
    <w:rsid w:val="00504F20"/>
    <w:rsid w:val="00506AB3"/>
    <w:rsid w:val="00506BC1"/>
    <w:rsid w:val="00506CD6"/>
    <w:rsid w:val="00506FE3"/>
    <w:rsid w:val="00507004"/>
    <w:rsid w:val="00507768"/>
    <w:rsid w:val="00507BB5"/>
    <w:rsid w:val="00507C31"/>
    <w:rsid w:val="00507EAA"/>
    <w:rsid w:val="005105DE"/>
    <w:rsid w:val="005105F9"/>
    <w:rsid w:val="0051097C"/>
    <w:rsid w:val="00510AD5"/>
    <w:rsid w:val="00510D9F"/>
    <w:rsid w:val="005110D1"/>
    <w:rsid w:val="005111ED"/>
    <w:rsid w:val="0051170F"/>
    <w:rsid w:val="0051203D"/>
    <w:rsid w:val="00512651"/>
    <w:rsid w:val="005129F0"/>
    <w:rsid w:val="00512BB7"/>
    <w:rsid w:val="00512C96"/>
    <w:rsid w:val="00512E81"/>
    <w:rsid w:val="00512F98"/>
    <w:rsid w:val="005130AB"/>
    <w:rsid w:val="00513D61"/>
    <w:rsid w:val="00514024"/>
    <w:rsid w:val="0051495A"/>
    <w:rsid w:val="00515984"/>
    <w:rsid w:val="00515A4F"/>
    <w:rsid w:val="00515DB2"/>
    <w:rsid w:val="00515F9B"/>
    <w:rsid w:val="005166EA"/>
    <w:rsid w:val="00516B35"/>
    <w:rsid w:val="00516C7F"/>
    <w:rsid w:val="00517AC9"/>
    <w:rsid w:val="005209A9"/>
    <w:rsid w:val="005213E9"/>
    <w:rsid w:val="005217FA"/>
    <w:rsid w:val="0052201A"/>
    <w:rsid w:val="005235D9"/>
    <w:rsid w:val="005240D0"/>
    <w:rsid w:val="005242D7"/>
    <w:rsid w:val="0052447F"/>
    <w:rsid w:val="005246BC"/>
    <w:rsid w:val="005249AB"/>
    <w:rsid w:val="00524A18"/>
    <w:rsid w:val="0052558E"/>
    <w:rsid w:val="005259FA"/>
    <w:rsid w:val="00525B96"/>
    <w:rsid w:val="00525E62"/>
    <w:rsid w:val="00526372"/>
    <w:rsid w:val="005265AF"/>
    <w:rsid w:val="005269BF"/>
    <w:rsid w:val="00526A92"/>
    <w:rsid w:val="00526C44"/>
    <w:rsid w:val="00526F68"/>
    <w:rsid w:val="00527785"/>
    <w:rsid w:val="00527B59"/>
    <w:rsid w:val="00530007"/>
    <w:rsid w:val="00530C37"/>
    <w:rsid w:val="00530E33"/>
    <w:rsid w:val="00531713"/>
    <w:rsid w:val="00531719"/>
    <w:rsid w:val="0053189D"/>
    <w:rsid w:val="005326E7"/>
    <w:rsid w:val="005329AB"/>
    <w:rsid w:val="00532B05"/>
    <w:rsid w:val="0053318F"/>
    <w:rsid w:val="00533889"/>
    <w:rsid w:val="00533BD0"/>
    <w:rsid w:val="00533D29"/>
    <w:rsid w:val="00534024"/>
    <w:rsid w:val="00534770"/>
    <w:rsid w:val="005347F2"/>
    <w:rsid w:val="005350D7"/>
    <w:rsid w:val="0053526E"/>
    <w:rsid w:val="0053532C"/>
    <w:rsid w:val="0053549C"/>
    <w:rsid w:val="00535682"/>
    <w:rsid w:val="0053598F"/>
    <w:rsid w:val="00535D88"/>
    <w:rsid w:val="00537183"/>
    <w:rsid w:val="00537515"/>
    <w:rsid w:val="00537607"/>
    <w:rsid w:val="00537A10"/>
    <w:rsid w:val="00537DA5"/>
    <w:rsid w:val="00537E8B"/>
    <w:rsid w:val="005400B6"/>
    <w:rsid w:val="005404C3"/>
    <w:rsid w:val="00540CB1"/>
    <w:rsid w:val="00541873"/>
    <w:rsid w:val="0054212D"/>
    <w:rsid w:val="00542200"/>
    <w:rsid w:val="00542D7E"/>
    <w:rsid w:val="00542F3F"/>
    <w:rsid w:val="00543F86"/>
    <w:rsid w:val="00543FE4"/>
    <w:rsid w:val="005443FE"/>
    <w:rsid w:val="0054471A"/>
    <w:rsid w:val="0054512E"/>
    <w:rsid w:val="00545785"/>
    <w:rsid w:val="0054583E"/>
    <w:rsid w:val="0054588E"/>
    <w:rsid w:val="0054619F"/>
    <w:rsid w:val="00546674"/>
    <w:rsid w:val="00546C60"/>
    <w:rsid w:val="00546EE0"/>
    <w:rsid w:val="005479C7"/>
    <w:rsid w:val="00550127"/>
    <w:rsid w:val="00550177"/>
    <w:rsid w:val="00551940"/>
    <w:rsid w:val="0055263F"/>
    <w:rsid w:val="0055279F"/>
    <w:rsid w:val="005532A8"/>
    <w:rsid w:val="00553701"/>
    <w:rsid w:val="00553B2F"/>
    <w:rsid w:val="00553DF0"/>
    <w:rsid w:val="00554FFC"/>
    <w:rsid w:val="00555B9E"/>
    <w:rsid w:val="005562F9"/>
    <w:rsid w:val="00556526"/>
    <w:rsid w:val="0055658D"/>
    <w:rsid w:val="005565FF"/>
    <w:rsid w:val="00556854"/>
    <w:rsid w:val="00557DD0"/>
    <w:rsid w:val="00560186"/>
    <w:rsid w:val="005604D2"/>
    <w:rsid w:val="00561222"/>
    <w:rsid w:val="0056142A"/>
    <w:rsid w:val="0056145C"/>
    <w:rsid w:val="00561796"/>
    <w:rsid w:val="0056188E"/>
    <w:rsid w:val="00561BD2"/>
    <w:rsid w:val="00561CD6"/>
    <w:rsid w:val="00561E28"/>
    <w:rsid w:val="00561F5D"/>
    <w:rsid w:val="0056227C"/>
    <w:rsid w:val="0056227D"/>
    <w:rsid w:val="0056298D"/>
    <w:rsid w:val="00562D09"/>
    <w:rsid w:val="00563066"/>
    <w:rsid w:val="005637CF"/>
    <w:rsid w:val="00563806"/>
    <w:rsid w:val="00563B9B"/>
    <w:rsid w:val="0056411E"/>
    <w:rsid w:val="00564CA1"/>
    <w:rsid w:val="00564E30"/>
    <w:rsid w:val="00564EF8"/>
    <w:rsid w:val="00565891"/>
    <w:rsid w:val="00565907"/>
    <w:rsid w:val="00565BD0"/>
    <w:rsid w:val="00565D3F"/>
    <w:rsid w:val="005661BE"/>
    <w:rsid w:val="00566E5E"/>
    <w:rsid w:val="00566FC6"/>
    <w:rsid w:val="005675C2"/>
    <w:rsid w:val="00567AD9"/>
    <w:rsid w:val="0057013A"/>
    <w:rsid w:val="00570330"/>
    <w:rsid w:val="00570B56"/>
    <w:rsid w:val="00570C22"/>
    <w:rsid w:val="00570E0C"/>
    <w:rsid w:val="00570F3A"/>
    <w:rsid w:val="00571758"/>
    <w:rsid w:val="00571855"/>
    <w:rsid w:val="00571883"/>
    <w:rsid w:val="0057272B"/>
    <w:rsid w:val="005727CE"/>
    <w:rsid w:val="00572ED7"/>
    <w:rsid w:val="00573316"/>
    <w:rsid w:val="00573DD0"/>
    <w:rsid w:val="00573FD8"/>
    <w:rsid w:val="0057485A"/>
    <w:rsid w:val="00574ADD"/>
    <w:rsid w:val="00574EC1"/>
    <w:rsid w:val="00575681"/>
    <w:rsid w:val="005757C1"/>
    <w:rsid w:val="005759D9"/>
    <w:rsid w:val="00575B78"/>
    <w:rsid w:val="00575BE0"/>
    <w:rsid w:val="00576125"/>
    <w:rsid w:val="00576419"/>
    <w:rsid w:val="005768BE"/>
    <w:rsid w:val="005770C9"/>
    <w:rsid w:val="0057792A"/>
    <w:rsid w:val="00580194"/>
    <w:rsid w:val="005801CE"/>
    <w:rsid w:val="0058092F"/>
    <w:rsid w:val="00580935"/>
    <w:rsid w:val="00580DAE"/>
    <w:rsid w:val="00580FD0"/>
    <w:rsid w:val="005811E7"/>
    <w:rsid w:val="005814F0"/>
    <w:rsid w:val="0058193E"/>
    <w:rsid w:val="00581BF4"/>
    <w:rsid w:val="00582506"/>
    <w:rsid w:val="0058285D"/>
    <w:rsid w:val="005828D9"/>
    <w:rsid w:val="00582945"/>
    <w:rsid w:val="0058376F"/>
    <w:rsid w:val="005837A1"/>
    <w:rsid w:val="00583ABF"/>
    <w:rsid w:val="00583C7C"/>
    <w:rsid w:val="00583CD5"/>
    <w:rsid w:val="00583E92"/>
    <w:rsid w:val="00584132"/>
    <w:rsid w:val="005845ED"/>
    <w:rsid w:val="005846CE"/>
    <w:rsid w:val="00584825"/>
    <w:rsid w:val="00584DBA"/>
    <w:rsid w:val="005855CB"/>
    <w:rsid w:val="00586263"/>
    <w:rsid w:val="005863FF"/>
    <w:rsid w:val="005866D8"/>
    <w:rsid w:val="00586C8E"/>
    <w:rsid w:val="00586F4F"/>
    <w:rsid w:val="00587568"/>
    <w:rsid w:val="00587B1E"/>
    <w:rsid w:val="00587E36"/>
    <w:rsid w:val="00587E94"/>
    <w:rsid w:val="00587EEA"/>
    <w:rsid w:val="00590766"/>
    <w:rsid w:val="00590EEE"/>
    <w:rsid w:val="00590F06"/>
    <w:rsid w:val="00590F3B"/>
    <w:rsid w:val="005912CA"/>
    <w:rsid w:val="00591EAB"/>
    <w:rsid w:val="00592810"/>
    <w:rsid w:val="005935A5"/>
    <w:rsid w:val="0059379B"/>
    <w:rsid w:val="00593A7C"/>
    <w:rsid w:val="00594320"/>
    <w:rsid w:val="005943A8"/>
    <w:rsid w:val="00594558"/>
    <w:rsid w:val="00594724"/>
    <w:rsid w:val="005947F2"/>
    <w:rsid w:val="00594854"/>
    <w:rsid w:val="005948A9"/>
    <w:rsid w:val="00594FCE"/>
    <w:rsid w:val="00595C0E"/>
    <w:rsid w:val="0059615F"/>
    <w:rsid w:val="00596196"/>
    <w:rsid w:val="005961AB"/>
    <w:rsid w:val="00596DD0"/>
    <w:rsid w:val="00597458"/>
    <w:rsid w:val="00597735"/>
    <w:rsid w:val="00597739"/>
    <w:rsid w:val="005A02E2"/>
    <w:rsid w:val="005A0A0D"/>
    <w:rsid w:val="005A0E00"/>
    <w:rsid w:val="005A1A7C"/>
    <w:rsid w:val="005A1B6D"/>
    <w:rsid w:val="005A22AF"/>
    <w:rsid w:val="005A3097"/>
    <w:rsid w:val="005A318F"/>
    <w:rsid w:val="005A4424"/>
    <w:rsid w:val="005A4BE9"/>
    <w:rsid w:val="005A5C06"/>
    <w:rsid w:val="005A6005"/>
    <w:rsid w:val="005A613A"/>
    <w:rsid w:val="005A67C9"/>
    <w:rsid w:val="005A726B"/>
    <w:rsid w:val="005A7481"/>
    <w:rsid w:val="005A753F"/>
    <w:rsid w:val="005A7AFC"/>
    <w:rsid w:val="005B015F"/>
    <w:rsid w:val="005B05DF"/>
    <w:rsid w:val="005B0982"/>
    <w:rsid w:val="005B0D77"/>
    <w:rsid w:val="005B1271"/>
    <w:rsid w:val="005B12C2"/>
    <w:rsid w:val="005B134F"/>
    <w:rsid w:val="005B1B73"/>
    <w:rsid w:val="005B2989"/>
    <w:rsid w:val="005B2D5D"/>
    <w:rsid w:val="005B3106"/>
    <w:rsid w:val="005B3309"/>
    <w:rsid w:val="005B333F"/>
    <w:rsid w:val="005B3870"/>
    <w:rsid w:val="005B3E62"/>
    <w:rsid w:val="005B403A"/>
    <w:rsid w:val="005B4441"/>
    <w:rsid w:val="005B47FC"/>
    <w:rsid w:val="005B4E0C"/>
    <w:rsid w:val="005B5D15"/>
    <w:rsid w:val="005B5E2F"/>
    <w:rsid w:val="005B609B"/>
    <w:rsid w:val="005B6349"/>
    <w:rsid w:val="005B63CC"/>
    <w:rsid w:val="005B6DE1"/>
    <w:rsid w:val="005B6F4C"/>
    <w:rsid w:val="005B705D"/>
    <w:rsid w:val="005B7154"/>
    <w:rsid w:val="005B7165"/>
    <w:rsid w:val="005B7297"/>
    <w:rsid w:val="005B743F"/>
    <w:rsid w:val="005B7765"/>
    <w:rsid w:val="005B7C34"/>
    <w:rsid w:val="005B7DD6"/>
    <w:rsid w:val="005B7F4F"/>
    <w:rsid w:val="005C0087"/>
    <w:rsid w:val="005C037D"/>
    <w:rsid w:val="005C0B10"/>
    <w:rsid w:val="005C0B73"/>
    <w:rsid w:val="005C17C8"/>
    <w:rsid w:val="005C1823"/>
    <w:rsid w:val="005C21C8"/>
    <w:rsid w:val="005C2A03"/>
    <w:rsid w:val="005C3228"/>
    <w:rsid w:val="005C32AE"/>
    <w:rsid w:val="005C390C"/>
    <w:rsid w:val="005C3B93"/>
    <w:rsid w:val="005C3BF7"/>
    <w:rsid w:val="005C3E7F"/>
    <w:rsid w:val="005C476B"/>
    <w:rsid w:val="005C4960"/>
    <w:rsid w:val="005C4DEC"/>
    <w:rsid w:val="005C4FC6"/>
    <w:rsid w:val="005C5A06"/>
    <w:rsid w:val="005C5EC1"/>
    <w:rsid w:val="005C5F53"/>
    <w:rsid w:val="005C6071"/>
    <w:rsid w:val="005C6A5F"/>
    <w:rsid w:val="005C6BCE"/>
    <w:rsid w:val="005C6CE4"/>
    <w:rsid w:val="005C6DF8"/>
    <w:rsid w:val="005C6ED0"/>
    <w:rsid w:val="005C75F5"/>
    <w:rsid w:val="005C76CA"/>
    <w:rsid w:val="005C7790"/>
    <w:rsid w:val="005C7F11"/>
    <w:rsid w:val="005D04D9"/>
    <w:rsid w:val="005D0540"/>
    <w:rsid w:val="005D065F"/>
    <w:rsid w:val="005D0D77"/>
    <w:rsid w:val="005D10A5"/>
    <w:rsid w:val="005D14A4"/>
    <w:rsid w:val="005D1EA6"/>
    <w:rsid w:val="005D2196"/>
    <w:rsid w:val="005D24EE"/>
    <w:rsid w:val="005D2526"/>
    <w:rsid w:val="005D2C46"/>
    <w:rsid w:val="005D2C75"/>
    <w:rsid w:val="005D39A1"/>
    <w:rsid w:val="005D3A38"/>
    <w:rsid w:val="005D3C29"/>
    <w:rsid w:val="005D3F3A"/>
    <w:rsid w:val="005D4744"/>
    <w:rsid w:val="005D4781"/>
    <w:rsid w:val="005D4A91"/>
    <w:rsid w:val="005D504B"/>
    <w:rsid w:val="005D52D8"/>
    <w:rsid w:val="005D5E2C"/>
    <w:rsid w:val="005D5E4B"/>
    <w:rsid w:val="005D668F"/>
    <w:rsid w:val="005D675E"/>
    <w:rsid w:val="005D6A4E"/>
    <w:rsid w:val="005D7478"/>
    <w:rsid w:val="005D7816"/>
    <w:rsid w:val="005D7912"/>
    <w:rsid w:val="005D7B0C"/>
    <w:rsid w:val="005D7D5B"/>
    <w:rsid w:val="005D7EFA"/>
    <w:rsid w:val="005E0145"/>
    <w:rsid w:val="005E0E23"/>
    <w:rsid w:val="005E107E"/>
    <w:rsid w:val="005E15CD"/>
    <w:rsid w:val="005E20DF"/>
    <w:rsid w:val="005E2255"/>
    <w:rsid w:val="005E2F63"/>
    <w:rsid w:val="005E40BB"/>
    <w:rsid w:val="005E412E"/>
    <w:rsid w:val="005E4F60"/>
    <w:rsid w:val="005E5112"/>
    <w:rsid w:val="005E5A90"/>
    <w:rsid w:val="005E5E29"/>
    <w:rsid w:val="005E64AA"/>
    <w:rsid w:val="005E6B13"/>
    <w:rsid w:val="005E6F0E"/>
    <w:rsid w:val="005E725A"/>
    <w:rsid w:val="005E78FC"/>
    <w:rsid w:val="005E7FA7"/>
    <w:rsid w:val="005F140B"/>
    <w:rsid w:val="005F1F55"/>
    <w:rsid w:val="005F207D"/>
    <w:rsid w:val="005F29CA"/>
    <w:rsid w:val="005F2CD8"/>
    <w:rsid w:val="005F38FB"/>
    <w:rsid w:val="005F3D60"/>
    <w:rsid w:val="005F3E16"/>
    <w:rsid w:val="005F4C5F"/>
    <w:rsid w:val="005F4D13"/>
    <w:rsid w:val="005F4D3B"/>
    <w:rsid w:val="005F4ED9"/>
    <w:rsid w:val="005F4F6A"/>
    <w:rsid w:val="005F514F"/>
    <w:rsid w:val="005F53C3"/>
    <w:rsid w:val="005F5FDB"/>
    <w:rsid w:val="005F62E9"/>
    <w:rsid w:val="005F6AB4"/>
    <w:rsid w:val="005F7256"/>
    <w:rsid w:val="005F72E8"/>
    <w:rsid w:val="005F78AA"/>
    <w:rsid w:val="006001AF"/>
    <w:rsid w:val="006001B9"/>
    <w:rsid w:val="006004EF"/>
    <w:rsid w:val="006006D2"/>
    <w:rsid w:val="00600748"/>
    <w:rsid w:val="00601229"/>
    <w:rsid w:val="0060191B"/>
    <w:rsid w:val="00601CF2"/>
    <w:rsid w:val="0060273E"/>
    <w:rsid w:val="0060336D"/>
    <w:rsid w:val="00603442"/>
    <w:rsid w:val="006035A2"/>
    <w:rsid w:val="00603780"/>
    <w:rsid w:val="00603974"/>
    <w:rsid w:val="006039B8"/>
    <w:rsid w:val="00604855"/>
    <w:rsid w:val="00604DDA"/>
    <w:rsid w:val="00605148"/>
    <w:rsid w:val="0060534D"/>
    <w:rsid w:val="00605365"/>
    <w:rsid w:val="00605967"/>
    <w:rsid w:val="0060652B"/>
    <w:rsid w:val="0060655C"/>
    <w:rsid w:val="006066F8"/>
    <w:rsid w:val="00606A4D"/>
    <w:rsid w:val="00606D47"/>
    <w:rsid w:val="0060758A"/>
    <w:rsid w:val="0060764B"/>
    <w:rsid w:val="006076DE"/>
    <w:rsid w:val="0060783D"/>
    <w:rsid w:val="0060784E"/>
    <w:rsid w:val="00607979"/>
    <w:rsid w:val="00610025"/>
    <w:rsid w:val="006105A3"/>
    <w:rsid w:val="00610EC8"/>
    <w:rsid w:val="006112E9"/>
    <w:rsid w:val="00611AD7"/>
    <w:rsid w:val="00611C59"/>
    <w:rsid w:val="00611EF8"/>
    <w:rsid w:val="0061200B"/>
    <w:rsid w:val="00612393"/>
    <w:rsid w:val="0061255A"/>
    <w:rsid w:val="006125B9"/>
    <w:rsid w:val="00612638"/>
    <w:rsid w:val="00612640"/>
    <w:rsid w:val="00612D69"/>
    <w:rsid w:val="00613969"/>
    <w:rsid w:val="00613BE9"/>
    <w:rsid w:val="00613E73"/>
    <w:rsid w:val="00613FFB"/>
    <w:rsid w:val="006141E1"/>
    <w:rsid w:val="00614AA3"/>
    <w:rsid w:val="00614D1A"/>
    <w:rsid w:val="00615087"/>
    <w:rsid w:val="0061530B"/>
    <w:rsid w:val="00616096"/>
    <w:rsid w:val="0061635C"/>
    <w:rsid w:val="00616685"/>
    <w:rsid w:val="00616BA7"/>
    <w:rsid w:val="00616EDE"/>
    <w:rsid w:val="006170AA"/>
    <w:rsid w:val="00620609"/>
    <w:rsid w:val="0062071C"/>
    <w:rsid w:val="00620ADF"/>
    <w:rsid w:val="00620D24"/>
    <w:rsid w:val="00621026"/>
    <w:rsid w:val="00621997"/>
    <w:rsid w:val="00621C7F"/>
    <w:rsid w:val="00621CE5"/>
    <w:rsid w:val="00622873"/>
    <w:rsid w:val="0062299A"/>
    <w:rsid w:val="00622B1D"/>
    <w:rsid w:val="00622EFB"/>
    <w:rsid w:val="00623472"/>
    <w:rsid w:val="0062379E"/>
    <w:rsid w:val="00623F32"/>
    <w:rsid w:val="0062408F"/>
    <w:rsid w:val="006241B9"/>
    <w:rsid w:val="0062429B"/>
    <w:rsid w:val="00624D90"/>
    <w:rsid w:val="006258E7"/>
    <w:rsid w:val="006261B4"/>
    <w:rsid w:val="006268D7"/>
    <w:rsid w:val="00626B85"/>
    <w:rsid w:val="006271F7"/>
    <w:rsid w:val="00627E2F"/>
    <w:rsid w:val="00630A4F"/>
    <w:rsid w:val="0063115F"/>
    <w:rsid w:val="006316F7"/>
    <w:rsid w:val="00631971"/>
    <w:rsid w:val="006320DC"/>
    <w:rsid w:val="006323A4"/>
    <w:rsid w:val="0063269E"/>
    <w:rsid w:val="00632CCC"/>
    <w:rsid w:val="00633408"/>
    <w:rsid w:val="00633461"/>
    <w:rsid w:val="006334A4"/>
    <w:rsid w:val="00633553"/>
    <w:rsid w:val="0063371B"/>
    <w:rsid w:val="00633C48"/>
    <w:rsid w:val="00633C5F"/>
    <w:rsid w:val="006344B9"/>
    <w:rsid w:val="006347C5"/>
    <w:rsid w:val="006347E5"/>
    <w:rsid w:val="0063484A"/>
    <w:rsid w:val="00634AA5"/>
    <w:rsid w:val="00634CB0"/>
    <w:rsid w:val="00634E13"/>
    <w:rsid w:val="00636FEF"/>
    <w:rsid w:val="0063720A"/>
    <w:rsid w:val="00637409"/>
    <w:rsid w:val="00637630"/>
    <w:rsid w:val="006376D6"/>
    <w:rsid w:val="0064001B"/>
    <w:rsid w:val="00640056"/>
    <w:rsid w:val="00640BF0"/>
    <w:rsid w:val="00641632"/>
    <w:rsid w:val="00641F55"/>
    <w:rsid w:val="0064294E"/>
    <w:rsid w:val="00642AB9"/>
    <w:rsid w:val="00642DAD"/>
    <w:rsid w:val="006433CA"/>
    <w:rsid w:val="00643A14"/>
    <w:rsid w:val="00643F44"/>
    <w:rsid w:val="006440E6"/>
    <w:rsid w:val="0064421C"/>
    <w:rsid w:val="0064423C"/>
    <w:rsid w:val="006447B9"/>
    <w:rsid w:val="00644A3D"/>
    <w:rsid w:val="0064514B"/>
    <w:rsid w:val="006462B6"/>
    <w:rsid w:val="006469D9"/>
    <w:rsid w:val="00646A9F"/>
    <w:rsid w:val="0064781B"/>
    <w:rsid w:val="00647B78"/>
    <w:rsid w:val="00647D95"/>
    <w:rsid w:val="00647E5D"/>
    <w:rsid w:val="00647FA3"/>
    <w:rsid w:val="0065166E"/>
    <w:rsid w:val="00651937"/>
    <w:rsid w:val="006519DE"/>
    <w:rsid w:val="006519F7"/>
    <w:rsid w:val="00651AAE"/>
    <w:rsid w:val="00651C73"/>
    <w:rsid w:val="00651FBE"/>
    <w:rsid w:val="00652966"/>
    <w:rsid w:val="00652CD1"/>
    <w:rsid w:val="00652ED4"/>
    <w:rsid w:val="00652F77"/>
    <w:rsid w:val="0065328E"/>
    <w:rsid w:val="00653AC2"/>
    <w:rsid w:val="00654634"/>
    <w:rsid w:val="00654BA7"/>
    <w:rsid w:val="00654F4F"/>
    <w:rsid w:val="00655181"/>
    <w:rsid w:val="00655AE9"/>
    <w:rsid w:val="006562C6"/>
    <w:rsid w:val="00656526"/>
    <w:rsid w:val="00656BDA"/>
    <w:rsid w:val="00656C2E"/>
    <w:rsid w:val="006571E4"/>
    <w:rsid w:val="0065732B"/>
    <w:rsid w:val="006576D2"/>
    <w:rsid w:val="00657BC6"/>
    <w:rsid w:val="00657FF9"/>
    <w:rsid w:val="00660108"/>
    <w:rsid w:val="00660708"/>
    <w:rsid w:val="00660DEF"/>
    <w:rsid w:val="006614EC"/>
    <w:rsid w:val="0066190C"/>
    <w:rsid w:val="00661FCE"/>
    <w:rsid w:val="0066253B"/>
    <w:rsid w:val="00662578"/>
    <w:rsid w:val="006627FB"/>
    <w:rsid w:val="0066379E"/>
    <w:rsid w:val="006637C9"/>
    <w:rsid w:val="006638F6"/>
    <w:rsid w:val="00663B9F"/>
    <w:rsid w:val="006644EE"/>
    <w:rsid w:val="006649FC"/>
    <w:rsid w:val="00664DA0"/>
    <w:rsid w:val="00664EF2"/>
    <w:rsid w:val="00665A0E"/>
    <w:rsid w:val="00665CB7"/>
    <w:rsid w:val="00666B95"/>
    <w:rsid w:val="00666D8B"/>
    <w:rsid w:val="0066701F"/>
    <w:rsid w:val="006673BD"/>
    <w:rsid w:val="00667737"/>
    <w:rsid w:val="00667B76"/>
    <w:rsid w:val="00667C37"/>
    <w:rsid w:val="00667ED5"/>
    <w:rsid w:val="00670FEF"/>
    <w:rsid w:val="00671237"/>
    <w:rsid w:val="006718E2"/>
    <w:rsid w:val="006724D7"/>
    <w:rsid w:val="006726F2"/>
    <w:rsid w:val="006728C5"/>
    <w:rsid w:val="006728F7"/>
    <w:rsid w:val="00672BCB"/>
    <w:rsid w:val="00673423"/>
    <w:rsid w:val="0067379F"/>
    <w:rsid w:val="00673FE4"/>
    <w:rsid w:val="00674D47"/>
    <w:rsid w:val="00675265"/>
    <w:rsid w:val="00675286"/>
    <w:rsid w:val="006763C7"/>
    <w:rsid w:val="0067680D"/>
    <w:rsid w:val="00676B76"/>
    <w:rsid w:val="006770EC"/>
    <w:rsid w:val="00677C8A"/>
    <w:rsid w:val="00677DAE"/>
    <w:rsid w:val="006802B2"/>
    <w:rsid w:val="00680423"/>
    <w:rsid w:val="0068066C"/>
    <w:rsid w:val="00680853"/>
    <w:rsid w:val="00681816"/>
    <w:rsid w:val="00681BBB"/>
    <w:rsid w:val="006828D6"/>
    <w:rsid w:val="006831F5"/>
    <w:rsid w:val="006836E4"/>
    <w:rsid w:val="00683778"/>
    <w:rsid w:val="00684586"/>
    <w:rsid w:val="00684671"/>
    <w:rsid w:val="00684F5B"/>
    <w:rsid w:val="00686156"/>
    <w:rsid w:val="006862E1"/>
    <w:rsid w:val="0068657A"/>
    <w:rsid w:val="006868C9"/>
    <w:rsid w:val="00687080"/>
    <w:rsid w:val="00687185"/>
    <w:rsid w:val="006874A3"/>
    <w:rsid w:val="006879EF"/>
    <w:rsid w:val="00687BA2"/>
    <w:rsid w:val="00690217"/>
    <w:rsid w:val="00690421"/>
    <w:rsid w:val="00690470"/>
    <w:rsid w:val="006908EE"/>
    <w:rsid w:val="00691A9D"/>
    <w:rsid w:val="006923D8"/>
    <w:rsid w:val="006928A8"/>
    <w:rsid w:val="00692E83"/>
    <w:rsid w:val="00692FC6"/>
    <w:rsid w:val="0069303A"/>
    <w:rsid w:val="00693D3B"/>
    <w:rsid w:val="006942B1"/>
    <w:rsid w:val="00694A54"/>
    <w:rsid w:val="00694DC4"/>
    <w:rsid w:val="0069542E"/>
    <w:rsid w:val="00696084"/>
    <w:rsid w:val="00696E01"/>
    <w:rsid w:val="006973B7"/>
    <w:rsid w:val="006978AA"/>
    <w:rsid w:val="00697DC5"/>
    <w:rsid w:val="006A0288"/>
    <w:rsid w:val="006A03B5"/>
    <w:rsid w:val="006A06A8"/>
    <w:rsid w:val="006A073A"/>
    <w:rsid w:val="006A07A4"/>
    <w:rsid w:val="006A08D1"/>
    <w:rsid w:val="006A0BE1"/>
    <w:rsid w:val="006A0D79"/>
    <w:rsid w:val="006A22E4"/>
    <w:rsid w:val="006A2306"/>
    <w:rsid w:val="006A2461"/>
    <w:rsid w:val="006A26C2"/>
    <w:rsid w:val="006A2AB6"/>
    <w:rsid w:val="006A2AD8"/>
    <w:rsid w:val="006A2D72"/>
    <w:rsid w:val="006A2ED7"/>
    <w:rsid w:val="006A3074"/>
    <w:rsid w:val="006A30EE"/>
    <w:rsid w:val="006A3159"/>
    <w:rsid w:val="006A3276"/>
    <w:rsid w:val="006A3304"/>
    <w:rsid w:val="006A36D7"/>
    <w:rsid w:val="006A372A"/>
    <w:rsid w:val="006A38ED"/>
    <w:rsid w:val="006A3D64"/>
    <w:rsid w:val="006A3FBF"/>
    <w:rsid w:val="006A458E"/>
    <w:rsid w:val="006A4BDA"/>
    <w:rsid w:val="006A5A5B"/>
    <w:rsid w:val="006A5B99"/>
    <w:rsid w:val="006A5C57"/>
    <w:rsid w:val="006A5F96"/>
    <w:rsid w:val="006A5FF3"/>
    <w:rsid w:val="006A600A"/>
    <w:rsid w:val="006A66B6"/>
    <w:rsid w:val="006A6C82"/>
    <w:rsid w:val="006A6F88"/>
    <w:rsid w:val="006A73B5"/>
    <w:rsid w:val="006A76DC"/>
    <w:rsid w:val="006A7A51"/>
    <w:rsid w:val="006A7D98"/>
    <w:rsid w:val="006B0140"/>
    <w:rsid w:val="006B04A5"/>
    <w:rsid w:val="006B0723"/>
    <w:rsid w:val="006B0828"/>
    <w:rsid w:val="006B0C09"/>
    <w:rsid w:val="006B0D27"/>
    <w:rsid w:val="006B1031"/>
    <w:rsid w:val="006B16F6"/>
    <w:rsid w:val="006B17F3"/>
    <w:rsid w:val="006B17FF"/>
    <w:rsid w:val="006B1AFE"/>
    <w:rsid w:val="006B2055"/>
    <w:rsid w:val="006B226D"/>
    <w:rsid w:val="006B2605"/>
    <w:rsid w:val="006B297C"/>
    <w:rsid w:val="006B2CC3"/>
    <w:rsid w:val="006B2CDD"/>
    <w:rsid w:val="006B342F"/>
    <w:rsid w:val="006B352C"/>
    <w:rsid w:val="006B35F4"/>
    <w:rsid w:val="006B3710"/>
    <w:rsid w:val="006B3C8C"/>
    <w:rsid w:val="006B3E9F"/>
    <w:rsid w:val="006B4047"/>
    <w:rsid w:val="006B4347"/>
    <w:rsid w:val="006B4555"/>
    <w:rsid w:val="006B4B97"/>
    <w:rsid w:val="006B5D0A"/>
    <w:rsid w:val="006B5EC3"/>
    <w:rsid w:val="006B5FAE"/>
    <w:rsid w:val="006B67AC"/>
    <w:rsid w:val="006B6996"/>
    <w:rsid w:val="006B6AB6"/>
    <w:rsid w:val="006B7CDA"/>
    <w:rsid w:val="006C0DC3"/>
    <w:rsid w:val="006C1D61"/>
    <w:rsid w:val="006C2326"/>
    <w:rsid w:val="006C31D6"/>
    <w:rsid w:val="006C325B"/>
    <w:rsid w:val="006C3586"/>
    <w:rsid w:val="006C3A4A"/>
    <w:rsid w:val="006C3E3B"/>
    <w:rsid w:val="006C44A3"/>
    <w:rsid w:val="006C47BC"/>
    <w:rsid w:val="006C4B5D"/>
    <w:rsid w:val="006C4C1F"/>
    <w:rsid w:val="006C4CD8"/>
    <w:rsid w:val="006C5286"/>
    <w:rsid w:val="006C570E"/>
    <w:rsid w:val="006C58EC"/>
    <w:rsid w:val="006C5972"/>
    <w:rsid w:val="006C5AD3"/>
    <w:rsid w:val="006C5D52"/>
    <w:rsid w:val="006C6265"/>
    <w:rsid w:val="006C64E5"/>
    <w:rsid w:val="006C6986"/>
    <w:rsid w:val="006C6A61"/>
    <w:rsid w:val="006C6B95"/>
    <w:rsid w:val="006C6C48"/>
    <w:rsid w:val="006C6E35"/>
    <w:rsid w:val="006C6F52"/>
    <w:rsid w:val="006C6FE7"/>
    <w:rsid w:val="006C7128"/>
    <w:rsid w:val="006C7588"/>
    <w:rsid w:val="006C77D0"/>
    <w:rsid w:val="006C7C17"/>
    <w:rsid w:val="006C7D53"/>
    <w:rsid w:val="006C7FA2"/>
    <w:rsid w:val="006D01A2"/>
    <w:rsid w:val="006D0750"/>
    <w:rsid w:val="006D0D88"/>
    <w:rsid w:val="006D1183"/>
    <w:rsid w:val="006D1697"/>
    <w:rsid w:val="006D18C9"/>
    <w:rsid w:val="006D1BF6"/>
    <w:rsid w:val="006D2801"/>
    <w:rsid w:val="006D38E3"/>
    <w:rsid w:val="006D3AE2"/>
    <w:rsid w:val="006D3D74"/>
    <w:rsid w:val="006D431E"/>
    <w:rsid w:val="006D4B35"/>
    <w:rsid w:val="006D59D8"/>
    <w:rsid w:val="006D5C38"/>
    <w:rsid w:val="006D5CD4"/>
    <w:rsid w:val="006D5FF8"/>
    <w:rsid w:val="006D61CB"/>
    <w:rsid w:val="006D632A"/>
    <w:rsid w:val="006D65DF"/>
    <w:rsid w:val="006D677F"/>
    <w:rsid w:val="006D67F7"/>
    <w:rsid w:val="006D69D3"/>
    <w:rsid w:val="006D6A27"/>
    <w:rsid w:val="006D6C23"/>
    <w:rsid w:val="006E0328"/>
    <w:rsid w:val="006E07F0"/>
    <w:rsid w:val="006E0F0B"/>
    <w:rsid w:val="006E128C"/>
    <w:rsid w:val="006E1370"/>
    <w:rsid w:val="006E18A4"/>
    <w:rsid w:val="006E230D"/>
    <w:rsid w:val="006E2A8C"/>
    <w:rsid w:val="006E3329"/>
    <w:rsid w:val="006E381B"/>
    <w:rsid w:val="006E388D"/>
    <w:rsid w:val="006E3BC8"/>
    <w:rsid w:val="006E3DBF"/>
    <w:rsid w:val="006E4440"/>
    <w:rsid w:val="006E4472"/>
    <w:rsid w:val="006E4BAB"/>
    <w:rsid w:val="006E4BBC"/>
    <w:rsid w:val="006E5127"/>
    <w:rsid w:val="006E514D"/>
    <w:rsid w:val="006E5F6E"/>
    <w:rsid w:val="006E61CF"/>
    <w:rsid w:val="006E661F"/>
    <w:rsid w:val="006E6627"/>
    <w:rsid w:val="006E707F"/>
    <w:rsid w:val="006E75CD"/>
    <w:rsid w:val="006E76E0"/>
    <w:rsid w:val="006E78F1"/>
    <w:rsid w:val="006F002C"/>
    <w:rsid w:val="006F0403"/>
    <w:rsid w:val="006F045B"/>
    <w:rsid w:val="006F0629"/>
    <w:rsid w:val="006F0D90"/>
    <w:rsid w:val="006F127C"/>
    <w:rsid w:val="006F1406"/>
    <w:rsid w:val="006F213E"/>
    <w:rsid w:val="006F25B4"/>
    <w:rsid w:val="006F2DD7"/>
    <w:rsid w:val="006F3509"/>
    <w:rsid w:val="006F3FA2"/>
    <w:rsid w:val="006F4199"/>
    <w:rsid w:val="006F4D70"/>
    <w:rsid w:val="006F522C"/>
    <w:rsid w:val="006F58F2"/>
    <w:rsid w:val="006F6014"/>
    <w:rsid w:val="006F6048"/>
    <w:rsid w:val="006F65B2"/>
    <w:rsid w:val="006F660B"/>
    <w:rsid w:val="006F6EAB"/>
    <w:rsid w:val="006F76E4"/>
    <w:rsid w:val="006F78E5"/>
    <w:rsid w:val="006F7AB6"/>
    <w:rsid w:val="0070009B"/>
    <w:rsid w:val="007004D8"/>
    <w:rsid w:val="007006F1"/>
    <w:rsid w:val="00701593"/>
    <w:rsid w:val="007016F1"/>
    <w:rsid w:val="00701B51"/>
    <w:rsid w:val="00702A21"/>
    <w:rsid w:val="007032C2"/>
    <w:rsid w:val="00703315"/>
    <w:rsid w:val="00703509"/>
    <w:rsid w:val="0070384A"/>
    <w:rsid w:val="00703A04"/>
    <w:rsid w:val="0070497E"/>
    <w:rsid w:val="00704CD4"/>
    <w:rsid w:val="00704E37"/>
    <w:rsid w:val="00705207"/>
    <w:rsid w:val="007053BD"/>
    <w:rsid w:val="00705E46"/>
    <w:rsid w:val="0070760F"/>
    <w:rsid w:val="0070762A"/>
    <w:rsid w:val="00710085"/>
    <w:rsid w:val="007103E5"/>
    <w:rsid w:val="00710447"/>
    <w:rsid w:val="007108AF"/>
    <w:rsid w:val="007109D7"/>
    <w:rsid w:val="00710D31"/>
    <w:rsid w:val="00710F87"/>
    <w:rsid w:val="007113D2"/>
    <w:rsid w:val="0071142E"/>
    <w:rsid w:val="0071193D"/>
    <w:rsid w:val="00711D7F"/>
    <w:rsid w:val="00712348"/>
    <w:rsid w:val="007123C8"/>
    <w:rsid w:val="00712746"/>
    <w:rsid w:val="007130DD"/>
    <w:rsid w:val="00713219"/>
    <w:rsid w:val="007136E7"/>
    <w:rsid w:val="00713AEA"/>
    <w:rsid w:val="00714F38"/>
    <w:rsid w:val="00714F4E"/>
    <w:rsid w:val="007169C3"/>
    <w:rsid w:val="007175D2"/>
    <w:rsid w:val="00717747"/>
    <w:rsid w:val="00717757"/>
    <w:rsid w:val="00717DE8"/>
    <w:rsid w:val="00717E61"/>
    <w:rsid w:val="0072029F"/>
    <w:rsid w:val="007202C4"/>
    <w:rsid w:val="00720329"/>
    <w:rsid w:val="007204AC"/>
    <w:rsid w:val="007205DD"/>
    <w:rsid w:val="007207C8"/>
    <w:rsid w:val="00720C05"/>
    <w:rsid w:val="00720CE1"/>
    <w:rsid w:val="007210A7"/>
    <w:rsid w:val="00721F58"/>
    <w:rsid w:val="00722449"/>
    <w:rsid w:val="00722CD1"/>
    <w:rsid w:val="00723391"/>
    <w:rsid w:val="00723489"/>
    <w:rsid w:val="0072396E"/>
    <w:rsid w:val="00723E9E"/>
    <w:rsid w:val="007240F6"/>
    <w:rsid w:val="00724163"/>
    <w:rsid w:val="0072530F"/>
    <w:rsid w:val="0072534A"/>
    <w:rsid w:val="007253C3"/>
    <w:rsid w:val="00725542"/>
    <w:rsid w:val="0072594D"/>
    <w:rsid w:val="007261C8"/>
    <w:rsid w:val="00726CF7"/>
    <w:rsid w:val="00726FD8"/>
    <w:rsid w:val="007273BC"/>
    <w:rsid w:val="00727442"/>
    <w:rsid w:val="00727F7A"/>
    <w:rsid w:val="007307F8"/>
    <w:rsid w:val="00730B95"/>
    <w:rsid w:val="00730E49"/>
    <w:rsid w:val="0073173E"/>
    <w:rsid w:val="00732028"/>
    <w:rsid w:val="007324B6"/>
    <w:rsid w:val="00732978"/>
    <w:rsid w:val="00732B44"/>
    <w:rsid w:val="00732E36"/>
    <w:rsid w:val="00733234"/>
    <w:rsid w:val="00733471"/>
    <w:rsid w:val="0073347D"/>
    <w:rsid w:val="0073386D"/>
    <w:rsid w:val="00733C94"/>
    <w:rsid w:val="007354EA"/>
    <w:rsid w:val="00735558"/>
    <w:rsid w:val="0073582C"/>
    <w:rsid w:val="00735926"/>
    <w:rsid w:val="007360B9"/>
    <w:rsid w:val="00736664"/>
    <w:rsid w:val="00736B76"/>
    <w:rsid w:val="00737020"/>
    <w:rsid w:val="0073716E"/>
    <w:rsid w:val="00737385"/>
    <w:rsid w:val="00737AA9"/>
    <w:rsid w:val="00737B01"/>
    <w:rsid w:val="007404F8"/>
    <w:rsid w:val="00740F5A"/>
    <w:rsid w:val="007411A2"/>
    <w:rsid w:val="00741A2E"/>
    <w:rsid w:val="00741E70"/>
    <w:rsid w:val="007425A9"/>
    <w:rsid w:val="0074260F"/>
    <w:rsid w:val="00742C02"/>
    <w:rsid w:val="00742DA2"/>
    <w:rsid w:val="007438ED"/>
    <w:rsid w:val="00744213"/>
    <w:rsid w:val="007442F4"/>
    <w:rsid w:val="00744519"/>
    <w:rsid w:val="00744530"/>
    <w:rsid w:val="0074461F"/>
    <w:rsid w:val="0074464F"/>
    <w:rsid w:val="00744998"/>
    <w:rsid w:val="00744A4F"/>
    <w:rsid w:val="00745F31"/>
    <w:rsid w:val="007461A0"/>
    <w:rsid w:val="00746818"/>
    <w:rsid w:val="00746BD7"/>
    <w:rsid w:val="00746F28"/>
    <w:rsid w:val="00750345"/>
    <w:rsid w:val="00750927"/>
    <w:rsid w:val="00751165"/>
    <w:rsid w:val="00751598"/>
    <w:rsid w:val="00751885"/>
    <w:rsid w:val="00751B1D"/>
    <w:rsid w:val="00751F1C"/>
    <w:rsid w:val="0075219D"/>
    <w:rsid w:val="0075269F"/>
    <w:rsid w:val="007528B9"/>
    <w:rsid w:val="007535EA"/>
    <w:rsid w:val="007538D2"/>
    <w:rsid w:val="00753AE9"/>
    <w:rsid w:val="00753C10"/>
    <w:rsid w:val="00754AC2"/>
    <w:rsid w:val="00754CFE"/>
    <w:rsid w:val="00755410"/>
    <w:rsid w:val="00755725"/>
    <w:rsid w:val="0075585D"/>
    <w:rsid w:val="007558CE"/>
    <w:rsid w:val="00755B21"/>
    <w:rsid w:val="007561FB"/>
    <w:rsid w:val="0075661E"/>
    <w:rsid w:val="007568C6"/>
    <w:rsid w:val="00756DAA"/>
    <w:rsid w:val="007571A5"/>
    <w:rsid w:val="007578A0"/>
    <w:rsid w:val="00757C27"/>
    <w:rsid w:val="00760A40"/>
    <w:rsid w:val="00760A7B"/>
    <w:rsid w:val="00760F46"/>
    <w:rsid w:val="00761B67"/>
    <w:rsid w:val="00761C82"/>
    <w:rsid w:val="0076212A"/>
    <w:rsid w:val="007626A5"/>
    <w:rsid w:val="007626D3"/>
    <w:rsid w:val="007626F4"/>
    <w:rsid w:val="00762B02"/>
    <w:rsid w:val="00763247"/>
    <w:rsid w:val="00763DB4"/>
    <w:rsid w:val="00763DE5"/>
    <w:rsid w:val="007643A5"/>
    <w:rsid w:val="00764746"/>
    <w:rsid w:val="00764FA4"/>
    <w:rsid w:val="0076515A"/>
    <w:rsid w:val="007651FF"/>
    <w:rsid w:val="007653A4"/>
    <w:rsid w:val="00765BE5"/>
    <w:rsid w:val="00765E62"/>
    <w:rsid w:val="00765F1C"/>
    <w:rsid w:val="007664F1"/>
    <w:rsid w:val="0076689E"/>
    <w:rsid w:val="00767484"/>
    <w:rsid w:val="00767702"/>
    <w:rsid w:val="007678A0"/>
    <w:rsid w:val="00767A6A"/>
    <w:rsid w:val="00767DB9"/>
    <w:rsid w:val="00770201"/>
    <w:rsid w:val="007704E7"/>
    <w:rsid w:val="007705D4"/>
    <w:rsid w:val="00770839"/>
    <w:rsid w:val="00770CA5"/>
    <w:rsid w:val="007710B0"/>
    <w:rsid w:val="007717C3"/>
    <w:rsid w:val="007718FA"/>
    <w:rsid w:val="0077198B"/>
    <w:rsid w:val="00771D8C"/>
    <w:rsid w:val="00772802"/>
    <w:rsid w:val="00772AB6"/>
    <w:rsid w:val="00772F89"/>
    <w:rsid w:val="007730DF"/>
    <w:rsid w:val="00773485"/>
    <w:rsid w:val="00774686"/>
    <w:rsid w:val="007746A5"/>
    <w:rsid w:val="00774D73"/>
    <w:rsid w:val="00774FBF"/>
    <w:rsid w:val="0077583A"/>
    <w:rsid w:val="00776598"/>
    <w:rsid w:val="007765CB"/>
    <w:rsid w:val="00776681"/>
    <w:rsid w:val="00776DED"/>
    <w:rsid w:val="00776E3E"/>
    <w:rsid w:val="007775DF"/>
    <w:rsid w:val="00777DB8"/>
    <w:rsid w:val="0078004A"/>
    <w:rsid w:val="007801D2"/>
    <w:rsid w:val="007805D6"/>
    <w:rsid w:val="00780B37"/>
    <w:rsid w:val="00780BF5"/>
    <w:rsid w:val="00780DAA"/>
    <w:rsid w:val="00781232"/>
    <w:rsid w:val="0078125B"/>
    <w:rsid w:val="007815DE"/>
    <w:rsid w:val="00781F3B"/>
    <w:rsid w:val="00782226"/>
    <w:rsid w:val="007825A4"/>
    <w:rsid w:val="007829EE"/>
    <w:rsid w:val="00782F64"/>
    <w:rsid w:val="00783182"/>
    <w:rsid w:val="0078320B"/>
    <w:rsid w:val="0078399E"/>
    <w:rsid w:val="00783AA9"/>
    <w:rsid w:val="007842FD"/>
    <w:rsid w:val="0078450D"/>
    <w:rsid w:val="007846E2"/>
    <w:rsid w:val="0078473E"/>
    <w:rsid w:val="007849A5"/>
    <w:rsid w:val="00784F8E"/>
    <w:rsid w:val="00785508"/>
    <w:rsid w:val="00785760"/>
    <w:rsid w:val="00785A00"/>
    <w:rsid w:val="00785DAA"/>
    <w:rsid w:val="00785E93"/>
    <w:rsid w:val="007864C4"/>
    <w:rsid w:val="00786E30"/>
    <w:rsid w:val="00787071"/>
    <w:rsid w:val="00787B33"/>
    <w:rsid w:val="00787EE1"/>
    <w:rsid w:val="00790495"/>
    <w:rsid w:val="007908CE"/>
    <w:rsid w:val="007910D1"/>
    <w:rsid w:val="007911F6"/>
    <w:rsid w:val="0079143A"/>
    <w:rsid w:val="0079235A"/>
    <w:rsid w:val="00792C1C"/>
    <w:rsid w:val="00792EA4"/>
    <w:rsid w:val="007930B6"/>
    <w:rsid w:val="00793371"/>
    <w:rsid w:val="0079362F"/>
    <w:rsid w:val="00793798"/>
    <w:rsid w:val="00793CEE"/>
    <w:rsid w:val="0079425F"/>
    <w:rsid w:val="00794683"/>
    <w:rsid w:val="007948C4"/>
    <w:rsid w:val="00794ADF"/>
    <w:rsid w:val="00794E5B"/>
    <w:rsid w:val="00794F12"/>
    <w:rsid w:val="00795D74"/>
    <w:rsid w:val="00796101"/>
    <w:rsid w:val="00796498"/>
    <w:rsid w:val="007965BF"/>
    <w:rsid w:val="00796692"/>
    <w:rsid w:val="007966C0"/>
    <w:rsid w:val="00796C6D"/>
    <w:rsid w:val="00796D8D"/>
    <w:rsid w:val="007974A2"/>
    <w:rsid w:val="007976D0"/>
    <w:rsid w:val="007A0E8E"/>
    <w:rsid w:val="007A10E3"/>
    <w:rsid w:val="007A1CFC"/>
    <w:rsid w:val="007A2077"/>
    <w:rsid w:val="007A21F7"/>
    <w:rsid w:val="007A2421"/>
    <w:rsid w:val="007A252A"/>
    <w:rsid w:val="007A27C0"/>
    <w:rsid w:val="007A3085"/>
    <w:rsid w:val="007A3736"/>
    <w:rsid w:val="007A3A03"/>
    <w:rsid w:val="007A4110"/>
    <w:rsid w:val="007A4F9D"/>
    <w:rsid w:val="007A56A2"/>
    <w:rsid w:val="007A57DC"/>
    <w:rsid w:val="007A5852"/>
    <w:rsid w:val="007A5AF1"/>
    <w:rsid w:val="007A5DCA"/>
    <w:rsid w:val="007A62C1"/>
    <w:rsid w:val="007A6364"/>
    <w:rsid w:val="007A6C11"/>
    <w:rsid w:val="007A6CC0"/>
    <w:rsid w:val="007A6F59"/>
    <w:rsid w:val="007A72E1"/>
    <w:rsid w:val="007A7895"/>
    <w:rsid w:val="007A7B9F"/>
    <w:rsid w:val="007A7CD6"/>
    <w:rsid w:val="007A7D24"/>
    <w:rsid w:val="007A7E85"/>
    <w:rsid w:val="007A7FFB"/>
    <w:rsid w:val="007B04AA"/>
    <w:rsid w:val="007B08B0"/>
    <w:rsid w:val="007B0950"/>
    <w:rsid w:val="007B1B51"/>
    <w:rsid w:val="007B1F41"/>
    <w:rsid w:val="007B20DA"/>
    <w:rsid w:val="007B2550"/>
    <w:rsid w:val="007B2690"/>
    <w:rsid w:val="007B2DE9"/>
    <w:rsid w:val="007B32BA"/>
    <w:rsid w:val="007B335C"/>
    <w:rsid w:val="007B337F"/>
    <w:rsid w:val="007B3491"/>
    <w:rsid w:val="007B436A"/>
    <w:rsid w:val="007B4D38"/>
    <w:rsid w:val="007B52CC"/>
    <w:rsid w:val="007B53C0"/>
    <w:rsid w:val="007B5F42"/>
    <w:rsid w:val="007B5F45"/>
    <w:rsid w:val="007B6225"/>
    <w:rsid w:val="007B637E"/>
    <w:rsid w:val="007B654E"/>
    <w:rsid w:val="007B6809"/>
    <w:rsid w:val="007B6E67"/>
    <w:rsid w:val="007B77EA"/>
    <w:rsid w:val="007C0009"/>
    <w:rsid w:val="007C052A"/>
    <w:rsid w:val="007C063F"/>
    <w:rsid w:val="007C0B38"/>
    <w:rsid w:val="007C0B5D"/>
    <w:rsid w:val="007C0DC3"/>
    <w:rsid w:val="007C0E36"/>
    <w:rsid w:val="007C132B"/>
    <w:rsid w:val="007C178D"/>
    <w:rsid w:val="007C200C"/>
    <w:rsid w:val="007C2099"/>
    <w:rsid w:val="007C2263"/>
    <w:rsid w:val="007C250F"/>
    <w:rsid w:val="007C256C"/>
    <w:rsid w:val="007C27DC"/>
    <w:rsid w:val="007C296B"/>
    <w:rsid w:val="007C29B7"/>
    <w:rsid w:val="007C2B55"/>
    <w:rsid w:val="007C2BBE"/>
    <w:rsid w:val="007C2F25"/>
    <w:rsid w:val="007C302F"/>
    <w:rsid w:val="007C3423"/>
    <w:rsid w:val="007C3B51"/>
    <w:rsid w:val="007C3F0B"/>
    <w:rsid w:val="007C3F8B"/>
    <w:rsid w:val="007C4089"/>
    <w:rsid w:val="007C47C5"/>
    <w:rsid w:val="007C4A8B"/>
    <w:rsid w:val="007C4C5B"/>
    <w:rsid w:val="007C4FB8"/>
    <w:rsid w:val="007C505F"/>
    <w:rsid w:val="007C506C"/>
    <w:rsid w:val="007C5162"/>
    <w:rsid w:val="007C51E2"/>
    <w:rsid w:val="007C5293"/>
    <w:rsid w:val="007C544B"/>
    <w:rsid w:val="007C59B0"/>
    <w:rsid w:val="007C6073"/>
    <w:rsid w:val="007C61A5"/>
    <w:rsid w:val="007C676A"/>
    <w:rsid w:val="007C6939"/>
    <w:rsid w:val="007C6F80"/>
    <w:rsid w:val="007C73A6"/>
    <w:rsid w:val="007C7B4E"/>
    <w:rsid w:val="007D1328"/>
    <w:rsid w:val="007D1490"/>
    <w:rsid w:val="007D1773"/>
    <w:rsid w:val="007D191C"/>
    <w:rsid w:val="007D19EB"/>
    <w:rsid w:val="007D19F2"/>
    <w:rsid w:val="007D24F5"/>
    <w:rsid w:val="007D2EC3"/>
    <w:rsid w:val="007D30D6"/>
    <w:rsid w:val="007D31F3"/>
    <w:rsid w:val="007D3276"/>
    <w:rsid w:val="007D33D7"/>
    <w:rsid w:val="007D3733"/>
    <w:rsid w:val="007D377D"/>
    <w:rsid w:val="007D37BB"/>
    <w:rsid w:val="007D3A78"/>
    <w:rsid w:val="007D3AC0"/>
    <w:rsid w:val="007D421D"/>
    <w:rsid w:val="007D45EE"/>
    <w:rsid w:val="007D472E"/>
    <w:rsid w:val="007D4B4E"/>
    <w:rsid w:val="007D4BFC"/>
    <w:rsid w:val="007D4C2C"/>
    <w:rsid w:val="007D5CC0"/>
    <w:rsid w:val="007D5D29"/>
    <w:rsid w:val="007D6336"/>
    <w:rsid w:val="007D66C6"/>
    <w:rsid w:val="007D747D"/>
    <w:rsid w:val="007D7994"/>
    <w:rsid w:val="007D7F80"/>
    <w:rsid w:val="007E05CB"/>
    <w:rsid w:val="007E0884"/>
    <w:rsid w:val="007E08F3"/>
    <w:rsid w:val="007E0DEF"/>
    <w:rsid w:val="007E0E3E"/>
    <w:rsid w:val="007E0F89"/>
    <w:rsid w:val="007E1014"/>
    <w:rsid w:val="007E1326"/>
    <w:rsid w:val="007E1616"/>
    <w:rsid w:val="007E1F4C"/>
    <w:rsid w:val="007E28D9"/>
    <w:rsid w:val="007E2B8A"/>
    <w:rsid w:val="007E2D1F"/>
    <w:rsid w:val="007E2ED7"/>
    <w:rsid w:val="007E2FD5"/>
    <w:rsid w:val="007E3806"/>
    <w:rsid w:val="007E41FE"/>
    <w:rsid w:val="007E48D5"/>
    <w:rsid w:val="007E491A"/>
    <w:rsid w:val="007E4928"/>
    <w:rsid w:val="007E4ABC"/>
    <w:rsid w:val="007E4B59"/>
    <w:rsid w:val="007E4BE2"/>
    <w:rsid w:val="007E53C3"/>
    <w:rsid w:val="007E5418"/>
    <w:rsid w:val="007E575F"/>
    <w:rsid w:val="007E679A"/>
    <w:rsid w:val="007E681D"/>
    <w:rsid w:val="007E6BD9"/>
    <w:rsid w:val="007E7605"/>
    <w:rsid w:val="007E7CE4"/>
    <w:rsid w:val="007E7DCB"/>
    <w:rsid w:val="007F021D"/>
    <w:rsid w:val="007F03C4"/>
    <w:rsid w:val="007F0DFC"/>
    <w:rsid w:val="007F1068"/>
    <w:rsid w:val="007F109F"/>
    <w:rsid w:val="007F1CFE"/>
    <w:rsid w:val="007F1DB2"/>
    <w:rsid w:val="007F2002"/>
    <w:rsid w:val="007F2191"/>
    <w:rsid w:val="007F26A2"/>
    <w:rsid w:val="007F2D41"/>
    <w:rsid w:val="007F2DEB"/>
    <w:rsid w:val="007F3411"/>
    <w:rsid w:val="007F3EAE"/>
    <w:rsid w:val="007F3EE5"/>
    <w:rsid w:val="007F43DB"/>
    <w:rsid w:val="007F4D10"/>
    <w:rsid w:val="007F5056"/>
    <w:rsid w:val="007F54A8"/>
    <w:rsid w:val="007F57E4"/>
    <w:rsid w:val="007F59DC"/>
    <w:rsid w:val="007F6739"/>
    <w:rsid w:val="007F6912"/>
    <w:rsid w:val="007F697D"/>
    <w:rsid w:val="007F6FEB"/>
    <w:rsid w:val="007F725C"/>
    <w:rsid w:val="007F7524"/>
    <w:rsid w:val="007F7C12"/>
    <w:rsid w:val="007F7FA9"/>
    <w:rsid w:val="00800231"/>
    <w:rsid w:val="00800F04"/>
    <w:rsid w:val="008014AC"/>
    <w:rsid w:val="008018EE"/>
    <w:rsid w:val="00801D2B"/>
    <w:rsid w:val="00801F89"/>
    <w:rsid w:val="008034D9"/>
    <w:rsid w:val="00803A1D"/>
    <w:rsid w:val="00803A89"/>
    <w:rsid w:val="00803CD8"/>
    <w:rsid w:val="0080449F"/>
    <w:rsid w:val="008046FB"/>
    <w:rsid w:val="008047DD"/>
    <w:rsid w:val="0080481E"/>
    <w:rsid w:val="00804AAF"/>
    <w:rsid w:val="00804EA4"/>
    <w:rsid w:val="00805044"/>
    <w:rsid w:val="00805223"/>
    <w:rsid w:val="0080547A"/>
    <w:rsid w:val="008056A2"/>
    <w:rsid w:val="00806655"/>
    <w:rsid w:val="00806C0D"/>
    <w:rsid w:val="00806CF8"/>
    <w:rsid w:val="00806F06"/>
    <w:rsid w:val="00807232"/>
    <w:rsid w:val="0080749E"/>
    <w:rsid w:val="008076E1"/>
    <w:rsid w:val="008077A4"/>
    <w:rsid w:val="008078D1"/>
    <w:rsid w:val="0080793D"/>
    <w:rsid w:val="00807DC9"/>
    <w:rsid w:val="00807E70"/>
    <w:rsid w:val="00807EFB"/>
    <w:rsid w:val="00810403"/>
    <w:rsid w:val="00810BFD"/>
    <w:rsid w:val="00810D33"/>
    <w:rsid w:val="00811035"/>
    <w:rsid w:val="00811504"/>
    <w:rsid w:val="008124FD"/>
    <w:rsid w:val="00812D86"/>
    <w:rsid w:val="00812FC0"/>
    <w:rsid w:val="0081394A"/>
    <w:rsid w:val="00813B16"/>
    <w:rsid w:val="00814235"/>
    <w:rsid w:val="00814A53"/>
    <w:rsid w:val="00814AA9"/>
    <w:rsid w:val="00814F1E"/>
    <w:rsid w:val="008158FA"/>
    <w:rsid w:val="00815A6F"/>
    <w:rsid w:val="00815DFC"/>
    <w:rsid w:val="0081625F"/>
    <w:rsid w:val="008167D9"/>
    <w:rsid w:val="008168B3"/>
    <w:rsid w:val="00817722"/>
    <w:rsid w:val="0081797F"/>
    <w:rsid w:val="008179E2"/>
    <w:rsid w:val="00817BFD"/>
    <w:rsid w:val="00817C75"/>
    <w:rsid w:val="00817CC0"/>
    <w:rsid w:val="008209BF"/>
    <w:rsid w:val="00820E66"/>
    <w:rsid w:val="00821774"/>
    <w:rsid w:val="00821A24"/>
    <w:rsid w:val="00821BED"/>
    <w:rsid w:val="00821DDE"/>
    <w:rsid w:val="008223F3"/>
    <w:rsid w:val="00822BA4"/>
    <w:rsid w:val="00822E64"/>
    <w:rsid w:val="0082332A"/>
    <w:rsid w:val="0082344B"/>
    <w:rsid w:val="00823482"/>
    <w:rsid w:val="0082348E"/>
    <w:rsid w:val="00823695"/>
    <w:rsid w:val="00824707"/>
    <w:rsid w:val="008247DC"/>
    <w:rsid w:val="00824C93"/>
    <w:rsid w:val="0082584E"/>
    <w:rsid w:val="0082591B"/>
    <w:rsid w:val="008259C5"/>
    <w:rsid w:val="00826178"/>
    <w:rsid w:val="008270B5"/>
    <w:rsid w:val="0083004B"/>
    <w:rsid w:val="00830633"/>
    <w:rsid w:val="00830BB2"/>
    <w:rsid w:val="00831486"/>
    <w:rsid w:val="00831A89"/>
    <w:rsid w:val="00831D3B"/>
    <w:rsid w:val="00831EC8"/>
    <w:rsid w:val="008324F5"/>
    <w:rsid w:val="008327D5"/>
    <w:rsid w:val="008328E0"/>
    <w:rsid w:val="00832D1C"/>
    <w:rsid w:val="00833805"/>
    <w:rsid w:val="00833A3E"/>
    <w:rsid w:val="00833BC3"/>
    <w:rsid w:val="00833F7C"/>
    <w:rsid w:val="00833FC6"/>
    <w:rsid w:val="0083446B"/>
    <w:rsid w:val="008346B7"/>
    <w:rsid w:val="00837115"/>
    <w:rsid w:val="00837566"/>
    <w:rsid w:val="008379F2"/>
    <w:rsid w:val="00837D21"/>
    <w:rsid w:val="008410A5"/>
    <w:rsid w:val="0084135A"/>
    <w:rsid w:val="00841421"/>
    <w:rsid w:val="00841B62"/>
    <w:rsid w:val="00841FA1"/>
    <w:rsid w:val="00842115"/>
    <w:rsid w:val="00842DAF"/>
    <w:rsid w:val="00843105"/>
    <w:rsid w:val="00843A68"/>
    <w:rsid w:val="00843C62"/>
    <w:rsid w:val="008443E9"/>
    <w:rsid w:val="008443F5"/>
    <w:rsid w:val="00844AD3"/>
    <w:rsid w:val="00845066"/>
    <w:rsid w:val="0084513A"/>
    <w:rsid w:val="00845488"/>
    <w:rsid w:val="008454B7"/>
    <w:rsid w:val="00845B54"/>
    <w:rsid w:val="00845E69"/>
    <w:rsid w:val="00846404"/>
    <w:rsid w:val="00846759"/>
    <w:rsid w:val="008468AE"/>
    <w:rsid w:val="00847041"/>
    <w:rsid w:val="00847141"/>
    <w:rsid w:val="00847435"/>
    <w:rsid w:val="00847FA2"/>
    <w:rsid w:val="0085041D"/>
    <w:rsid w:val="00850996"/>
    <w:rsid w:val="00850B62"/>
    <w:rsid w:val="00850E36"/>
    <w:rsid w:val="00850EBF"/>
    <w:rsid w:val="00851373"/>
    <w:rsid w:val="0085137D"/>
    <w:rsid w:val="00851653"/>
    <w:rsid w:val="0085175D"/>
    <w:rsid w:val="008518D6"/>
    <w:rsid w:val="00851A25"/>
    <w:rsid w:val="00851DC7"/>
    <w:rsid w:val="00852D5C"/>
    <w:rsid w:val="00852E73"/>
    <w:rsid w:val="00853C16"/>
    <w:rsid w:val="00854548"/>
    <w:rsid w:val="008547A0"/>
    <w:rsid w:val="008549E4"/>
    <w:rsid w:val="00854ACB"/>
    <w:rsid w:val="00854B94"/>
    <w:rsid w:val="008550F7"/>
    <w:rsid w:val="00855CC8"/>
    <w:rsid w:val="008562A8"/>
    <w:rsid w:val="00856326"/>
    <w:rsid w:val="00856955"/>
    <w:rsid w:val="00856B43"/>
    <w:rsid w:val="008572FF"/>
    <w:rsid w:val="00857558"/>
    <w:rsid w:val="0085788A"/>
    <w:rsid w:val="00860792"/>
    <w:rsid w:val="00860C63"/>
    <w:rsid w:val="008625F5"/>
    <w:rsid w:val="00862724"/>
    <w:rsid w:val="00862B3D"/>
    <w:rsid w:val="00862D04"/>
    <w:rsid w:val="00863128"/>
    <w:rsid w:val="008634F9"/>
    <w:rsid w:val="008638C0"/>
    <w:rsid w:val="0086401E"/>
    <w:rsid w:val="00864415"/>
    <w:rsid w:val="008648F4"/>
    <w:rsid w:val="00864B72"/>
    <w:rsid w:val="0086502F"/>
    <w:rsid w:val="00865687"/>
    <w:rsid w:val="008658EB"/>
    <w:rsid w:val="00865B7A"/>
    <w:rsid w:val="00865D69"/>
    <w:rsid w:val="008661F6"/>
    <w:rsid w:val="0086694E"/>
    <w:rsid w:val="00866E86"/>
    <w:rsid w:val="00866F14"/>
    <w:rsid w:val="008676C7"/>
    <w:rsid w:val="00867DA7"/>
    <w:rsid w:val="00870489"/>
    <w:rsid w:val="0087092F"/>
    <w:rsid w:val="00870CF7"/>
    <w:rsid w:val="00870F49"/>
    <w:rsid w:val="00871019"/>
    <w:rsid w:val="0087153E"/>
    <w:rsid w:val="00872323"/>
    <w:rsid w:val="008724FB"/>
    <w:rsid w:val="008725F0"/>
    <w:rsid w:val="00872B20"/>
    <w:rsid w:val="00873535"/>
    <w:rsid w:val="00873A3F"/>
    <w:rsid w:val="008741D4"/>
    <w:rsid w:val="00874211"/>
    <w:rsid w:val="0087434C"/>
    <w:rsid w:val="00874B50"/>
    <w:rsid w:val="00874E24"/>
    <w:rsid w:val="00875094"/>
    <w:rsid w:val="00875499"/>
    <w:rsid w:val="00875C45"/>
    <w:rsid w:val="00875D85"/>
    <w:rsid w:val="0087623C"/>
    <w:rsid w:val="00876431"/>
    <w:rsid w:val="00876C6B"/>
    <w:rsid w:val="00877242"/>
    <w:rsid w:val="00877289"/>
    <w:rsid w:val="00877D2B"/>
    <w:rsid w:val="0088027B"/>
    <w:rsid w:val="00880283"/>
    <w:rsid w:val="00880380"/>
    <w:rsid w:val="00880519"/>
    <w:rsid w:val="0088092A"/>
    <w:rsid w:val="00881381"/>
    <w:rsid w:val="0088155B"/>
    <w:rsid w:val="00881CAA"/>
    <w:rsid w:val="00882B53"/>
    <w:rsid w:val="00883118"/>
    <w:rsid w:val="00883DEB"/>
    <w:rsid w:val="0088423D"/>
    <w:rsid w:val="0088429B"/>
    <w:rsid w:val="00884857"/>
    <w:rsid w:val="00884ABA"/>
    <w:rsid w:val="00884B23"/>
    <w:rsid w:val="0088500D"/>
    <w:rsid w:val="00885419"/>
    <w:rsid w:val="00885598"/>
    <w:rsid w:val="00886400"/>
    <w:rsid w:val="00886718"/>
    <w:rsid w:val="00886FE5"/>
    <w:rsid w:val="0088702E"/>
    <w:rsid w:val="0088707E"/>
    <w:rsid w:val="00887140"/>
    <w:rsid w:val="00887143"/>
    <w:rsid w:val="00887304"/>
    <w:rsid w:val="008873E3"/>
    <w:rsid w:val="008874E9"/>
    <w:rsid w:val="00887ED1"/>
    <w:rsid w:val="00890034"/>
    <w:rsid w:val="0089048E"/>
    <w:rsid w:val="00890936"/>
    <w:rsid w:val="00890C48"/>
    <w:rsid w:val="00890E34"/>
    <w:rsid w:val="00890F7D"/>
    <w:rsid w:val="00890F8E"/>
    <w:rsid w:val="00891268"/>
    <w:rsid w:val="00891521"/>
    <w:rsid w:val="0089184A"/>
    <w:rsid w:val="00891C09"/>
    <w:rsid w:val="00891C23"/>
    <w:rsid w:val="008927F3"/>
    <w:rsid w:val="00892827"/>
    <w:rsid w:val="00892FE1"/>
    <w:rsid w:val="00893751"/>
    <w:rsid w:val="00893B1F"/>
    <w:rsid w:val="00893F2E"/>
    <w:rsid w:val="008940D1"/>
    <w:rsid w:val="008944CB"/>
    <w:rsid w:val="008946BF"/>
    <w:rsid w:val="008947DF"/>
    <w:rsid w:val="0089515E"/>
    <w:rsid w:val="00895377"/>
    <w:rsid w:val="00895713"/>
    <w:rsid w:val="0089573D"/>
    <w:rsid w:val="0089579F"/>
    <w:rsid w:val="008960AC"/>
    <w:rsid w:val="0089611D"/>
    <w:rsid w:val="008964AD"/>
    <w:rsid w:val="00896595"/>
    <w:rsid w:val="00896B0E"/>
    <w:rsid w:val="00896DF9"/>
    <w:rsid w:val="008979B0"/>
    <w:rsid w:val="00897BDC"/>
    <w:rsid w:val="00897CA2"/>
    <w:rsid w:val="008A010E"/>
    <w:rsid w:val="008A0184"/>
    <w:rsid w:val="008A05ED"/>
    <w:rsid w:val="008A0648"/>
    <w:rsid w:val="008A2029"/>
    <w:rsid w:val="008A2860"/>
    <w:rsid w:val="008A2988"/>
    <w:rsid w:val="008A29A4"/>
    <w:rsid w:val="008A2BB7"/>
    <w:rsid w:val="008A351D"/>
    <w:rsid w:val="008A39A9"/>
    <w:rsid w:val="008A39CF"/>
    <w:rsid w:val="008A4027"/>
    <w:rsid w:val="008A41AD"/>
    <w:rsid w:val="008A42B1"/>
    <w:rsid w:val="008A42F4"/>
    <w:rsid w:val="008A45C4"/>
    <w:rsid w:val="008A46ED"/>
    <w:rsid w:val="008A47DE"/>
    <w:rsid w:val="008A4EE7"/>
    <w:rsid w:val="008A5C82"/>
    <w:rsid w:val="008A610F"/>
    <w:rsid w:val="008A65D1"/>
    <w:rsid w:val="008A6E44"/>
    <w:rsid w:val="008A7B08"/>
    <w:rsid w:val="008A7BB9"/>
    <w:rsid w:val="008B0C91"/>
    <w:rsid w:val="008B0FAD"/>
    <w:rsid w:val="008B126D"/>
    <w:rsid w:val="008B13B6"/>
    <w:rsid w:val="008B173E"/>
    <w:rsid w:val="008B1880"/>
    <w:rsid w:val="008B18B9"/>
    <w:rsid w:val="008B1AB6"/>
    <w:rsid w:val="008B240F"/>
    <w:rsid w:val="008B2832"/>
    <w:rsid w:val="008B2A2B"/>
    <w:rsid w:val="008B32F9"/>
    <w:rsid w:val="008B334F"/>
    <w:rsid w:val="008B3989"/>
    <w:rsid w:val="008B3AD8"/>
    <w:rsid w:val="008B3B65"/>
    <w:rsid w:val="008B41A5"/>
    <w:rsid w:val="008B4368"/>
    <w:rsid w:val="008B48F5"/>
    <w:rsid w:val="008B4C25"/>
    <w:rsid w:val="008B4C3C"/>
    <w:rsid w:val="008B4E1A"/>
    <w:rsid w:val="008B507F"/>
    <w:rsid w:val="008B577B"/>
    <w:rsid w:val="008B57AE"/>
    <w:rsid w:val="008B5809"/>
    <w:rsid w:val="008B5ECC"/>
    <w:rsid w:val="008B61F9"/>
    <w:rsid w:val="008B6DD8"/>
    <w:rsid w:val="008B7ADA"/>
    <w:rsid w:val="008B7BD1"/>
    <w:rsid w:val="008B7C53"/>
    <w:rsid w:val="008B7F3B"/>
    <w:rsid w:val="008C0029"/>
    <w:rsid w:val="008C0459"/>
    <w:rsid w:val="008C05A2"/>
    <w:rsid w:val="008C0D9E"/>
    <w:rsid w:val="008C1856"/>
    <w:rsid w:val="008C1915"/>
    <w:rsid w:val="008C1EB6"/>
    <w:rsid w:val="008C25F4"/>
    <w:rsid w:val="008C26B2"/>
    <w:rsid w:val="008C29AF"/>
    <w:rsid w:val="008C2B3A"/>
    <w:rsid w:val="008C2C89"/>
    <w:rsid w:val="008C30A8"/>
    <w:rsid w:val="008C3270"/>
    <w:rsid w:val="008C3F14"/>
    <w:rsid w:val="008C4BBD"/>
    <w:rsid w:val="008C4C1C"/>
    <w:rsid w:val="008C4EAD"/>
    <w:rsid w:val="008C507F"/>
    <w:rsid w:val="008C515E"/>
    <w:rsid w:val="008C58FA"/>
    <w:rsid w:val="008C649E"/>
    <w:rsid w:val="008C68DB"/>
    <w:rsid w:val="008C6D85"/>
    <w:rsid w:val="008C745F"/>
    <w:rsid w:val="008C761F"/>
    <w:rsid w:val="008C7D6A"/>
    <w:rsid w:val="008C7E29"/>
    <w:rsid w:val="008D113E"/>
    <w:rsid w:val="008D13CB"/>
    <w:rsid w:val="008D2418"/>
    <w:rsid w:val="008D28F3"/>
    <w:rsid w:val="008D2E7B"/>
    <w:rsid w:val="008D3345"/>
    <w:rsid w:val="008D371C"/>
    <w:rsid w:val="008D3EE3"/>
    <w:rsid w:val="008D4083"/>
    <w:rsid w:val="008D41C6"/>
    <w:rsid w:val="008D44EC"/>
    <w:rsid w:val="008D4E5D"/>
    <w:rsid w:val="008D5201"/>
    <w:rsid w:val="008D62A1"/>
    <w:rsid w:val="008D63E3"/>
    <w:rsid w:val="008D675E"/>
    <w:rsid w:val="008D697A"/>
    <w:rsid w:val="008D698C"/>
    <w:rsid w:val="008D699D"/>
    <w:rsid w:val="008D6E7E"/>
    <w:rsid w:val="008D6EFD"/>
    <w:rsid w:val="008D6FE8"/>
    <w:rsid w:val="008D725F"/>
    <w:rsid w:val="008D764E"/>
    <w:rsid w:val="008D7B20"/>
    <w:rsid w:val="008E0013"/>
    <w:rsid w:val="008E0AE0"/>
    <w:rsid w:val="008E0AED"/>
    <w:rsid w:val="008E150E"/>
    <w:rsid w:val="008E1720"/>
    <w:rsid w:val="008E2211"/>
    <w:rsid w:val="008E2565"/>
    <w:rsid w:val="008E27DA"/>
    <w:rsid w:val="008E29A3"/>
    <w:rsid w:val="008E2B62"/>
    <w:rsid w:val="008E2CF7"/>
    <w:rsid w:val="008E2FCA"/>
    <w:rsid w:val="008E31C7"/>
    <w:rsid w:val="008E3471"/>
    <w:rsid w:val="008E35A6"/>
    <w:rsid w:val="008E364E"/>
    <w:rsid w:val="008E40A2"/>
    <w:rsid w:val="008E4400"/>
    <w:rsid w:val="008E4583"/>
    <w:rsid w:val="008E4603"/>
    <w:rsid w:val="008E53AE"/>
    <w:rsid w:val="008E53C2"/>
    <w:rsid w:val="008E55A3"/>
    <w:rsid w:val="008E5718"/>
    <w:rsid w:val="008E59FC"/>
    <w:rsid w:val="008E5A3A"/>
    <w:rsid w:val="008E5B33"/>
    <w:rsid w:val="008E5EC7"/>
    <w:rsid w:val="008E5F38"/>
    <w:rsid w:val="008E6011"/>
    <w:rsid w:val="008E697A"/>
    <w:rsid w:val="008E69AE"/>
    <w:rsid w:val="008E6E13"/>
    <w:rsid w:val="008E7A69"/>
    <w:rsid w:val="008E7C71"/>
    <w:rsid w:val="008F056F"/>
    <w:rsid w:val="008F0D8F"/>
    <w:rsid w:val="008F1201"/>
    <w:rsid w:val="008F12AD"/>
    <w:rsid w:val="008F1620"/>
    <w:rsid w:val="008F20D4"/>
    <w:rsid w:val="008F28B5"/>
    <w:rsid w:val="008F2F0B"/>
    <w:rsid w:val="008F33BD"/>
    <w:rsid w:val="008F3559"/>
    <w:rsid w:val="008F38AE"/>
    <w:rsid w:val="008F3D4C"/>
    <w:rsid w:val="008F3D98"/>
    <w:rsid w:val="008F4128"/>
    <w:rsid w:val="008F449A"/>
    <w:rsid w:val="008F4CBB"/>
    <w:rsid w:val="008F5CC6"/>
    <w:rsid w:val="008F5F6D"/>
    <w:rsid w:val="008F6371"/>
    <w:rsid w:val="008F6AA9"/>
    <w:rsid w:val="008F6ABC"/>
    <w:rsid w:val="008F6C5B"/>
    <w:rsid w:val="008F6DF0"/>
    <w:rsid w:val="008F70AF"/>
    <w:rsid w:val="008F7386"/>
    <w:rsid w:val="008F7733"/>
    <w:rsid w:val="008F7A6B"/>
    <w:rsid w:val="008F7C1E"/>
    <w:rsid w:val="008F7FCA"/>
    <w:rsid w:val="009001AB"/>
    <w:rsid w:val="009003C2"/>
    <w:rsid w:val="00901373"/>
    <w:rsid w:val="009019D7"/>
    <w:rsid w:val="00901A61"/>
    <w:rsid w:val="0090246F"/>
    <w:rsid w:val="00902882"/>
    <w:rsid w:val="00902960"/>
    <w:rsid w:val="00903EC0"/>
    <w:rsid w:val="009043FD"/>
    <w:rsid w:val="0090455F"/>
    <w:rsid w:val="00904584"/>
    <w:rsid w:val="00904814"/>
    <w:rsid w:val="0090499D"/>
    <w:rsid w:val="00904DCA"/>
    <w:rsid w:val="0090519A"/>
    <w:rsid w:val="0090534A"/>
    <w:rsid w:val="00905522"/>
    <w:rsid w:val="00905B50"/>
    <w:rsid w:val="009067C9"/>
    <w:rsid w:val="0090693C"/>
    <w:rsid w:val="00907053"/>
    <w:rsid w:val="00907081"/>
    <w:rsid w:val="00907571"/>
    <w:rsid w:val="0090758A"/>
    <w:rsid w:val="00907636"/>
    <w:rsid w:val="00907A52"/>
    <w:rsid w:val="00910539"/>
    <w:rsid w:val="0091092C"/>
    <w:rsid w:val="00910D9D"/>
    <w:rsid w:val="009119BC"/>
    <w:rsid w:val="0091235A"/>
    <w:rsid w:val="0091236B"/>
    <w:rsid w:val="0091256F"/>
    <w:rsid w:val="0091263B"/>
    <w:rsid w:val="0091293D"/>
    <w:rsid w:val="009129E6"/>
    <w:rsid w:val="00912A3E"/>
    <w:rsid w:val="00912F26"/>
    <w:rsid w:val="00913D4E"/>
    <w:rsid w:val="00913F81"/>
    <w:rsid w:val="00914318"/>
    <w:rsid w:val="009144A9"/>
    <w:rsid w:val="00914767"/>
    <w:rsid w:val="00914B8C"/>
    <w:rsid w:val="00914C7B"/>
    <w:rsid w:val="00915161"/>
    <w:rsid w:val="0091524E"/>
    <w:rsid w:val="009156E2"/>
    <w:rsid w:val="00915B93"/>
    <w:rsid w:val="00915FC4"/>
    <w:rsid w:val="0091605D"/>
    <w:rsid w:val="00916EF0"/>
    <w:rsid w:val="0091768E"/>
    <w:rsid w:val="0091770F"/>
    <w:rsid w:val="00917D9F"/>
    <w:rsid w:val="009204D2"/>
    <w:rsid w:val="00920680"/>
    <w:rsid w:val="00920A98"/>
    <w:rsid w:val="00920B5A"/>
    <w:rsid w:val="00920EFE"/>
    <w:rsid w:val="0092139F"/>
    <w:rsid w:val="009213AB"/>
    <w:rsid w:val="00921773"/>
    <w:rsid w:val="00921D0A"/>
    <w:rsid w:val="00921DB6"/>
    <w:rsid w:val="0092210B"/>
    <w:rsid w:val="00922567"/>
    <w:rsid w:val="00922578"/>
    <w:rsid w:val="00922CF8"/>
    <w:rsid w:val="00922EDF"/>
    <w:rsid w:val="00923596"/>
    <w:rsid w:val="009235F3"/>
    <w:rsid w:val="0092377F"/>
    <w:rsid w:val="00923955"/>
    <w:rsid w:val="00923995"/>
    <w:rsid w:val="00923A75"/>
    <w:rsid w:val="00923A80"/>
    <w:rsid w:val="00924407"/>
    <w:rsid w:val="009245D9"/>
    <w:rsid w:val="00924B9F"/>
    <w:rsid w:val="00926050"/>
    <w:rsid w:val="00926282"/>
    <w:rsid w:val="009262D5"/>
    <w:rsid w:val="009264A7"/>
    <w:rsid w:val="00926830"/>
    <w:rsid w:val="00926C4D"/>
    <w:rsid w:val="00926C8E"/>
    <w:rsid w:val="00926F73"/>
    <w:rsid w:val="009272BA"/>
    <w:rsid w:val="0092757C"/>
    <w:rsid w:val="00927D65"/>
    <w:rsid w:val="00930195"/>
    <w:rsid w:val="00930531"/>
    <w:rsid w:val="00930783"/>
    <w:rsid w:val="00930836"/>
    <w:rsid w:val="009311A0"/>
    <w:rsid w:val="009314EF"/>
    <w:rsid w:val="00931636"/>
    <w:rsid w:val="00931933"/>
    <w:rsid w:val="009319D0"/>
    <w:rsid w:val="00931D41"/>
    <w:rsid w:val="0093201A"/>
    <w:rsid w:val="0093207D"/>
    <w:rsid w:val="0093273D"/>
    <w:rsid w:val="009327C6"/>
    <w:rsid w:val="00932AC2"/>
    <w:rsid w:val="00932F52"/>
    <w:rsid w:val="009331D5"/>
    <w:rsid w:val="0093336E"/>
    <w:rsid w:val="00933381"/>
    <w:rsid w:val="0093348E"/>
    <w:rsid w:val="00933A89"/>
    <w:rsid w:val="00933D4A"/>
    <w:rsid w:val="009342C2"/>
    <w:rsid w:val="009347B5"/>
    <w:rsid w:val="00934958"/>
    <w:rsid w:val="00934DFC"/>
    <w:rsid w:val="00934E99"/>
    <w:rsid w:val="009359AF"/>
    <w:rsid w:val="00936F00"/>
    <w:rsid w:val="009375A2"/>
    <w:rsid w:val="00937681"/>
    <w:rsid w:val="00937757"/>
    <w:rsid w:val="00937A75"/>
    <w:rsid w:val="00937A94"/>
    <w:rsid w:val="00937C56"/>
    <w:rsid w:val="00937F3E"/>
    <w:rsid w:val="00941C45"/>
    <w:rsid w:val="00941C59"/>
    <w:rsid w:val="00941ED4"/>
    <w:rsid w:val="009428E3"/>
    <w:rsid w:val="00942C54"/>
    <w:rsid w:val="00942CD4"/>
    <w:rsid w:val="00942DBF"/>
    <w:rsid w:val="00942F15"/>
    <w:rsid w:val="00942F75"/>
    <w:rsid w:val="0094321D"/>
    <w:rsid w:val="009432D8"/>
    <w:rsid w:val="00943990"/>
    <w:rsid w:val="00943CF2"/>
    <w:rsid w:val="00943E3E"/>
    <w:rsid w:val="00944753"/>
    <w:rsid w:val="00944CF9"/>
    <w:rsid w:val="0094531C"/>
    <w:rsid w:val="009459A4"/>
    <w:rsid w:val="00945C8A"/>
    <w:rsid w:val="00945F49"/>
    <w:rsid w:val="00946085"/>
    <w:rsid w:val="00946475"/>
    <w:rsid w:val="009465D1"/>
    <w:rsid w:val="009471F0"/>
    <w:rsid w:val="00947A37"/>
    <w:rsid w:val="0095105F"/>
    <w:rsid w:val="00951441"/>
    <w:rsid w:val="00952576"/>
    <w:rsid w:val="00952D6C"/>
    <w:rsid w:val="00952E3F"/>
    <w:rsid w:val="00952E7E"/>
    <w:rsid w:val="00953002"/>
    <w:rsid w:val="00953121"/>
    <w:rsid w:val="00954776"/>
    <w:rsid w:val="009548F8"/>
    <w:rsid w:val="00954A49"/>
    <w:rsid w:val="00954D6C"/>
    <w:rsid w:val="009565E1"/>
    <w:rsid w:val="00956F40"/>
    <w:rsid w:val="00957BC9"/>
    <w:rsid w:val="009600C6"/>
    <w:rsid w:val="00960186"/>
    <w:rsid w:val="0096065A"/>
    <w:rsid w:val="009606D4"/>
    <w:rsid w:val="0096114B"/>
    <w:rsid w:val="00961644"/>
    <w:rsid w:val="00961866"/>
    <w:rsid w:val="009619CC"/>
    <w:rsid w:val="00961ADC"/>
    <w:rsid w:val="00962154"/>
    <w:rsid w:val="009621E2"/>
    <w:rsid w:val="009628CB"/>
    <w:rsid w:val="00963261"/>
    <w:rsid w:val="00963693"/>
    <w:rsid w:val="00963948"/>
    <w:rsid w:val="00963E80"/>
    <w:rsid w:val="00965014"/>
    <w:rsid w:val="00965A24"/>
    <w:rsid w:val="00965A4A"/>
    <w:rsid w:val="00966474"/>
    <w:rsid w:val="009669F7"/>
    <w:rsid w:val="00966E61"/>
    <w:rsid w:val="00966FDD"/>
    <w:rsid w:val="0096708F"/>
    <w:rsid w:val="009676EA"/>
    <w:rsid w:val="009678EB"/>
    <w:rsid w:val="009678EF"/>
    <w:rsid w:val="00967F7B"/>
    <w:rsid w:val="00970591"/>
    <w:rsid w:val="0097088E"/>
    <w:rsid w:val="00970A6A"/>
    <w:rsid w:val="00970EB4"/>
    <w:rsid w:val="00970FB6"/>
    <w:rsid w:val="00971B2F"/>
    <w:rsid w:val="00972BC0"/>
    <w:rsid w:val="00973142"/>
    <w:rsid w:val="009735D4"/>
    <w:rsid w:val="00973AC3"/>
    <w:rsid w:val="00973D0A"/>
    <w:rsid w:val="009740C3"/>
    <w:rsid w:val="00975008"/>
    <w:rsid w:val="009753DC"/>
    <w:rsid w:val="009754B3"/>
    <w:rsid w:val="00975A25"/>
    <w:rsid w:val="00975CB0"/>
    <w:rsid w:val="0097669C"/>
    <w:rsid w:val="00977160"/>
    <w:rsid w:val="00977D69"/>
    <w:rsid w:val="00977E48"/>
    <w:rsid w:val="0098084B"/>
    <w:rsid w:val="00980C01"/>
    <w:rsid w:val="00980C09"/>
    <w:rsid w:val="00980CC4"/>
    <w:rsid w:val="0098129F"/>
    <w:rsid w:val="00981876"/>
    <w:rsid w:val="0098265B"/>
    <w:rsid w:val="00982899"/>
    <w:rsid w:val="00982BDC"/>
    <w:rsid w:val="00982E28"/>
    <w:rsid w:val="00983490"/>
    <w:rsid w:val="00983708"/>
    <w:rsid w:val="009837E7"/>
    <w:rsid w:val="009842ED"/>
    <w:rsid w:val="00984BA8"/>
    <w:rsid w:val="00985843"/>
    <w:rsid w:val="009865C4"/>
    <w:rsid w:val="0098665C"/>
    <w:rsid w:val="00986899"/>
    <w:rsid w:val="009868C7"/>
    <w:rsid w:val="0098763A"/>
    <w:rsid w:val="00987832"/>
    <w:rsid w:val="009879A7"/>
    <w:rsid w:val="00987F8D"/>
    <w:rsid w:val="00990A42"/>
    <w:rsid w:val="00990AB9"/>
    <w:rsid w:val="00990BE7"/>
    <w:rsid w:val="00990D22"/>
    <w:rsid w:val="00991104"/>
    <w:rsid w:val="00991425"/>
    <w:rsid w:val="0099214F"/>
    <w:rsid w:val="0099253D"/>
    <w:rsid w:val="0099257B"/>
    <w:rsid w:val="00992A19"/>
    <w:rsid w:val="00993A0F"/>
    <w:rsid w:val="00993A75"/>
    <w:rsid w:val="00993F8E"/>
    <w:rsid w:val="0099404F"/>
    <w:rsid w:val="009942AB"/>
    <w:rsid w:val="009944F6"/>
    <w:rsid w:val="00994C65"/>
    <w:rsid w:val="00995463"/>
    <w:rsid w:val="009957AF"/>
    <w:rsid w:val="00995C22"/>
    <w:rsid w:val="00995C35"/>
    <w:rsid w:val="0099723C"/>
    <w:rsid w:val="009974AA"/>
    <w:rsid w:val="009974B6"/>
    <w:rsid w:val="0099772B"/>
    <w:rsid w:val="00997C2C"/>
    <w:rsid w:val="009A053A"/>
    <w:rsid w:val="009A09FA"/>
    <w:rsid w:val="009A0DCD"/>
    <w:rsid w:val="009A160E"/>
    <w:rsid w:val="009A1C0A"/>
    <w:rsid w:val="009A1E59"/>
    <w:rsid w:val="009A20D7"/>
    <w:rsid w:val="009A2179"/>
    <w:rsid w:val="009A2287"/>
    <w:rsid w:val="009A24D1"/>
    <w:rsid w:val="009A27FC"/>
    <w:rsid w:val="009A2887"/>
    <w:rsid w:val="009A2DDF"/>
    <w:rsid w:val="009A2E3F"/>
    <w:rsid w:val="009A3659"/>
    <w:rsid w:val="009A3B4C"/>
    <w:rsid w:val="009A3FD0"/>
    <w:rsid w:val="009A41BA"/>
    <w:rsid w:val="009A4324"/>
    <w:rsid w:val="009A47B9"/>
    <w:rsid w:val="009A491E"/>
    <w:rsid w:val="009A552A"/>
    <w:rsid w:val="009A5575"/>
    <w:rsid w:val="009A58CC"/>
    <w:rsid w:val="009A5C5B"/>
    <w:rsid w:val="009A6347"/>
    <w:rsid w:val="009A6C1C"/>
    <w:rsid w:val="009A764E"/>
    <w:rsid w:val="009A7B23"/>
    <w:rsid w:val="009A7CC1"/>
    <w:rsid w:val="009B02DA"/>
    <w:rsid w:val="009B053E"/>
    <w:rsid w:val="009B069F"/>
    <w:rsid w:val="009B0E55"/>
    <w:rsid w:val="009B12A6"/>
    <w:rsid w:val="009B1CC8"/>
    <w:rsid w:val="009B1EB3"/>
    <w:rsid w:val="009B2456"/>
    <w:rsid w:val="009B2493"/>
    <w:rsid w:val="009B2704"/>
    <w:rsid w:val="009B2848"/>
    <w:rsid w:val="009B28AB"/>
    <w:rsid w:val="009B2ACF"/>
    <w:rsid w:val="009B2B42"/>
    <w:rsid w:val="009B3441"/>
    <w:rsid w:val="009B3B1C"/>
    <w:rsid w:val="009B3D62"/>
    <w:rsid w:val="009B4107"/>
    <w:rsid w:val="009B4593"/>
    <w:rsid w:val="009B51B8"/>
    <w:rsid w:val="009B5688"/>
    <w:rsid w:val="009B579F"/>
    <w:rsid w:val="009B5842"/>
    <w:rsid w:val="009B59D9"/>
    <w:rsid w:val="009B59E3"/>
    <w:rsid w:val="009B6434"/>
    <w:rsid w:val="009B65FD"/>
    <w:rsid w:val="009B6EE1"/>
    <w:rsid w:val="009B6FA4"/>
    <w:rsid w:val="009B7A9D"/>
    <w:rsid w:val="009C01B5"/>
    <w:rsid w:val="009C05DB"/>
    <w:rsid w:val="009C082B"/>
    <w:rsid w:val="009C0E52"/>
    <w:rsid w:val="009C1021"/>
    <w:rsid w:val="009C12B0"/>
    <w:rsid w:val="009C1889"/>
    <w:rsid w:val="009C1DDC"/>
    <w:rsid w:val="009C1F22"/>
    <w:rsid w:val="009C27BE"/>
    <w:rsid w:val="009C318A"/>
    <w:rsid w:val="009C4147"/>
    <w:rsid w:val="009C452E"/>
    <w:rsid w:val="009C4777"/>
    <w:rsid w:val="009C4A7C"/>
    <w:rsid w:val="009C535C"/>
    <w:rsid w:val="009C57C3"/>
    <w:rsid w:val="009C59B3"/>
    <w:rsid w:val="009C5F34"/>
    <w:rsid w:val="009C5F8A"/>
    <w:rsid w:val="009C607D"/>
    <w:rsid w:val="009C65F8"/>
    <w:rsid w:val="009C6705"/>
    <w:rsid w:val="009C6B80"/>
    <w:rsid w:val="009C6C09"/>
    <w:rsid w:val="009C6E39"/>
    <w:rsid w:val="009C6E3A"/>
    <w:rsid w:val="009C77F1"/>
    <w:rsid w:val="009D0224"/>
    <w:rsid w:val="009D0CBF"/>
    <w:rsid w:val="009D0F17"/>
    <w:rsid w:val="009D1208"/>
    <w:rsid w:val="009D1949"/>
    <w:rsid w:val="009D2196"/>
    <w:rsid w:val="009D37B2"/>
    <w:rsid w:val="009D3845"/>
    <w:rsid w:val="009D3EF1"/>
    <w:rsid w:val="009D41EC"/>
    <w:rsid w:val="009D5102"/>
    <w:rsid w:val="009D52AF"/>
    <w:rsid w:val="009D5841"/>
    <w:rsid w:val="009D595C"/>
    <w:rsid w:val="009D66A9"/>
    <w:rsid w:val="009D67CE"/>
    <w:rsid w:val="009D6B0B"/>
    <w:rsid w:val="009D6E65"/>
    <w:rsid w:val="009D74B6"/>
    <w:rsid w:val="009E0279"/>
    <w:rsid w:val="009E0975"/>
    <w:rsid w:val="009E0BCA"/>
    <w:rsid w:val="009E1205"/>
    <w:rsid w:val="009E1B55"/>
    <w:rsid w:val="009E2439"/>
    <w:rsid w:val="009E2881"/>
    <w:rsid w:val="009E2DAD"/>
    <w:rsid w:val="009E33B0"/>
    <w:rsid w:val="009E3FFC"/>
    <w:rsid w:val="009E429E"/>
    <w:rsid w:val="009E4B56"/>
    <w:rsid w:val="009E4CA0"/>
    <w:rsid w:val="009E4D74"/>
    <w:rsid w:val="009E5252"/>
    <w:rsid w:val="009E5679"/>
    <w:rsid w:val="009E5D4A"/>
    <w:rsid w:val="009E65A5"/>
    <w:rsid w:val="009E6BCB"/>
    <w:rsid w:val="009E6E4A"/>
    <w:rsid w:val="009E7746"/>
    <w:rsid w:val="009E7BE4"/>
    <w:rsid w:val="009E7C74"/>
    <w:rsid w:val="009E7DE6"/>
    <w:rsid w:val="009F0141"/>
    <w:rsid w:val="009F0257"/>
    <w:rsid w:val="009F02C2"/>
    <w:rsid w:val="009F03E8"/>
    <w:rsid w:val="009F069F"/>
    <w:rsid w:val="009F0978"/>
    <w:rsid w:val="009F0B70"/>
    <w:rsid w:val="009F0CA4"/>
    <w:rsid w:val="009F0E4F"/>
    <w:rsid w:val="009F0F7A"/>
    <w:rsid w:val="009F133F"/>
    <w:rsid w:val="009F14F7"/>
    <w:rsid w:val="009F19A1"/>
    <w:rsid w:val="009F1CA5"/>
    <w:rsid w:val="009F1FC7"/>
    <w:rsid w:val="009F3287"/>
    <w:rsid w:val="009F3311"/>
    <w:rsid w:val="009F34C0"/>
    <w:rsid w:val="009F366F"/>
    <w:rsid w:val="009F3959"/>
    <w:rsid w:val="009F3E9F"/>
    <w:rsid w:val="009F3EA6"/>
    <w:rsid w:val="009F3FD0"/>
    <w:rsid w:val="009F41B2"/>
    <w:rsid w:val="009F44ED"/>
    <w:rsid w:val="009F4EE5"/>
    <w:rsid w:val="009F4F1D"/>
    <w:rsid w:val="009F584F"/>
    <w:rsid w:val="009F5ACB"/>
    <w:rsid w:val="009F63EB"/>
    <w:rsid w:val="009F6494"/>
    <w:rsid w:val="009F661B"/>
    <w:rsid w:val="009F69A7"/>
    <w:rsid w:val="009F6CD1"/>
    <w:rsid w:val="009F6CE5"/>
    <w:rsid w:val="009F717E"/>
    <w:rsid w:val="009F7224"/>
    <w:rsid w:val="009F7404"/>
    <w:rsid w:val="009F7904"/>
    <w:rsid w:val="00A0002D"/>
    <w:rsid w:val="00A00281"/>
    <w:rsid w:val="00A00310"/>
    <w:rsid w:val="00A0059A"/>
    <w:rsid w:val="00A009B0"/>
    <w:rsid w:val="00A016F4"/>
    <w:rsid w:val="00A01971"/>
    <w:rsid w:val="00A01BA6"/>
    <w:rsid w:val="00A01ECB"/>
    <w:rsid w:val="00A022C7"/>
    <w:rsid w:val="00A0276A"/>
    <w:rsid w:val="00A02E53"/>
    <w:rsid w:val="00A02E5D"/>
    <w:rsid w:val="00A03170"/>
    <w:rsid w:val="00A03CA5"/>
    <w:rsid w:val="00A03CC3"/>
    <w:rsid w:val="00A03E1D"/>
    <w:rsid w:val="00A04793"/>
    <w:rsid w:val="00A04CD9"/>
    <w:rsid w:val="00A04CE5"/>
    <w:rsid w:val="00A04EEA"/>
    <w:rsid w:val="00A052C3"/>
    <w:rsid w:val="00A055AA"/>
    <w:rsid w:val="00A0560F"/>
    <w:rsid w:val="00A05BD7"/>
    <w:rsid w:val="00A05F2A"/>
    <w:rsid w:val="00A061D6"/>
    <w:rsid w:val="00A061FD"/>
    <w:rsid w:val="00A070FE"/>
    <w:rsid w:val="00A0760A"/>
    <w:rsid w:val="00A0762C"/>
    <w:rsid w:val="00A105E8"/>
    <w:rsid w:val="00A10746"/>
    <w:rsid w:val="00A1091D"/>
    <w:rsid w:val="00A10C16"/>
    <w:rsid w:val="00A10FA7"/>
    <w:rsid w:val="00A1145F"/>
    <w:rsid w:val="00A11686"/>
    <w:rsid w:val="00A11892"/>
    <w:rsid w:val="00A1293A"/>
    <w:rsid w:val="00A12A13"/>
    <w:rsid w:val="00A12FEE"/>
    <w:rsid w:val="00A13537"/>
    <w:rsid w:val="00A135A0"/>
    <w:rsid w:val="00A139D1"/>
    <w:rsid w:val="00A139DB"/>
    <w:rsid w:val="00A141E3"/>
    <w:rsid w:val="00A14AB9"/>
    <w:rsid w:val="00A15C7E"/>
    <w:rsid w:val="00A15D79"/>
    <w:rsid w:val="00A160A5"/>
    <w:rsid w:val="00A16671"/>
    <w:rsid w:val="00A16E9C"/>
    <w:rsid w:val="00A16F09"/>
    <w:rsid w:val="00A208F4"/>
    <w:rsid w:val="00A20B96"/>
    <w:rsid w:val="00A2126F"/>
    <w:rsid w:val="00A21738"/>
    <w:rsid w:val="00A2180F"/>
    <w:rsid w:val="00A21886"/>
    <w:rsid w:val="00A21C59"/>
    <w:rsid w:val="00A21DE8"/>
    <w:rsid w:val="00A23D41"/>
    <w:rsid w:val="00A2419C"/>
    <w:rsid w:val="00A248E2"/>
    <w:rsid w:val="00A24CE8"/>
    <w:rsid w:val="00A24D67"/>
    <w:rsid w:val="00A24FCF"/>
    <w:rsid w:val="00A25026"/>
    <w:rsid w:val="00A25525"/>
    <w:rsid w:val="00A258D6"/>
    <w:rsid w:val="00A25D0A"/>
    <w:rsid w:val="00A26135"/>
    <w:rsid w:val="00A263C8"/>
    <w:rsid w:val="00A26497"/>
    <w:rsid w:val="00A26A7A"/>
    <w:rsid w:val="00A27369"/>
    <w:rsid w:val="00A30673"/>
    <w:rsid w:val="00A30873"/>
    <w:rsid w:val="00A30D92"/>
    <w:rsid w:val="00A30E08"/>
    <w:rsid w:val="00A30E81"/>
    <w:rsid w:val="00A3152F"/>
    <w:rsid w:val="00A31852"/>
    <w:rsid w:val="00A31A34"/>
    <w:rsid w:val="00A31C7B"/>
    <w:rsid w:val="00A3281F"/>
    <w:rsid w:val="00A331A5"/>
    <w:rsid w:val="00A3361E"/>
    <w:rsid w:val="00A336C7"/>
    <w:rsid w:val="00A33A2F"/>
    <w:rsid w:val="00A33AC0"/>
    <w:rsid w:val="00A34055"/>
    <w:rsid w:val="00A344CC"/>
    <w:rsid w:val="00A34B21"/>
    <w:rsid w:val="00A34D1A"/>
    <w:rsid w:val="00A34F74"/>
    <w:rsid w:val="00A3517E"/>
    <w:rsid w:val="00A36FBE"/>
    <w:rsid w:val="00A372C1"/>
    <w:rsid w:val="00A376C2"/>
    <w:rsid w:val="00A37D5D"/>
    <w:rsid w:val="00A40233"/>
    <w:rsid w:val="00A405B6"/>
    <w:rsid w:val="00A40686"/>
    <w:rsid w:val="00A40962"/>
    <w:rsid w:val="00A40B1F"/>
    <w:rsid w:val="00A40E0B"/>
    <w:rsid w:val="00A412C2"/>
    <w:rsid w:val="00A4168E"/>
    <w:rsid w:val="00A41A53"/>
    <w:rsid w:val="00A41AAC"/>
    <w:rsid w:val="00A41F02"/>
    <w:rsid w:val="00A41F82"/>
    <w:rsid w:val="00A42333"/>
    <w:rsid w:val="00A427D1"/>
    <w:rsid w:val="00A42983"/>
    <w:rsid w:val="00A42F38"/>
    <w:rsid w:val="00A42FD3"/>
    <w:rsid w:val="00A42FDB"/>
    <w:rsid w:val="00A43454"/>
    <w:rsid w:val="00A4385A"/>
    <w:rsid w:val="00A439B9"/>
    <w:rsid w:val="00A4560E"/>
    <w:rsid w:val="00A4590B"/>
    <w:rsid w:val="00A45ED1"/>
    <w:rsid w:val="00A4639E"/>
    <w:rsid w:val="00A46574"/>
    <w:rsid w:val="00A46F1A"/>
    <w:rsid w:val="00A46F87"/>
    <w:rsid w:val="00A47143"/>
    <w:rsid w:val="00A47279"/>
    <w:rsid w:val="00A476ED"/>
    <w:rsid w:val="00A4793A"/>
    <w:rsid w:val="00A4796E"/>
    <w:rsid w:val="00A47CBE"/>
    <w:rsid w:val="00A47E05"/>
    <w:rsid w:val="00A47F90"/>
    <w:rsid w:val="00A50087"/>
    <w:rsid w:val="00A50233"/>
    <w:rsid w:val="00A5046B"/>
    <w:rsid w:val="00A50A67"/>
    <w:rsid w:val="00A50CC0"/>
    <w:rsid w:val="00A517A9"/>
    <w:rsid w:val="00A522C6"/>
    <w:rsid w:val="00A5264A"/>
    <w:rsid w:val="00A529AA"/>
    <w:rsid w:val="00A52D29"/>
    <w:rsid w:val="00A52E91"/>
    <w:rsid w:val="00A53099"/>
    <w:rsid w:val="00A533BA"/>
    <w:rsid w:val="00A533F9"/>
    <w:rsid w:val="00A5390D"/>
    <w:rsid w:val="00A5398A"/>
    <w:rsid w:val="00A53E61"/>
    <w:rsid w:val="00A54858"/>
    <w:rsid w:val="00A548D6"/>
    <w:rsid w:val="00A55131"/>
    <w:rsid w:val="00A5574F"/>
    <w:rsid w:val="00A563FB"/>
    <w:rsid w:val="00A5659F"/>
    <w:rsid w:val="00A5670C"/>
    <w:rsid w:val="00A5676E"/>
    <w:rsid w:val="00A56A67"/>
    <w:rsid w:val="00A56E2C"/>
    <w:rsid w:val="00A56F89"/>
    <w:rsid w:val="00A572BF"/>
    <w:rsid w:val="00A575A8"/>
    <w:rsid w:val="00A60814"/>
    <w:rsid w:val="00A6092C"/>
    <w:rsid w:val="00A60DEE"/>
    <w:rsid w:val="00A60FA2"/>
    <w:rsid w:val="00A614AE"/>
    <w:rsid w:val="00A61B83"/>
    <w:rsid w:val="00A61C31"/>
    <w:rsid w:val="00A61E24"/>
    <w:rsid w:val="00A62228"/>
    <w:rsid w:val="00A62275"/>
    <w:rsid w:val="00A626CE"/>
    <w:rsid w:val="00A628EB"/>
    <w:rsid w:val="00A62DC4"/>
    <w:rsid w:val="00A62F96"/>
    <w:rsid w:val="00A6434A"/>
    <w:rsid w:val="00A6437A"/>
    <w:rsid w:val="00A6446A"/>
    <w:rsid w:val="00A647CC"/>
    <w:rsid w:val="00A648EE"/>
    <w:rsid w:val="00A64BB5"/>
    <w:rsid w:val="00A65790"/>
    <w:rsid w:val="00A65820"/>
    <w:rsid w:val="00A65882"/>
    <w:rsid w:val="00A658FB"/>
    <w:rsid w:val="00A65B5C"/>
    <w:rsid w:val="00A662B3"/>
    <w:rsid w:val="00A66BAB"/>
    <w:rsid w:val="00A66E23"/>
    <w:rsid w:val="00A6708C"/>
    <w:rsid w:val="00A67414"/>
    <w:rsid w:val="00A67539"/>
    <w:rsid w:val="00A700FB"/>
    <w:rsid w:val="00A70C34"/>
    <w:rsid w:val="00A70EC4"/>
    <w:rsid w:val="00A726CB"/>
    <w:rsid w:val="00A72AE0"/>
    <w:rsid w:val="00A72D85"/>
    <w:rsid w:val="00A72EE6"/>
    <w:rsid w:val="00A73215"/>
    <w:rsid w:val="00A7346A"/>
    <w:rsid w:val="00A734A0"/>
    <w:rsid w:val="00A73A28"/>
    <w:rsid w:val="00A745BA"/>
    <w:rsid w:val="00A74B7B"/>
    <w:rsid w:val="00A7537F"/>
    <w:rsid w:val="00A755A0"/>
    <w:rsid w:val="00A7571C"/>
    <w:rsid w:val="00A759AE"/>
    <w:rsid w:val="00A75A31"/>
    <w:rsid w:val="00A76041"/>
    <w:rsid w:val="00A76232"/>
    <w:rsid w:val="00A76907"/>
    <w:rsid w:val="00A76981"/>
    <w:rsid w:val="00A76D15"/>
    <w:rsid w:val="00A76D1E"/>
    <w:rsid w:val="00A77C33"/>
    <w:rsid w:val="00A806BC"/>
    <w:rsid w:val="00A807D9"/>
    <w:rsid w:val="00A80B25"/>
    <w:rsid w:val="00A80B3C"/>
    <w:rsid w:val="00A80ECD"/>
    <w:rsid w:val="00A8157E"/>
    <w:rsid w:val="00A815C8"/>
    <w:rsid w:val="00A8168B"/>
    <w:rsid w:val="00A81951"/>
    <w:rsid w:val="00A81F1F"/>
    <w:rsid w:val="00A81F8A"/>
    <w:rsid w:val="00A8220E"/>
    <w:rsid w:val="00A82246"/>
    <w:rsid w:val="00A82464"/>
    <w:rsid w:val="00A8246C"/>
    <w:rsid w:val="00A824AF"/>
    <w:rsid w:val="00A82F8E"/>
    <w:rsid w:val="00A83424"/>
    <w:rsid w:val="00A83A5E"/>
    <w:rsid w:val="00A83D71"/>
    <w:rsid w:val="00A84FCD"/>
    <w:rsid w:val="00A85097"/>
    <w:rsid w:val="00A85586"/>
    <w:rsid w:val="00A85622"/>
    <w:rsid w:val="00A857F8"/>
    <w:rsid w:val="00A8595E"/>
    <w:rsid w:val="00A866BD"/>
    <w:rsid w:val="00A86A00"/>
    <w:rsid w:val="00A86A81"/>
    <w:rsid w:val="00A87125"/>
    <w:rsid w:val="00A87295"/>
    <w:rsid w:val="00A90252"/>
    <w:rsid w:val="00A90800"/>
    <w:rsid w:val="00A90C97"/>
    <w:rsid w:val="00A90F65"/>
    <w:rsid w:val="00A910D9"/>
    <w:rsid w:val="00A9184F"/>
    <w:rsid w:val="00A91BB1"/>
    <w:rsid w:val="00A91C69"/>
    <w:rsid w:val="00A91DA5"/>
    <w:rsid w:val="00A920C2"/>
    <w:rsid w:val="00A922F8"/>
    <w:rsid w:val="00A924BC"/>
    <w:rsid w:val="00A925A8"/>
    <w:rsid w:val="00A92FD4"/>
    <w:rsid w:val="00A930DB"/>
    <w:rsid w:val="00A935BA"/>
    <w:rsid w:val="00A936FD"/>
    <w:rsid w:val="00A93BFC"/>
    <w:rsid w:val="00A93CAB"/>
    <w:rsid w:val="00A94161"/>
    <w:rsid w:val="00A948DD"/>
    <w:rsid w:val="00A94B6B"/>
    <w:rsid w:val="00A94DA8"/>
    <w:rsid w:val="00A96161"/>
    <w:rsid w:val="00A963A6"/>
    <w:rsid w:val="00A97580"/>
    <w:rsid w:val="00AA033F"/>
    <w:rsid w:val="00AA0CC5"/>
    <w:rsid w:val="00AA11BA"/>
    <w:rsid w:val="00AA1836"/>
    <w:rsid w:val="00AA194E"/>
    <w:rsid w:val="00AA1BBD"/>
    <w:rsid w:val="00AA1E91"/>
    <w:rsid w:val="00AA1EB1"/>
    <w:rsid w:val="00AA1EDF"/>
    <w:rsid w:val="00AA220D"/>
    <w:rsid w:val="00AA28B1"/>
    <w:rsid w:val="00AA28E4"/>
    <w:rsid w:val="00AA2D67"/>
    <w:rsid w:val="00AA30DF"/>
    <w:rsid w:val="00AA40E7"/>
    <w:rsid w:val="00AA4179"/>
    <w:rsid w:val="00AA41A6"/>
    <w:rsid w:val="00AA44C6"/>
    <w:rsid w:val="00AA46FC"/>
    <w:rsid w:val="00AA4F90"/>
    <w:rsid w:val="00AA5387"/>
    <w:rsid w:val="00AA5897"/>
    <w:rsid w:val="00AA5D19"/>
    <w:rsid w:val="00AA6398"/>
    <w:rsid w:val="00AA67E4"/>
    <w:rsid w:val="00AA6DE3"/>
    <w:rsid w:val="00AA6E45"/>
    <w:rsid w:val="00AA751A"/>
    <w:rsid w:val="00AA786B"/>
    <w:rsid w:val="00AA7A9B"/>
    <w:rsid w:val="00AA7B69"/>
    <w:rsid w:val="00AA7C67"/>
    <w:rsid w:val="00AB06C0"/>
    <w:rsid w:val="00AB0FA7"/>
    <w:rsid w:val="00AB1E4B"/>
    <w:rsid w:val="00AB21D0"/>
    <w:rsid w:val="00AB22E0"/>
    <w:rsid w:val="00AB25A5"/>
    <w:rsid w:val="00AB29A6"/>
    <w:rsid w:val="00AB29BA"/>
    <w:rsid w:val="00AB2F66"/>
    <w:rsid w:val="00AB32FD"/>
    <w:rsid w:val="00AB33F1"/>
    <w:rsid w:val="00AB35AE"/>
    <w:rsid w:val="00AB36AD"/>
    <w:rsid w:val="00AB3877"/>
    <w:rsid w:val="00AB39AC"/>
    <w:rsid w:val="00AB3F20"/>
    <w:rsid w:val="00AB40F5"/>
    <w:rsid w:val="00AB4594"/>
    <w:rsid w:val="00AB5C0F"/>
    <w:rsid w:val="00AB5DBA"/>
    <w:rsid w:val="00AB623B"/>
    <w:rsid w:val="00AB64C7"/>
    <w:rsid w:val="00AB67CB"/>
    <w:rsid w:val="00AB6813"/>
    <w:rsid w:val="00AB68D6"/>
    <w:rsid w:val="00AB6D59"/>
    <w:rsid w:val="00AB727D"/>
    <w:rsid w:val="00AB79E1"/>
    <w:rsid w:val="00AB7E4D"/>
    <w:rsid w:val="00AC0067"/>
    <w:rsid w:val="00AC0103"/>
    <w:rsid w:val="00AC016B"/>
    <w:rsid w:val="00AC1CDB"/>
    <w:rsid w:val="00AC2062"/>
    <w:rsid w:val="00AC2654"/>
    <w:rsid w:val="00AC2A59"/>
    <w:rsid w:val="00AC31D4"/>
    <w:rsid w:val="00AC3361"/>
    <w:rsid w:val="00AC3837"/>
    <w:rsid w:val="00AC3863"/>
    <w:rsid w:val="00AC3A82"/>
    <w:rsid w:val="00AC3AFC"/>
    <w:rsid w:val="00AC3BAE"/>
    <w:rsid w:val="00AC3C55"/>
    <w:rsid w:val="00AC407B"/>
    <w:rsid w:val="00AC4471"/>
    <w:rsid w:val="00AC48FD"/>
    <w:rsid w:val="00AC4D35"/>
    <w:rsid w:val="00AC51A8"/>
    <w:rsid w:val="00AC52D0"/>
    <w:rsid w:val="00AC5F5A"/>
    <w:rsid w:val="00AC601B"/>
    <w:rsid w:val="00AC667C"/>
    <w:rsid w:val="00AC6A5E"/>
    <w:rsid w:val="00AC6AC3"/>
    <w:rsid w:val="00AC6BD6"/>
    <w:rsid w:val="00AD02B0"/>
    <w:rsid w:val="00AD0723"/>
    <w:rsid w:val="00AD0A27"/>
    <w:rsid w:val="00AD0B3D"/>
    <w:rsid w:val="00AD11CC"/>
    <w:rsid w:val="00AD2547"/>
    <w:rsid w:val="00AD2613"/>
    <w:rsid w:val="00AD2C81"/>
    <w:rsid w:val="00AD2D06"/>
    <w:rsid w:val="00AD3142"/>
    <w:rsid w:val="00AD3553"/>
    <w:rsid w:val="00AD36B3"/>
    <w:rsid w:val="00AD36C8"/>
    <w:rsid w:val="00AD3F07"/>
    <w:rsid w:val="00AD44D7"/>
    <w:rsid w:val="00AD4EF8"/>
    <w:rsid w:val="00AD5359"/>
    <w:rsid w:val="00AD5A33"/>
    <w:rsid w:val="00AD5AA5"/>
    <w:rsid w:val="00AD631F"/>
    <w:rsid w:val="00AD6846"/>
    <w:rsid w:val="00AD6866"/>
    <w:rsid w:val="00AD69D1"/>
    <w:rsid w:val="00AD7558"/>
    <w:rsid w:val="00AD76CC"/>
    <w:rsid w:val="00AD7783"/>
    <w:rsid w:val="00AD7ACD"/>
    <w:rsid w:val="00AD7AE0"/>
    <w:rsid w:val="00AD7B2C"/>
    <w:rsid w:val="00AD7C05"/>
    <w:rsid w:val="00AD7C4E"/>
    <w:rsid w:val="00AD7ECE"/>
    <w:rsid w:val="00AE0174"/>
    <w:rsid w:val="00AE01DC"/>
    <w:rsid w:val="00AE1384"/>
    <w:rsid w:val="00AE14C5"/>
    <w:rsid w:val="00AE18ED"/>
    <w:rsid w:val="00AE1AA3"/>
    <w:rsid w:val="00AE20CF"/>
    <w:rsid w:val="00AE23FB"/>
    <w:rsid w:val="00AE24CE"/>
    <w:rsid w:val="00AE302F"/>
    <w:rsid w:val="00AE34A8"/>
    <w:rsid w:val="00AE3818"/>
    <w:rsid w:val="00AE3D6D"/>
    <w:rsid w:val="00AE49D2"/>
    <w:rsid w:val="00AE4DC8"/>
    <w:rsid w:val="00AE4FFA"/>
    <w:rsid w:val="00AE507A"/>
    <w:rsid w:val="00AE64B6"/>
    <w:rsid w:val="00AE65BE"/>
    <w:rsid w:val="00AE672C"/>
    <w:rsid w:val="00AE6EFC"/>
    <w:rsid w:val="00AE79CE"/>
    <w:rsid w:val="00AF00A7"/>
    <w:rsid w:val="00AF07E4"/>
    <w:rsid w:val="00AF07EC"/>
    <w:rsid w:val="00AF13B2"/>
    <w:rsid w:val="00AF1610"/>
    <w:rsid w:val="00AF175E"/>
    <w:rsid w:val="00AF1C8F"/>
    <w:rsid w:val="00AF1E9F"/>
    <w:rsid w:val="00AF2227"/>
    <w:rsid w:val="00AF3626"/>
    <w:rsid w:val="00AF3694"/>
    <w:rsid w:val="00AF3B70"/>
    <w:rsid w:val="00AF4245"/>
    <w:rsid w:val="00AF4B64"/>
    <w:rsid w:val="00AF52F0"/>
    <w:rsid w:val="00AF5A61"/>
    <w:rsid w:val="00AF6520"/>
    <w:rsid w:val="00AF6904"/>
    <w:rsid w:val="00AF6AAF"/>
    <w:rsid w:val="00AF6E08"/>
    <w:rsid w:val="00AF6F3F"/>
    <w:rsid w:val="00AF72F6"/>
    <w:rsid w:val="00AF79DB"/>
    <w:rsid w:val="00AF7E56"/>
    <w:rsid w:val="00AF7FD6"/>
    <w:rsid w:val="00B00190"/>
    <w:rsid w:val="00B00CC4"/>
    <w:rsid w:val="00B00E7C"/>
    <w:rsid w:val="00B00F0A"/>
    <w:rsid w:val="00B01328"/>
    <w:rsid w:val="00B01B45"/>
    <w:rsid w:val="00B02483"/>
    <w:rsid w:val="00B02904"/>
    <w:rsid w:val="00B03103"/>
    <w:rsid w:val="00B03414"/>
    <w:rsid w:val="00B034C3"/>
    <w:rsid w:val="00B03E32"/>
    <w:rsid w:val="00B03F58"/>
    <w:rsid w:val="00B041E1"/>
    <w:rsid w:val="00B0432C"/>
    <w:rsid w:val="00B047EF"/>
    <w:rsid w:val="00B04903"/>
    <w:rsid w:val="00B0495E"/>
    <w:rsid w:val="00B04BCD"/>
    <w:rsid w:val="00B04FDD"/>
    <w:rsid w:val="00B0568B"/>
    <w:rsid w:val="00B057AD"/>
    <w:rsid w:val="00B068B7"/>
    <w:rsid w:val="00B06DF0"/>
    <w:rsid w:val="00B077CF"/>
    <w:rsid w:val="00B0793B"/>
    <w:rsid w:val="00B07A3C"/>
    <w:rsid w:val="00B07EBD"/>
    <w:rsid w:val="00B1032E"/>
    <w:rsid w:val="00B10647"/>
    <w:rsid w:val="00B10662"/>
    <w:rsid w:val="00B108B6"/>
    <w:rsid w:val="00B10DE6"/>
    <w:rsid w:val="00B10E67"/>
    <w:rsid w:val="00B11516"/>
    <w:rsid w:val="00B11879"/>
    <w:rsid w:val="00B11D8B"/>
    <w:rsid w:val="00B1255C"/>
    <w:rsid w:val="00B1308D"/>
    <w:rsid w:val="00B137E6"/>
    <w:rsid w:val="00B1420E"/>
    <w:rsid w:val="00B146AD"/>
    <w:rsid w:val="00B147A1"/>
    <w:rsid w:val="00B14EFF"/>
    <w:rsid w:val="00B1529B"/>
    <w:rsid w:val="00B15B64"/>
    <w:rsid w:val="00B16108"/>
    <w:rsid w:val="00B1662B"/>
    <w:rsid w:val="00B16806"/>
    <w:rsid w:val="00B16A6F"/>
    <w:rsid w:val="00B16A97"/>
    <w:rsid w:val="00B16DA4"/>
    <w:rsid w:val="00B1734C"/>
    <w:rsid w:val="00B17A24"/>
    <w:rsid w:val="00B17D96"/>
    <w:rsid w:val="00B201EF"/>
    <w:rsid w:val="00B204B9"/>
    <w:rsid w:val="00B204BB"/>
    <w:rsid w:val="00B20788"/>
    <w:rsid w:val="00B2096B"/>
    <w:rsid w:val="00B20DB4"/>
    <w:rsid w:val="00B20E51"/>
    <w:rsid w:val="00B20E95"/>
    <w:rsid w:val="00B2125D"/>
    <w:rsid w:val="00B2127C"/>
    <w:rsid w:val="00B213E2"/>
    <w:rsid w:val="00B21AFB"/>
    <w:rsid w:val="00B22858"/>
    <w:rsid w:val="00B229B0"/>
    <w:rsid w:val="00B22EC5"/>
    <w:rsid w:val="00B231DC"/>
    <w:rsid w:val="00B23552"/>
    <w:rsid w:val="00B23F28"/>
    <w:rsid w:val="00B23FC0"/>
    <w:rsid w:val="00B24186"/>
    <w:rsid w:val="00B24CAF"/>
    <w:rsid w:val="00B24CB7"/>
    <w:rsid w:val="00B25CA1"/>
    <w:rsid w:val="00B25E28"/>
    <w:rsid w:val="00B25F0B"/>
    <w:rsid w:val="00B2641E"/>
    <w:rsid w:val="00B26BC1"/>
    <w:rsid w:val="00B26CAD"/>
    <w:rsid w:val="00B26D7C"/>
    <w:rsid w:val="00B26DAB"/>
    <w:rsid w:val="00B27004"/>
    <w:rsid w:val="00B2744C"/>
    <w:rsid w:val="00B275AE"/>
    <w:rsid w:val="00B3008A"/>
    <w:rsid w:val="00B301F6"/>
    <w:rsid w:val="00B305F5"/>
    <w:rsid w:val="00B311E8"/>
    <w:rsid w:val="00B318E1"/>
    <w:rsid w:val="00B32959"/>
    <w:rsid w:val="00B329D7"/>
    <w:rsid w:val="00B33413"/>
    <w:rsid w:val="00B33543"/>
    <w:rsid w:val="00B339CA"/>
    <w:rsid w:val="00B33B4B"/>
    <w:rsid w:val="00B33DDA"/>
    <w:rsid w:val="00B343BF"/>
    <w:rsid w:val="00B346D0"/>
    <w:rsid w:val="00B34D3C"/>
    <w:rsid w:val="00B34EC9"/>
    <w:rsid w:val="00B35D50"/>
    <w:rsid w:val="00B35E11"/>
    <w:rsid w:val="00B35F65"/>
    <w:rsid w:val="00B36972"/>
    <w:rsid w:val="00B37A0B"/>
    <w:rsid w:val="00B37CFE"/>
    <w:rsid w:val="00B37D12"/>
    <w:rsid w:val="00B37ED4"/>
    <w:rsid w:val="00B37FF9"/>
    <w:rsid w:val="00B4026D"/>
    <w:rsid w:val="00B403C5"/>
    <w:rsid w:val="00B40526"/>
    <w:rsid w:val="00B40675"/>
    <w:rsid w:val="00B40950"/>
    <w:rsid w:val="00B40BA4"/>
    <w:rsid w:val="00B41506"/>
    <w:rsid w:val="00B4180B"/>
    <w:rsid w:val="00B41ACF"/>
    <w:rsid w:val="00B41B45"/>
    <w:rsid w:val="00B41ECD"/>
    <w:rsid w:val="00B42BFA"/>
    <w:rsid w:val="00B42EB1"/>
    <w:rsid w:val="00B43068"/>
    <w:rsid w:val="00B4315E"/>
    <w:rsid w:val="00B43E5B"/>
    <w:rsid w:val="00B44469"/>
    <w:rsid w:val="00B4452E"/>
    <w:rsid w:val="00B44A38"/>
    <w:rsid w:val="00B44B0C"/>
    <w:rsid w:val="00B44C78"/>
    <w:rsid w:val="00B45120"/>
    <w:rsid w:val="00B453BD"/>
    <w:rsid w:val="00B456D9"/>
    <w:rsid w:val="00B457F1"/>
    <w:rsid w:val="00B46083"/>
    <w:rsid w:val="00B4611D"/>
    <w:rsid w:val="00B46260"/>
    <w:rsid w:val="00B4627E"/>
    <w:rsid w:val="00B46373"/>
    <w:rsid w:val="00B472D7"/>
    <w:rsid w:val="00B47528"/>
    <w:rsid w:val="00B4777A"/>
    <w:rsid w:val="00B478B1"/>
    <w:rsid w:val="00B47920"/>
    <w:rsid w:val="00B47FE6"/>
    <w:rsid w:val="00B50225"/>
    <w:rsid w:val="00B502DB"/>
    <w:rsid w:val="00B5083E"/>
    <w:rsid w:val="00B50C5B"/>
    <w:rsid w:val="00B50E57"/>
    <w:rsid w:val="00B50EDD"/>
    <w:rsid w:val="00B510DB"/>
    <w:rsid w:val="00B513A4"/>
    <w:rsid w:val="00B51D40"/>
    <w:rsid w:val="00B51EAC"/>
    <w:rsid w:val="00B5225E"/>
    <w:rsid w:val="00B52378"/>
    <w:rsid w:val="00B528CC"/>
    <w:rsid w:val="00B529EB"/>
    <w:rsid w:val="00B52A58"/>
    <w:rsid w:val="00B52E93"/>
    <w:rsid w:val="00B53263"/>
    <w:rsid w:val="00B533DA"/>
    <w:rsid w:val="00B5365E"/>
    <w:rsid w:val="00B53660"/>
    <w:rsid w:val="00B53B08"/>
    <w:rsid w:val="00B53E7D"/>
    <w:rsid w:val="00B54247"/>
    <w:rsid w:val="00B55590"/>
    <w:rsid w:val="00B5591D"/>
    <w:rsid w:val="00B55F22"/>
    <w:rsid w:val="00B56480"/>
    <w:rsid w:val="00B573D7"/>
    <w:rsid w:val="00B57401"/>
    <w:rsid w:val="00B5777D"/>
    <w:rsid w:val="00B57BE6"/>
    <w:rsid w:val="00B57E87"/>
    <w:rsid w:val="00B6000B"/>
    <w:rsid w:val="00B606C8"/>
    <w:rsid w:val="00B60F14"/>
    <w:rsid w:val="00B61069"/>
    <w:rsid w:val="00B61202"/>
    <w:rsid w:val="00B61213"/>
    <w:rsid w:val="00B6295A"/>
    <w:rsid w:val="00B62EEF"/>
    <w:rsid w:val="00B630C2"/>
    <w:rsid w:val="00B63402"/>
    <w:rsid w:val="00B63CE7"/>
    <w:rsid w:val="00B63FC4"/>
    <w:rsid w:val="00B6407A"/>
    <w:rsid w:val="00B64FF3"/>
    <w:rsid w:val="00B65F0F"/>
    <w:rsid w:val="00B666B7"/>
    <w:rsid w:val="00B66749"/>
    <w:rsid w:val="00B66BAB"/>
    <w:rsid w:val="00B66D16"/>
    <w:rsid w:val="00B66EBA"/>
    <w:rsid w:val="00B67055"/>
    <w:rsid w:val="00B67760"/>
    <w:rsid w:val="00B6785E"/>
    <w:rsid w:val="00B67C76"/>
    <w:rsid w:val="00B67CFF"/>
    <w:rsid w:val="00B70317"/>
    <w:rsid w:val="00B71327"/>
    <w:rsid w:val="00B718A9"/>
    <w:rsid w:val="00B719B7"/>
    <w:rsid w:val="00B71C6B"/>
    <w:rsid w:val="00B721A8"/>
    <w:rsid w:val="00B72A19"/>
    <w:rsid w:val="00B73289"/>
    <w:rsid w:val="00B754B4"/>
    <w:rsid w:val="00B755B2"/>
    <w:rsid w:val="00B76250"/>
    <w:rsid w:val="00B76DE2"/>
    <w:rsid w:val="00B7707C"/>
    <w:rsid w:val="00B773BA"/>
    <w:rsid w:val="00B77823"/>
    <w:rsid w:val="00B77E5F"/>
    <w:rsid w:val="00B800D8"/>
    <w:rsid w:val="00B802CF"/>
    <w:rsid w:val="00B816C7"/>
    <w:rsid w:val="00B81DC4"/>
    <w:rsid w:val="00B82A91"/>
    <w:rsid w:val="00B83577"/>
    <w:rsid w:val="00B83664"/>
    <w:rsid w:val="00B83940"/>
    <w:rsid w:val="00B83B2E"/>
    <w:rsid w:val="00B84581"/>
    <w:rsid w:val="00B8478D"/>
    <w:rsid w:val="00B85499"/>
    <w:rsid w:val="00B85781"/>
    <w:rsid w:val="00B857C5"/>
    <w:rsid w:val="00B85BB9"/>
    <w:rsid w:val="00B85FEC"/>
    <w:rsid w:val="00B861C3"/>
    <w:rsid w:val="00B8631B"/>
    <w:rsid w:val="00B865BD"/>
    <w:rsid w:val="00B8661C"/>
    <w:rsid w:val="00B873D9"/>
    <w:rsid w:val="00B876AD"/>
    <w:rsid w:val="00B87F87"/>
    <w:rsid w:val="00B90088"/>
    <w:rsid w:val="00B905F5"/>
    <w:rsid w:val="00B911B6"/>
    <w:rsid w:val="00B915EA"/>
    <w:rsid w:val="00B91E61"/>
    <w:rsid w:val="00B924A1"/>
    <w:rsid w:val="00B93828"/>
    <w:rsid w:val="00B93960"/>
    <w:rsid w:val="00B944A0"/>
    <w:rsid w:val="00B94729"/>
    <w:rsid w:val="00B947DE"/>
    <w:rsid w:val="00B94BF8"/>
    <w:rsid w:val="00B94E5B"/>
    <w:rsid w:val="00B94F6C"/>
    <w:rsid w:val="00B9550E"/>
    <w:rsid w:val="00B95E21"/>
    <w:rsid w:val="00B9612A"/>
    <w:rsid w:val="00B963E3"/>
    <w:rsid w:val="00B9672F"/>
    <w:rsid w:val="00B96A80"/>
    <w:rsid w:val="00B96F01"/>
    <w:rsid w:val="00B976B2"/>
    <w:rsid w:val="00B97D63"/>
    <w:rsid w:val="00BA026F"/>
    <w:rsid w:val="00BA0417"/>
    <w:rsid w:val="00BA08E0"/>
    <w:rsid w:val="00BA0991"/>
    <w:rsid w:val="00BA0AF7"/>
    <w:rsid w:val="00BA0F23"/>
    <w:rsid w:val="00BA1150"/>
    <w:rsid w:val="00BA123F"/>
    <w:rsid w:val="00BA1323"/>
    <w:rsid w:val="00BA1788"/>
    <w:rsid w:val="00BA18E0"/>
    <w:rsid w:val="00BA1D0C"/>
    <w:rsid w:val="00BA1EF9"/>
    <w:rsid w:val="00BA24EE"/>
    <w:rsid w:val="00BA2742"/>
    <w:rsid w:val="00BA2C9B"/>
    <w:rsid w:val="00BA2D0B"/>
    <w:rsid w:val="00BA2D66"/>
    <w:rsid w:val="00BA330D"/>
    <w:rsid w:val="00BA37C6"/>
    <w:rsid w:val="00BA3810"/>
    <w:rsid w:val="00BA3A84"/>
    <w:rsid w:val="00BA3AAD"/>
    <w:rsid w:val="00BA3CC9"/>
    <w:rsid w:val="00BA4743"/>
    <w:rsid w:val="00BA5600"/>
    <w:rsid w:val="00BA5A41"/>
    <w:rsid w:val="00BA5D91"/>
    <w:rsid w:val="00BA6188"/>
    <w:rsid w:val="00BA6BB7"/>
    <w:rsid w:val="00BA6BE6"/>
    <w:rsid w:val="00BA73E8"/>
    <w:rsid w:val="00BA7AF7"/>
    <w:rsid w:val="00BA7F4B"/>
    <w:rsid w:val="00BB1236"/>
    <w:rsid w:val="00BB12CF"/>
    <w:rsid w:val="00BB17D6"/>
    <w:rsid w:val="00BB1E4D"/>
    <w:rsid w:val="00BB20E2"/>
    <w:rsid w:val="00BB21B4"/>
    <w:rsid w:val="00BB25D0"/>
    <w:rsid w:val="00BB2C96"/>
    <w:rsid w:val="00BB2E02"/>
    <w:rsid w:val="00BB313A"/>
    <w:rsid w:val="00BB3313"/>
    <w:rsid w:val="00BB3594"/>
    <w:rsid w:val="00BB4003"/>
    <w:rsid w:val="00BB47F2"/>
    <w:rsid w:val="00BB4E26"/>
    <w:rsid w:val="00BB576D"/>
    <w:rsid w:val="00BB57B9"/>
    <w:rsid w:val="00BB605C"/>
    <w:rsid w:val="00BB60DB"/>
    <w:rsid w:val="00BB6131"/>
    <w:rsid w:val="00BB62AB"/>
    <w:rsid w:val="00BB63B8"/>
    <w:rsid w:val="00BB6CBD"/>
    <w:rsid w:val="00BB71E4"/>
    <w:rsid w:val="00BB7203"/>
    <w:rsid w:val="00BB73E8"/>
    <w:rsid w:val="00BB750B"/>
    <w:rsid w:val="00BB77D0"/>
    <w:rsid w:val="00BB7B0C"/>
    <w:rsid w:val="00BB7B18"/>
    <w:rsid w:val="00BB7B61"/>
    <w:rsid w:val="00BC08EA"/>
    <w:rsid w:val="00BC09A1"/>
    <w:rsid w:val="00BC1009"/>
    <w:rsid w:val="00BC11D0"/>
    <w:rsid w:val="00BC1251"/>
    <w:rsid w:val="00BC128E"/>
    <w:rsid w:val="00BC18D0"/>
    <w:rsid w:val="00BC1958"/>
    <w:rsid w:val="00BC1CE4"/>
    <w:rsid w:val="00BC1E8D"/>
    <w:rsid w:val="00BC1F14"/>
    <w:rsid w:val="00BC271D"/>
    <w:rsid w:val="00BC372E"/>
    <w:rsid w:val="00BC37E9"/>
    <w:rsid w:val="00BC3810"/>
    <w:rsid w:val="00BC3BA7"/>
    <w:rsid w:val="00BC3C16"/>
    <w:rsid w:val="00BC4197"/>
    <w:rsid w:val="00BC4474"/>
    <w:rsid w:val="00BC4D50"/>
    <w:rsid w:val="00BC54B0"/>
    <w:rsid w:val="00BC5D80"/>
    <w:rsid w:val="00BC5D89"/>
    <w:rsid w:val="00BC65EE"/>
    <w:rsid w:val="00BC6639"/>
    <w:rsid w:val="00BC789F"/>
    <w:rsid w:val="00BC7BDB"/>
    <w:rsid w:val="00BC7CA6"/>
    <w:rsid w:val="00BD01AB"/>
    <w:rsid w:val="00BD038A"/>
    <w:rsid w:val="00BD2339"/>
    <w:rsid w:val="00BD263B"/>
    <w:rsid w:val="00BD2936"/>
    <w:rsid w:val="00BD29B4"/>
    <w:rsid w:val="00BD2BF3"/>
    <w:rsid w:val="00BD2C28"/>
    <w:rsid w:val="00BD30CF"/>
    <w:rsid w:val="00BD3F79"/>
    <w:rsid w:val="00BD4405"/>
    <w:rsid w:val="00BD4499"/>
    <w:rsid w:val="00BD4EB1"/>
    <w:rsid w:val="00BD585B"/>
    <w:rsid w:val="00BD66CC"/>
    <w:rsid w:val="00BD6A42"/>
    <w:rsid w:val="00BD6C31"/>
    <w:rsid w:val="00BD6C7C"/>
    <w:rsid w:val="00BD6E38"/>
    <w:rsid w:val="00BD6E83"/>
    <w:rsid w:val="00BD7144"/>
    <w:rsid w:val="00BD76AC"/>
    <w:rsid w:val="00BD7A16"/>
    <w:rsid w:val="00BD7B28"/>
    <w:rsid w:val="00BD7CA6"/>
    <w:rsid w:val="00BE05C7"/>
    <w:rsid w:val="00BE10D5"/>
    <w:rsid w:val="00BE1185"/>
    <w:rsid w:val="00BE118B"/>
    <w:rsid w:val="00BE170E"/>
    <w:rsid w:val="00BE1877"/>
    <w:rsid w:val="00BE1AAB"/>
    <w:rsid w:val="00BE1F42"/>
    <w:rsid w:val="00BE1FCC"/>
    <w:rsid w:val="00BE202B"/>
    <w:rsid w:val="00BE20AA"/>
    <w:rsid w:val="00BE3107"/>
    <w:rsid w:val="00BE3225"/>
    <w:rsid w:val="00BE370F"/>
    <w:rsid w:val="00BE3DD7"/>
    <w:rsid w:val="00BE3E45"/>
    <w:rsid w:val="00BE5287"/>
    <w:rsid w:val="00BE59E3"/>
    <w:rsid w:val="00BE6A77"/>
    <w:rsid w:val="00BE7957"/>
    <w:rsid w:val="00BE7C8B"/>
    <w:rsid w:val="00BE7EC3"/>
    <w:rsid w:val="00BF053E"/>
    <w:rsid w:val="00BF078B"/>
    <w:rsid w:val="00BF0C58"/>
    <w:rsid w:val="00BF0D81"/>
    <w:rsid w:val="00BF0FE0"/>
    <w:rsid w:val="00BF1053"/>
    <w:rsid w:val="00BF1199"/>
    <w:rsid w:val="00BF132E"/>
    <w:rsid w:val="00BF1BF5"/>
    <w:rsid w:val="00BF1E83"/>
    <w:rsid w:val="00BF2BE0"/>
    <w:rsid w:val="00BF2C3D"/>
    <w:rsid w:val="00BF2E46"/>
    <w:rsid w:val="00BF3540"/>
    <w:rsid w:val="00BF3689"/>
    <w:rsid w:val="00BF379E"/>
    <w:rsid w:val="00BF38F2"/>
    <w:rsid w:val="00BF3CAF"/>
    <w:rsid w:val="00BF400B"/>
    <w:rsid w:val="00BF40D9"/>
    <w:rsid w:val="00BF474D"/>
    <w:rsid w:val="00BF4847"/>
    <w:rsid w:val="00BF504D"/>
    <w:rsid w:val="00BF57CA"/>
    <w:rsid w:val="00BF5E6D"/>
    <w:rsid w:val="00BF628E"/>
    <w:rsid w:val="00BF63E2"/>
    <w:rsid w:val="00BF6514"/>
    <w:rsid w:val="00BF68E8"/>
    <w:rsid w:val="00BF6AD6"/>
    <w:rsid w:val="00BF6FFA"/>
    <w:rsid w:val="00BF72EF"/>
    <w:rsid w:val="00BF7558"/>
    <w:rsid w:val="00BF759D"/>
    <w:rsid w:val="00C0080C"/>
    <w:rsid w:val="00C008BB"/>
    <w:rsid w:val="00C00C4B"/>
    <w:rsid w:val="00C00C4E"/>
    <w:rsid w:val="00C00EE2"/>
    <w:rsid w:val="00C0121F"/>
    <w:rsid w:val="00C01899"/>
    <w:rsid w:val="00C019EE"/>
    <w:rsid w:val="00C01B0E"/>
    <w:rsid w:val="00C01EF4"/>
    <w:rsid w:val="00C02220"/>
    <w:rsid w:val="00C026B4"/>
    <w:rsid w:val="00C033D0"/>
    <w:rsid w:val="00C037C2"/>
    <w:rsid w:val="00C04557"/>
    <w:rsid w:val="00C0456E"/>
    <w:rsid w:val="00C04734"/>
    <w:rsid w:val="00C0487E"/>
    <w:rsid w:val="00C04F3D"/>
    <w:rsid w:val="00C05321"/>
    <w:rsid w:val="00C05D06"/>
    <w:rsid w:val="00C06061"/>
    <w:rsid w:val="00C068F2"/>
    <w:rsid w:val="00C0694D"/>
    <w:rsid w:val="00C06E66"/>
    <w:rsid w:val="00C07164"/>
    <w:rsid w:val="00C07D43"/>
    <w:rsid w:val="00C101E3"/>
    <w:rsid w:val="00C1037F"/>
    <w:rsid w:val="00C105C9"/>
    <w:rsid w:val="00C10EE1"/>
    <w:rsid w:val="00C112FF"/>
    <w:rsid w:val="00C1141A"/>
    <w:rsid w:val="00C11886"/>
    <w:rsid w:val="00C1192F"/>
    <w:rsid w:val="00C11D09"/>
    <w:rsid w:val="00C11F44"/>
    <w:rsid w:val="00C1264B"/>
    <w:rsid w:val="00C1282A"/>
    <w:rsid w:val="00C12FE8"/>
    <w:rsid w:val="00C13AAF"/>
    <w:rsid w:val="00C1412C"/>
    <w:rsid w:val="00C145B1"/>
    <w:rsid w:val="00C145C6"/>
    <w:rsid w:val="00C152D5"/>
    <w:rsid w:val="00C15599"/>
    <w:rsid w:val="00C155B6"/>
    <w:rsid w:val="00C1576E"/>
    <w:rsid w:val="00C15783"/>
    <w:rsid w:val="00C160CD"/>
    <w:rsid w:val="00C166DA"/>
    <w:rsid w:val="00C16907"/>
    <w:rsid w:val="00C16D62"/>
    <w:rsid w:val="00C16F86"/>
    <w:rsid w:val="00C16FA8"/>
    <w:rsid w:val="00C177ED"/>
    <w:rsid w:val="00C17834"/>
    <w:rsid w:val="00C17BA9"/>
    <w:rsid w:val="00C17D39"/>
    <w:rsid w:val="00C17D45"/>
    <w:rsid w:val="00C202E2"/>
    <w:rsid w:val="00C204F5"/>
    <w:rsid w:val="00C20AC8"/>
    <w:rsid w:val="00C20CC1"/>
    <w:rsid w:val="00C21EDF"/>
    <w:rsid w:val="00C220C2"/>
    <w:rsid w:val="00C224AA"/>
    <w:rsid w:val="00C2273D"/>
    <w:rsid w:val="00C22742"/>
    <w:rsid w:val="00C22B9E"/>
    <w:rsid w:val="00C2382E"/>
    <w:rsid w:val="00C2389F"/>
    <w:rsid w:val="00C23BCF"/>
    <w:rsid w:val="00C23EDF"/>
    <w:rsid w:val="00C24116"/>
    <w:rsid w:val="00C24D5A"/>
    <w:rsid w:val="00C24D78"/>
    <w:rsid w:val="00C2524C"/>
    <w:rsid w:val="00C257EF"/>
    <w:rsid w:val="00C25AEB"/>
    <w:rsid w:val="00C25B36"/>
    <w:rsid w:val="00C260EA"/>
    <w:rsid w:val="00C26168"/>
    <w:rsid w:val="00C26324"/>
    <w:rsid w:val="00C263AF"/>
    <w:rsid w:val="00C265BB"/>
    <w:rsid w:val="00C269C6"/>
    <w:rsid w:val="00C274EB"/>
    <w:rsid w:val="00C27D09"/>
    <w:rsid w:val="00C27D45"/>
    <w:rsid w:val="00C3054E"/>
    <w:rsid w:val="00C3072A"/>
    <w:rsid w:val="00C30C0F"/>
    <w:rsid w:val="00C30C2F"/>
    <w:rsid w:val="00C30D6B"/>
    <w:rsid w:val="00C315A1"/>
    <w:rsid w:val="00C317B2"/>
    <w:rsid w:val="00C32408"/>
    <w:rsid w:val="00C33217"/>
    <w:rsid w:val="00C333BD"/>
    <w:rsid w:val="00C334C7"/>
    <w:rsid w:val="00C33B1C"/>
    <w:rsid w:val="00C3459C"/>
    <w:rsid w:val="00C349FC"/>
    <w:rsid w:val="00C34C47"/>
    <w:rsid w:val="00C350AA"/>
    <w:rsid w:val="00C352AA"/>
    <w:rsid w:val="00C35338"/>
    <w:rsid w:val="00C35CFB"/>
    <w:rsid w:val="00C36123"/>
    <w:rsid w:val="00C3705F"/>
    <w:rsid w:val="00C3744A"/>
    <w:rsid w:val="00C378BE"/>
    <w:rsid w:val="00C40AB5"/>
    <w:rsid w:val="00C40C39"/>
    <w:rsid w:val="00C4169A"/>
    <w:rsid w:val="00C41BE9"/>
    <w:rsid w:val="00C41F02"/>
    <w:rsid w:val="00C4236B"/>
    <w:rsid w:val="00C42730"/>
    <w:rsid w:val="00C428CD"/>
    <w:rsid w:val="00C43A42"/>
    <w:rsid w:val="00C43AD3"/>
    <w:rsid w:val="00C43C91"/>
    <w:rsid w:val="00C43EF9"/>
    <w:rsid w:val="00C44373"/>
    <w:rsid w:val="00C446CA"/>
    <w:rsid w:val="00C45156"/>
    <w:rsid w:val="00C45692"/>
    <w:rsid w:val="00C4578C"/>
    <w:rsid w:val="00C45DAB"/>
    <w:rsid w:val="00C45F0F"/>
    <w:rsid w:val="00C467BF"/>
    <w:rsid w:val="00C468EF"/>
    <w:rsid w:val="00C46B08"/>
    <w:rsid w:val="00C46D0A"/>
    <w:rsid w:val="00C47242"/>
    <w:rsid w:val="00C47864"/>
    <w:rsid w:val="00C47B19"/>
    <w:rsid w:val="00C501A9"/>
    <w:rsid w:val="00C50251"/>
    <w:rsid w:val="00C50257"/>
    <w:rsid w:val="00C5053A"/>
    <w:rsid w:val="00C50845"/>
    <w:rsid w:val="00C50C7C"/>
    <w:rsid w:val="00C51262"/>
    <w:rsid w:val="00C512DD"/>
    <w:rsid w:val="00C51362"/>
    <w:rsid w:val="00C51760"/>
    <w:rsid w:val="00C521EB"/>
    <w:rsid w:val="00C525A3"/>
    <w:rsid w:val="00C52664"/>
    <w:rsid w:val="00C5272D"/>
    <w:rsid w:val="00C52C2E"/>
    <w:rsid w:val="00C5377E"/>
    <w:rsid w:val="00C54510"/>
    <w:rsid w:val="00C54513"/>
    <w:rsid w:val="00C54B07"/>
    <w:rsid w:val="00C55299"/>
    <w:rsid w:val="00C559AE"/>
    <w:rsid w:val="00C563B3"/>
    <w:rsid w:val="00C56AAB"/>
    <w:rsid w:val="00C56D80"/>
    <w:rsid w:val="00C57434"/>
    <w:rsid w:val="00C57535"/>
    <w:rsid w:val="00C57942"/>
    <w:rsid w:val="00C57D3F"/>
    <w:rsid w:val="00C605A3"/>
    <w:rsid w:val="00C606E2"/>
    <w:rsid w:val="00C60ABB"/>
    <w:rsid w:val="00C60B98"/>
    <w:rsid w:val="00C60D11"/>
    <w:rsid w:val="00C61973"/>
    <w:rsid w:val="00C62738"/>
    <w:rsid w:val="00C62828"/>
    <w:rsid w:val="00C62DA7"/>
    <w:rsid w:val="00C63D4C"/>
    <w:rsid w:val="00C63E28"/>
    <w:rsid w:val="00C64020"/>
    <w:rsid w:val="00C641E6"/>
    <w:rsid w:val="00C644C6"/>
    <w:rsid w:val="00C6493C"/>
    <w:rsid w:val="00C654F1"/>
    <w:rsid w:val="00C65BAA"/>
    <w:rsid w:val="00C660D7"/>
    <w:rsid w:val="00C6685E"/>
    <w:rsid w:val="00C66AD9"/>
    <w:rsid w:val="00C66D3D"/>
    <w:rsid w:val="00C66F98"/>
    <w:rsid w:val="00C67913"/>
    <w:rsid w:val="00C67C60"/>
    <w:rsid w:val="00C67DB4"/>
    <w:rsid w:val="00C67E26"/>
    <w:rsid w:val="00C7001C"/>
    <w:rsid w:val="00C70CDE"/>
    <w:rsid w:val="00C710E4"/>
    <w:rsid w:val="00C716A5"/>
    <w:rsid w:val="00C722B6"/>
    <w:rsid w:val="00C729A4"/>
    <w:rsid w:val="00C73A2F"/>
    <w:rsid w:val="00C73EE0"/>
    <w:rsid w:val="00C740D4"/>
    <w:rsid w:val="00C746C5"/>
    <w:rsid w:val="00C74A3B"/>
    <w:rsid w:val="00C74A4D"/>
    <w:rsid w:val="00C74DA0"/>
    <w:rsid w:val="00C75098"/>
    <w:rsid w:val="00C751D8"/>
    <w:rsid w:val="00C75245"/>
    <w:rsid w:val="00C7570E"/>
    <w:rsid w:val="00C75922"/>
    <w:rsid w:val="00C764C0"/>
    <w:rsid w:val="00C76626"/>
    <w:rsid w:val="00C7772B"/>
    <w:rsid w:val="00C77996"/>
    <w:rsid w:val="00C77C0C"/>
    <w:rsid w:val="00C80316"/>
    <w:rsid w:val="00C80E07"/>
    <w:rsid w:val="00C80E53"/>
    <w:rsid w:val="00C81097"/>
    <w:rsid w:val="00C81AF1"/>
    <w:rsid w:val="00C81FB8"/>
    <w:rsid w:val="00C821EA"/>
    <w:rsid w:val="00C82F47"/>
    <w:rsid w:val="00C82F5D"/>
    <w:rsid w:val="00C82FFD"/>
    <w:rsid w:val="00C832EC"/>
    <w:rsid w:val="00C839F7"/>
    <w:rsid w:val="00C83D52"/>
    <w:rsid w:val="00C8471B"/>
    <w:rsid w:val="00C8476C"/>
    <w:rsid w:val="00C85100"/>
    <w:rsid w:val="00C8558A"/>
    <w:rsid w:val="00C858F1"/>
    <w:rsid w:val="00C85A21"/>
    <w:rsid w:val="00C862EC"/>
    <w:rsid w:val="00C863F4"/>
    <w:rsid w:val="00C868B9"/>
    <w:rsid w:val="00C873DE"/>
    <w:rsid w:val="00C87B41"/>
    <w:rsid w:val="00C9017F"/>
    <w:rsid w:val="00C90207"/>
    <w:rsid w:val="00C902FB"/>
    <w:rsid w:val="00C90521"/>
    <w:rsid w:val="00C910CE"/>
    <w:rsid w:val="00C913B0"/>
    <w:rsid w:val="00C916B9"/>
    <w:rsid w:val="00C91DDB"/>
    <w:rsid w:val="00C91F57"/>
    <w:rsid w:val="00C92ACD"/>
    <w:rsid w:val="00C92C45"/>
    <w:rsid w:val="00C934B8"/>
    <w:rsid w:val="00C93A24"/>
    <w:rsid w:val="00C9406D"/>
    <w:rsid w:val="00C948AA"/>
    <w:rsid w:val="00C94F12"/>
    <w:rsid w:val="00C9536C"/>
    <w:rsid w:val="00C9564D"/>
    <w:rsid w:val="00C95B24"/>
    <w:rsid w:val="00C95B85"/>
    <w:rsid w:val="00C96FEE"/>
    <w:rsid w:val="00C9752F"/>
    <w:rsid w:val="00C975B3"/>
    <w:rsid w:val="00C9770F"/>
    <w:rsid w:val="00C97E72"/>
    <w:rsid w:val="00CA0061"/>
    <w:rsid w:val="00CA0D45"/>
    <w:rsid w:val="00CA1FCF"/>
    <w:rsid w:val="00CA2372"/>
    <w:rsid w:val="00CA2742"/>
    <w:rsid w:val="00CA2914"/>
    <w:rsid w:val="00CA2A09"/>
    <w:rsid w:val="00CA2B31"/>
    <w:rsid w:val="00CA2E9D"/>
    <w:rsid w:val="00CA330E"/>
    <w:rsid w:val="00CA3446"/>
    <w:rsid w:val="00CA34C2"/>
    <w:rsid w:val="00CA463C"/>
    <w:rsid w:val="00CA52D2"/>
    <w:rsid w:val="00CA53B0"/>
    <w:rsid w:val="00CA5552"/>
    <w:rsid w:val="00CA59C8"/>
    <w:rsid w:val="00CA5A93"/>
    <w:rsid w:val="00CA5C89"/>
    <w:rsid w:val="00CA5FF4"/>
    <w:rsid w:val="00CA6270"/>
    <w:rsid w:val="00CA6439"/>
    <w:rsid w:val="00CA6474"/>
    <w:rsid w:val="00CA654F"/>
    <w:rsid w:val="00CA6EE7"/>
    <w:rsid w:val="00CA739A"/>
    <w:rsid w:val="00CB009A"/>
    <w:rsid w:val="00CB0184"/>
    <w:rsid w:val="00CB02BF"/>
    <w:rsid w:val="00CB09D3"/>
    <w:rsid w:val="00CB0E59"/>
    <w:rsid w:val="00CB1062"/>
    <w:rsid w:val="00CB1138"/>
    <w:rsid w:val="00CB145C"/>
    <w:rsid w:val="00CB23B2"/>
    <w:rsid w:val="00CB25D3"/>
    <w:rsid w:val="00CB2DEE"/>
    <w:rsid w:val="00CB3283"/>
    <w:rsid w:val="00CB37C5"/>
    <w:rsid w:val="00CB4129"/>
    <w:rsid w:val="00CB43F5"/>
    <w:rsid w:val="00CB4655"/>
    <w:rsid w:val="00CB4B69"/>
    <w:rsid w:val="00CB4BD6"/>
    <w:rsid w:val="00CB4CC0"/>
    <w:rsid w:val="00CB502A"/>
    <w:rsid w:val="00CB583F"/>
    <w:rsid w:val="00CB59B7"/>
    <w:rsid w:val="00CB5E81"/>
    <w:rsid w:val="00CB64AE"/>
    <w:rsid w:val="00CB65DC"/>
    <w:rsid w:val="00CB67E5"/>
    <w:rsid w:val="00CB6B89"/>
    <w:rsid w:val="00CB6C2E"/>
    <w:rsid w:val="00CB705E"/>
    <w:rsid w:val="00CB73E7"/>
    <w:rsid w:val="00CB7483"/>
    <w:rsid w:val="00CB7A80"/>
    <w:rsid w:val="00CC0604"/>
    <w:rsid w:val="00CC064B"/>
    <w:rsid w:val="00CC073C"/>
    <w:rsid w:val="00CC1054"/>
    <w:rsid w:val="00CC1450"/>
    <w:rsid w:val="00CC1CD6"/>
    <w:rsid w:val="00CC25EE"/>
    <w:rsid w:val="00CC2E4E"/>
    <w:rsid w:val="00CC2F42"/>
    <w:rsid w:val="00CC2FB1"/>
    <w:rsid w:val="00CC3096"/>
    <w:rsid w:val="00CC3572"/>
    <w:rsid w:val="00CC3B9F"/>
    <w:rsid w:val="00CC3D37"/>
    <w:rsid w:val="00CC4083"/>
    <w:rsid w:val="00CC47EE"/>
    <w:rsid w:val="00CC49C9"/>
    <w:rsid w:val="00CC4EDC"/>
    <w:rsid w:val="00CC4F5E"/>
    <w:rsid w:val="00CC56EC"/>
    <w:rsid w:val="00CC58C4"/>
    <w:rsid w:val="00CC5D7C"/>
    <w:rsid w:val="00CC5F56"/>
    <w:rsid w:val="00CC6186"/>
    <w:rsid w:val="00CC61D6"/>
    <w:rsid w:val="00CC63DA"/>
    <w:rsid w:val="00CC68EA"/>
    <w:rsid w:val="00CC699D"/>
    <w:rsid w:val="00CC6FE2"/>
    <w:rsid w:val="00CC75BC"/>
    <w:rsid w:val="00CC7D48"/>
    <w:rsid w:val="00CD0611"/>
    <w:rsid w:val="00CD08B3"/>
    <w:rsid w:val="00CD1432"/>
    <w:rsid w:val="00CD144A"/>
    <w:rsid w:val="00CD152D"/>
    <w:rsid w:val="00CD152E"/>
    <w:rsid w:val="00CD1F2F"/>
    <w:rsid w:val="00CD20B8"/>
    <w:rsid w:val="00CD226C"/>
    <w:rsid w:val="00CD29A0"/>
    <w:rsid w:val="00CD2E06"/>
    <w:rsid w:val="00CD328D"/>
    <w:rsid w:val="00CD33A6"/>
    <w:rsid w:val="00CD33F9"/>
    <w:rsid w:val="00CD3C71"/>
    <w:rsid w:val="00CD4102"/>
    <w:rsid w:val="00CD4386"/>
    <w:rsid w:val="00CD4B9B"/>
    <w:rsid w:val="00CD4CF1"/>
    <w:rsid w:val="00CD4F04"/>
    <w:rsid w:val="00CD5A32"/>
    <w:rsid w:val="00CD5E84"/>
    <w:rsid w:val="00CD6751"/>
    <w:rsid w:val="00CD69CA"/>
    <w:rsid w:val="00CD6BFA"/>
    <w:rsid w:val="00CE0971"/>
    <w:rsid w:val="00CE0A46"/>
    <w:rsid w:val="00CE1DE3"/>
    <w:rsid w:val="00CE23FF"/>
    <w:rsid w:val="00CE2546"/>
    <w:rsid w:val="00CE263C"/>
    <w:rsid w:val="00CE2AFB"/>
    <w:rsid w:val="00CE2F2F"/>
    <w:rsid w:val="00CE332D"/>
    <w:rsid w:val="00CE34B8"/>
    <w:rsid w:val="00CE35F0"/>
    <w:rsid w:val="00CE3754"/>
    <w:rsid w:val="00CE3810"/>
    <w:rsid w:val="00CE3E3C"/>
    <w:rsid w:val="00CE4033"/>
    <w:rsid w:val="00CE48D0"/>
    <w:rsid w:val="00CE4B51"/>
    <w:rsid w:val="00CE4C9F"/>
    <w:rsid w:val="00CE52C2"/>
    <w:rsid w:val="00CE53E0"/>
    <w:rsid w:val="00CE5C58"/>
    <w:rsid w:val="00CE650C"/>
    <w:rsid w:val="00CE65FD"/>
    <w:rsid w:val="00CE6A99"/>
    <w:rsid w:val="00CE7BB4"/>
    <w:rsid w:val="00CE7C15"/>
    <w:rsid w:val="00CF0337"/>
    <w:rsid w:val="00CF05FB"/>
    <w:rsid w:val="00CF0781"/>
    <w:rsid w:val="00CF12D5"/>
    <w:rsid w:val="00CF1484"/>
    <w:rsid w:val="00CF15E2"/>
    <w:rsid w:val="00CF1DE3"/>
    <w:rsid w:val="00CF1E8B"/>
    <w:rsid w:val="00CF226E"/>
    <w:rsid w:val="00CF26E7"/>
    <w:rsid w:val="00CF2779"/>
    <w:rsid w:val="00CF27FE"/>
    <w:rsid w:val="00CF2F88"/>
    <w:rsid w:val="00CF33AE"/>
    <w:rsid w:val="00CF3452"/>
    <w:rsid w:val="00CF3471"/>
    <w:rsid w:val="00CF5D61"/>
    <w:rsid w:val="00CF673B"/>
    <w:rsid w:val="00CF6854"/>
    <w:rsid w:val="00CF6AAD"/>
    <w:rsid w:val="00CF6B4E"/>
    <w:rsid w:val="00CF74B0"/>
    <w:rsid w:val="00CF7523"/>
    <w:rsid w:val="00CF7594"/>
    <w:rsid w:val="00CF759B"/>
    <w:rsid w:val="00CF787B"/>
    <w:rsid w:val="00CF7AB7"/>
    <w:rsid w:val="00CF7F34"/>
    <w:rsid w:val="00CF7F59"/>
    <w:rsid w:val="00D00435"/>
    <w:rsid w:val="00D01634"/>
    <w:rsid w:val="00D0185F"/>
    <w:rsid w:val="00D01F96"/>
    <w:rsid w:val="00D020A3"/>
    <w:rsid w:val="00D021CB"/>
    <w:rsid w:val="00D0409F"/>
    <w:rsid w:val="00D041E6"/>
    <w:rsid w:val="00D0429D"/>
    <w:rsid w:val="00D046DD"/>
    <w:rsid w:val="00D04ED9"/>
    <w:rsid w:val="00D05060"/>
    <w:rsid w:val="00D05064"/>
    <w:rsid w:val="00D050B8"/>
    <w:rsid w:val="00D053D0"/>
    <w:rsid w:val="00D07044"/>
    <w:rsid w:val="00D07222"/>
    <w:rsid w:val="00D072B3"/>
    <w:rsid w:val="00D07A8D"/>
    <w:rsid w:val="00D1011D"/>
    <w:rsid w:val="00D11AC3"/>
    <w:rsid w:val="00D11FF1"/>
    <w:rsid w:val="00D12076"/>
    <w:rsid w:val="00D12CC9"/>
    <w:rsid w:val="00D12EBA"/>
    <w:rsid w:val="00D133AD"/>
    <w:rsid w:val="00D143AE"/>
    <w:rsid w:val="00D145E5"/>
    <w:rsid w:val="00D14FC1"/>
    <w:rsid w:val="00D152A0"/>
    <w:rsid w:val="00D153D0"/>
    <w:rsid w:val="00D156AB"/>
    <w:rsid w:val="00D159CF"/>
    <w:rsid w:val="00D15CBD"/>
    <w:rsid w:val="00D15E6D"/>
    <w:rsid w:val="00D16793"/>
    <w:rsid w:val="00D16F72"/>
    <w:rsid w:val="00D17D6C"/>
    <w:rsid w:val="00D20143"/>
    <w:rsid w:val="00D2015E"/>
    <w:rsid w:val="00D2034D"/>
    <w:rsid w:val="00D204B0"/>
    <w:rsid w:val="00D207F2"/>
    <w:rsid w:val="00D20A74"/>
    <w:rsid w:val="00D20E40"/>
    <w:rsid w:val="00D21F4E"/>
    <w:rsid w:val="00D22252"/>
    <w:rsid w:val="00D224E5"/>
    <w:rsid w:val="00D227D5"/>
    <w:rsid w:val="00D229C7"/>
    <w:rsid w:val="00D22AE5"/>
    <w:rsid w:val="00D22BFF"/>
    <w:rsid w:val="00D23C0D"/>
    <w:rsid w:val="00D24220"/>
    <w:rsid w:val="00D25292"/>
    <w:rsid w:val="00D25BFF"/>
    <w:rsid w:val="00D25DE7"/>
    <w:rsid w:val="00D263FE"/>
    <w:rsid w:val="00D270E4"/>
    <w:rsid w:val="00D2717D"/>
    <w:rsid w:val="00D2748C"/>
    <w:rsid w:val="00D27520"/>
    <w:rsid w:val="00D27D1C"/>
    <w:rsid w:val="00D305CB"/>
    <w:rsid w:val="00D307AE"/>
    <w:rsid w:val="00D30E36"/>
    <w:rsid w:val="00D30E8D"/>
    <w:rsid w:val="00D310DB"/>
    <w:rsid w:val="00D315AD"/>
    <w:rsid w:val="00D31663"/>
    <w:rsid w:val="00D31C3D"/>
    <w:rsid w:val="00D31E7F"/>
    <w:rsid w:val="00D32A09"/>
    <w:rsid w:val="00D33BDF"/>
    <w:rsid w:val="00D33C1A"/>
    <w:rsid w:val="00D342DB"/>
    <w:rsid w:val="00D345FA"/>
    <w:rsid w:val="00D34B8D"/>
    <w:rsid w:val="00D34C08"/>
    <w:rsid w:val="00D356EB"/>
    <w:rsid w:val="00D3575C"/>
    <w:rsid w:val="00D3597B"/>
    <w:rsid w:val="00D35D1A"/>
    <w:rsid w:val="00D36231"/>
    <w:rsid w:val="00D36E53"/>
    <w:rsid w:val="00D370AE"/>
    <w:rsid w:val="00D37168"/>
    <w:rsid w:val="00D37A1F"/>
    <w:rsid w:val="00D37A55"/>
    <w:rsid w:val="00D37D5F"/>
    <w:rsid w:val="00D40074"/>
    <w:rsid w:val="00D4065E"/>
    <w:rsid w:val="00D408C3"/>
    <w:rsid w:val="00D40BF9"/>
    <w:rsid w:val="00D40D77"/>
    <w:rsid w:val="00D429F5"/>
    <w:rsid w:val="00D42AE6"/>
    <w:rsid w:val="00D43057"/>
    <w:rsid w:val="00D43946"/>
    <w:rsid w:val="00D43C40"/>
    <w:rsid w:val="00D4401D"/>
    <w:rsid w:val="00D44021"/>
    <w:rsid w:val="00D44732"/>
    <w:rsid w:val="00D44EFE"/>
    <w:rsid w:val="00D45EE1"/>
    <w:rsid w:val="00D469A4"/>
    <w:rsid w:val="00D4791B"/>
    <w:rsid w:val="00D47934"/>
    <w:rsid w:val="00D47AF6"/>
    <w:rsid w:val="00D47DD4"/>
    <w:rsid w:val="00D5014E"/>
    <w:rsid w:val="00D503A5"/>
    <w:rsid w:val="00D50469"/>
    <w:rsid w:val="00D50D32"/>
    <w:rsid w:val="00D50F83"/>
    <w:rsid w:val="00D51195"/>
    <w:rsid w:val="00D51616"/>
    <w:rsid w:val="00D518AC"/>
    <w:rsid w:val="00D52286"/>
    <w:rsid w:val="00D523AB"/>
    <w:rsid w:val="00D52432"/>
    <w:rsid w:val="00D52619"/>
    <w:rsid w:val="00D528EC"/>
    <w:rsid w:val="00D5291F"/>
    <w:rsid w:val="00D532DF"/>
    <w:rsid w:val="00D5384A"/>
    <w:rsid w:val="00D5431D"/>
    <w:rsid w:val="00D548F9"/>
    <w:rsid w:val="00D54968"/>
    <w:rsid w:val="00D5536E"/>
    <w:rsid w:val="00D55B38"/>
    <w:rsid w:val="00D55D6B"/>
    <w:rsid w:val="00D5637D"/>
    <w:rsid w:val="00D56E3F"/>
    <w:rsid w:val="00D56EDC"/>
    <w:rsid w:val="00D570AD"/>
    <w:rsid w:val="00D5758D"/>
    <w:rsid w:val="00D606A5"/>
    <w:rsid w:val="00D608C2"/>
    <w:rsid w:val="00D60F88"/>
    <w:rsid w:val="00D6140E"/>
    <w:rsid w:val="00D6179F"/>
    <w:rsid w:val="00D630C2"/>
    <w:rsid w:val="00D6320D"/>
    <w:rsid w:val="00D636E4"/>
    <w:rsid w:val="00D64756"/>
    <w:rsid w:val="00D649C4"/>
    <w:rsid w:val="00D64C42"/>
    <w:rsid w:val="00D64D81"/>
    <w:rsid w:val="00D6582B"/>
    <w:rsid w:val="00D65E4B"/>
    <w:rsid w:val="00D660A2"/>
    <w:rsid w:val="00D66251"/>
    <w:rsid w:val="00D66F3D"/>
    <w:rsid w:val="00D67123"/>
    <w:rsid w:val="00D6714F"/>
    <w:rsid w:val="00D6749B"/>
    <w:rsid w:val="00D679FE"/>
    <w:rsid w:val="00D67B65"/>
    <w:rsid w:val="00D70448"/>
    <w:rsid w:val="00D70A83"/>
    <w:rsid w:val="00D710D3"/>
    <w:rsid w:val="00D715E1"/>
    <w:rsid w:val="00D72119"/>
    <w:rsid w:val="00D729A9"/>
    <w:rsid w:val="00D72A6C"/>
    <w:rsid w:val="00D7363E"/>
    <w:rsid w:val="00D73A75"/>
    <w:rsid w:val="00D73AA9"/>
    <w:rsid w:val="00D73C18"/>
    <w:rsid w:val="00D73C8D"/>
    <w:rsid w:val="00D748C7"/>
    <w:rsid w:val="00D75198"/>
    <w:rsid w:val="00D751D3"/>
    <w:rsid w:val="00D75DAD"/>
    <w:rsid w:val="00D7729B"/>
    <w:rsid w:val="00D778AA"/>
    <w:rsid w:val="00D8012C"/>
    <w:rsid w:val="00D80238"/>
    <w:rsid w:val="00D808CF"/>
    <w:rsid w:val="00D80B06"/>
    <w:rsid w:val="00D80DA9"/>
    <w:rsid w:val="00D81143"/>
    <w:rsid w:val="00D81DEF"/>
    <w:rsid w:val="00D8234C"/>
    <w:rsid w:val="00D8256D"/>
    <w:rsid w:val="00D825B9"/>
    <w:rsid w:val="00D827AA"/>
    <w:rsid w:val="00D82819"/>
    <w:rsid w:val="00D83894"/>
    <w:rsid w:val="00D83A5B"/>
    <w:rsid w:val="00D83FDF"/>
    <w:rsid w:val="00D84046"/>
    <w:rsid w:val="00D8469C"/>
    <w:rsid w:val="00D84E08"/>
    <w:rsid w:val="00D84E3E"/>
    <w:rsid w:val="00D84F0C"/>
    <w:rsid w:val="00D84F9C"/>
    <w:rsid w:val="00D86BEB"/>
    <w:rsid w:val="00D86F9D"/>
    <w:rsid w:val="00D87B55"/>
    <w:rsid w:val="00D903AF"/>
    <w:rsid w:val="00D9076C"/>
    <w:rsid w:val="00D90EBF"/>
    <w:rsid w:val="00D9116C"/>
    <w:rsid w:val="00D91762"/>
    <w:rsid w:val="00D91834"/>
    <w:rsid w:val="00D92507"/>
    <w:rsid w:val="00D9250A"/>
    <w:rsid w:val="00D92835"/>
    <w:rsid w:val="00D92884"/>
    <w:rsid w:val="00D92949"/>
    <w:rsid w:val="00D92CF5"/>
    <w:rsid w:val="00D932E3"/>
    <w:rsid w:val="00D9341E"/>
    <w:rsid w:val="00D94688"/>
    <w:rsid w:val="00D94A8D"/>
    <w:rsid w:val="00D94D4C"/>
    <w:rsid w:val="00D954DF"/>
    <w:rsid w:val="00D95721"/>
    <w:rsid w:val="00D95EB4"/>
    <w:rsid w:val="00D964C9"/>
    <w:rsid w:val="00D969D9"/>
    <w:rsid w:val="00D96F03"/>
    <w:rsid w:val="00D9774E"/>
    <w:rsid w:val="00D97EB2"/>
    <w:rsid w:val="00DA0161"/>
    <w:rsid w:val="00DA05E2"/>
    <w:rsid w:val="00DA084A"/>
    <w:rsid w:val="00DA1012"/>
    <w:rsid w:val="00DA1014"/>
    <w:rsid w:val="00DA1642"/>
    <w:rsid w:val="00DA167C"/>
    <w:rsid w:val="00DA1691"/>
    <w:rsid w:val="00DA1A6A"/>
    <w:rsid w:val="00DA1C1A"/>
    <w:rsid w:val="00DA1D99"/>
    <w:rsid w:val="00DA2342"/>
    <w:rsid w:val="00DA25BD"/>
    <w:rsid w:val="00DA2E61"/>
    <w:rsid w:val="00DA301C"/>
    <w:rsid w:val="00DA3476"/>
    <w:rsid w:val="00DA3614"/>
    <w:rsid w:val="00DA3A47"/>
    <w:rsid w:val="00DA3CC1"/>
    <w:rsid w:val="00DA4455"/>
    <w:rsid w:val="00DA47BE"/>
    <w:rsid w:val="00DA4D84"/>
    <w:rsid w:val="00DA4D9B"/>
    <w:rsid w:val="00DA4F70"/>
    <w:rsid w:val="00DA5537"/>
    <w:rsid w:val="00DA5560"/>
    <w:rsid w:val="00DA5A72"/>
    <w:rsid w:val="00DA5B26"/>
    <w:rsid w:val="00DA5E13"/>
    <w:rsid w:val="00DA6274"/>
    <w:rsid w:val="00DA6611"/>
    <w:rsid w:val="00DA72E3"/>
    <w:rsid w:val="00DA77CA"/>
    <w:rsid w:val="00DA7AC2"/>
    <w:rsid w:val="00DA7BA4"/>
    <w:rsid w:val="00DA7E61"/>
    <w:rsid w:val="00DA7EFF"/>
    <w:rsid w:val="00DB043C"/>
    <w:rsid w:val="00DB099F"/>
    <w:rsid w:val="00DB0B52"/>
    <w:rsid w:val="00DB0D4F"/>
    <w:rsid w:val="00DB16BD"/>
    <w:rsid w:val="00DB1932"/>
    <w:rsid w:val="00DB1B25"/>
    <w:rsid w:val="00DB335B"/>
    <w:rsid w:val="00DB33A8"/>
    <w:rsid w:val="00DB3823"/>
    <w:rsid w:val="00DB45DD"/>
    <w:rsid w:val="00DB47F7"/>
    <w:rsid w:val="00DB57AD"/>
    <w:rsid w:val="00DB5B3C"/>
    <w:rsid w:val="00DB5C1B"/>
    <w:rsid w:val="00DB5C9D"/>
    <w:rsid w:val="00DB5E6D"/>
    <w:rsid w:val="00DB61FB"/>
    <w:rsid w:val="00DB6734"/>
    <w:rsid w:val="00DB7DF0"/>
    <w:rsid w:val="00DB7E10"/>
    <w:rsid w:val="00DC0742"/>
    <w:rsid w:val="00DC08AC"/>
    <w:rsid w:val="00DC09B8"/>
    <w:rsid w:val="00DC0C4F"/>
    <w:rsid w:val="00DC0CD6"/>
    <w:rsid w:val="00DC0D26"/>
    <w:rsid w:val="00DC0E0D"/>
    <w:rsid w:val="00DC0EFB"/>
    <w:rsid w:val="00DC112B"/>
    <w:rsid w:val="00DC1804"/>
    <w:rsid w:val="00DC1806"/>
    <w:rsid w:val="00DC18C3"/>
    <w:rsid w:val="00DC1B05"/>
    <w:rsid w:val="00DC1C1B"/>
    <w:rsid w:val="00DC1C9E"/>
    <w:rsid w:val="00DC1DEB"/>
    <w:rsid w:val="00DC2129"/>
    <w:rsid w:val="00DC21D1"/>
    <w:rsid w:val="00DC24FA"/>
    <w:rsid w:val="00DC3380"/>
    <w:rsid w:val="00DC3B9A"/>
    <w:rsid w:val="00DC4190"/>
    <w:rsid w:val="00DC45C4"/>
    <w:rsid w:val="00DC4663"/>
    <w:rsid w:val="00DC47DD"/>
    <w:rsid w:val="00DC5D68"/>
    <w:rsid w:val="00DC5FFF"/>
    <w:rsid w:val="00DC64E3"/>
    <w:rsid w:val="00DC66F8"/>
    <w:rsid w:val="00DC6E8E"/>
    <w:rsid w:val="00DC7262"/>
    <w:rsid w:val="00DC747C"/>
    <w:rsid w:val="00DC79DB"/>
    <w:rsid w:val="00DC7FC5"/>
    <w:rsid w:val="00DD0048"/>
    <w:rsid w:val="00DD012B"/>
    <w:rsid w:val="00DD0495"/>
    <w:rsid w:val="00DD0B72"/>
    <w:rsid w:val="00DD0EED"/>
    <w:rsid w:val="00DD10E0"/>
    <w:rsid w:val="00DD11C2"/>
    <w:rsid w:val="00DD160E"/>
    <w:rsid w:val="00DD19B3"/>
    <w:rsid w:val="00DD1A6E"/>
    <w:rsid w:val="00DD27E7"/>
    <w:rsid w:val="00DD2805"/>
    <w:rsid w:val="00DD292F"/>
    <w:rsid w:val="00DD29F5"/>
    <w:rsid w:val="00DD311C"/>
    <w:rsid w:val="00DD33CA"/>
    <w:rsid w:val="00DD37C8"/>
    <w:rsid w:val="00DD37CF"/>
    <w:rsid w:val="00DD3A6B"/>
    <w:rsid w:val="00DD41B2"/>
    <w:rsid w:val="00DD47C5"/>
    <w:rsid w:val="00DD4A11"/>
    <w:rsid w:val="00DD4A5C"/>
    <w:rsid w:val="00DD4C81"/>
    <w:rsid w:val="00DD51A0"/>
    <w:rsid w:val="00DD5AD9"/>
    <w:rsid w:val="00DD64DE"/>
    <w:rsid w:val="00DD6EC1"/>
    <w:rsid w:val="00DD71B8"/>
    <w:rsid w:val="00DD7A7C"/>
    <w:rsid w:val="00DD7B8C"/>
    <w:rsid w:val="00DD7BCD"/>
    <w:rsid w:val="00DE0095"/>
    <w:rsid w:val="00DE02B4"/>
    <w:rsid w:val="00DE08AB"/>
    <w:rsid w:val="00DE08C5"/>
    <w:rsid w:val="00DE1362"/>
    <w:rsid w:val="00DE1E26"/>
    <w:rsid w:val="00DE228F"/>
    <w:rsid w:val="00DE22AE"/>
    <w:rsid w:val="00DE303F"/>
    <w:rsid w:val="00DE3BA4"/>
    <w:rsid w:val="00DE3BFD"/>
    <w:rsid w:val="00DE3E42"/>
    <w:rsid w:val="00DE3F38"/>
    <w:rsid w:val="00DE4427"/>
    <w:rsid w:val="00DE46FB"/>
    <w:rsid w:val="00DE5C6E"/>
    <w:rsid w:val="00DE5F85"/>
    <w:rsid w:val="00DE6144"/>
    <w:rsid w:val="00DE662C"/>
    <w:rsid w:val="00DE6794"/>
    <w:rsid w:val="00DE68AB"/>
    <w:rsid w:val="00DE698D"/>
    <w:rsid w:val="00DE6FB3"/>
    <w:rsid w:val="00DE71F6"/>
    <w:rsid w:val="00DE72F8"/>
    <w:rsid w:val="00DE749C"/>
    <w:rsid w:val="00DE74BB"/>
    <w:rsid w:val="00DF0232"/>
    <w:rsid w:val="00DF20E6"/>
    <w:rsid w:val="00DF22A9"/>
    <w:rsid w:val="00DF257A"/>
    <w:rsid w:val="00DF27FC"/>
    <w:rsid w:val="00DF299C"/>
    <w:rsid w:val="00DF2D97"/>
    <w:rsid w:val="00DF37CA"/>
    <w:rsid w:val="00DF46B8"/>
    <w:rsid w:val="00DF4839"/>
    <w:rsid w:val="00DF50BB"/>
    <w:rsid w:val="00DF5B74"/>
    <w:rsid w:val="00DF5C04"/>
    <w:rsid w:val="00DF649C"/>
    <w:rsid w:val="00DF6E38"/>
    <w:rsid w:val="00DF7050"/>
    <w:rsid w:val="00DF70B9"/>
    <w:rsid w:val="00DF71F4"/>
    <w:rsid w:val="00DF7A54"/>
    <w:rsid w:val="00DF7C89"/>
    <w:rsid w:val="00DF7E4E"/>
    <w:rsid w:val="00E001A8"/>
    <w:rsid w:val="00E00787"/>
    <w:rsid w:val="00E00EEF"/>
    <w:rsid w:val="00E00F85"/>
    <w:rsid w:val="00E0106A"/>
    <w:rsid w:val="00E01A87"/>
    <w:rsid w:val="00E01D38"/>
    <w:rsid w:val="00E022AA"/>
    <w:rsid w:val="00E0266C"/>
    <w:rsid w:val="00E029C5"/>
    <w:rsid w:val="00E031C2"/>
    <w:rsid w:val="00E031F8"/>
    <w:rsid w:val="00E031FC"/>
    <w:rsid w:val="00E034B2"/>
    <w:rsid w:val="00E03610"/>
    <w:rsid w:val="00E036AE"/>
    <w:rsid w:val="00E03959"/>
    <w:rsid w:val="00E03BD4"/>
    <w:rsid w:val="00E03CF3"/>
    <w:rsid w:val="00E04D30"/>
    <w:rsid w:val="00E04E87"/>
    <w:rsid w:val="00E05368"/>
    <w:rsid w:val="00E053C0"/>
    <w:rsid w:val="00E05A53"/>
    <w:rsid w:val="00E05A98"/>
    <w:rsid w:val="00E05CB7"/>
    <w:rsid w:val="00E06269"/>
    <w:rsid w:val="00E06A03"/>
    <w:rsid w:val="00E06DA2"/>
    <w:rsid w:val="00E072DA"/>
    <w:rsid w:val="00E076F1"/>
    <w:rsid w:val="00E078F1"/>
    <w:rsid w:val="00E07BD2"/>
    <w:rsid w:val="00E07D93"/>
    <w:rsid w:val="00E104FC"/>
    <w:rsid w:val="00E10780"/>
    <w:rsid w:val="00E10AEC"/>
    <w:rsid w:val="00E10B8A"/>
    <w:rsid w:val="00E1147E"/>
    <w:rsid w:val="00E119EF"/>
    <w:rsid w:val="00E11A78"/>
    <w:rsid w:val="00E11AF8"/>
    <w:rsid w:val="00E11E10"/>
    <w:rsid w:val="00E123B2"/>
    <w:rsid w:val="00E12AF3"/>
    <w:rsid w:val="00E138C1"/>
    <w:rsid w:val="00E138FB"/>
    <w:rsid w:val="00E14994"/>
    <w:rsid w:val="00E14AE7"/>
    <w:rsid w:val="00E16DD9"/>
    <w:rsid w:val="00E17247"/>
    <w:rsid w:val="00E173B8"/>
    <w:rsid w:val="00E1754B"/>
    <w:rsid w:val="00E2000A"/>
    <w:rsid w:val="00E20ACD"/>
    <w:rsid w:val="00E20ADB"/>
    <w:rsid w:val="00E20AF5"/>
    <w:rsid w:val="00E21206"/>
    <w:rsid w:val="00E21429"/>
    <w:rsid w:val="00E21D02"/>
    <w:rsid w:val="00E223FB"/>
    <w:rsid w:val="00E22655"/>
    <w:rsid w:val="00E22761"/>
    <w:rsid w:val="00E22D0D"/>
    <w:rsid w:val="00E22E20"/>
    <w:rsid w:val="00E2302C"/>
    <w:rsid w:val="00E23276"/>
    <w:rsid w:val="00E24195"/>
    <w:rsid w:val="00E24BD8"/>
    <w:rsid w:val="00E24D5A"/>
    <w:rsid w:val="00E25C8B"/>
    <w:rsid w:val="00E25CBD"/>
    <w:rsid w:val="00E2663A"/>
    <w:rsid w:val="00E2688C"/>
    <w:rsid w:val="00E275E4"/>
    <w:rsid w:val="00E3022F"/>
    <w:rsid w:val="00E30413"/>
    <w:rsid w:val="00E30460"/>
    <w:rsid w:val="00E308C1"/>
    <w:rsid w:val="00E30A0E"/>
    <w:rsid w:val="00E31696"/>
    <w:rsid w:val="00E31D7F"/>
    <w:rsid w:val="00E31F40"/>
    <w:rsid w:val="00E321CA"/>
    <w:rsid w:val="00E3257D"/>
    <w:rsid w:val="00E339F3"/>
    <w:rsid w:val="00E34764"/>
    <w:rsid w:val="00E3535F"/>
    <w:rsid w:val="00E36249"/>
    <w:rsid w:val="00E36391"/>
    <w:rsid w:val="00E364BE"/>
    <w:rsid w:val="00E36A1C"/>
    <w:rsid w:val="00E36D04"/>
    <w:rsid w:val="00E37D16"/>
    <w:rsid w:val="00E401FE"/>
    <w:rsid w:val="00E4023D"/>
    <w:rsid w:val="00E403C8"/>
    <w:rsid w:val="00E4056C"/>
    <w:rsid w:val="00E40791"/>
    <w:rsid w:val="00E40930"/>
    <w:rsid w:val="00E40D87"/>
    <w:rsid w:val="00E413F9"/>
    <w:rsid w:val="00E41533"/>
    <w:rsid w:val="00E420BD"/>
    <w:rsid w:val="00E42579"/>
    <w:rsid w:val="00E429CB"/>
    <w:rsid w:val="00E42D1E"/>
    <w:rsid w:val="00E4305B"/>
    <w:rsid w:val="00E4332C"/>
    <w:rsid w:val="00E43503"/>
    <w:rsid w:val="00E43B60"/>
    <w:rsid w:val="00E43BD9"/>
    <w:rsid w:val="00E440D9"/>
    <w:rsid w:val="00E44657"/>
    <w:rsid w:val="00E44906"/>
    <w:rsid w:val="00E44908"/>
    <w:rsid w:val="00E44E43"/>
    <w:rsid w:val="00E4518E"/>
    <w:rsid w:val="00E45422"/>
    <w:rsid w:val="00E45563"/>
    <w:rsid w:val="00E45F2D"/>
    <w:rsid w:val="00E4628A"/>
    <w:rsid w:val="00E4669A"/>
    <w:rsid w:val="00E4772F"/>
    <w:rsid w:val="00E477BC"/>
    <w:rsid w:val="00E47C7A"/>
    <w:rsid w:val="00E47CD9"/>
    <w:rsid w:val="00E47CFD"/>
    <w:rsid w:val="00E47E20"/>
    <w:rsid w:val="00E500BD"/>
    <w:rsid w:val="00E5022E"/>
    <w:rsid w:val="00E50669"/>
    <w:rsid w:val="00E506DC"/>
    <w:rsid w:val="00E509F6"/>
    <w:rsid w:val="00E5106F"/>
    <w:rsid w:val="00E51678"/>
    <w:rsid w:val="00E519D2"/>
    <w:rsid w:val="00E51A36"/>
    <w:rsid w:val="00E51BC7"/>
    <w:rsid w:val="00E51F62"/>
    <w:rsid w:val="00E5270D"/>
    <w:rsid w:val="00E52A3E"/>
    <w:rsid w:val="00E52C37"/>
    <w:rsid w:val="00E52DBA"/>
    <w:rsid w:val="00E53001"/>
    <w:rsid w:val="00E5324B"/>
    <w:rsid w:val="00E5449E"/>
    <w:rsid w:val="00E549F6"/>
    <w:rsid w:val="00E54D6F"/>
    <w:rsid w:val="00E55D18"/>
    <w:rsid w:val="00E55DD1"/>
    <w:rsid w:val="00E562BD"/>
    <w:rsid w:val="00E5657A"/>
    <w:rsid w:val="00E56688"/>
    <w:rsid w:val="00E569AF"/>
    <w:rsid w:val="00E56ACB"/>
    <w:rsid w:val="00E56E5E"/>
    <w:rsid w:val="00E56F47"/>
    <w:rsid w:val="00E56F67"/>
    <w:rsid w:val="00E570DE"/>
    <w:rsid w:val="00E60445"/>
    <w:rsid w:val="00E607FD"/>
    <w:rsid w:val="00E608F0"/>
    <w:rsid w:val="00E6118C"/>
    <w:rsid w:val="00E6154F"/>
    <w:rsid w:val="00E617D7"/>
    <w:rsid w:val="00E61980"/>
    <w:rsid w:val="00E61BA5"/>
    <w:rsid w:val="00E61C81"/>
    <w:rsid w:val="00E61CFD"/>
    <w:rsid w:val="00E621BF"/>
    <w:rsid w:val="00E62A20"/>
    <w:rsid w:val="00E633AC"/>
    <w:rsid w:val="00E6401C"/>
    <w:rsid w:val="00E64662"/>
    <w:rsid w:val="00E64674"/>
    <w:rsid w:val="00E64678"/>
    <w:rsid w:val="00E64CDB"/>
    <w:rsid w:val="00E64E52"/>
    <w:rsid w:val="00E656EF"/>
    <w:rsid w:val="00E65827"/>
    <w:rsid w:val="00E65CCC"/>
    <w:rsid w:val="00E65E60"/>
    <w:rsid w:val="00E65FDE"/>
    <w:rsid w:val="00E66EC7"/>
    <w:rsid w:val="00E67014"/>
    <w:rsid w:val="00E671E6"/>
    <w:rsid w:val="00E675EE"/>
    <w:rsid w:val="00E67717"/>
    <w:rsid w:val="00E67772"/>
    <w:rsid w:val="00E67B1F"/>
    <w:rsid w:val="00E7015C"/>
    <w:rsid w:val="00E702E9"/>
    <w:rsid w:val="00E70950"/>
    <w:rsid w:val="00E70D4B"/>
    <w:rsid w:val="00E70EB5"/>
    <w:rsid w:val="00E710D7"/>
    <w:rsid w:val="00E714F9"/>
    <w:rsid w:val="00E71BF7"/>
    <w:rsid w:val="00E71FEA"/>
    <w:rsid w:val="00E724FD"/>
    <w:rsid w:val="00E7301C"/>
    <w:rsid w:val="00E7335A"/>
    <w:rsid w:val="00E73FC8"/>
    <w:rsid w:val="00E74086"/>
    <w:rsid w:val="00E748D2"/>
    <w:rsid w:val="00E74916"/>
    <w:rsid w:val="00E75010"/>
    <w:rsid w:val="00E7565D"/>
    <w:rsid w:val="00E7592A"/>
    <w:rsid w:val="00E7596C"/>
    <w:rsid w:val="00E759E6"/>
    <w:rsid w:val="00E76550"/>
    <w:rsid w:val="00E76633"/>
    <w:rsid w:val="00E76ED1"/>
    <w:rsid w:val="00E76ED4"/>
    <w:rsid w:val="00E76F8E"/>
    <w:rsid w:val="00E77741"/>
    <w:rsid w:val="00E801B1"/>
    <w:rsid w:val="00E819C9"/>
    <w:rsid w:val="00E81D4E"/>
    <w:rsid w:val="00E81FCE"/>
    <w:rsid w:val="00E8224E"/>
    <w:rsid w:val="00E82669"/>
    <w:rsid w:val="00E82C1A"/>
    <w:rsid w:val="00E8326F"/>
    <w:rsid w:val="00E836D6"/>
    <w:rsid w:val="00E837CD"/>
    <w:rsid w:val="00E838FE"/>
    <w:rsid w:val="00E83C97"/>
    <w:rsid w:val="00E83C98"/>
    <w:rsid w:val="00E83F7C"/>
    <w:rsid w:val="00E8478A"/>
    <w:rsid w:val="00E84BEA"/>
    <w:rsid w:val="00E8548D"/>
    <w:rsid w:val="00E8550A"/>
    <w:rsid w:val="00E85C1D"/>
    <w:rsid w:val="00E86255"/>
    <w:rsid w:val="00E8632D"/>
    <w:rsid w:val="00E867BE"/>
    <w:rsid w:val="00E86A8B"/>
    <w:rsid w:val="00E90088"/>
    <w:rsid w:val="00E901B5"/>
    <w:rsid w:val="00E90245"/>
    <w:rsid w:val="00E90A1B"/>
    <w:rsid w:val="00E90E55"/>
    <w:rsid w:val="00E91646"/>
    <w:rsid w:val="00E925B8"/>
    <w:rsid w:val="00E92BCD"/>
    <w:rsid w:val="00E92BE2"/>
    <w:rsid w:val="00E92CAD"/>
    <w:rsid w:val="00E93250"/>
    <w:rsid w:val="00E93468"/>
    <w:rsid w:val="00E93AAE"/>
    <w:rsid w:val="00E93DF5"/>
    <w:rsid w:val="00E945BF"/>
    <w:rsid w:val="00E9477E"/>
    <w:rsid w:val="00E94B12"/>
    <w:rsid w:val="00E950D2"/>
    <w:rsid w:val="00E9583D"/>
    <w:rsid w:val="00E95F40"/>
    <w:rsid w:val="00E9601C"/>
    <w:rsid w:val="00E96398"/>
    <w:rsid w:val="00E96509"/>
    <w:rsid w:val="00E96722"/>
    <w:rsid w:val="00E9699C"/>
    <w:rsid w:val="00E96D2D"/>
    <w:rsid w:val="00E96E5A"/>
    <w:rsid w:val="00E97CDE"/>
    <w:rsid w:val="00EA0178"/>
    <w:rsid w:val="00EA0A90"/>
    <w:rsid w:val="00EA0C0A"/>
    <w:rsid w:val="00EA1290"/>
    <w:rsid w:val="00EA13C4"/>
    <w:rsid w:val="00EA151F"/>
    <w:rsid w:val="00EA183F"/>
    <w:rsid w:val="00EA191E"/>
    <w:rsid w:val="00EA1AF5"/>
    <w:rsid w:val="00EA23BA"/>
    <w:rsid w:val="00EA26D3"/>
    <w:rsid w:val="00EA29CC"/>
    <w:rsid w:val="00EA2EEF"/>
    <w:rsid w:val="00EA318E"/>
    <w:rsid w:val="00EA3673"/>
    <w:rsid w:val="00EA4426"/>
    <w:rsid w:val="00EA44A7"/>
    <w:rsid w:val="00EA4A2A"/>
    <w:rsid w:val="00EA4BC4"/>
    <w:rsid w:val="00EA4F6D"/>
    <w:rsid w:val="00EA519B"/>
    <w:rsid w:val="00EA5245"/>
    <w:rsid w:val="00EA5A29"/>
    <w:rsid w:val="00EA61E6"/>
    <w:rsid w:val="00EA6E01"/>
    <w:rsid w:val="00EA6E45"/>
    <w:rsid w:val="00EA7208"/>
    <w:rsid w:val="00EA7495"/>
    <w:rsid w:val="00EA7800"/>
    <w:rsid w:val="00EB0663"/>
    <w:rsid w:val="00EB070D"/>
    <w:rsid w:val="00EB086D"/>
    <w:rsid w:val="00EB0C98"/>
    <w:rsid w:val="00EB0DEB"/>
    <w:rsid w:val="00EB0EDB"/>
    <w:rsid w:val="00EB0F58"/>
    <w:rsid w:val="00EB1DF4"/>
    <w:rsid w:val="00EB2173"/>
    <w:rsid w:val="00EB297A"/>
    <w:rsid w:val="00EB307A"/>
    <w:rsid w:val="00EB326C"/>
    <w:rsid w:val="00EB3795"/>
    <w:rsid w:val="00EB3805"/>
    <w:rsid w:val="00EB3A67"/>
    <w:rsid w:val="00EB4704"/>
    <w:rsid w:val="00EB4F2F"/>
    <w:rsid w:val="00EB5246"/>
    <w:rsid w:val="00EB5A58"/>
    <w:rsid w:val="00EB5F06"/>
    <w:rsid w:val="00EB5FBD"/>
    <w:rsid w:val="00EB6A06"/>
    <w:rsid w:val="00EB752D"/>
    <w:rsid w:val="00EB797B"/>
    <w:rsid w:val="00EB7A35"/>
    <w:rsid w:val="00EB7F5C"/>
    <w:rsid w:val="00EC0316"/>
    <w:rsid w:val="00EC082E"/>
    <w:rsid w:val="00EC08A6"/>
    <w:rsid w:val="00EC0C68"/>
    <w:rsid w:val="00EC1470"/>
    <w:rsid w:val="00EC14D9"/>
    <w:rsid w:val="00EC195E"/>
    <w:rsid w:val="00EC1BFA"/>
    <w:rsid w:val="00EC1C03"/>
    <w:rsid w:val="00EC2530"/>
    <w:rsid w:val="00EC325A"/>
    <w:rsid w:val="00EC3696"/>
    <w:rsid w:val="00EC3870"/>
    <w:rsid w:val="00EC3D3F"/>
    <w:rsid w:val="00EC3F01"/>
    <w:rsid w:val="00EC4320"/>
    <w:rsid w:val="00EC5616"/>
    <w:rsid w:val="00EC57C8"/>
    <w:rsid w:val="00EC57F1"/>
    <w:rsid w:val="00EC5E5C"/>
    <w:rsid w:val="00EC6A1A"/>
    <w:rsid w:val="00EC6A25"/>
    <w:rsid w:val="00EC784F"/>
    <w:rsid w:val="00EC7906"/>
    <w:rsid w:val="00EC7908"/>
    <w:rsid w:val="00ED00F8"/>
    <w:rsid w:val="00ED05F0"/>
    <w:rsid w:val="00ED0EBD"/>
    <w:rsid w:val="00ED10D3"/>
    <w:rsid w:val="00ED1DDF"/>
    <w:rsid w:val="00ED1EDE"/>
    <w:rsid w:val="00ED22E7"/>
    <w:rsid w:val="00ED2319"/>
    <w:rsid w:val="00ED232A"/>
    <w:rsid w:val="00ED27ED"/>
    <w:rsid w:val="00ED298C"/>
    <w:rsid w:val="00ED3179"/>
    <w:rsid w:val="00ED387D"/>
    <w:rsid w:val="00ED3A6D"/>
    <w:rsid w:val="00ED3EB3"/>
    <w:rsid w:val="00ED3FEF"/>
    <w:rsid w:val="00ED417A"/>
    <w:rsid w:val="00ED499A"/>
    <w:rsid w:val="00ED4AC3"/>
    <w:rsid w:val="00ED4BD6"/>
    <w:rsid w:val="00ED4D34"/>
    <w:rsid w:val="00ED4DAC"/>
    <w:rsid w:val="00ED59A1"/>
    <w:rsid w:val="00ED5A34"/>
    <w:rsid w:val="00ED66A2"/>
    <w:rsid w:val="00ED6DDD"/>
    <w:rsid w:val="00ED6EBB"/>
    <w:rsid w:val="00ED727C"/>
    <w:rsid w:val="00ED79F4"/>
    <w:rsid w:val="00ED7C7B"/>
    <w:rsid w:val="00ED7E66"/>
    <w:rsid w:val="00EE0101"/>
    <w:rsid w:val="00EE02C7"/>
    <w:rsid w:val="00EE0510"/>
    <w:rsid w:val="00EE0A27"/>
    <w:rsid w:val="00EE0B41"/>
    <w:rsid w:val="00EE0BCF"/>
    <w:rsid w:val="00EE0C64"/>
    <w:rsid w:val="00EE1345"/>
    <w:rsid w:val="00EE14FC"/>
    <w:rsid w:val="00EE1F7C"/>
    <w:rsid w:val="00EE24EA"/>
    <w:rsid w:val="00EE2580"/>
    <w:rsid w:val="00EE2640"/>
    <w:rsid w:val="00EE2B22"/>
    <w:rsid w:val="00EE2B2D"/>
    <w:rsid w:val="00EE2BF8"/>
    <w:rsid w:val="00EE2CB4"/>
    <w:rsid w:val="00EE2DE1"/>
    <w:rsid w:val="00EE34CB"/>
    <w:rsid w:val="00EE3E26"/>
    <w:rsid w:val="00EE419F"/>
    <w:rsid w:val="00EE473F"/>
    <w:rsid w:val="00EE47E0"/>
    <w:rsid w:val="00EE4828"/>
    <w:rsid w:val="00EE4CBC"/>
    <w:rsid w:val="00EE502F"/>
    <w:rsid w:val="00EE54E8"/>
    <w:rsid w:val="00EE580F"/>
    <w:rsid w:val="00EE5A9E"/>
    <w:rsid w:val="00EE5B07"/>
    <w:rsid w:val="00EE5B97"/>
    <w:rsid w:val="00EE639A"/>
    <w:rsid w:val="00EE63F2"/>
    <w:rsid w:val="00EE75C0"/>
    <w:rsid w:val="00EE76C7"/>
    <w:rsid w:val="00EE779F"/>
    <w:rsid w:val="00EE7A5A"/>
    <w:rsid w:val="00EF0638"/>
    <w:rsid w:val="00EF0669"/>
    <w:rsid w:val="00EF06BC"/>
    <w:rsid w:val="00EF0D8F"/>
    <w:rsid w:val="00EF0EA6"/>
    <w:rsid w:val="00EF1544"/>
    <w:rsid w:val="00EF15FB"/>
    <w:rsid w:val="00EF1F78"/>
    <w:rsid w:val="00EF247A"/>
    <w:rsid w:val="00EF2E1D"/>
    <w:rsid w:val="00EF3763"/>
    <w:rsid w:val="00EF3AB4"/>
    <w:rsid w:val="00EF3C20"/>
    <w:rsid w:val="00EF40C1"/>
    <w:rsid w:val="00EF41CC"/>
    <w:rsid w:val="00EF492F"/>
    <w:rsid w:val="00EF5166"/>
    <w:rsid w:val="00EF5277"/>
    <w:rsid w:val="00EF5362"/>
    <w:rsid w:val="00EF60F0"/>
    <w:rsid w:val="00EF6BE8"/>
    <w:rsid w:val="00EF70F2"/>
    <w:rsid w:val="00EF74F4"/>
    <w:rsid w:val="00F00079"/>
    <w:rsid w:val="00F00538"/>
    <w:rsid w:val="00F00B3E"/>
    <w:rsid w:val="00F01385"/>
    <w:rsid w:val="00F018CE"/>
    <w:rsid w:val="00F01AEA"/>
    <w:rsid w:val="00F01C7C"/>
    <w:rsid w:val="00F01EEA"/>
    <w:rsid w:val="00F0206D"/>
    <w:rsid w:val="00F022CD"/>
    <w:rsid w:val="00F02598"/>
    <w:rsid w:val="00F02A11"/>
    <w:rsid w:val="00F02E64"/>
    <w:rsid w:val="00F02FCE"/>
    <w:rsid w:val="00F03406"/>
    <w:rsid w:val="00F0347D"/>
    <w:rsid w:val="00F038F9"/>
    <w:rsid w:val="00F03E4B"/>
    <w:rsid w:val="00F040E9"/>
    <w:rsid w:val="00F046DD"/>
    <w:rsid w:val="00F04EC5"/>
    <w:rsid w:val="00F057DC"/>
    <w:rsid w:val="00F0595A"/>
    <w:rsid w:val="00F05B09"/>
    <w:rsid w:val="00F05DCE"/>
    <w:rsid w:val="00F061D9"/>
    <w:rsid w:val="00F06907"/>
    <w:rsid w:val="00F069D5"/>
    <w:rsid w:val="00F069E6"/>
    <w:rsid w:val="00F06FFF"/>
    <w:rsid w:val="00F0789E"/>
    <w:rsid w:val="00F07A32"/>
    <w:rsid w:val="00F07BF8"/>
    <w:rsid w:val="00F07F87"/>
    <w:rsid w:val="00F10702"/>
    <w:rsid w:val="00F10AF3"/>
    <w:rsid w:val="00F11012"/>
    <w:rsid w:val="00F1113F"/>
    <w:rsid w:val="00F118FF"/>
    <w:rsid w:val="00F11959"/>
    <w:rsid w:val="00F11CAD"/>
    <w:rsid w:val="00F1222A"/>
    <w:rsid w:val="00F1294A"/>
    <w:rsid w:val="00F12BFA"/>
    <w:rsid w:val="00F131BC"/>
    <w:rsid w:val="00F1350F"/>
    <w:rsid w:val="00F13D0F"/>
    <w:rsid w:val="00F14138"/>
    <w:rsid w:val="00F15E16"/>
    <w:rsid w:val="00F16467"/>
    <w:rsid w:val="00F166D2"/>
    <w:rsid w:val="00F1695E"/>
    <w:rsid w:val="00F16FA4"/>
    <w:rsid w:val="00F17254"/>
    <w:rsid w:val="00F17598"/>
    <w:rsid w:val="00F17F2A"/>
    <w:rsid w:val="00F20A35"/>
    <w:rsid w:val="00F20B5B"/>
    <w:rsid w:val="00F20E6F"/>
    <w:rsid w:val="00F2157C"/>
    <w:rsid w:val="00F236C0"/>
    <w:rsid w:val="00F23794"/>
    <w:rsid w:val="00F247F5"/>
    <w:rsid w:val="00F24E7C"/>
    <w:rsid w:val="00F251E6"/>
    <w:rsid w:val="00F2646C"/>
    <w:rsid w:val="00F26ED1"/>
    <w:rsid w:val="00F2758F"/>
    <w:rsid w:val="00F278C0"/>
    <w:rsid w:val="00F27E46"/>
    <w:rsid w:val="00F300D5"/>
    <w:rsid w:val="00F30122"/>
    <w:rsid w:val="00F30A4C"/>
    <w:rsid w:val="00F30EE0"/>
    <w:rsid w:val="00F315E3"/>
    <w:rsid w:val="00F321EF"/>
    <w:rsid w:val="00F32345"/>
    <w:rsid w:val="00F3256D"/>
    <w:rsid w:val="00F3265D"/>
    <w:rsid w:val="00F32B7E"/>
    <w:rsid w:val="00F32CF9"/>
    <w:rsid w:val="00F33293"/>
    <w:rsid w:val="00F33296"/>
    <w:rsid w:val="00F3371C"/>
    <w:rsid w:val="00F33F2C"/>
    <w:rsid w:val="00F34247"/>
    <w:rsid w:val="00F347FC"/>
    <w:rsid w:val="00F34D0C"/>
    <w:rsid w:val="00F350B1"/>
    <w:rsid w:val="00F351CD"/>
    <w:rsid w:val="00F352E4"/>
    <w:rsid w:val="00F35492"/>
    <w:rsid w:val="00F3579D"/>
    <w:rsid w:val="00F35D65"/>
    <w:rsid w:val="00F3600D"/>
    <w:rsid w:val="00F367CD"/>
    <w:rsid w:val="00F36B39"/>
    <w:rsid w:val="00F36DFF"/>
    <w:rsid w:val="00F36E6D"/>
    <w:rsid w:val="00F3715F"/>
    <w:rsid w:val="00F3753A"/>
    <w:rsid w:val="00F40BB4"/>
    <w:rsid w:val="00F40DA7"/>
    <w:rsid w:val="00F4157C"/>
    <w:rsid w:val="00F4198B"/>
    <w:rsid w:val="00F41A71"/>
    <w:rsid w:val="00F41FED"/>
    <w:rsid w:val="00F4248F"/>
    <w:rsid w:val="00F42A52"/>
    <w:rsid w:val="00F42A99"/>
    <w:rsid w:val="00F42AFF"/>
    <w:rsid w:val="00F42DC3"/>
    <w:rsid w:val="00F42F82"/>
    <w:rsid w:val="00F43005"/>
    <w:rsid w:val="00F439FD"/>
    <w:rsid w:val="00F44530"/>
    <w:rsid w:val="00F44D29"/>
    <w:rsid w:val="00F454D6"/>
    <w:rsid w:val="00F45BF6"/>
    <w:rsid w:val="00F478C9"/>
    <w:rsid w:val="00F47A00"/>
    <w:rsid w:val="00F47AD7"/>
    <w:rsid w:val="00F47B14"/>
    <w:rsid w:val="00F47C16"/>
    <w:rsid w:val="00F47CB1"/>
    <w:rsid w:val="00F47E61"/>
    <w:rsid w:val="00F51318"/>
    <w:rsid w:val="00F5135A"/>
    <w:rsid w:val="00F513A4"/>
    <w:rsid w:val="00F517F4"/>
    <w:rsid w:val="00F51AB2"/>
    <w:rsid w:val="00F51ADD"/>
    <w:rsid w:val="00F51C80"/>
    <w:rsid w:val="00F51F1A"/>
    <w:rsid w:val="00F52401"/>
    <w:rsid w:val="00F52609"/>
    <w:rsid w:val="00F5267E"/>
    <w:rsid w:val="00F52B86"/>
    <w:rsid w:val="00F52F5F"/>
    <w:rsid w:val="00F538F5"/>
    <w:rsid w:val="00F53F70"/>
    <w:rsid w:val="00F540D7"/>
    <w:rsid w:val="00F544B7"/>
    <w:rsid w:val="00F54545"/>
    <w:rsid w:val="00F5472A"/>
    <w:rsid w:val="00F54A56"/>
    <w:rsid w:val="00F55322"/>
    <w:rsid w:val="00F55595"/>
    <w:rsid w:val="00F55A98"/>
    <w:rsid w:val="00F55E60"/>
    <w:rsid w:val="00F56433"/>
    <w:rsid w:val="00F564A6"/>
    <w:rsid w:val="00F565D9"/>
    <w:rsid w:val="00F566BD"/>
    <w:rsid w:val="00F56E7D"/>
    <w:rsid w:val="00F56FCF"/>
    <w:rsid w:val="00F5708E"/>
    <w:rsid w:val="00F575E0"/>
    <w:rsid w:val="00F57908"/>
    <w:rsid w:val="00F57FA1"/>
    <w:rsid w:val="00F6009D"/>
    <w:rsid w:val="00F6050B"/>
    <w:rsid w:val="00F60BE7"/>
    <w:rsid w:val="00F60F8A"/>
    <w:rsid w:val="00F614A7"/>
    <w:rsid w:val="00F61588"/>
    <w:rsid w:val="00F61734"/>
    <w:rsid w:val="00F61E7D"/>
    <w:rsid w:val="00F626B6"/>
    <w:rsid w:val="00F63354"/>
    <w:rsid w:val="00F633BD"/>
    <w:rsid w:val="00F636D8"/>
    <w:rsid w:val="00F63A76"/>
    <w:rsid w:val="00F63AF4"/>
    <w:rsid w:val="00F63C03"/>
    <w:rsid w:val="00F6417C"/>
    <w:rsid w:val="00F6419D"/>
    <w:rsid w:val="00F6421E"/>
    <w:rsid w:val="00F645A3"/>
    <w:rsid w:val="00F64849"/>
    <w:rsid w:val="00F6497B"/>
    <w:rsid w:val="00F64E7D"/>
    <w:rsid w:val="00F650A0"/>
    <w:rsid w:val="00F652A1"/>
    <w:rsid w:val="00F65767"/>
    <w:rsid w:val="00F6579F"/>
    <w:rsid w:val="00F6618B"/>
    <w:rsid w:val="00F662FD"/>
    <w:rsid w:val="00F6654B"/>
    <w:rsid w:val="00F667A5"/>
    <w:rsid w:val="00F66B5B"/>
    <w:rsid w:val="00F6707A"/>
    <w:rsid w:val="00F670CE"/>
    <w:rsid w:val="00F6717A"/>
    <w:rsid w:val="00F674C9"/>
    <w:rsid w:val="00F67EAF"/>
    <w:rsid w:val="00F7087C"/>
    <w:rsid w:val="00F70F09"/>
    <w:rsid w:val="00F71CD0"/>
    <w:rsid w:val="00F71E5D"/>
    <w:rsid w:val="00F72C57"/>
    <w:rsid w:val="00F7334A"/>
    <w:rsid w:val="00F73A0A"/>
    <w:rsid w:val="00F73E12"/>
    <w:rsid w:val="00F740C7"/>
    <w:rsid w:val="00F7456C"/>
    <w:rsid w:val="00F74574"/>
    <w:rsid w:val="00F75761"/>
    <w:rsid w:val="00F75A01"/>
    <w:rsid w:val="00F75E51"/>
    <w:rsid w:val="00F76010"/>
    <w:rsid w:val="00F764A0"/>
    <w:rsid w:val="00F7670D"/>
    <w:rsid w:val="00F768D5"/>
    <w:rsid w:val="00F768F6"/>
    <w:rsid w:val="00F76EC7"/>
    <w:rsid w:val="00F77309"/>
    <w:rsid w:val="00F77A9B"/>
    <w:rsid w:val="00F77C2C"/>
    <w:rsid w:val="00F77C73"/>
    <w:rsid w:val="00F77DD4"/>
    <w:rsid w:val="00F80A6C"/>
    <w:rsid w:val="00F80C57"/>
    <w:rsid w:val="00F80D62"/>
    <w:rsid w:val="00F81C93"/>
    <w:rsid w:val="00F81CD7"/>
    <w:rsid w:val="00F81FD3"/>
    <w:rsid w:val="00F822C2"/>
    <w:rsid w:val="00F8291E"/>
    <w:rsid w:val="00F82F30"/>
    <w:rsid w:val="00F83081"/>
    <w:rsid w:val="00F8312D"/>
    <w:rsid w:val="00F837F2"/>
    <w:rsid w:val="00F8428E"/>
    <w:rsid w:val="00F84408"/>
    <w:rsid w:val="00F84741"/>
    <w:rsid w:val="00F847EF"/>
    <w:rsid w:val="00F850DE"/>
    <w:rsid w:val="00F85776"/>
    <w:rsid w:val="00F85A16"/>
    <w:rsid w:val="00F86331"/>
    <w:rsid w:val="00F8636A"/>
    <w:rsid w:val="00F8668E"/>
    <w:rsid w:val="00F86698"/>
    <w:rsid w:val="00F86ACA"/>
    <w:rsid w:val="00F86E43"/>
    <w:rsid w:val="00F8723C"/>
    <w:rsid w:val="00F87715"/>
    <w:rsid w:val="00F87BFF"/>
    <w:rsid w:val="00F9096C"/>
    <w:rsid w:val="00F90B99"/>
    <w:rsid w:val="00F91559"/>
    <w:rsid w:val="00F91F6F"/>
    <w:rsid w:val="00F92864"/>
    <w:rsid w:val="00F934B1"/>
    <w:rsid w:val="00F93ABB"/>
    <w:rsid w:val="00F93DEC"/>
    <w:rsid w:val="00F93E09"/>
    <w:rsid w:val="00F941C3"/>
    <w:rsid w:val="00F94A3F"/>
    <w:rsid w:val="00F94B7C"/>
    <w:rsid w:val="00F94D29"/>
    <w:rsid w:val="00F94D7F"/>
    <w:rsid w:val="00F94D87"/>
    <w:rsid w:val="00F94F59"/>
    <w:rsid w:val="00F95027"/>
    <w:rsid w:val="00F9512D"/>
    <w:rsid w:val="00F95321"/>
    <w:rsid w:val="00F95606"/>
    <w:rsid w:val="00F95619"/>
    <w:rsid w:val="00F9594D"/>
    <w:rsid w:val="00F959D6"/>
    <w:rsid w:val="00F95A81"/>
    <w:rsid w:val="00F95A82"/>
    <w:rsid w:val="00F95B7D"/>
    <w:rsid w:val="00F96061"/>
    <w:rsid w:val="00F9611D"/>
    <w:rsid w:val="00F967AF"/>
    <w:rsid w:val="00F96AEE"/>
    <w:rsid w:val="00F9704D"/>
    <w:rsid w:val="00F97262"/>
    <w:rsid w:val="00F97267"/>
    <w:rsid w:val="00F973E3"/>
    <w:rsid w:val="00F97C85"/>
    <w:rsid w:val="00F97DB5"/>
    <w:rsid w:val="00FA09C0"/>
    <w:rsid w:val="00FA15D1"/>
    <w:rsid w:val="00FA1BFB"/>
    <w:rsid w:val="00FA1E01"/>
    <w:rsid w:val="00FA1EE6"/>
    <w:rsid w:val="00FA2238"/>
    <w:rsid w:val="00FA2539"/>
    <w:rsid w:val="00FA2A0A"/>
    <w:rsid w:val="00FA2B79"/>
    <w:rsid w:val="00FA3105"/>
    <w:rsid w:val="00FA3495"/>
    <w:rsid w:val="00FA34D6"/>
    <w:rsid w:val="00FA3D41"/>
    <w:rsid w:val="00FA3EEA"/>
    <w:rsid w:val="00FA3F63"/>
    <w:rsid w:val="00FA41EF"/>
    <w:rsid w:val="00FA4214"/>
    <w:rsid w:val="00FA4330"/>
    <w:rsid w:val="00FA494B"/>
    <w:rsid w:val="00FA4F78"/>
    <w:rsid w:val="00FA5524"/>
    <w:rsid w:val="00FA5B8A"/>
    <w:rsid w:val="00FA5BB5"/>
    <w:rsid w:val="00FA5BD9"/>
    <w:rsid w:val="00FA5BF1"/>
    <w:rsid w:val="00FA63C5"/>
    <w:rsid w:val="00FA64ED"/>
    <w:rsid w:val="00FA654A"/>
    <w:rsid w:val="00FA683E"/>
    <w:rsid w:val="00FA6A0B"/>
    <w:rsid w:val="00FA6F23"/>
    <w:rsid w:val="00FA6F53"/>
    <w:rsid w:val="00FA7B6B"/>
    <w:rsid w:val="00FA7BA4"/>
    <w:rsid w:val="00FA7DCE"/>
    <w:rsid w:val="00FB0321"/>
    <w:rsid w:val="00FB06C1"/>
    <w:rsid w:val="00FB09F8"/>
    <w:rsid w:val="00FB0D6F"/>
    <w:rsid w:val="00FB0ECE"/>
    <w:rsid w:val="00FB0FC8"/>
    <w:rsid w:val="00FB11CE"/>
    <w:rsid w:val="00FB194B"/>
    <w:rsid w:val="00FB1C6B"/>
    <w:rsid w:val="00FB1D39"/>
    <w:rsid w:val="00FB22C6"/>
    <w:rsid w:val="00FB280D"/>
    <w:rsid w:val="00FB292B"/>
    <w:rsid w:val="00FB2A09"/>
    <w:rsid w:val="00FB2ADE"/>
    <w:rsid w:val="00FB2FDA"/>
    <w:rsid w:val="00FB31E0"/>
    <w:rsid w:val="00FB3486"/>
    <w:rsid w:val="00FB35FC"/>
    <w:rsid w:val="00FB3A53"/>
    <w:rsid w:val="00FB3EBF"/>
    <w:rsid w:val="00FB42BD"/>
    <w:rsid w:val="00FB4366"/>
    <w:rsid w:val="00FB45DD"/>
    <w:rsid w:val="00FB4741"/>
    <w:rsid w:val="00FB4C55"/>
    <w:rsid w:val="00FB566E"/>
    <w:rsid w:val="00FB5970"/>
    <w:rsid w:val="00FB5B81"/>
    <w:rsid w:val="00FB5EAB"/>
    <w:rsid w:val="00FB6B54"/>
    <w:rsid w:val="00FB6E8B"/>
    <w:rsid w:val="00FB7036"/>
    <w:rsid w:val="00FB7451"/>
    <w:rsid w:val="00FB7C01"/>
    <w:rsid w:val="00FB7E8D"/>
    <w:rsid w:val="00FC0174"/>
    <w:rsid w:val="00FC01CA"/>
    <w:rsid w:val="00FC0246"/>
    <w:rsid w:val="00FC0F37"/>
    <w:rsid w:val="00FC10FB"/>
    <w:rsid w:val="00FC138B"/>
    <w:rsid w:val="00FC19DB"/>
    <w:rsid w:val="00FC2809"/>
    <w:rsid w:val="00FC2C69"/>
    <w:rsid w:val="00FC2D2D"/>
    <w:rsid w:val="00FC3579"/>
    <w:rsid w:val="00FC3842"/>
    <w:rsid w:val="00FC38CD"/>
    <w:rsid w:val="00FC3A67"/>
    <w:rsid w:val="00FC4AFE"/>
    <w:rsid w:val="00FC4E5B"/>
    <w:rsid w:val="00FC53F7"/>
    <w:rsid w:val="00FC5690"/>
    <w:rsid w:val="00FC595D"/>
    <w:rsid w:val="00FC6274"/>
    <w:rsid w:val="00FC6691"/>
    <w:rsid w:val="00FC6DE4"/>
    <w:rsid w:val="00FC70F2"/>
    <w:rsid w:val="00FC74D8"/>
    <w:rsid w:val="00FC7B73"/>
    <w:rsid w:val="00FC7BB6"/>
    <w:rsid w:val="00FC7C76"/>
    <w:rsid w:val="00FC7D40"/>
    <w:rsid w:val="00FD05E2"/>
    <w:rsid w:val="00FD13AC"/>
    <w:rsid w:val="00FD1BFB"/>
    <w:rsid w:val="00FD1F6F"/>
    <w:rsid w:val="00FD1FD5"/>
    <w:rsid w:val="00FD31FD"/>
    <w:rsid w:val="00FD3257"/>
    <w:rsid w:val="00FD3269"/>
    <w:rsid w:val="00FD3951"/>
    <w:rsid w:val="00FD42DB"/>
    <w:rsid w:val="00FD4382"/>
    <w:rsid w:val="00FD451A"/>
    <w:rsid w:val="00FD45D9"/>
    <w:rsid w:val="00FD4CFD"/>
    <w:rsid w:val="00FD5415"/>
    <w:rsid w:val="00FD5443"/>
    <w:rsid w:val="00FD678C"/>
    <w:rsid w:val="00FD7030"/>
    <w:rsid w:val="00FD737F"/>
    <w:rsid w:val="00FD763A"/>
    <w:rsid w:val="00FD7A44"/>
    <w:rsid w:val="00FD7F62"/>
    <w:rsid w:val="00FE0094"/>
    <w:rsid w:val="00FE0186"/>
    <w:rsid w:val="00FE07C6"/>
    <w:rsid w:val="00FE0A63"/>
    <w:rsid w:val="00FE0CF8"/>
    <w:rsid w:val="00FE18B4"/>
    <w:rsid w:val="00FE1B5E"/>
    <w:rsid w:val="00FE1EF0"/>
    <w:rsid w:val="00FE2230"/>
    <w:rsid w:val="00FE26B2"/>
    <w:rsid w:val="00FE2A08"/>
    <w:rsid w:val="00FE3652"/>
    <w:rsid w:val="00FE51D4"/>
    <w:rsid w:val="00FE533A"/>
    <w:rsid w:val="00FE6A15"/>
    <w:rsid w:val="00FE6E19"/>
    <w:rsid w:val="00FE6E1B"/>
    <w:rsid w:val="00FE6F36"/>
    <w:rsid w:val="00FE723F"/>
    <w:rsid w:val="00FE752F"/>
    <w:rsid w:val="00FE7653"/>
    <w:rsid w:val="00FE7FDE"/>
    <w:rsid w:val="00FF01B6"/>
    <w:rsid w:val="00FF0E4A"/>
    <w:rsid w:val="00FF12EF"/>
    <w:rsid w:val="00FF145A"/>
    <w:rsid w:val="00FF19DE"/>
    <w:rsid w:val="00FF2213"/>
    <w:rsid w:val="00FF253A"/>
    <w:rsid w:val="00FF2784"/>
    <w:rsid w:val="00FF34EB"/>
    <w:rsid w:val="00FF37DC"/>
    <w:rsid w:val="00FF4FBF"/>
    <w:rsid w:val="00FF54C4"/>
    <w:rsid w:val="00FF551A"/>
    <w:rsid w:val="00FF5EEC"/>
    <w:rsid w:val="00FF5FB5"/>
    <w:rsid w:val="00FF6080"/>
    <w:rsid w:val="00FF620C"/>
    <w:rsid w:val="00FF745D"/>
    <w:rsid w:val="00FF763C"/>
    <w:rsid w:val="00FF7D3C"/>
    <w:rsid w:val="00FF7DFB"/>
    <w:rsid w:val="3A771DA2"/>
    <w:rsid w:val="4C2F2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17,54,225"/>
      <o:rules v:ext="edit">
        <o:r id="V:Rule1" type="connector" idref="#_x0000_s55990"/>
        <o:r id="V:Rule2" type="connector" idref="#_x0000_s55991"/>
        <o:r id="V:Rule3" type="connector" idref="#_x0000_s56010"/>
        <o:r id="V:Rule4" type="connector" idref="#_x0000_s56011"/>
        <o:r id="V:Rule5" type="connector" idref="#_x0000_s56120"/>
        <o:r id="V:Rule6" type="connector" idref="#_x0000_s56123"/>
        <o:r id="V:Rule7" type="connector" idref="#_x0000_s56124"/>
        <o:r id="V:Rule8" type="connector" idref="#_x0000_s56125"/>
        <o:r id="V:Rule9" type="connector" idref="#_x0000_s56129"/>
        <o:r id="V:Rule10" type="connector" idref="#_x0000_s56131"/>
        <o:r id="V:Rule11" type="connector" idref="#_x0000_s56137"/>
        <o:r id="V:Rule12" type="connector" idref="#_x0000_s56138"/>
        <o:r id="V:Rule13" type="connector" idref="#_x0000_s56140"/>
        <o:r id="V:Rule14" type="connector" idref="#_x0000_s56142"/>
        <o:r id="V:Rule15" type="connector" idref="#_x0000_s56145"/>
        <o:r id="V:Rule16" type="connector" idref="#_x0000_s56146"/>
        <o:r id="V:Rule17" type="connector" idref="#_x0000_s56149"/>
        <o:r id="V:Rule18" type="connector" idref="#_x0000_s56151"/>
        <o:r id="V:Rule19" type="connector" idref="#_x0000_s56154"/>
        <o:r id="V:Rule20" type="connector" idref="#_x0000_s56160"/>
        <o:r id="V:Rule21" type="connector" idref="#_x0000_s56163"/>
        <o:r id="V:Rule22" type="connector" idref="#_x0000_s56164"/>
        <o:r id="V:Rule23" type="connector" idref="#_x0000_s56170"/>
        <o:r id="V:Rule24" type="connector" idref="#_x0000_s56172"/>
        <o:r id="V:Rule25" type="connector" idref="#_x0000_s56173"/>
        <o:r id="V:Rule26" type="connector" idref="#_x0000_s56182"/>
        <o:r id="V:Rule27" type="connector" idref="#_x0000_s56183"/>
        <o:r id="V:Rule28" type="connector" idref="#_x0000_s56185"/>
        <o:r id="V:Rule29" type="connector" idref="#_x0000_s56191"/>
        <o:r id="V:Rule30" type="connector" idref="#_x0000_s56192"/>
        <o:r id="V:Rule31" type="connector" idref="#_x0000_s56194"/>
        <o:r id="V:Rule32" type="connector" idref="#_x0000_s56197"/>
        <o:r id="V:Rule33" type="connector" idref="#_x0000_s56203"/>
        <o:r id="V:Rule34" type="connector" idref="#_x0000_s56210"/>
        <o:r id="V:Rule35" type="connector" idref="#_x0000_s56225"/>
        <o:r id="V:Rule36" type="connector" idref="#_x0000_s56246"/>
        <o:r id="V:Rule37" type="connector" idref="#_x0000_s56249"/>
        <o:r id="V:Rule38" type="connector" idref="#_x0000_s56250"/>
        <o:r id="V:Rule39" type="connector" idref="#_x0000_s56253"/>
        <o:r id="V:Rule40" type="connector" idref="#_x0000_s56254"/>
        <o:r id="V:Rule41" type="connector" idref="#_x0000_s56255"/>
        <o:r id="V:Rule42" type="connector" idref="#_x0000_s56261"/>
        <o:r id="V:Rule43" type="connector" idref="#_x0000_s56263"/>
        <o:r id="V:Rule44" type="connector" idref="#_x0000_s56264"/>
        <o:r id="V:Rule45" type="connector" idref="#_x0000_s56265"/>
        <o:r id="V:Rule46" type="connector" idref="#_x0000_s56267"/>
        <o:r id="V:Rule47" type="connector" idref="#_x0000_s56269"/>
        <o:r id="V:Rule48" type="connector" idref="#_x0000_s56274"/>
        <o:r id="V:Rule49" type="connector" idref="#_x0000_s56275"/>
        <o:r id="V:Rule50" type="connector" idref="#_x0000_s56277"/>
        <o:r id="V:Rule51" type="connector" idref="#_x0000_s56279"/>
        <o:r id="V:Rule52" type="connector" idref="#_x0000_s56282"/>
        <o:r id="V:Rule53" type="connector" idref="#_x0000_s56283"/>
        <o:r id="V:Rule54" type="connector" idref="#_x0000_s56286"/>
        <o:r id="V:Rule55" type="connector" idref="#_x0000_s56288"/>
        <o:r id="V:Rule56" type="connector" idref="#_x0000_s56291"/>
        <o:r id="V:Rule57" type="connector" idref="#_x0000_s56294"/>
        <o:r id="V:Rule58" type="connector" idref="#_x0000_s56297"/>
        <o:r id="V:Rule59" type="connector" idref="#_x0000_s56298"/>
        <o:r id="V:Rule60" type="connector" idref="#_x0000_s56303"/>
        <o:r id="V:Rule61" type="connector" idref="#_x0000_s56305"/>
        <o:r id="V:Rule62" type="connector" idref="#_x0000_s56306"/>
        <o:r id="V:Rule63" type="connector" idref="#_x0000_s56307"/>
        <o:r id="V:Rule64" type="connector" idref="#_x0000_s56312"/>
        <o:r id="V:Rule65" type="connector" idref="#_x0000_s56313"/>
        <o:r id="V:Rule66" type="connector" idref="#_x0000_s56319"/>
        <o:r id="V:Rule67" type="connector" idref="#_x0000_s230400"/>
        <o:r id="V:Rule68" type="connector" idref="#_x0000_s230402"/>
        <o:r id="V:Rule69" type="connector" idref="#_x0000_s230404"/>
        <o:r id="V:Rule70" type="connector" idref="#_x0000_s230408"/>
        <o:r id="V:Rule71" type="connector" idref="#_x0000_s230412"/>
        <o:r id="V:Rule72" type="connector" idref="#_x0000_s230415"/>
        <o:r id="V:Rule73" type="connector" idref="#_x0000_s230417"/>
        <o:r id="V:Rule74" type="connector" idref="#_x0000_s230420"/>
        <o:r id="V:Rule75" type="connector" idref="#_x0000_s230421"/>
        <o:r id="V:Rule76" type="connector" idref="#_x0000_s230424"/>
        <o:r id="V:Rule77" type="connector" idref="#_x0000_s230425"/>
        <o:r id="V:Rule78" type="connector" idref="#_x0000_s230426"/>
        <o:r id="V:Rule79" type="connector" idref="#_x0000_s230432"/>
        <o:r id="V:Rule80" type="connector" idref="#_x0000_s230434"/>
        <o:r id="V:Rule81" type="connector" idref="#_x0000_s230435"/>
        <o:r id="V:Rule82" type="connector" idref="#_x0000_s230436"/>
        <o:r id="V:Rule83" type="connector" idref="#_x0000_s230438"/>
        <o:r id="V:Rule84" type="connector" idref="#_x0000_s230440"/>
        <o:r id="V:Rule85" type="connector" idref="#_x0000_s230445"/>
        <o:r id="V:Rule86" type="connector" idref="#_x0000_s230446"/>
        <o:r id="V:Rule87" type="connector" idref="#_x0000_s230448"/>
        <o:r id="V:Rule88" type="connector" idref="#_x0000_s230450"/>
        <o:r id="V:Rule89" type="connector" idref="#_x0000_s230453"/>
        <o:r id="V:Rule90" type="connector" idref="#_x0000_s230454"/>
        <o:r id="V:Rule91" type="connector" idref="#_x0000_s230457"/>
        <o:r id="V:Rule92" type="connector" idref="#_x0000_s230459"/>
        <o:r id="V:Rule93" type="connector" idref="#_x0000_s230462"/>
        <o:r id="V:Rule94" type="connector" idref="#_x0000_s230465"/>
        <o:r id="V:Rule95" type="connector" idref="#_x0000_s230468"/>
        <o:r id="V:Rule96" type="connector" idref="#_x0000_s230469"/>
        <o:r id="V:Rule97" type="connector" idref="#_x0000_s230474"/>
        <o:r id="V:Rule98" type="connector" idref="#_x0000_s230476"/>
        <o:r id="V:Rule99" type="connector" idref="#_x0000_s230477"/>
        <o:r id="V:Rule100" type="connector" idref="#_x0000_s230478"/>
        <o:r id="V:Rule101" type="connector" idref="#_x0000_s230484"/>
        <o:r id="V:Rule102" type="connector" idref="#_x0000_s230486"/>
        <o:r id="V:Rule103" type="connector" idref="#_x0000_s230490"/>
        <o:r id="V:Rule104" type="connector" idref="#_x0000_s230491"/>
        <o:r id="V:Rule105" type="connector" idref="#_x0000_s230493"/>
        <o:r id="V:Rule106" type="connector" idref="#_x0000_s230495"/>
        <o:r id="V:Rule107" type="connector" idref="#_x0000_s230499"/>
        <o:r id="V:Rule108" type="connector" idref="#_x0000_s230503"/>
        <o:r id="V:Rule109" type="connector" idref="#_x0000_s230508"/>
        <o:r id="V:Rule110" type="connector" idref="#_x0000_s230511"/>
        <o:r id="V:Rule111" type="connector" idref="#_x0000_s230512"/>
        <o:r id="V:Rule112" type="connector" idref="#_x0000_s230515"/>
        <o:r id="V:Rule113" type="connector" idref="#_x0000_s230516"/>
        <o:r id="V:Rule114" type="connector" idref="#_x0000_s230517"/>
        <o:r id="V:Rule115" type="connector" idref="#_x0000_s230519"/>
        <o:r id="V:Rule116" type="connector" idref="#_x0000_s230520"/>
        <o:r id="V:Rule117" type="connector" idref="#_x0000_s230525"/>
        <o:r id="V:Rule118" type="connector" idref="#_x0000_s230527"/>
        <o:r id="V:Rule119" type="connector" idref="#_x0000_s230528"/>
        <o:r id="V:Rule120" type="connector" idref="#_x0000_s230529"/>
        <o:r id="V:Rule121" type="connector" idref="#_x0000_s230531"/>
        <o:r id="V:Rule122" type="connector" idref="#_x0000_s230533"/>
        <o:r id="V:Rule123" type="connector" idref="#_x0000_s230538"/>
        <o:r id="V:Rule124" type="connector" idref="#_x0000_s230539"/>
        <o:r id="V:Rule125" type="connector" idref="#_x0000_s230541"/>
        <o:r id="V:Rule126" type="connector" idref="#_x0000_s230543"/>
        <o:r id="V:Rule127" type="connector" idref="#_x0000_s230546"/>
        <o:r id="V:Rule128" type="connector" idref="#_x0000_s230547"/>
        <o:r id="V:Rule129" type="connector" idref="#_x0000_s230550"/>
        <o:r id="V:Rule130" type="connector" idref="#_x0000_s230552"/>
        <o:r id="V:Rule131" type="connector" idref="#_x0000_s230555"/>
        <o:r id="V:Rule132" type="connector" idref="#_x0000_s230558"/>
        <o:r id="V:Rule133" type="connector" idref="#_x0000_s230561"/>
        <o:r id="V:Rule134" type="connector" idref="#_x0000_s230562"/>
        <o:r id="V:Rule135" type="connector" idref="#_x0000_s230567"/>
        <o:r id="V:Rule136" type="connector" idref="#_x0000_s230569"/>
        <o:r id="V:Rule137" type="connector" idref="#_x0000_s230570"/>
        <o:r id="V:Rule138" type="connector" idref="#_x0000_s230571"/>
        <o:r id="V:Rule139" type="connector" idref="#_x0000_s230577"/>
        <o:r id="V:Rule140" type="connector" idref="#_x0000_s230579"/>
        <o:r id="V:Rule141" type="connector" idref="#_x0000_s230583"/>
        <o:r id="V:Rule142" type="connector" idref="#_x0000_s230584"/>
        <o:r id="V:Rule143" type="connector" idref="#_x0000_s230586"/>
        <o:r id="V:Rule144" type="connector" idref="#_x0000_s230588"/>
        <o:r id="V:Rule145" type="connector" idref="#_x0000_s230592"/>
        <o:r id="V:Rule146" type="connector" idref="#_x0000_s230596"/>
        <o:r id="V:Rule147" type="connector" idref="#_x0000_s230601"/>
        <o:r id="V:Rule148" type="connector" idref="#_x0000_s230604"/>
        <o:r id="V:Rule149" type="connector" idref="#_x0000_s230605"/>
        <o:r id="V:Rule150" type="connector" idref="#_x0000_s230608"/>
        <o:r id="V:Rule151" type="connector" idref="#_x0000_s230609"/>
        <o:r id="V:Rule152" type="connector" idref="#_x0000_s230610"/>
        <o:r id="V:Rule153" type="connector" idref="#_x0000_s230612"/>
        <o:r id="V:Rule154" type="connector" idref="#_x0000_s230613"/>
        <o:r id="V:Rule155" type="connector" idref="#_x0000_s230627"/>
        <o:r id="V:Rule156" type="connector" idref="#_x0000_s230630"/>
        <o:r id="V:Rule157" type="connector" idref="#_x0000_s230631"/>
        <o:r id="V:Rule158" type="connector" idref="#_x0000_s230635"/>
        <o:r id="V:Rule159" type="connector" idref="#_x0000_s230639"/>
        <o:r id="V:Rule160" type="connector" idref="#_x0000_s230640"/>
        <o:r id="V:Rule161" type="connector" idref="#_x0000_s230642"/>
        <o:r id="V:Rule162" type="connector" idref="#_x0000_s23064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8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6"/>
    <w:basedOn w:val="1"/>
    <w:next w:val="1"/>
    <w:link w:val="157"/>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character" w:default="1" w:styleId="26">
    <w:name w:val="Default Paragraph Font"/>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1"/>
    <w:qFormat/>
    <w:uiPriority w:val="0"/>
    <w:pPr>
      <w:ind w:firstLine="420"/>
    </w:pPr>
    <w:rPr>
      <w:sz w:val="32"/>
      <w:szCs w:val="20"/>
    </w:rPr>
  </w:style>
  <w:style w:type="paragraph" w:styleId="8">
    <w:name w:val="Document Map"/>
    <w:basedOn w:val="1"/>
    <w:link w:val="43"/>
    <w:semiHidden/>
    <w:unhideWhenUsed/>
    <w:qFormat/>
    <w:uiPriority w:val="99"/>
    <w:rPr>
      <w:rFonts w:ascii="宋体"/>
      <w:sz w:val="18"/>
      <w:szCs w:val="18"/>
    </w:rPr>
  </w:style>
  <w:style w:type="paragraph" w:styleId="9">
    <w:name w:val="annotation text"/>
    <w:basedOn w:val="1"/>
    <w:link w:val="131"/>
    <w:unhideWhenUsed/>
    <w:qFormat/>
    <w:uiPriority w:val="0"/>
    <w:pPr>
      <w:jc w:val="left"/>
    </w:pPr>
  </w:style>
  <w:style w:type="paragraph" w:styleId="10">
    <w:name w:val="Body Text"/>
    <w:basedOn w:val="1"/>
    <w:link w:val="36"/>
    <w:qFormat/>
    <w:uiPriority w:val="0"/>
    <w:pPr>
      <w:spacing w:after="120"/>
    </w:pPr>
  </w:style>
  <w:style w:type="paragraph" w:styleId="11">
    <w:name w:val="Body Text Indent"/>
    <w:basedOn w:val="1"/>
    <w:link w:val="34"/>
    <w:qFormat/>
    <w:uiPriority w:val="0"/>
    <w:pPr>
      <w:spacing w:line="440" w:lineRule="exact"/>
      <w:ind w:firstLine="539"/>
    </w:pPr>
    <w:rPr>
      <w:b/>
      <w:spacing w:val="4"/>
      <w:sz w:val="24"/>
      <w:szCs w:val="20"/>
    </w:rPr>
  </w:style>
  <w:style w:type="paragraph" w:styleId="12">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3">
    <w:name w:val="Plain Text"/>
    <w:basedOn w:val="1"/>
    <w:link w:val="35"/>
    <w:qFormat/>
    <w:uiPriority w:val="0"/>
    <w:rPr>
      <w:rFonts w:ascii="宋体" w:hAnsi="Courier New"/>
      <w:szCs w:val="20"/>
    </w:rPr>
  </w:style>
  <w:style w:type="paragraph" w:styleId="14">
    <w:name w:val="Body Text Indent 2"/>
    <w:basedOn w:val="1"/>
    <w:link w:val="47"/>
    <w:qFormat/>
    <w:uiPriority w:val="0"/>
    <w:pPr>
      <w:spacing w:after="120" w:line="480" w:lineRule="auto"/>
      <w:ind w:left="420" w:leftChars="200"/>
    </w:pPr>
  </w:style>
  <w:style w:type="paragraph" w:styleId="15">
    <w:name w:val="Balloon Text"/>
    <w:basedOn w:val="1"/>
    <w:link w:val="44"/>
    <w:semiHidden/>
    <w:unhideWhenUsed/>
    <w:uiPriority w:val="99"/>
    <w:rPr>
      <w:sz w:val="18"/>
      <w:szCs w:val="18"/>
    </w:rPr>
  </w:style>
  <w:style w:type="paragraph" w:styleId="16">
    <w:name w:val="footer"/>
    <w:basedOn w:val="1"/>
    <w:link w:val="31"/>
    <w:unhideWhenUsed/>
    <w:uiPriority w:val="99"/>
    <w:pPr>
      <w:tabs>
        <w:tab w:val="center" w:pos="4153"/>
        <w:tab w:val="right" w:pos="8306"/>
      </w:tabs>
      <w:snapToGrid w:val="0"/>
      <w:jc w:val="left"/>
    </w:pPr>
    <w:rPr>
      <w:sz w:val="18"/>
      <w:szCs w:val="18"/>
    </w:rPr>
  </w:style>
  <w:style w:type="paragraph" w:styleId="17">
    <w:name w:val="header"/>
    <w:basedOn w:val="1"/>
    <w:link w:val="30"/>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9060"/>
      </w:tabs>
      <w:spacing w:line="360" w:lineRule="auto"/>
      <w:jc w:val="center"/>
    </w:pPr>
    <w:rPr>
      <w:b/>
      <w:sz w:val="32"/>
      <w:szCs w:val="32"/>
    </w:rPr>
  </w:style>
  <w:style w:type="paragraph" w:styleId="19">
    <w:name w:val="List"/>
    <w:basedOn w:val="1"/>
    <w:uiPriority w:val="0"/>
    <w:pPr>
      <w:autoSpaceDE w:val="0"/>
      <w:autoSpaceDN w:val="0"/>
      <w:adjustRightInd w:val="0"/>
      <w:snapToGrid w:val="0"/>
      <w:spacing w:line="480" w:lineRule="exact"/>
      <w:jc w:val="center"/>
    </w:pPr>
    <w:rPr>
      <w:kern w:val="32"/>
      <w:sz w:val="24"/>
      <w:szCs w:val="20"/>
    </w:rPr>
  </w:style>
  <w:style w:type="paragraph" w:styleId="20">
    <w:name w:val="Body Text Indent 3"/>
    <w:basedOn w:val="1"/>
    <w:link w:val="104"/>
    <w:unhideWhenUsed/>
    <w:qFormat/>
    <w:uiPriority w:val="99"/>
    <w:pPr>
      <w:spacing w:after="120"/>
      <w:ind w:left="420" w:leftChars="200"/>
    </w:pPr>
    <w:rPr>
      <w:sz w:val="16"/>
      <w:szCs w:val="16"/>
    </w:rPr>
  </w:style>
  <w:style w:type="paragraph" w:styleId="21">
    <w:name w:val="toc 2"/>
    <w:basedOn w:val="1"/>
    <w:next w:val="1"/>
    <w:qFormat/>
    <w:uiPriority w:val="39"/>
    <w:pPr>
      <w:ind w:left="210"/>
      <w:jc w:val="left"/>
    </w:pPr>
    <w:rPr>
      <w:smallCaps/>
      <w:sz w:val="20"/>
      <w:szCs w:val="20"/>
    </w:rPr>
  </w:style>
  <w:style w:type="paragraph" w:styleId="22">
    <w:name w:val="annotation subject"/>
    <w:basedOn w:val="9"/>
    <w:next w:val="9"/>
    <w:link w:val="132"/>
    <w:semiHidden/>
    <w:unhideWhenUsed/>
    <w:qFormat/>
    <w:uiPriority w:val="99"/>
    <w:rPr>
      <w:b/>
      <w:bCs/>
    </w:rPr>
  </w:style>
  <w:style w:type="paragraph" w:styleId="23">
    <w:name w:val="Body Text First Indent 2"/>
    <w:basedOn w:val="11"/>
    <w:link w:val="129"/>
    <w:unhideWhenUsed/>
    <w:qFormat/>
    <w:uiPriority w:val="0"/>
    <w:pPr>
      <w:spacing w:after="120" w:line="240" w:lineRule="auto"/>
      <w:ind w:left="420" w:leftChars="200" w:firstLine="420" w:firstLineChars="200"/>
    </w:pPr>
    <w:rPr>
      <w:b w:val="0"/>
      <w:spacing w:val="0"/>
      <w:szCs w:val="24"/>
    </w:rPr>
  </w:style>
  <w:style w:type="table" w:styleId="25">
    <w:name w:val="Table Grid"/>
    <w:basedOn w:val="24"/>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Hyperlink"/>
    <w:basedOn w:val="26"/>
    <w:qFormat/>
    <w:uiPriority w:val="99"/>
    <w:rPr>
      <w:color w:val="0000FF"/>
      <w:u w:val="single"/>
    </w:rPr>
  </w:style>
  <w:style w:type="character" w:styleId="29">
    <w:name w:val="annotation reference"/>
    <w:basedOn w:val="26"/>
    <w:semiHidden/>
    <w:unhideWhenUsed/>
    <w:qFormat/>
    <w:uiPriority w:val="99"/>
    <w:rPr>
      <w:sz w:val="21"/>
      <w:szCs w:val="21"/>
    </w:rPr>
  </w:style>
  <w:style w:type="character" w:customStyle="1" w:styleId="30">
    <w:name w:val="页眉 Char"/>
    <w:basedOn w:val="26"/>
    <w:link w:val="17"/>
    <w:qFormat/>
    <w:uiPriority w:val="99"/>
    <w:rPr>
      <w:sz w:val="18"/>
      <w:szCs w:val="18"/>
    </w:rPr>
  </w:style>
  <w:style w:type="character" w:customStyle="1" w:styleId="31">
    <w:name w:val="页脚 Char"/>
    <w:basedOn w:val="26"/>
    <w:link w:val="16"/>
    <w:qFormat/>
    <w:uiPriority w:val="99"/>
    <w:rPr>
      <w:sz w:val="18"/>
      <w:szCs w:val="18"/>
    </w:rPr>
  </w:style>
  <w:style w:type="character" w:customStyle="1" w:styleId="32">
    <w:name w:val="标题 1 Char"/>
    <w:basedOn w:val="26"/>
    <w:link w:val="2"/>
    <w:qFormat/>
    <w:uiPriority w:val="0"/>
    <w:rPr>
      <w:rFonts w:ascii="Times New Roman" w:hAnsi="Times New Roman" w:eastAsia="宋体" w:cs="Times New Roman"/>
      <w:b/>
      <w:bCs/>
      <w:kern w:val="44"/>
      <w:sz w:val="44"/>
      <w:szCs w:val="44"/>
    </w:rPr>
  </w:style>
  <w:style w:type="character" w:customStyle="1" w:styleId="33">
    <w:name w:val="标题 2 Char"/>
    <w:basedOn w:val="26"/>
    <w:link w:val="3"/>
    <w:uiPriority w:val="0"/>
    <w:rPr>
      <w:rFonts w:ascii="Arial" w:hAnsi="Arial" w:eastAsia="黑体" w:cs="Times New Roman"/>
      <w:b/>
      <w:bCs/>
      <w:sz w:val="32"/>
      <w:szCs w:val="32"/>
    </w:rPr>
  </w:style>
  <w:style w:type="character" w:customStyle="1" w:styleId="34">
    <w:name w:val="正文文本缩进 Char"/>
    <w:basedOn w:val="26"/>
    <w:link w:val="11"/>
    <w:qFormat/>
    <w:uiPriority w:val="0"/>
    <w:rPr>
      <w:rFonts w:ascii="Times New Roman" w:hAnsi="Times New Roman" w:eastAsia="宋体" w:cs="Times New Roman"/>
      <w:b/>
      <w:spacing w:val="4"/>
      <w:sz w:val="24"/>
      <w:szCs w:val="20"/>
    </w:rPr>
  </w:style>
  <w:style w:type="character" w:customStyle="1" w:styleId="35">
    <w:name w:val="纯文本 Char"/>
    <w:basedOn w:val="26"/>
    <w:link w:val="13"/>
    <w:qFormat/>
    <w:uiPriority w:val="0"/>
    <w:rPr>
      <w:rFonts w:ascii="宋体" w:hAnsi="Courier New" w:eastAsia="宋体" w:cs="Times New Roman"/>
      <w:szCs w:val="20"/>
    </w:rPr>
  </w:style>
  <w:style w:type="character" w:customStyle="1" w:styleId="36">
    <w:name w:val="正文文本 Char"/>
    <w:basedOn w:val="26"/>
    <w:link w:val="10"/>
    <w:qFormat/>
    <w:uiPriority w:val="0"/>
    <w:rPr>
      <w:rFonts w:ascii="Times New Roman" w:hAnsi="Times New Roman" w:eastAsia="宋体" w:cs="Times New Roman"/>
      <w:szCs w:val="24"/>
    </w:rPr>
  </w:style>
  <w:style w:type="paragraph" w:customStyle="1" w:styleId="37">
    <w:name w:val="表格文字"/>
    <w:basedOn w:val="1"/>
    <w:link w:val="74"/>
    <w:qFormat/>
    <w:uiPriority w:val="0"/>
    <w:pPr>
      <w:widowControl/>
      <w:jc w:val="center"/>
    </w:pPr>
    <w:rPr>
      <w:rFonts w:ascii="宋体" w:hAnsi="宋体"/>
      <w:spacing w:val="-4"/>
      <w:kern w:val="21"/>
      <w:sz w:val="15"/>
      <w:szCs w:val="15"/>
      <w:lang w:val="de-DE"/>
    </w:rPr>
  </w:style>
  <w:style w:type="character" w:customStyle="1" w:styleId="38">
    <w:name w:val="页脚 Char1"/>
    <w:basedOn w:val="26"/>
    <w:qFormat/>
    <w:uiPriority w:val="0"/>
    <w:rPr>
      <w:kern w:val="2"/>
      <w:sz w:val="18"/>
      <w:szCs w:val="24"/>
    </w:rPr>
  </w:style>
  <w:style w:type="paragraph" w:customStyle="1" w:styleId="39">
    <w:name w:val="正文样式"/>
    <w:basedOn w:val="1"/>
    <w:link w:val="40"/>
    <w:qFormat/>
    <w:uiPriority w:val="0"/>
    <w:pPr>
      <w:spacing w:line="360" w:lineRule="auto"/>
      <w:ind w:firstLine="480" w:firstLineChars="200"/>
    </w:pPr>
    <w:rPr>
      <w:rFonts w:ascii="宋体" w:hAnsi="宋体"/>
      <w:sz w:val="24"/>
    </w:rPr>
  </w:style>
  <w:style w:type="character" w:customStyle="1" w:styleId="40">
    <w:name w:val="正文样式 Char"/>
    <w:link w:val="39"/>
    <w:qFormat/>
    <w:uiPriority w:val="0"/>
    <w:rPr>
      <w:rFonts w:ascii="宋体" w:hAnsi="宋体" w:eastAsia="宋体" w:cs="Times New Roman"/>
      <w:sz w:val="24"/>
      <w:szCs w:val="24"/>
    </w:rPr>
  </w:style>
  <w:style w:type="character" w:customStyle="1" w:styleId="41">
    <w:name w:val="正文缩进 Char1"/>
    <w:basedOn w:val="26"/>
    <w:link w:val="7"/>
    <w:qFormat/>
    <w:uiPriority w:val="0"/>
    <w:rPr>
      <w:rFonts w:ascii="Times New Roman" w:hAnsi="Times New Roman" w:eastAsia="宋体" w:cs="Times New Roman"/>
      <w:sz w:val="32"/>
      <w:szCs w:val="20"/>
    </w:rPr>
  </w:style>
  <w:style w:type="paragraph" w:customStyle="1" w:styleId="42">
    <w:name w:val="li表格"/>
    <w:basedOn w:val="1"/>
    <w:next w:val="1"/>
    <w:qFormat/>
    <w:uiPriority w:val="0"/>
    <w:pPr>
      <w:spacing w:line="360" w:lineRule="exact"/>
      <w:jc w:val="center"/>
    </w:pPr>
    <w:rPr>
      <w:rFonts w:hAnsi="宋体"/>
      <w:b/>
      <w:color w:val="0000FF"/>
      <w:spacing w:val="4"/>
      <w:szCs w:val="21"/>
    </w:rPr>
  </w:style>
  <w:style w:type="character" w:customStyle="1" w:styleId="43">
    <w:name w:val="文档结构图 Char"/>
    <w:basedOn w:val="26"/>
    <w:link w:val="8"/>
    <w:semiHidden/>
    <w:qFormat/>
    <w:uiPriority w:val="99"/>
    <w:rPr>
      <w:rFonts w:ascii="宋体" w:hAnsi="Times New Roman" w:eastAsia="宋体" w:cs="Times New Roman"/>
      <w:sz w:val="18"/>
      <w:szCs w:val="18"/>
    </w:rPr>
  </w:style>
  <w:style w:type="character" w:customStyle="1" w:styleId="44">
    <w:name w:val="批注框文本 Char"/>
    <w:basedOn w:val="26"/>
    <w:link w:val="15"/>
    <w:semiHidden/>
    <w:qFormat/>
    <w:uiPriority w:val="99"/>
    <w:rPr>
      <w:rFonts w:ascii="Times New Roman" w:hAnsi="Times New Roman" w:eastAsia="宋体" w:cs="Times New Roman"/>
      <w:sz w:val="18"/>
      <w:szCs w:val="18"/>
    </w:rPr>
  </w:style>
  <w:style w:type="character" w:customStyle="1" w:styleId="45">
    <w:name w:val="标题 3 Char"/>
    <w:basedOn w:val="26"/>
    <w:link w:val="4"/>
    <w:qFormat/>
    <w:uiPriority w:val="0"/>
    <w:rPr>
      <w:rFonts w:ascii="Times New Roman" w:hAnsi="Times New Roman" w:eastAsia="宋体" w:cs="Times New Roman"/>
      <w:b/>
      <w:bCs/>
      <w:sz w:val="32"/>
      <w:szCs w:val="32"/>
    </w:rPr>
  </w:style>
  <w:style w:type="paragraph" w:customStyle="1" w:styleId="46">
    <w:name w:val="Char1"/>
    <w:basedOn w:val="1"/>
    <w:qFormat/>
    <w:uiPriority w:val="0"/>
  </w:style>
  <w:style w:type="character" w:customStyle="1" w:styleId="47">
    <w:name w:val="正文文本缩进 2 Char"/>
    <w:basedOn w:val="26"/>
    <w:link w:val="14"/>
    <w:qFormat/>
    <w:uiPriority w:val="0"/>
    <w:rPr>
      <w:rFonts w:ascii="Times New Roman" w:hAnsi="Times New Roman" w:eastAsia="宋体" w:cs="Times New Roman"/>
      <w:szCs w:val="24"/>
    </w:rPr>
  </w:style>
  <w:style w:type="paragraph" w:styleId="48">
    <w:name w:val="List Paragraph"/>
    <w:basedOn w:val="1"/>
    <w:qFormat/>
    <w:uiPriority w:val="99"/>
    <w:pPr>
      <w:ind w:firstLine="420" w:firstLineChars="200"/>
    </w:pPr>
  </w:style>
  <w:style w:type="character" w:customStyle="1" w:styleId="49">
    <w:name w:val="说明书正文 Char"/>
    <w:basedOn w:val="26"/>
    <w:link w:val="50"/>
    <w:qFormat/>
    <w:uiPriority w:val="0"/>
    <w:rPr>
      <w:rFonts w:eastAsia="仿宋_GB2312"/>
      <w:color w:val="000000"/>
      <w:sz w:val="30"/>
      <w:szCs w:val="24"/>
    </w:rPr>
  </w:style>
  <w:style w:type="paragraph" w:customStyle="1" w:styleId="50">
    <w:name w:val="说明书正文"/>
    <w:basedOn w:val="1"/>
    <w:link w:val="49"/>
    <w:qFormat/>
    <w:uiPriority w:val="0"/>
    <w:pPr>
      <w:spacing w:line="480" w:lineRule="exact"/>
      <w:ind w:firstLine="600" w:firstLineChars="200"/>
      <w:jc w:val="left"/>
    </w:pPr>
    <w:rPr>
      <w:rFonts w:eastAsia="仿宋_GB2312" w:asciiTheme="minorHAnsi" w:hAnsiTheme="minorHAnsi" w:cstheme="minorBidi"/>
      <w:color w:val="000000"/>
      <w:sz w:val="30"/>
    </w:rPr>
  </w:style>
  <w:style w:type="paragraph" w:customStyle="1" w:styleId="51">
    <w:name w:val="Char"/>
    <w:basedOn w:val="1"/>
    <w:qFormat/>
    <w:uiPriority w:val="0"/>
    <w:pPr>
      <w:spacing w:line="560" w:lineRule="exact"/>
      <w:ind w:firstLine="200" w:firstLineChars="200"/>
    </w:pPr>
    <w:rPr>
      <w:rFonts w:ascii="宋体" w:hAnsi="宋体" w:cs="宋体"/>
      <w:sz w:val="28"/>
      <w:szCs w:val="28"/>
    </w:rPr>
  </w:style>
  <w:style w:type="paragraph" w:customStyle="1" w:styleId="52">
    <w:name w:val="表格字"/>
    <w:basedOn w:val="1"/>
    <w:qFormat/>
    <w:uiPriority w:val="0"/>
    <w:pPr>
      <w:spacing w:line="300" w:lineRule="atLeast"/>
      <w:jc w:val="center"/>
    </w:pPr>
    <w:rPr>
      <w:rFonts w:hint="eastAsia" w:ascii="宋体" w:hAnsi="宋体"/>
      <w:szCs w:val="20"/>
    </w:rPr>
  </w:style>
  <w:style w:type="paragraph" w:customStyle="1" w:styleId="53">
    <w:name w:val="表格2"/>
    <w:basedOn w:val="1"/>
    <w:qFormat/>
    <w:uiPriority w:val="0"/>
    <w:pPr>
      <w:jc w:val="center"/>
    </w:pPr>
    <w:rPr>
      <w:rFonts w:ascii="宋体" w:hAnsi="宋体"/>
      <w:color w:val="800080"/>
      <w:szCs w:val="21"/>
    </w:rPr>
  </w:style>
  <w:style w:type="character" w:customStyle="1" w:styleId="54">
    <w:name w:val="表头样式 Char Char"/>
    <w:link w:val="55"/>
    <w:qFormat/>
    <w:uiPriority w:val="0"/>
    <w:rPr>
      <w:rFonts w:ascii="宋体" w:hAnsi="宋体" w:eastAsia="宋体" w:cs="Arial"/>
      <w:b/>
      <w:bCs/>
      <w:snapToGrid w:val="0"/>
      <w:sz w:val="24"/>
      <w:szCs w:val="24"/>
      <w:lang w:val="zh-CN"/>
    </w:rPr>
  </w:style>
  <w:style w:type="paragraph" w:customStyle="1" w:styleId="55">
    <w:name w:val="表头样式"/>
    <w:basedOn w:val="1"/>
    <w:link w:val="54"/>
    <w:qFormat/>
    <w:uiPriority w:val="0"/>
    <w:pPr>
      <w:adjustRightInd w:val="0"/>
      <w:snapToGrid w:val="0"/>
      <w:ind w:firstLine="200" w:firstLineChars="200"/>
    </w:pPr>
    <w:rPr>
      <w:rFonts w:ascii="宋体" w:hAnsi="宋体" w:cs="Arial"/>
      <w:b/>
      <w:bCs/>
      <w:snapToGrid w:val="0"/>
      <w:sz w:val="24"/>
      <w:lang w:val="zh-CN"/>
    </w:rPr>
  </w:style>
  <w:style w:type="paragraph" w:customStyle="1" w:styleId="56">
    <w:name w:val="正文内容"/>
    <w:link w:val="126"/>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7">
    <w:name w:val="Char Char Char Char Char Char Char Char Char Char"/>
    <w:basedOn w:val="1"/>
    <w:qFormat/>
    <w:uiPriority w:val="0"/>
    <w:pPr>
      <w:spacing w:line="560" w:lineRule="exact"/>
      <w:ind w:firstLine="200" w:firstLineChars="200"/>
    </w:pPr>
    <w:rPr>
      <w:rFonts w:ascii="宋体" w:hAnsi="宋体" w:cs="宋体"/>
      <w:sz w:val="28"/>
      <w:szCs w:val="28"/>
    </w:rPr>
  </w:style>
  <w:style w:type="paragraph" w:customStyle="1" w:styleId="58">
    <w:name w:val="p0"/>
    <w:basedOn w:val="1"/>
    <w:qFormat/>
    <w:uiPriority w:val="0"/>
    <w:pPr>
      <w:widowControl/>
    </w:pPr>
    <w:rPr>
      <w:kern w:val="0"/>
      <w:szCs w:val="21"/>
    </w:rPr>
  </w:style>
  <w:style w:type="paragraph" w:customStyle="1" w:styleId="59">
    <w:name w:val="_正文格式"/>
    <w:basedOn w:val="1"/>
    <w:qFormat/>
    <w:uiPriority w:val="0"/>
    <w:pPr>
      <w:spacing w:line="480" w:lineRule="exact"/>
      <w:ind w:firstLine="200" w:firstLineChars="200"/>
    </w:pPr>
    <w:rPr>
      <w:rFonts w:eastAsia="仿宋_GB2312"/>
      <w:sz w:val="28"/>
    </w:rPr>
  </w:style>
  <w:style w:type="paragraph" w:customStyle="1" w:styleId="60">
    <w:name w:val="正文格式"/>
    <w:basedOn w:val="1"/>
    <w:uiPriority w:val="0"/>
    <w:pPr>
      <w:ind w:firstLine="200" w:firstLineChars="200"/>
    </w:pPr>
    <w:rPr>
      <w:rFonts w:eastAsia="仿宋_GB2312"/>
      <w:sz w:val="28"/>
    </w:rPr>
  </w:style>
  <w:style w:type="paragraph" w:customStyle="1" w:styleId="61">
    <w:name w:val="Char Char Char Char Char Char Char Char Char Char2"/>
    <w:basedOn w:val="1"/>
    <w:qFormat/>
    <w:uiPriority w:val="0"/>
    <w:pPr>
      <w:spacing w:line="560" w:lineRule="exact"/>
      <w:ind w:firstLine="200" w:firstLineChars="200"/>
    </w:pPr>
    <w:rPr>
      <w:rFonts w:ascii="宋体" w:hAnsi="宋体" w:cs="宋体"/>
      <w:sz w:val="28"/>
      <w:szCs w:val="28"/>
    </w:rPr>
  </w:style>
  <w:style w:type="character" w:customStyle="1" w:styleId="62">
    <w:name w:val="标题steve Char Char"/>
    <w:basedOn w:val="26"/>
    <w:link w:val="63"/>
    <w:qFormat/>
    <w:uiPriority w:val="0"/>
    <w:rPr>
      <w:b/>
      <w:bCs/>
      <w:color w:val="000000"/>
      <w:sz w:val="28"/>
      <w:szCs w:val="24"/>
    </w:rPr>
  </w:style>
  <w:style w:type="paragraph" w:customStyle="1" w:styleId="63">
    <w:name w:val="标题steve"/>
    <w:basedOn w:val="1"/>
    <w:link w:val="62"/>
    <w:qFormat/>
    <w:uiPriority w:val="0"/>
    <w:pPr>
      <w:topLinePunct/>
      <w:autoSpaceDE w:val="0"/>
      <w:adjustRightInd w:val="0"/>
    </w:pPr>
    <w:rPr>
      <w:rFonts w:asciiTheme="minorHAnsi" w:hAnsiTheme="minorHAnsi" w:eastAsiaTheme="minorEastAsia" w:cstheme="minorBidi"/>
      <w:b/>
      <w:bCs/>
      <w:color w:val="000000"/>
      <w:sz w:val="28"/>
    </w:rPr>
  </w:style>
  <w:style w:type="paragraph" w:customStyle="1" w:styleId="64">
    <w:name w:val="Char Char Char Char Char Char Char Char Char Char1"/>
    <w:basedOn w:val="1"/>
    <w:qFormat/>
    <w:uiPriority w:val="0"/>
    <w:pPr>
      <w:spacing w:line="560" w:lineRule="exact"/>
      <w:ind w:firstLine="200" w:firstLineChars="200"/>
    </w:pPr>
    <w:rPr>
      <w:rFonts w:ascii="宋体" w:hAnsi="宋体" w:cs="宋体"/>
      <w:sz w:val="28"/>
      <w:szCs w:val="28"/>
    </w:rPr>
  </w:style>
  <w:style w:type="character" w:customStyle="1" w:styleId="65">
    <w:name w:val="样式 四号"/>
    <w:basedOn w:val="26"/>
    <w:qFormat/>
    <w:uiPriority w:val="0"/>
  </w:style>
  <w:style w:type="paragraph" w:customStyle="1" w:styleId="66">
    <w:name w:val="Char Char Char Char Char Char Char Char Char Char3"/>
    <w:basedOn w:val="1"/>
    <w:qFormat/>
    <w:uiPriority w:val="0"/>
    <w:pPr>
      <w:spacing w:line="560" w:lineRule="exact"/>
      <w:ind w:firstLine="200" w:firstLineChars="200"/>
    </w:pPr>
    <w:rPr>
      <w:rFonts w:ascii="宋体" w:hAnsi="宋体" w:cs="宋体"/>
      <w:sz w:val="28"/>
      <w:szCs w:val="28"/>
    </w:rPr>
  </w:style>
  <w:style w:type="character" w:customStyle="1" w:styleId="67">
    <w:name w:val="fontstyle01"/>
    <w:basedOn w:val="26"/>
    <w:qFormat/>
    <w:uiPriority w:val="0"/>
    <w:rPr>
      <w:rFonts w:hint="eastAsia" w:ascii="宋体" w:hAnsi="宋体" w:eastAsia="宋体"/>
      <w:color w:val="000000"/>
      <w:sz w:val="24"/>
      <w:szCs w:val="24"/>
    </w:rPr>
  </w:style>
  <w:style w:type="paragraph" w:customStyle="1" w:styleId="68">
    <w:name w:val="zlf正文"/>
    <w:basedOn w:val="1"/>
    <w:link w:val="69"/>
    <w:qFormat/>
    <w:uiPriority w:val="0"/>
    <w:pPr>
      <w:spacing w:line="360" w:lineRule="auto"/>
      <w:ind w:firstLine="480" w:firstLineChars="200"/>
    </w:pPr>
    <w:rPr>
      <w:rFonts w:hAnsi="宋体" w:cs="宋体"/>
      <w:sz w:val="24"/>
      <w:szCs w:val="20"/>
    </w:rPr>
  </w:style>
  <w:style w:type="character" w:customStyle="1" w:styleId="69">
    <w:name w:val="zlf正文 Char"/>
    <w:link w:val="68"/>
    <w:qFormat/>
    <w:uiPriority w:val="0"/>
    <w:rPr>
      <w:rFonts w:ascii="Times New Roman" w:hAnsi="宋体" w:eastAsia="宋体" w:cs="宋体"/>
      <w:sz w:val="24"/>
      <w:szCs w:val="20"/>
    </w:rPr>
  </w:style>
  <w:style w:type="paragraph" w:styleId="70">
    <w:name w:val="No Spacing"/>
    <w:link w:val="72"/>
    <w:qFormat/>
    <w:uiPriority w:val="1"/>
    <w:pPr>
      <w:widowControl w:val="0"/>
      <w:tabs>
        <w:tab w:val="left" w:pos="2340"/>
        <w:tab w:val="left" w:pos="3240"/>
      </w:tabs>
      <w:snapToGrid w:val="0"/>
      <w:spacing w:line="300" w:lineRule="exact"/>
      <w:jc w:val="center"/>
    </w:pPr>
    <w:rPr>
      <w:rFonts w:ascii="Times New Roman" w:hAnsi="Times New Roman" w:eastAsia="宋体" w:cs="Times New Roman"/>
      <w:color w:val="000000"/>
      <w:kern w:val="2"/>
      <w:sz w:val="21"/>
      <w:szCs w:val="20"/>
      <w:lang w:val="en-US" w:eastAsia="zh-CN" w:bidi="ar-SA"/>
    </w:rPr>
  </w:style>
  <w:style w:type="character" w:customStyle="1" w:styleId="71">
    <w:name w:val="页眉 Char1"/>
    <w:basedOn w:val="26"/>
    <w:qFormat/>
    <w:uiPriority w:val="99"/>
    <w:rPr>
      <w:rFonts w:eastAsia="宋体"/>
      <w:kern w:val="2"/>
      <w:sz w:val="18"/>
      <w:szCs w:val="18"/>
      <w:lang w:val="en-US" w:eastAsia="zh-CN" w:bidi="ar-SA"/>
    </w:rPr>
  </w:style>
  <w:style w:type="character" w:customStyle="1" w:styleId="72">
    <w:name w:val="无间隔 Char"/>
    <w:basedOn w:val="26"/>
    <w:link w:val="70"/>
    <w:qFormat/>
    <w:uiPriority w:val="1"/>
    <w:rPr>
      <w:rFonts w:ascii="Times New Roman" w:hAnsi="Times New Roman" w:eastAsia="宋体" w:cs="Times New Roman"/>
      <w:color w:val="000000"/>
      <w:szCs w:val="20"/>
    </w:rPr>
  </w:style>
  <w:style w:type="paragraph" w:customStyle="1" w:styleId="73">
    <w:name w:val="8"/>
    <w:basedOn w:val="1"/>
    <w:next w:val="10"/>
    <w:qFormat/>
    <w:uiPriority w:val="0"/>
    <w:pPr>
      <w:spacing w:after="120"/>
    </w:pPr>
  </w:style>
  <w:style w:type="character" w:customStyle="1" w:styleId="74">
    <w:name w:val="表格文字 Char"/>
    <w:link w:val="37"/>
    <w:qFormat/>
    <w:uiPriority w:val="0"/>
    <w:rPr>
      <w:rFonts w:ascii="宋体" w:hAnsi="宋体" w:eastAsia="宋体" w:cs="Times New Roman"/>
      <w:spacing w:val="-4"/>
      <w:kern w:val="21"/>
      <w:sz w:val="15"/>
      <w:szCs w:val="15"/>
      <w:lang w:val="de-DE"/>
    </w:rPr>
  </w:style>
  <w:style w:type="paragraph" w:customStyle="1" w:styleId="75">
    <w:name w:val="表格(新)"/>
    <w:basedOn w:val="1"/>
    <w:qFormat/>
    <w:uiPriority w:val="0"/>
    <w:pPr>
      <w:spacing w:line="288" w:lineRule="auto"/>
      <w:jc w:val="center"/>
    </w:pPr>
    <w:rPr>
      <w:rFonts w:ascii="Arial Narrow" w:hAnsi="Arial Narrow"/>
      <w:kern w:val="0"/>
      <w:szCs w:val="21"/>
    </w:rPr>
  </w:style>
  <w:style w:type="character" w:customStyle="1" w:styleId="76">
    <w:name w:val="正文文本缩进 2 Char1"/>
    <w:qFormat/>
    <w:uiPriority w:val="0"/>
    <w:rPr>
      <w:rFonts w:eastAsia="宋体"/>
      <w:kern w:val="2"/>
      <w:sz w:val="21"/>
      <w:szCs w:val="24"/>
      <w:lang w:val="en-US" w:eastAsia="zh-CN" w:bidi="ar-SA"/>
    </w:rPr>
  </w:style>
  <w:style w:type="paragraph" w:customStyle="1" w:styleId="77">
    <w:name w:val="新正文"/>
    <w:basedOn w:val="1"/>
    <w:link w:val="78"/>
    <w:qFormat/>
    <w:uiPriority w:val="0"/>
    <w:pPr>
      <w:tabs>
        <w:tab w:val="left" w:pos="8295"/>
      </w:tabs>
      <w:spacing w:line="360" w:lineRule="auto"/>
      <w:ind w:firstLine="200" w:firstLineChars="200"/>
    </w:pPr>
    <w:rPr>
      <w:kern w:val="0"/>
      <w:sz w:val="24"/>
    </w:rPr>
  </w:style>
  <w:style w:type="character" w:customStyle="1" w:styleId="78">
    <w:name w:val="新正文 Char"/>
    <w:link w:val="77"/>
    <w:qFormat/>
    <w:uiPriority w:val="0"/>
    <w:rPr>
      <w:rFonts w:ascii="Times New Roman" w:hAnsi="Times New Roman" w:eastAsia="宋体" w:cs="Times New Roman"/>
      <w:kern w:val="0"/>
      <w:sz w:val="24"/>
      <w:szCs w:val="24"/>
    </w:rPr>
  </w:style>
  <w:style w:type="character" w:customStyle="1" w:styleId="79">
    <w:name w:val="标题 1 Char2"/>
    <w:qFormat/>
    <w:uiPriority w:val="0"/>
    <w:rPr>
      <w:rFonts w:eastAsia="宋体"/>
      <w:b/>
      <w:bCs/>
      <w:kern w:val="44"/>
      <w:sz w:val="44"/>
      <w:szCs w:val="44"/>
      <w:lang w:val="en-US" w:eastAsia="zh-CN" w:bidi="ar-SA"/>
    </w:rPr>
  </w:style>
  <w:style w:type="paragraph" w:customStyle="1" w:styleId="80">
    <w:name w:val="Char11"/>
    <w:basedOn w:val="1"/>
    <w:next w:val="5"/>
    <w:qFormat/>
    <w:uiPriority w:val="0"/>
    <w:pPr>
      <w:widowControl/>
      <w:spacing w:after="160" w:line="240" w:lineRule="exact"/>
      <w:jc w:val="left"/>
    </w:pPr>
    <w:rPr>
      <w:color w:val="000000"/>
      <w:kern w:val="0"/>
      <w:szCs w:val="20"/>
      <w:u w:color="000000"/>
    </w:rPr>
  </w:style>
  <w:style w:type="character" w:customStyle="1" w:styleId="81">
    <w:name w:val="标题 4 Char"/>
    <w:basedOn w:val="26"/>
    <w:link w:val="5"/>
    <w:semiHidden/>
    <w:qFormat/>
    <w:uiPriority w:val="9"/>
    <w:rPr>
      <w:rFonts w:asciiTheme="majorHAnsi" w:hAnsiTheme="majorHAnsi" w:eastAsiaTheme="majorEastAsia" w:cstheme="majorBidi"/>
      <w:b/>
      <w:bCs/>
      <w:sz w:val="28"/>
      <w:szCs w:val="28"/>
    </w:rPr>
  </w:style>
  <w:style w:type="paragraph" w:customStyle="1" w:styleId="82">
    <w:name w:val="表中"/>
    <w:basedOn w:val="1"/>
    <w:link w:val="83"/>
    <w:qFormat/>
    <w:uiPriority w:val="0"/>
    <w:pPr>
      <w:spacing w:line="360" w:lineRule="exact"/>
      <w:jc w:val="center"/>
    </w:pPr>
    <w:rPr>
      <w:szCs w:val="21"/>
    </w:rPr>
  </w:style>
  <w:style w:type="character" w:customStyle="1" w:styleId="83">
    <w:name w:val="表中 Char"/>
    <w:link w:val="82"/>
    <w:qFormat/>
    <w:uiPriority w:val="0"/>
    <w:rPr>
      <w:rFonts w:ascii="Times New Roman" w:hAnsi="Times New Roman" w:eastAsia="宋体" w:cs="Times New Roman"/>
      <w:szCs w:val="21"/>
    </w:rPr>
  </w:style>
  <w:style w:type="character" w:customStyle="1" w:styleId="84">
    <w:name w:val="自己的正文 Char"/>
    <w:basedOn w:val="26"/>
    <w:link w:val="85"/>
    <w:qFormat/>
    <w:locked/>
    <w:uiPriority w:val="0"/>
    <w:rPr>
      <w:color w:val="000000"/>
      <w:sz w:val="28"/>
      <w:szCs w:val="28"/>
    </w:rPr>
  </w:style>
  <w:style w:type="paragraph" w:customStyle="1" w:styleId="85">
    <w:name w:val="自己的正文"/>
    <w:basedOn w:val="1"/>
    <w:link w:val="84"/>
    <w:qFormat/>
    <w:uiPriority w:val="0"/>
    <w:pPr>
      <w:adjustRightInd w:val="0"/>
      <w:snapToGrid w:val="0"/>
      <w:spacing w:line="360" w:lineRule="auto"/>
      <w:ind w:firstLine="200" w:firstLineChars="200"/>
    </w:pPr>
    <w:rPr>
      <w:rFonts w:asciiTheme="minorHAnsi" w:hAnsiTheme="minorHAnsi" w:eastAsiaTheme="minorEastAsia" w:cstheme="minorBidi"/>
      <w:color w:val="000000"/>
      <w:sz w:val="28"/>
      <w:szCs w:val="28"/>
    </w:rPr>
  </w:style>
  <w:style w:type="paragraph" w:customStyle="1" w:styleId="86">
    <w:name w:val="样式 标题 2 + 宋体 小三"/>
    <w:basedOn w:val="3"/>
    <w:qFormat/>
    <w:uiPriority w:val="0"/>
    <w:pPr>
      <w:spacing w:before="0" w:after="0" w:line="240" w:lineRule="auto"/>
    </w:pPr>
    <w:rPr>
      <w:rFonts w:ascii="宋体" w:hAnsi="宋体" w:eastAsia="宋体"/>
      <w:sz w:val="30"/>
    </w:rPr>
  </w:style>
  <w:style w:type="paragraph" w:customStyle="1" w:styleId="87">
    <w:name w:val="样式 样式 样式 标题 3 + 首行缩进:  2 字符 + 小四 + 行距: 1.5 倍行距"/>
    <w:basedOn w:val="1"/>
    <w:qFormat/>
    <w:uiPriority w:val="0"/>
    <w:pPr>
      <w:keepNext/>
      <w:keepLines/>
      <w:spacing w:before="120" w:after="120"/>
      <w:outlineLvl w:val="2"/>
    </w:pPr>
    <w:rPr>
      <w:rFonts w:cs="宋体"/>
      <w:b/>
      <w:bCs/>
      <w:sz w:val="24"/>
      <w:szCs w:val="20"/>
    </w:rPr>
  </w:style>
  <w:style w:type="paragraph" w:customStyle="1" w:styleId="88">
    <w:name w:val="书-正文"/>
    <w:basedOn w:val="1"/>
    <w:qFormat/>
    <w:uiPriority w:val="0"/>
    <w:pPr>
      <w:spacing w:line="480" w:lineRule="exact"/>
      <w:ind w:firstLine="643" w:firstLineChars="200"/>
    </w:pPr>
    <w:rPr>
      <w:sz w:val="24"/>
    </w:rPr>
  </w:style>
  <w:style w:type="character" w:customStyle="1" w:styleId="89">
    <w:name w:val="表格内容 Char"/>
    <w:link w:val="90"/>
    <w:qFormat/>
    <w:locked/>
    <w:uiPriority w:val="0"/>
    <w:rPr>
      <w:szCs w:val="24"/>
    </w:rPr>
  </w:style>
  <w:style w:type="paragraph" w:customStyle="1" w:styleId="90">
    <w:name w:val="表格内容"/>
    <w:link w:val="89"/>
    <w:qFormat/>
    <w:uiPriority w:val="0"/>
    <w:pPr>
      <w:widowControl w:val="0"/>
      <w:snapToGrid w:val="0"/>
      <w:spacing w:line="240" w:lineRule="atLeast"/>
      <w:jc w:val="center"/>
    </w:pPr>
    <w:rPr>
      <w:rFonts w:asciiTheme="minorHAnsi" w:hAnsiTheme="minorHAnsi" w:eastAsiaTheme="minorEastAsia" w:cstheme="minorBidi"/>
      <w:kern w:val="2"/>
      <w:sz w:val="21"/>
      <w:szCs w:val="24"/>
      <w:lang w:val="en-US" w:eastAsia="zh-CN" w:bidi="ar-SA"/>
    </w:rPr>
  </w:style>
  <w:style w:type="paragraph" w:customStyle="1" w:styleId="91">
    <w:name w:val="正文01"/>
    <w:basedOn w:val="1"/>
    <w:qFormat/>
    <w:uiPriority w:val="0"/>
    <w:pPr>
      <w:spacing w:line="360" w:lineRule="auto"/>
      <w:ind w:firstLine="960" w:firstLineChars="200"/>
    </w:pPr>
    <w:rPr>
      <w:sz w:val="24"/>
    </w:rPr>
  </w:style>
  <w:style w:type="paragraph" w:customStyle="1" w:styleId="92">
    <w:name w:val="标题03"/>
    <w:basedOn w:val="4"/>
    <w:qFormat/>
    <w:uiPriority w:val="0"/>
    <w:pPr>
      <w:keepNext w:val="0"/>
      <w:spacing w:before="60" w:after="60" w:line="360" w:lineRule="auto"/>
      <w:ind w:firstLine="482"/>
    </w:pPr>
    <w:rPr>
      <w:rFonts w:eastAsia="黑体"/>
      <w:sz w:val="24"/>
      <w:szCs w:val="28"/>
    </w:rPr>
  </w:style>
  <w:style w:type="paragraph" w:customStyle="1" w:styleId="93">
    <w:name w:val="标题 02"/>
    <w:basedOn w:val="3"/>
    <w:qFormat/>
    <w:uiPriority w:val="0"/>
    <w:pPr>
      <w:tabs>
        <w:tab w:val="left" w:pos="6327"/>
      </w:tabs>
      <w:snapToGrid w:val="0"/>
      <w:spacing w:before="80" w:after="80" w:line="360" w:lineRule="auto"/>
      <w:ind w:firstLine="480"/>
    </w:pPr>
    <w:rPr>
      <w:rFonts w:ascii="Times New Roman" w:hAnsi="Times New Roman" w:cs="宋体"/>
      <w:color w:val="000000"/>
      <w:sz w:val="28"/>
      <w:szCs w:val="30"/>
    </w:rPr>
  </w:style>
  <w:style w:type="paragraph" w:customStyle="1" w:styleId="94">
    <w:name w:val="表格样式1"/>
    <w:qFormat/>
    <w:uiPriority w:val="0"/>
    <w:pPr>
      <w:adjustRightInd w:val="0"/>
      <w:snapToGrid w:val="0"/>
      <w:spacing w:line="360" w:lineRule="exact"/>
      <w:jc w:val="center"/>
    </w:pPr>
    <w:rPr>
      <w:rFonts w:ascii="Times New Roman" w:hAnsi="Times New Roman" w:eastAsia="宋体" w:cs="Times New Roman"/>
      <w:kern w:val="0"/>
      <w:sz w:val="21"/>
      <w:szCs w:val="20"/>
      <w:lang w:val="en-US" w:eastAsia="zh-CN" w:bidi="ar-SA"/>
    </w:rPr>
  </w:style>
  <w:style w:type="character" w:customStyle="1" w:styleId="95">
    <w:name w:val="yw表格标题 Char"/>
    <w:link w:val="96"/>
    <w:qFormat/>
    <w:locked/>
    <w:uiPriority w:val="0"/>
    <w:rPr>
      <w:b/>
      <w:spacing w:val="2"/>
      <w:szCs w:val="21"/>
    </w:rPr>
  </w:style>
  <w:style w:type="paragraph" w:customStyle="1" w:styleId="96">
    <w:name w:val="yw表格标题"/>
    <w:next w:val="1"/>
    <w:link w:val="95"/>
    <w:qFormat/>
    <w:uiPriority w:val="0"/>
    <w:pPr>
      <w:adjustRightInd w:val="0"/>
      <w:snapToGrid w:val="0"/>
      <w:spacing w:beforeLines="50"/>
      <w:jc w:val="center"/>
    </w:pPr>
    <w:rPr>
      <w:rFonts w:asciiTheme="minorHAnsi" w:hAnsiTheme="minorHAnsi" w:eastAsiaTheme="minorEastAsia" w:cstheme="minorBidi"/>
      <w:b/>
      <w:spacing w:val="2"/>
      <w:kern w:val="2"/>
      <w:sz w:val="21"/>
      <w:szCs w:val="21"/>
      <w:lang w:val="en-US" w:eastAsia="zh-CN" w:bidi="ar-SA"/>
    </w:rPr>
  </w:style>
  <w:style w:type="character" w:customStyle="1" w:styleId="97">
    <w:name w:val="表头 Char"/>
    <w:link w:val="98"/>
    <w:qFormat/>
    <w:locked/>
    <w:uiPriority w:val="0"/>
    <w:rPr>
      <w:rFonts w:ascii="黑体" w:hAnsi="黑体" w:eastAsia="黑体"/>
      <w:b/>
      <w:spacing w:val="-6"/>
      <w:kern w:val="24"/>
    </w:rPr>
  </w:style>
  <w:style w:type="paragraph" w:customStyle="1" w:styleId="98">
    <w:name w:val="表头"/>
    <w:basedOn w:val="1"/>
    <w:next w:val="1"/>
    <w:link w:val="97"/>
    <w:qFormat/>
    <w:uiPriority w:val="0"/>
    <w:pPr>
      <w:tabs>
        <w:tab w:val="left" w:pos="1260"/>
        <w:tab w:val="left" w:pos="6327"/>
      </w:tabs>
      <w:snapToGrid w:val="0"/>
      <w:spacing w:line="288" w:lineRule="auto"/>
      <w:jc w:val="center"/>
    </w:pPr>
    <w:rPr>
      <w:rFonts w:ascii="黑体" w:hAnsi="黑体" w:eastAsia="黑体" w:cstheme="minorBidi"/>
      <w:b/>
      <w:spacing w:val="-6"/>
      <w:kern w:val="24"/>
      <w:szCs w:val="22"/>
    </w:rPr>
  </w:style>
  <w:style w:type="paragraph" w:customStyle="1" w:styleId="99">
    <w:name w:val="Default"/>
    <w:qFormat/>
    <w:uiPriority w:val="0"/>
    <w:pPr>
      <w:widowControl w:val="0"/>
      <w:autoSpaceDE w:val="0"/>
      <w:autoSpaceDN w:val="0"/>
      <w:adjustRightInd w:val="0"/>
    </w:pPr>
    <w:rPr>
      <w:rFonts w:ascii="仿宋" w:hAnsi="仿宋" w:eastAsia="仿宋" w:cs="Calibri"/>
      <w:color w:val="000000"/>
      <w:kern w:val="0"/>
      <w:sz w:val="24"/>
      <w:szCs w:val="20"/>
      <w:lang w:val="en-US" w:eastAsia="zh-CN" w:bidi="ar-SA"/>
    </w:rPr>
  </w:style>
  <w:style w:type="character" w:customStyle="1" w:styleId="100">
    <w:name w:val="纯文本 Char1"/>
    <w:qFormat/>
    <w:locked/>
    <w:uiPriority w:val="0"/>
    <w:rPr>
      <w:rFonts w:ascii="宋体" w:hAnsi="Courier New" w:eastAsia="宋体"/>
    </w:rPr>
  </w:style>
  <w:style w:type="paragraph" w:customStyle="1" w:styleId="101">
    <w:name w:val="我的正文"/>
    <w:basedOn w:val="1"/>
    <w:qFormat/>
    <w:uiPriority w:val="0"/>
    <w:pPr>
      <w:spacing w:line="460" w:lineRule="exact"/>
      <w:ind w:firstLine="482"/>
    </w:pPr>
    <w:rPr>
      <w:sz w:val="24"/>
    </w:rPr>
  </w:style>
  <w:style w:type="character" w:customStyle="1" w:styleId="102">
    <w:name w:val="表文字 Char1"/>
    <w:link w:val="103"/>
    <w:qFormat/>
    <w:locked/>
    <w:uiPriority w:val="0"/>
    <w:rPr>
      <w:rFonts w:ascii="汉鼎简书宋" w:eastAsia="汉鼎简书宋"/>
      <w:szCs w:val="21"/>
    </w:rPr>
  </w:style>
  <w:style w:type="paragraph" w:customStyle="1" w:styleId="103">
    <w:name w:val="表文字"/>
    <w:basedOn w:val="1"/>
    <w:link w:val="102"/>
    <w:qFormat/>
    <w:uiPriority w:val="0"/>
    <w:pPr>
      <w:topLinePunct/>
      <w:adjustRightInd w:val="0"/>
      <w:spacing w:line="240" w:lineRule="exact"/>
    </w:pPr>
    <w:rPr>
      <w:rFonts w:ascii="汉鼎简书宋" w:eastAsia="汉鼎简书宋" w:hAnsiTheme="minorHAnsi" w:cstheme="minorBidi"/>
      <w:szCs w:val="21"/>
    </w:rPr>
  </w:style>
  <w:style w:type="character" w:customStyle="1" w:styleId="104">
    <w:name w:val="正文文本缩进 3 Char"/>
    <w:basedOn w:val="26"/>
    <w:link w:val="20"/>
    <w:qFormat/>
    <w:uiPriority w:val="99"/>
    <w:rPr>
      <w:rFonts w:ascii="Times New Roman" w:hAnsi="Times New Roman" w:eastAsia="宋体" w:cs="Times New Roman"/>
      <w:sz w:val="16"/>
      <w:szCs w:val="16"/>
    </w:rPr>
  </w:style>
  <w:style w:type="character" w:customStyle="1" w:styleId="105">
    <w:name w:val="hb3 Char"/>
    <w:basedOn w:val="26"/>
    <w:link w:val="106"/>
    <w:qFormat/>
    <w:locked/>
    <w:uiPriority w:val="0"/>
    <w:rPr>
      <w:rFonts w:ascii="宋体" w:hAnsi="宋体" w:eastAsia="宋体"/>
      <w:b/>
      <w:bCs/>
      <w:sz w:val="24"/>
      <w:szCs w:val="32"/>
    </w:rPr>
  </w:style>
  <w:style w:type="paragraph" w:customStyle="1" w:styleId="106">
    <w:name w:val="hb3"/>
    <w:basedOn w:val="4"/>
    <w:link w:val="105"/>
    <w:qFormat/>
    <w:uiPriority w:val="0"/>
    <w:pPr>
      <w:adjustRightInd w:val="0"/>
      <w:spacing w:line="240" w:lineRule="auto"/>
      <w:jc w:val="left"/>
    </w:pPr>
    <w:rPr>
      <w:rFonts w:ascii="宋体" w:hAnsi="宋体" w:cstheme="minorBidi"/>
      <w:sz w:val="24"/>
    </w:rPr>
  </w:style>
  <w:style w:type="paragraph" w:customStyle="1" w:styleId="107">
    <w:name w:val="样式 正文"/>
    <w:basedOn w:val="1"/>
    <w:qFormat/>
    <w:uiPriority w:val="0"/>
    <w:pPr>
      <w:widowControl/>
      <w:spacing w:line="529" w:lineRule="exact"/>
      <w:ind w:firstLine="200" w:firstLineChars="200"/>
      <w:jc w:val="left"/>
    </w:pPr>
    <w:rPr>
      <w:rFonts w:cs="宋体"/>
      <w:sz w:val="24"/>
      <w:szCs w:val="20"/>
    </w:rPr>
  </w:style>
  <w:style w:type="paragraph" w:customStyle="1" w:styleId="108">
    <w:name w:val="表样式"/>
    <w:basedOn w:val="1"/>
    <w:qFormat/>
    <w:uiPriority w:val="0"/>
    <w:pPr>
      <w:jc w:val="center"/>
    </w:pPr>
    <w:rPr>
      <w:rFonts w:ascii="仿宋_GB2312" w:eastAsia="黑体"/>
    </w:rPr>
  </w:style>
  <w:style w:type="character" w:customStyle="1" w:styleId="109">
    <w:name w:val="表头 Char Char"/>
    <w:basedOn w:val="26"/>
    <w:qFormat/>
    <w:locked/>
    <w:uiPriority w:val="0"/>
    <w:rPr>
      <w:rFonts w:ascii="黑体" w:hAnsi="黑体" w:eastAsia="黑体" w:cs="黑体"/>
      <w:b/>
      <w:sz w:val="24"/>
      <w:szCs w:val="24"/>
    </w:rPr>
  </w:style>
  <w:style w:type="character" w:customStyle="1" w:styleId="110">
    <w:name w:val="自己的标题4 Char Char"/>
    <w:basedOn w:val="84"/>
    <w:link w:val="111"/>
    <w:qFormat/>
    <w:locked/>
    <w:uiPriority w:val="0"/>
    <w:rPr>
      <w:b/>
      <w:lang w:val="zh-CN"/>
    </w:rPr>
  </w:style>
  <w:style w:type="paragraph" w:customStyle="1" w:styleId="111">
    <w:name w:val="自己的标题4"/>
    <w:basedOn w:val="85"/>
    <w:link w:val="110"/>
    <w:qFormat/>
    <w:uiPriority w:val="0"/>
    <w:pPr>
      <w:spacing w:beforeLines="50" w:afterLines="50"/>
      <w:ind w:firstLine="0" w:firstLineChars="0"/>
      <w:jc w:val="left"/>
      <w:outlineLvl w:val="3"/>
    </w:pPr>
    <w:rPr>
      <w:b/>
      <w:lang w:val="zh-CN"/>
    </w:rPr>
  </w:style>
  <w:style w:type="character" w:customStyle="1" w:styleId="112">
    <w:name w:val="自己正文 Char"/>
    <w:basedOn w:val="26"/>
    <w:link w:val="113"/>
    <w:qFormat/>
    <w:locked/>
    <w:uiPriority w:val="0"/>
    <w:rPr>
      <w:rFonts w:ascii="宋体" w:hAnsi="宋体" w:eastAsia="宋体" w:cs="宋体"/>
      <w:sz w:val="28"/>
      <w:szCs w:val="24"/>
    </w:rPr>
  </w:style>
  <w:style w:type="paragraph" w:customStyle="1" w:styleId="113">
    <w:name w:val="自己正文"/>
    <w:basedOn w:val="1"/>
    <w:next w:val="1"/>
    <w:link w:val="112"/>
    <w:qFormat/>
    <w:uiPriority w:val="0"/>
    <w:pPr>
      <w:adjustRightInd w:val="0"/>
      <w:snapToGrid w:val="0"/>
      <w:spacing w:line="360" w:lineRule="auto"/>
      <w:ind w:firstLine="480" w:firstLineChars="200"/>
    </w:pPr>
    <w:rPr>
      <w:rFonts w:ascii="宋体" w:hAnsi="宋体" w:cs="宋体"/>
      <w:sz w:val="28"/>
    </w:rPr>
  </w:style>
  <w:style w:type="character" w:customStyle="1" w:styleId="114">
    <w:name w:val="font11"/>
    <w:qFormat/>
    <w:uiPriority w:val="0"/>
    <w:rPr>
      <w:rFonts w:hint="eastAsia" w:ascii="宋体" w:hAnsi="宋体" w:eastAsia="宋体" w:cs="宋体"/>
      <w:color w:val="000000"/>
      <w:sz w:val="21"/>
      <w:szCs w:val="21"/>
      <w:u w:val="none"/>
    </w:rPr>
  </w:style>
  <w:style w:type="character" w:customStyle="1" w:styleId="115">
    <w:name w:val="表头 Char2"/>
    <w:basedOn w:val="26"/>
    <w:qFormat/>
    <w:locked/>
    <w:uiPriority w:val="0"/>
    <w:rPr>
      <w:rFonts w:ascii="宋体" w:hAnsi="宋体" w:eastAsia="宋体" w:cs="宋体"/>
      <w:b/>
      <w:bCs/>
      <w:kern w:val="24"/>
      <w:sz w:val="24"/>
      <w:szCs w:val="28"/>
    </w:rPr>
  </w:style>
  <w:style w:type="character" w:customStyle="1" w:styleId="116">
    <w:name w:val="表号 Char2"/>
    <w:basedOn w:val="26"/>
    <w:link w:val="117"/>
    <w:qFormat/>
    <w:locked/>
    <w:uiPriority w:val="0"/>
    <w:rPr>
      <w:rFonts w:ascii="宋体" w:hAnsi="宋体" w:eastAsia="宋体"/>
      <w:sz w:val="24"/>
      <w:szCs w:val="24"/>
    </w:rPr>
  </w:style>
  <w:style w:type="paragraph" w:customStyle="1" w:styleId="117">
    <w:name w:val="表号"/>
    <w:link w:val="116"/>
    <w:qFormat/>
    <w:uiPriority w:val="0"/>
    <w:pPr>
      <w:adjustRightInd w:val="0"/>
      <w:snapToGrid w:val="0"/>
      <w:spacing w:line="240" w:lineRule="atLeast"/>
      <w:jc w:val="both"/>
      <w:outlineLvl w:val="4"/>
    </w:pPr>
    <w:rPr>
      <w:rFonts w:ascii="宋体" w:hAnsi="宋体" w:eastAsia="宋体" w:cstheme="minorBidi"/>
      <w:kern w:val="2"/>
      <w:sz w:val="24"/>
      <w:szCs w:val="24"/>
      <w:lang w:val="en-US" w:eastAsia="zh-CN" w:bidi="ar-SA"/>
    </w:rPr>
  </w:style>
  <w:style w:type="character" w:customStyle="1" w:styleId="118">
    <w:name w:val="报告正文 Char"/>
    <w:link w:val="119"/>
    <w:qFormat/>
    <w:locked/>
    <w:uiPriority w:val="0"/>
    <w:rPr>
      <w:sz w:val="28"/>
      <w:szCs w:val="24"/>
    </w:rPr>
  </w:style>
  <w:style w:type="paragraph" w:customStyle="1" w:styleId="119">
    <w:name w:val="报告正文"/>
    <w:basedOn w:val="1"/>
    <w:link w:val="118"/>
    <w:qFormat/>
    <w:uiPriority w:val="0"/>
    <w:pPr>
      <w:widowControl/>
      <w:spacing w:line="520" w:lineRule="exact"/>
      <w:ind w:firstLine="200" w:firstLineChars="200"/>
      <w:jc w:val="left"/>
    </w:pPr>
    <w:rPr>
      <w:rFonts w:asciiTheme="minorHAnsi" w:hAnsiTheme="minorHAnsi" w:eastAsiaTheme="minorEastAsia" w:cstheme="minorBidi"/>
      <w:sz w:val="28"/>
    </w:rPr>
  </w:style>
  <w:style w:type="paragraph" w:customStyle="1" w:styleId="120">
    <w:name w:val="样式 首行缩进:  2 字符"/>
    <w:basedOn w:val="1"/>
    <w:qFormat/>
    <w:uiPriority w:val="0"/>
    <w:pPr>
      <w:widowControl/>
      <w:jc w:val="center"/>
    </w:pPr>
    <w:rPr>
      <w:rFonts w:ascii="宋体" w:hAnsi="宋体"/>
    </w:rPr>
  </w:style>
  <w:style w:type="character" w:customStyle="1" w:styleId="121">
    <w:name w:val="表格 Char Char"/>
    <w:link w:val="122"/>
    <w:qFormat/>
    <w:locked/>
    <w:uiPriority w:val="0"/>
    <w:rPr>
      <w:sz w:val="18"/>
      <w:szCs w:val="18"/>
    </w:rPr>
  </w:style>
  <w:style w:type="paragraph" w:customStyle="1" w:styleId="122">
    <w:name w:val="表格"/>
    <w:basedOn w:val="1"/>
    <w:link w:val="121"/>
    <w:qFormat/>
    <w:uiPriority w:val="0"/>
    <w:pPr>
      <w:spacing w:line="300" w:lineRule="exact"/>
      <w:jc w:val="center"/>
    </w:pPr>
    <w:rPr>
      <w:rFonts w:asciiTheme="minorHAnsi" w:hAnsiTheme="minorHAnsi" w:eastAsiaTheme="minorEastAsia" w:cstheme="minorBidi"/>
      <w:sz w:val="18"/>
      <w:szCs w:val="18"/>
    </w:rPr>
  </w:style>
  <w:style w:type="character" w:customStyle="1" w:styleId="123">
    <w:name w:val="内容 Char"/>
    <w:basedOn w:val="26"/>
    <w:link w:val="124"/>
    <w:qFormat/>
    <w:locked/>
    <w:uiPriority w:val="0"/>
    <w:rPr>
      <w:rFonts w:ascii="宋体" w:hAnsi="宋体" w:eastAsia="宋体" w:cs="宋体"/>
      <w:sz w:val="24"/>
    </w:rPr>
  </w:style>
  <w:style w:type="paragraph" w:customStyle="1" w:styleId="124">
    <w:name w:val="内容"/>
    <w:basedOn w:val="1"/>
    <w:link w:val="123"/>
    <w:qFormat/>
    <w:uiPriority w:val="0"/>
    <w:pPr>
      <w:spacing w:line="360" w:lineRule="auto"/>
      <w:ind w:firstLine="480" w:firstLineChars="200"/>
    </w:pPr>
    <w:rPr>
      <w:rFonts w:ascii="宋体" w:hAnsi="宋体" w:cs="宋体"/>
      <w:sz w:val="24"/>
      <w:szCs w:val="22"/>
    </w:rPr>
  </w:style>
  <w:style w:type="paragraph" w:customStyle="1" w:styleId="125">
    <w:name w:val="无间隔3"/>
    <w:qFormat/>
    <w:uiPriority w:val="0"/>
    <w:pPr>
      <w:spacing w:line="360" w:lineRule="exact"/>
      <w:jc w:val="center"/>
    </w:pPr>
    <w:rPr>
      <w:rFonts w:ascii="Calibri" w:hAnsi="Calibri" w:eastAsia="Times New Roman" w:cs="Times New Roman"/>
      <w:kern w:val="0"/>
      <w:sz w:val="21"/>
      <w:szCs w:val="22"/>
      <w:lang w:val="en-US" w:eastAsia="zh-CN" w:bidi="ar-SA"/>
    </w:rPr>
  </w:style>
  <w:style w:type="character" w:customStyle="1" w:styleId="126">
    <w:name w:val="正文内容 Char"/>
    <w:link w:val="56"/>
    <w:qFormat/>
    <w:locked/>
    <w:uiPriority w:val="0"/>
    <w:rPr>
      <w:rFonts w:ascii="Times New Roman" w:hAnsi="Times New Roman" w:eastAsia="宋体" w:cs="Times New Roman"/>
      <w:sz w:val="24"/>
      <w:szCs w:val="24"/>
    </w:rPr>
  </w:style>
  <w:style w:type="character" w:customStyle="1" w:styleId="127">
    <w:name w:val="0正文 Char"/>
    <w:link w:val="128"/>
    <w:qFormat/>
    <w:locked/>
    <w:uiPriority w:val="0"/>
    <w:rPr>
      <w:sz w:val="24"/>
    </w:rPr>
  </w:style>
  <w:style w:type="paragraph" w:customStyle="1" w:styleId="128">
    <w:name w:val="0正文"/>
    <w:basedOn w:val="1"/>
    <w:link w:val="127"/>
    <w:qFormat/>
    <w:uiPriority w:val="0"/>
    <w:pPr>
      <w:adjustRightInd w:val="0"/>
      <w:spacing w:line="480" w:lineRule="exact"/>
      <w:ind w:firstLine="200" w:firstLineChars="200"/>
      <w:contextualSpacing/>
    </w:pPr>
    <w:rPr>
      <w:rFonts w:asciiTheme="minorHAnsi" w:hAnsiTheme="minorHAnsi" w:eastAsiaTheme="minorEastAsia" w:cstheme="minorBidi"/>
      <w:sz w:val="24"/>
      <w:szCs w:val="22"/>
    </w:rPr>
  </w:style>
  <w:style w:type="character" w:customStyle="1" w:styleId="129">
    <w:name w:val="正文首行缩进 2 Char"/>
    <w:basedOn w:val="34"/>
    <w:link w:val="23"/>
    <w:qFormat/>
    <w:uiPriority w:val="0"/>
    <w:rPr>
      <w:szCs w:val="24"/>
    </w:rPr>
  </w:style>
  <w:style w:type="paragraph" w:customStyle="1" w:styleId="130">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131">
    <w:name w:val="批注文字 Char"/>
    <w:basedOn w:val="26"/>
    <w:link w:val="9"/>
    <w:qFormat/>
    <w:uiPriority w:val="0"/>
    <w:rPr>
      <w:rFonts w:ascii="Times New Roman" w:hAnsi="Times New Roman" w:eastAsia="宋体" w:cs="Times New Roman"/>
      <w:szCs w:val="24"/>
    </w:rPr>
  </w:style>
  <w:style w:type="character" w:customStyle="1" w:styleId="132">
    <w:name w:val="批注主题 Char"/>
    <w:basedOn w:val="131"/>
    <w:link w:val="22"/>
    <w:semiHidden/>
    <w:qFormat/>
    <w:uiPriority w:val="99"/>
    <w:rPr>
      <w:b/>
      <w:bCs/>
    </w:rPr>
  </w:style>
  <w:style w:type="character" w:customStyle="1" w:styleId="133">
    <w:name w:val="文字 Char"/>
    <w:basedOn w:val="26"/>
    <w:link w:val="134"/>
    <w:locked/>
    <w:uiPriority w:val="0"/>
    <w:rPr>
      <w:sz w:val="28"/>
      <w:szCs w:val="28"/>
    </w:rPr>
  </w:style>
  <w:style w:type="paragraph" w:customStyle="1" w:styleId="134">
    <w:name w:val="文字"/>
    <w:basedOn w:val="1"/>
    <w:link w:val="133"/>
    <w:qFormat/>
    <w:uiPriority w:val="0"/>
    <w:pPr>
      <w:autoSpaceDE w:val="0"/>
      <w:autoSpaceDN w:val="0"/>
      <w:spacing w:line="500" w:lineRule="atLeast"/>
      <w:ind w:firstLine="200" w:firstLineChars="200"/>
    </w:pPr>
    <w:rPr>
      <w:rFonts w:asciiTheme="minorHAnsi" w:hAnsiTheme="minorHAnsi" w:eastAsiaTheme="minorEastAsia" w:cstheme="minorBidi"/>
      <w:sz w:val="28"/>
      <w:szCs w:val="28"/>
    </w:rPr>
  </w:style>
  <w:style w:type="paragraph" w:customStyle="1" w:styleId="135">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line="360" w:lineRule="auto"/>
      <w:ind w:firstLine="1040" w:firstLineChars="200"/>
      <w:jc w:val="both"/>
    </w:pPr>
    <w:rPr>
      <w:rFonts w:ascii="Times New Roman" w:hAnsi="Times New Roman" w:eastAsia="宋体" w:cs="Times New Roman"/>
      <w:kern w:val="2"/>
      <w:sz w:val="24"/>
      <w:szCs w:val="20"/>
      <w:lang w:val="en-US" w:eastAsia="zh-CN" w:bidi="ar-SA"/>
    </w:rPr>
  </w:style>
  <w:style w:type="paragraph" w:customStyle="1" w:styleId="136">
    <w:name w:val="表文字 New"/>
    <w:basedOn w:val="135"/>
    <w:qFormat/>
    <w:uiPriority w:val="0"/>
    <w:pPr>
      <w:topLinePunct/>
      <w:adjustRightInd w:val="0"/>
      <w:spacing w:line="240" w:lineRule="exact"/>
      <w:ind w:firstLine="0"/>
      <w:jc w:val="center"/>
    </w:pPr>
    <w:rPr>
      <w:sz w:val="21"/>
      <w:szCs w:val="21"/>
    </w:rPr>
  </w:style>
  <w:style w:type="paragraph" w:customStyle="1" w:styleId="137">
    <w:name w:val="正文文本缩进 3 New New New New"/>
    <w:basedOn w:val="135"/>
    <w:qFormat/>
    <w:uiPriority w:val="0"/>
    <w:pPr>
      <w:spacing w:after="120" w:line="240" w:lineRule="auto"/>
      <w:ind w:left="420" w:leftChars="200" w:firstLine="0" w:firstLineChars="0"/>
    </w:pPr>
    <w:rPr>
      <w:sz w:val="16"/>
      <w:szCs w:val="16"/>
    </w:rPr>
  </w:style>
  <w:style w:type="character" w:customStyle="1" w:styleId="138">
    <w:name w:val="fontstyle21"/>
    <w:basedOn w:val="26"/>
    <w:qFormat/>
    <w:uiPriority w:val="0"/>
    <w:rPr>
      <w:rFonts w:hint="eastAsia" w:ascii="宋体" w:hAnsi="宋体" w:eastAsia="宋体"/>
      <w:color w:val="000000"/>
      <w:sz w:val="24"/>
      <w:szCs w:val="24"/>
    </w:rPr>
  </w:style>
  <w:style w:type="paragraph" w:customStyle="1" w:styleId="139">
    <w:name w:val="Table Paragraph"/>
    <w:basedOn w:val="1"/>
    <w:qFormat/>
    <w:uiPriority w:val="1"/>
    <w:pPr>
      <w:autoSpaceDE w:val="0"/>
      <w:autoSpaceDN w:val="0"/>
      <w:adjustRightInd w:val="0"/>
      <w:ind w:left="102"/>
      <w:jc w:val="center"/>
    </w:pPr>
    <w:rPr>
      <w:rFonts w:eastAsiaTheme="minorEastAsia"/>
      <w:kern w:val="0"/>
      <w:sz w:val="24"/>
    </w:rPr>
  </w:style>
  <w:style w:type="character" w:customStyle="1" w:styleId="140">
    <w:name w:val="11111111 Char"/>
    <w:link w:val="141"/>
    <w:qFormat/>
    <w:locked/>
    <w:uiPriority w:val="0"/>
    <w:rPr>
      <w:rFonts w:ascii="宋体" w:hAnsi="宋体" w:eastAsia="宋体"/>
      <w:sz w:val="24"/>
      <w:szCs w:val="24"/>
      <w:lang w:val="de-DE"/>
    </w:rPr>
  </w:style>
  <w:style w:type="paragraph" w:customStyle="1" w:styleId="141">
    <w:name w:val="11111111"/>
    <w:basedOn w:val="7"/>
    <w:link w:val="140"/>
    <w:qFormat/>
    <w:uiPriority w:val="0"/>
    <w:pPr>
      <w:widowControl/>
      <w:tabs>
        <w:tab w:val="left" w:pos="7380"/>
      </w:tabs>
      <w:snapToGrid w:val="0"/>
      <w:spacing w:line="480" w:lineRule="exact"/>
      <w:ind w:firstLine="505"/>
      <w:jc w:val="left"/>
    </w:pPr>
    <w:rPr>
      <w:rFonts w:ascii="宋体" w:hAnsi="宋体" w:cstheme="minorBidi"/>
      <w:sz w:val="24"/>
      <w:szCs w:val="24"/>
      <w:lang w:val="de-DE"/>
    </w:rPr>
  </w:style>
  <w:style w:type="paragraph" w:customStyle="1" w:styleId="142">
    <w:name w:val="正文3"/>
    <w:basedOn w:val="1"/>
    <w:next w:val="1"/>
    <w:link w:val="143"/>
    <w:qFormat/>
    <w:uiPriority w:val="0"/>
    <w:pPr>
      <w:spacing w:line="529" w:lineRule="exact"/>
      <w:ind w:firstLine="420"/>
    </w:pPr>
    <w:rPr>
      <w:rFonts w:ascii="宋体" w:hAnsi="宋体" w:cstheme="minorBidi"/>
      <w:bCs/>
      <w:sz w:val="24"/>
    </w:rPr>
  </w:style>
  <w:style w:type="character" w:customStyle="1" w:styleId="143">
    <w:name w:val="正文 Char"/>
    <w:link w:val="142"/>
    <w:qFormat/>
    <w:uiPriority w:val="0"/>
    <w:rPr>
      <w:rFonts w:ascii="宋体" w:hAnsi="宋体" w:eastAsia="宋体"/>
      <w:bCs/>
      <w:sz w:val="24"/>
      <w:szCs w:val="24"/>
    </w:rPr>
  </w:style>
  <w:style w:type="character" w:customStyle="1" w:styleId="144">
    <w:name w:val="表格 Char"/>
    <w:basedOn w:val="26"/>
    <w:qFormat/>
    <w:uiPriority w:val="0"/>
    <w:rPr>
      <w:rFonts w:ascii="宋体" w:hAnsi="宋体" w:eastAsia="宋体"/>
      <w:kern w:val="2"/>
      <w:sz w:val="24"/>
      <w:lang w:val="en-US" w:eastAsia="zh-CN" w:bidi="ar-SA"/>
    </w:rPr>
  </w:style>
  <w:style w:type="paragraph" w:customStyle="1" w:styleId="145">
    <w:name w:val="p16"/>
    <w:basedOn w:val="1"/>
    <w:uiPriority w:val="0"/>
    <w:pPr>
      <w:widowControl/>
      <w:spacing w:line="300" w:lineRule="atLeast"/>
      <w:jc w:val="center"/>
    </w:pPr>
    <w:rPr>
      <w:rFonts w:ascii="宋体" w:hAnsi="宋体" w:eastAsia="华文中宋"/>
      <w:color w:val="FF0000"/>
      <w:kern w:val="0"/>
      <w:sz w:val="24"/>
      <w:szCs w:val="20"/>
    </w:rPr>
  </w:style>
  <w:style w:type="paragraph" w:customStyle="1" w:styleId="146">
    <w:name w:val="简单回函地址"/>
    <w:basedOn w:val="1"/>
    <w:qFormat/>
    <w:uiPriority w:val="0"/>
    <w:rPr>
      <w:szCs w:val="20"/>
    </w:rPr>
  </w:style>
  <w:style w:type="paragraph" w:customStyle="1" w:styleId="147">
    <w:name w:val="样式 宋体 小四 段前: 2.5 磅 段后: 2.5 磅 行距: 固定值 24 磅"/>
    <w:basedOn w:val="1"/>
    <w:qFormat/>
    <w:uiPriority w:val="0"/>
    <w:pPr>
      <w:ind w:firstLine="200" w:firstLineChars="200"/>
    </w:pPr>
    <w:rPr>
      <w:rFonts w:ascii="宋体" w:hAnsi="宋体" w:cs="宋体"/>
      <w:spacing w:val="10"/>
      <w:sz w:val="28"/>
      <w:szCs w:val="28"/>
    </w:rPr>
  </w:style>
  <w:style w:type="paragraph" w:customStyle="1" w:styleId="148">
    <w:name w:val="zhang正文"/>
    <w:basedOn w:val="11"/>
    <w:qFormat/>
    <w:uiPriority w:val="0"/>
    <w:pPr>
      <w:autoSpaceDE w:val="0"/>
      <w:autoSpaceDN w:val="0"/>
      <w:adjustRightInd w:val="0"/>
      <w:snapToGrid w:val="0"/>
      <w:spacing w:line="500" w:lineRule="exact"/>
      <w:textAlignment w:val="baseline"/>
    </w:pPr>
    <w:rPr>
      <w:rFonts w:eastAsia="楷体_GB2312"/>
      <w:kern w:val="0"/>
      <w:u w:color="000000"/>
    </w:rPr>
  </w:style>
  <w:style w:type="paragraph" w:customStyle="1" w:styleId="149">
    <w:name w:val="z正文"/>
    <w:basedOn w:val="1"/>
    <w:qFormat/>
    <w:uiPriority w:val="0"/>
    <w:pPr>
      <w:spacing w:line="500" w:lineRule="exact"/>
      <w:ind w:firstLine="200" w:firstLineChars="200"/>
    </w:pPr>
  </w:style>
  <w:style w:type="character" w:customStyle="1" w:styleId="150">
    <w:name w:val="yw表格标题 Char1"/>
    <w:qFormat/>
    <w:locked/>
    <w:uiPriority w:val="0"/>
    <w:rPr>
      <w:rFonts w:ascii="Calibri" w:hAnsi="Calibri" w:eastAsia="宋体" w:cs="Times New Roman"/>
      <w:b/>
      <w:spacing w:val="2"/>
      <w:kern w:val="0"/>
      <w:sz w:val="20"/>
      <w:szCs w:val="21"/>
    </w:rPr>
  </w:style>
  <w:style w:type="paragraph" w:customStyle="1" w:styleId="151">
    <w:name w:val="正文 New New"/>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52">
    <w:name w:val="新正文11"/>
    <w:basedOn w:val="1"/>
    <w:qFormat/>
    <w:uiPriority w:val="0"/>
    <w:pPr>
      <w:autoSpaceDE w:val="0"/>
      <w:autoSpaceDN w:val="0"/>
      <w:adjustRightInd w:val="0"/>
      <w:ind w:firstLine="200" w:firstLineChars="200"/>
      <w:jc w:val="left"/>
    </w:pPr>
    <w:rPr>
      <w:rFonts w:hAnsi="宋体"/>
      <w:kern w:val="0"/>
    </w:rPr>
  </w:style>
  <w:style w:type="character" w:customStyle="1" w:styleId="153">
    <w:name w:val="表头 Char1"/>
    <w:qFormat/>
    <w:locked/>
    <w:uiPriority w:val="0"/>
    <w:rPr>
      <w:rFonts w:ascii="黑体" w:hAnsi="黑体" w:eastAsia="黑体" w:cs="Times New Roman"/>
      <w:b/>
      <w:spacing w:val="-6"/>
      <w:kern w:val="24"/>
      <w:sz w:val="20"/>
      <w:szCs w:val="20"/>
    </w:rPr>
  </w:style>
  <w:style w:type="paragraph" w:customStyle="1" w:styleId="154">
    <w:name w:val="报告表格"/>
    <w:basedOn w:val="1"/>
    <w:qFormat/>
    <w:uiPriority w:val="0"/>
    <w:pPr>
      <w:autoSpaceDE w:val="0"/>
      <w:autoSpaceDN w:val="0"/>
      <w:adjustRightInd w:val="0"/>
      <w:spacing w:before="40" w:after="40"/>
      <w:jc w:val="center"/>
    </w:pPr>
    <w:rPr>
      <w:kern w:val="0"/>
      <w:szCs w:val="20"/>
    </w:rPr>
  </w:style>
  <w:style w:type="paragraph" w:customStyle="1" w:styleId="155">
    <w:name w:val="四级标题 zlf"/>
    <w:basedOn w:val="1"/>
    <w:next w:val="1"/>
    <w:qFormat/>
    <w:uiPriority w:val="0"/>
    <w:pPr>
      <w:widowControl/>
      <w:spacing w:before="60" w:after="60"/>
      <w:jc w:val="left"/>
      <w:outlineLvl w:val="3"/>
    </w:pPr>
    <w:rPr>
      <w:b/>
      <w:sz w:val="24"/>
    </w:rPr>
  </w:style>
  <w:style w:type="character" w:customStyle="1" w:styleId="156">
    <w:name w:val="style141"/>
    <w:basedOn w:val="26"/>
    <w:qFormat/>
    <w:uiPriority w:val="0"/>
    <w:rPr>
      <w:color w:val="333333"/>
    </w:rPr>
  </w:style>
  <w:style w:type="character" w:customStyle="1" w:styleId="157">
    <w:name w:val="标题 6 Char"/>
    <w:basedOn w:val="26"/>
    <w:link w:val="6"/>
    <w:qFormat/>
    <w:uiPriority w:val="0"/>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27.wmf"/><Relationship Id="rId98" Type="http://schemas.openxmlformats.org/officeDocument/2006/relationships/oleObject" Target="embeddings/oleObject24.bin"/><Relationship Id="rId97" Type="http://schemas.openxmlformats.org/officeDocument/2006/relationships/image" Target="media/image26.wmf"/><Relationship Id="rId96" Type="http://schemas.openxmlformats.org/officeDocument/2006/relationships/oleObject" Target="embeddings/oleObject23.bin"/><Relationship Id="rId95" Type="http://schemas.openxmlformats.org/officeDocument/2006/relationships/image" Target="media/image25.wmf"/><Relationship Id="rId94" Type="http://schemas.openxmlformats.org/officeDocument/2006/relationships/oleObject" Target="embeddings/oleObject22.bin"/><Relationship Id="rId93" Type="http://schemas.openxmlformats.org/officeDocument/2006/relationships/image" Target="media/image24.wmf"/><Relationship Id="rId92" Type="http://schemas.openxmlformats.org/officeDocument/2006/relationships/oleObject" Target="embeddings/oleObject21.bin"/><Relationship Id="rId91" Type="http://schemas.openxmlformats.org/officeDocument/2006/relationships/image" Target="media/image23.wmf"/><Relationship Id="rId90" Type="http://schemas.openxmlformats.org/officeDocument/2006/relationships/oleObject" Target="embeddings/oleObject20.bin"/><Relationship Id="rId9" Type="http://schemas.openxmlformats.org/officeDocument/2006/relationships/footer" Target="footer3.xml"/><Relationship Id="rId89" Type="http://schemas.openxmlformats.org/officeDocument/2006/relationships/image" Target="media/image22.wmf"/><Relationship Id="rId88" Type="http://schemas.openxmlformats.org/officeDocument/2006/relationships/oleObject" Target="embeddings/oleObject19.bin"/><Relationship Id="rId87" Type="http://schemas.openxmlformats.org/officeDocument/2006/relationships/image" Target="media/image21.wmf"/><Relationship Id="rId86" Type="http://schemas.openxmlformats.org/officeDocument/2006/relationships/oleObject" Target="embeddings/oleObject18.bin"/><Relationship Id="rId85" Type="http://schemas.openxmlformats.org/officeDocument/2006/relationships/image" Target="media/image20.wmf"/><Relationship Id="rId84" Type="http://schemas.openxmlformats.org/officeDocument/2006/relationships/oleObject" Target="embeddings/oleObject17.bin"/><Relationship Id="rId83" Type="http://schemas.openxmlformats.org/officeDocument/2006/relationships/image" Target="media/image19.wmf"/><Relationship Id="rId82" Type="http://schemas.openxmlformats.org/officeDocument/2006/relationships/oleObject" Target="embeddings/oleObject16.bin"/><Relationship Id="rId81" Type="http://schemas.openxmlformats.org/officeDocument/2006/relationships/image" Target="media/image18.wmf"/><Relationship Id="rId80" Type="http://schemas.openxmlformats.org/officeDocument/2006/relationships/oleObject" Target="embeddings/oleObject15.bin"/><Relationship Id="rId8" Type="http://schemas.openxmlformats.org/officeDocument/2006/relationships/footer" Target="footer2.xml"/><Relationship Id="rId79" Type="http://schemas.openxmlformats.org/officeDocument/2006/relationships/image" Target="media/image17.wmf"/><Relationship Id="rId78" Type="http://schemas.openxmlformats.org/officeDocument/2006/relationships/oleObject" Target="embeddings/oleObject14.bin"/><Relationship Id="rId77" Type="http://schemas.openxmlformats.org/officeDocument/2006/relationships/image" Target="media/image16.wmf"/><Relationship Id="rId76" Type="http://schemas.openxmlformats.org/officeDocument/2006/relationships/oleObject" Target="embeddings/oleObject13.bin"/><Relationship Id="rId75" Type="http://schemas.openxmlformats.org/officeDocument/2006/relationships/image" Target="media/image15.wmf"/><Relationship Id="rId74" Type="http://schemas.openxmlformats.org/officeDocument/2006/relationships/oleObject" Target="embeddings/oleObject12.bin"/><Relationship Id="rId73" Type="http://schemas.openxmlformats.org/officeDocument/2006/relationships/image" Target="media/image14.wmf"/><Relationship Id="rId72" Type="http://schemas.openxmlformats.org/officeDocument/2006/relationships/oleObject" Target="embeddings/oleObject11.bin"/><Relationship Id="rId71" Type="http://schemas.openxmlformats.org/officeDocument/2006/relationships/image" Target="media/image13.wmf"/><Relationship Id="rId70" Type="http://schemas.openxmlformats.org/officeDocument/2006/relationships/oleObject" Target="embeddings/oleObject10.bin"/><Relationship Id="rId7" Type="http://schemas.openxmlformats.org/officeDocument/2006/relationships/footer" Target="footer1.xml"/><Relationship Id="rId69" Type="http://schemas.openxmlformats.org/officeDocument/2006/relationships/image" Target="media/image12.wmf"/><Relationship Id="rId68" Type="http://schemas.openxmlformats.org/officeDocument/2006/relationships/oleObject" Target="embeddings/oleObject9.bin"/><Relationship Id="rId67" Type="http://schemas.openxmlformats.org/officeDocument/2006/relationships/image" Target="media/image11.wmf"/><Relationship Id="rId66" Type="http://schemas.openxmlformats.org/officeDocument/2006/relationships/oleObject" Target="embeddings/oleObject8.bin"/><Relationship Id="rId65" Type="http://schemas.openxmlformats.org/officeDocument/2006/relationships/image" Target="media/image10.wmf"/><Relationship Id="rId64" Type="http://schemas.openxmlformats.org/officeDocument/2006/relationships/oleObject" Target="embeddings/oleObject7.bin"/><Relationship Id="rId63" Type="http://schemas.openxmlformats.org/officeDocument/2006/relationships/image" Target="media/image9.wmf"/><Relationship Id="rId62" Type="http://schemas.openxmlformats.org/officeDocument/2006/relationships/oleObject" Target="embeddings/oleObject6.bin"/><Relationship Id="rId61" Type="http://schemas.openxmlformats.org/officeDocument/2006/relationships/image" Target="media/image8.png"/><Relationship Id="rId60" Type="http://schemas.openxmlformats.org/officeDocument/2006/relationships/image" Target="media/image7.jpeg"/><Relationship Id="rId6" Type="http://schemas.openxmlformats.org/officeDocument/2006/relationships/header" Target="header4.xml"/><Relationship Id="rId59" Type="http://schemas.openxmlformats.org/officeDocument/2006/relationships/image" Target="media/image6.wmf"/><Relationship Id="rId58" Type="http://schemas.openxmlformats.org/officeDocument/2006/relationships/oleObject" Target="embeddings/oleObject5.bin"/><Relationship Id="rId57" Type="http://schemas.openxmlformats.org/officeDocument/2006/relationships/image" Target="media/image5.wmf"/><Relationship Id="rId56" Type="http://schemas.openxmlformats.org/officeDocument/2006/relationships/oleObject" Target="embeddings/oleObject4.bin"/><Relationship Id="rId55" Type="http://schemas.openxmlformats.org/officeDocument/2006/relationships/image" Target="media/image4.wmf"/><Relationship Id="rId54" Type="http://schemas.openxmlformats.org/officeDocument/2006/relationships/oleObject" Target="embeddings/oleObject3.bin"/><Relationship Id="rId53" Type="http://schemas.openxmlformats.org/officeDocument/2006/relationships/image" Target="media/image3.wmf"/><Relationship Id="rId52" Type="http://schemas.openxmlformats.org/officeDocument/2006/relationships/oleObject" Target="embeddings/oleObject2.bin"/><Relationship Id="rId51" Type="http://schemas.openxmlformats.org/officeDocument/2006/relationships/image" Target="media/image2.wmf"/><Relationship Id="rId50" Type="http://schemas.openxmlformats.org/officeDocument/2006/relationships/oleObject" Target="embeddings/oleObject1.bin"/><Relationship Id="rId5" Type="http://schemas.openxmlformats.org/officeDocument/2006/relationships/header" Target="header3.xml"/><Relationship Id="rId49" Type="http://schemas.openxmlformats.org/officeDocument/2006/relationships/image" Target="media/image1.png"/><Relationship Id="rId48" Type="http://schemas.openxmlformats.org/officeDocument/2006/relationships/theme" Target="theme/theme1.xml"/><Relationship Id="rId47" Type="http://schemas.openxmlformats.org/officeDocument/2006/relationships/footer" Target="footer22.xml"/><Relationship Id="rId46" Type="http://schemas.openxmlformats.org/officeDocument/2006/relationships/header" Target="header23.xml"/><Relationship Id="rId45" Type="http://schemas.openxmlformats.org/officeDocument/2006/relationships/footer" Target="footer21.xml"/><Relationship Id="rId44" Type="http://schemas.openxmlformats.org/officeDocument/2006/relationships/header" Target="header22.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footer" Target="footer18.xml"/><Relationship Id="rId40" Type="http://schemas.openxmlformats.org/officeDocument/2006/relationships/header" Target="header21.xml"/><Relationship Id="rId4" Type="http://schemas.openxmlformats.org/officeDocument/2006/relationships/header" Target="header2.xml"/><Relationship Id="rId39" Type="http://schemas.openxmlformats.org/officeDocument/2006/relationships/header" Target="header20.xml"/><Relationship Id="rId38" Type="http://schemas.openxmlformats.org/officeDocument/2006/relationships/header" Target="header19.xml"/><Relationship Id="rId37" Type="http://schemas.openxmlformats.org/officeDocument/2006/relationships/footer" Target="footer17.xml"/><Relationship Id="rId36" Type="http://schemas.openxmlformats.org/officeDocument/2006/relationships/header" Target="header18.xml"/><Relationship Id="rId35" Type="http://schemas.openxmlformats.org/officeDocument/2006/relationships/footer" Target="footer16.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footer" Target="footer14.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3" Type="http://schemas.openxmlformats.org/officeDocument/2006/relationships/fontTable" Target="fontTable.xml"/><Relationship Id="rId132" Type="http://schemas.openxmlformats.org/officeDocument/2006/relationships/customXml" Target="../customXml/item2.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footer" Target="footer5.xml"/><Relationship Id="rId129" Type="http://schemas.openxmlformats.org/officeDocument/2006/relationships/image" Target="media/image52.jpeg"/><Relationship Id="rId128" Type="http://schemas.openxmlformats.org/officeDocument/2006/relationships/image" Target="media/image51.jpeg"/><Relationship Id="rId127" Type="http://schemas.openxmlformats.org/officeDocument/2006/relationships/image" Target="media/image50.jpeg"/><Relationship Id="rId126" Type="http://schemas.openxmlformats.org/officeDocument/2006/relationships/image" Target="media/image49.jpeg"/><Relationship Id="rId125" Type="http://schemas.openxmlformats.org/officeDocument/2006/relationships/image" Target="media/image48.jpeg"/><Relationship Id="rId124" Type="http://schemas.openxmlformats.org/officeDocument/2006/relationships/image" Target="media/image47.wmf"/><Relationship Id="rId123" Type="http://schemas.openxmlformats.org/officeDocument/2006/relationships/oleObject" Target="embeddings/oleObject29.bin"/><Relationship Id="rId122" Type="http://schemas.openxmlformats.org/officeDocument/2006/relationships/image" Target="media/image46.png"/><Relationship Id="rId121" Type="http://schemas.openxmlformats.org/officeDocument/2006/relationships/image" Target="media/image45.png"/><Relationship Id="rId120" Type="http://schemas.openxmlformats.org/officeDocument/2006/relationships/image" Target="media/image44.png"/><Relationship Id="rId12" Type="http://schemas.openxmlformats.org/officeDocument/2006/relationships/header" Target="header6.xml"/><Relationship Id="rId119" Type="http://schemas.openxmlformats.org/officeDocument/2006/relationships/image" Target="media/image43.GIF"/><Relationship Id="rId118" Type="http://schemas.openxmlformats.org/officeDocument/2006/relationships/image" Target="media/image42.wmf"/><Relationship Id="rId117" Type="http://schemas.openxmlformats.org/officeDocument/2006/relationships/image" Target="media/image41.wmf"/><Relationship Id="rId116" Type="http://schemas.openxmlformats.org/officeDocument/2006/relationships/image" Target="media/image40.wmf"/><Relationship Id="rId115" Type="http://schemas.openxmlformats.org/officeDocument/2006/relationships/image" Target="media/image39.wmf"/><Relationship Id="rId114" Type="http://schemas.openxmlformats.org/officeDocument/2006/relationships/image" Target="media/image38.wmf"/><Relationship Id="rId113" Type="http://schemas.openxmlformats.org/officeDocument/2006/relationships/image" Target="media/image37.wmf"/><Relationship Id="rId112" Type="http://schemas.openxmlformats.org/officeDocument/2006/relationships/image" Target="media/image36.wmf"/><Relationship Id="rId111" Type="http://schemas.openxmlformats.org/officeDocument/2006/relationships/image" Target="media/image35.wmf"/><Relationship Id="rId110" Type="http://schemas.openxmlformats.org/officeDocument/2006/relationships/oleObject" Target="embeddings/oleObject28.bin"/><Relationship Id="rId11" Type="http://schemas.openxmlformats.org/officeDocument/2006/relationships/footer" Target="footer4.xml"/><Relationship Id="rId109" Type="http://schemas.openxmlformats.org/officeDocument/2006/relationships/image" Target="media/image34.wmf"/><Relationship Id="rId108" Type="http://schemas.openxmlformats.org/officeDocument/2006/relationships/oleObject" Target="embeddings/oleObject27.bin"/><Relationship Id="rId107" Type="http://schemas.openxmlformats.org/officeDocument/2006/relationships/image" Target="media/image33.wmf"/><Relationship Id="rId106" Type="http://schemas.openxmlformats.org/officeDocument/2006/relationships/oleObject" Target="embeddings/oleObject26.bin"/><Relationship Id="rId105" Type="http://schemas.openxmlformats.org/officeDocument/2006/relationships/image" Target="media/image32.wmf"/><Relationship Id="rId104" Type="http://schemas.openxmlformats.org/officeDocument/2006/relationships/oleObject" Target="embeddings/oleObject25.bin"/><Relationship Id="rId103" Type="http://schemas.openxmlformats.org/officeDocument/2006/relationships/image" Target="media/image31.jpeg"/><Relationship Id="rId102" Type="http://schemas.openxmlformats.org/officeDocument/2006/relationships/image" Target="media/image30.jpeg"/><Relationship Id="rId101" Type="http://schemas.openxmlformats.org/officeDocument/2006/relationships/image" Target="media/image29.png"/><Relationship Id="rId100" Type="http://schemas.openxmlformats.org/officeDocument/2006/relationships/image" Target="media/image28.pn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9"/>
    <customShpInfo spid="_x0000_s1049"/>
    <customShpInfo spid="_x0000_s1069"/>
    <customShpInfo spid="_x0000_s1051"/>
    <customShpInfo spid="_x0000_s1054"/>
    <customShpInfo spid="_x0000_s1053"/>
    <customShpInfo spid="_x0000_s1060"/>
    <customShpInfo spid="_x0000_s55987"/>
    <customShpInfo spid="_x0000_s55990"/>
    <customShpInfo spid="_x0000_s55991"/>
    <customShpInfo spid="_x0000_s55988"/>
    <customShpInfo spid="_x0000_s55989"/>
    <customShpInfo spid="_x0000_s56012"/>
    <customShpInfo spid="_x0000_s56010"/>
    <customShpInfo spid="_x0000_s56011"/>
    <customShpInfo spid="_x0000_s56008"/>
    <customShpInfo spid="_x0000_s56009"/>
    <customShpInfo spid="_x0000_s56117"/>
    <customShpInfo spid="_x0000_s56119"/>
    <customShpInfo spid="_x0000_s56120"/>
    <customShpInfo spid="_x0000_s56122"/>
    <customShpInfo spid="_x0000_s56123"/>
    <customShpInfo spid="_x0000_s56124"/>
    <customShpInfo spid="_x0000_s56125"/>
    <customShpInfo spid="_x0000_s56126"/>
    <customShpInfo spid="_x0000_s56129"/>
    <customShpInfo spid="_x0000_s56130"/>
    <customShpInfo spid="_x0000_s56131"/>
    <customShpInfo spid="_x0000_s56132"/>
    <customShpInfo spid="_x0000_s56133"/>
    <customShpInfo spid="_x0000_s56134"/>
    <customShpInfo spid="_x0000_s56135"/>
    <customShpInfo spid="_x0000_s56137"/>
    <customShpInfo spid="_x0000_s56138"/>
    <customShpInfo spid="_x0000_s56139"/>
    <customShpInfo spid="_x0000_s56140"/>
    <customShpInfo spid="_x0000_s56141"/>
    <customShpInfo spid="_x0000_s56142"/>
    <customShpInfo spid="_x0000_s56143"/>
    <customShpInfo spid="_x0000_s56144"/>
    <customShpInfo spid="_x0000_s56145"/>
    <customShpInfo spid="_x0000_s56146"/>
    <customShpInfo spid="_x0000_s56147"/>
    <customShpInfo spid="_x0000_s56148"/>
    <customShpInfo spid="_x0000_s56149"/>
    <customShpInfo spid="_x0000_s56150"/>
    <customShpInfo spid="_x0000_s56151"/>
    <customShpInfo spid="_x0000_s56152"/>
    <customShpInfo spid="_x0000_s56153"/>
    <customShpInfo spid="_x0000_s56154"/>
    <customShpInfo spid="_x0000_s56155"/>
    <customShpInfo spid="_x0000_s56156"/>
    <customShpInfo spid="_x0000_s56160"/>
    <customShpInfo spid="_x0000_s56161"/>
    <customShpInfo spid="_x0000_s56162"/>
    <customShpInfo spid="_x0000_s56163"/>
    <customShpInfo spid="_x0000_s56164"/>
    <customShpInfo spid="_x0000_s56165"/>
    <customShpInfo spid="_x0000_s56166"/>
    <customShpInfo spid="_x0000_s56167"/>
    <customShpInfo spid="_x0000_s56168"/>
    <customShpInfo spid="_x0000_s56170"/>
    <customShpInfo spid="_x0000_s56171"/>
    <customShpInfo spid="_x0000_s56172"/>
    <customShpInfo spid="_x0000_s56173"/>
    <customShpInfo spid="_x0000_s56176"/>
    <customShpInfo spid="_x0000_s56178"/>
    <customShpInfo spid="_x0000_s56179"/>
    <customShpInfo spid="_x0000_s56180"/>
    <customShpInfo spid="_x0000_s56182"/>
    <customShpInfo spid="_x0000_s56183"/>
    <customShpInfo spid="_x0000_s56184"/>
    <customShpInfo spid="_x0000_s56185"/>
    <customShpInfo spid="_x0000_s56186"/>
    <customShpInfo spid="_x0000_s56188"/>
    <customShpInfo spid="_x0000_s56189"/>
    <customShpInfo spid="_x0000_s56191"/>
    <customShpInfo spid="_x0000_s56192"/>
    <customShpInfo spid="_x0000_s56193"/>
    <customShpInfo spid="_x0000_s56194"/>
    <customShpInfo spid="_x0000_s56195"/>
    <customShpInfo spid="_x0000_s56197"/>
    <customShpInfo spid="_x0000_s56198"/>
    <customShpInfo spid="_x0000_s56201"/>
    <customShpInfo spid="_x0000_s56202"/>
    <customShpInfo spid="_x0000_s56203"/>
    <customShpInfo spid="_x0000_s56204"/>
    <customShpInfo spid="_x0000_s56205"/>
    <customShpInfo spid="_x0000_s56206"/>
    <customShpInfo spid="_x0000_s56210"/>
    <customShpInfo spid="_x0000_s56211"/>
    <customShpInfo spid="_x0000_s56212"/>
    <customShpInfo spid="_x0000_s56225"/>
    <customShpInfo spid="_x0000_s56226"/>
    <customShpInfo spid="_x0000_s56246"/>
    <customShpInfo spid="_x0000_s56247"/>
    <customShpInfo spid="_x0000_s56248"/>
    <customShpInfo spid="_x0000_s56249"/>
    <customShpInfo spid="_x0000_s56250"/>
    <customShpInfo spid="_x0000_s56251"/>
    <customShpInfo spid="_x0000_s56252"/>
    <customShpInfo spid="_x0000_s56253"/>
    <customShpInfo spid="_x0000_s56254"/>
    <customShpInfo spid="_x0000_s56255"/>
    <customShpInfo spid="_x0000_s56256"/>
    <customShpInfo spid="_x0000_s230627"/>
    <customShpInfo spid="_x0000_s230628"/>
    <customShpInfo spid="_x0000_s230629"/>
    <customShpInfo spid="_x0000_s230630"/>
    <customShpInfo spid="_x0000_s230631"/>
    <customShpInfo spid="_x0000_s230632"/>
    <customShpInfo spid="_x0000_s230633"/>
    <customShpInfo spid="_x0000_s230634"/>
    <customShpInfo spid="_x0000_s230650"/>
    <customShpInfo spid="_x0000_s56259"/>
    <customShpInfo spid="_x0000_s56260"/>
    <customShpInfo spid="_x0000_s56261"/>
    <customShpInfo spid="_x0000_s56262"/>
    <customShpInfo spid="_x0000_s56263"/>
    <customShpInfo spid="_x0000_s56264"/>
    <customShpInfo spid="_x0000_s56265"/>
    <customShpInfo spid="_x0000_s56266"/>
    <customShpInfo spid="_x0000_s56267"/>
    <customShpInfo spid="_x0000_s56268"/>
    <customShpInfo spid="_x0000_s56269"/>
    <customShpInfo spid="_x0000_s56270"/>
    <customShpInfo spid="_x0000_s56271"/>
    <customShpInfo spid="_x0000_s56272"/>
    <customShpInfo spid="_x0000_s56273"/>
    <customShpInfo spid="_x0000_s56274"/>
    <customShpInfo spid="_x0000_s56275"/>
    <customShpInfo spid="_x0000_s56276"/>
    <customShpInfo spid="_x0000_s56277"/>
    <customShpInfo spid="_x0000_s56278"/>
    <customShpInfo spid="_x0000_s56279"/>
    <customShpInfo spid="_x0000_s56280"/>
    <customShpInfo spid="_x0000_s56281"/>
    <customShpInfo spid="_x0000_s56282"/>
    <customShpInfo spid="_x0000_s56283"/>
    <customShpInfo spid="_x0000_s56284"/>
    <customShpInfo spid="_x0000_s56285"/>
    <customShpInfo spid="_x0000_s56286"/>
    <customShpInfo spid="_x0000_s56287"/>
    <customShpInfo spid="_x0000_s56288"/>
    <customShpInfo spid="_x0000_s56289"/>
    <customShpInfo spid="_x0000_s56290"/>
    <customShpInfo spid="_x0000_s56291"/>
    <customShpInfo spid="_x0000_s56292"/>
    <customShpInfo spid="_x0000_s56293"/>
    <customShpInfo spid="_x0000_s56294"/>
    <customShpInfo spid="_x0000_s56295"/>
    <customShpInfo spid="_x0000_s56296"/>
    <customShpInfo spid="_x0000_s56297"/>
    <customShpInfo spid="_x0000_s56298"/>
    <customShpInfo spid="_x0000_s56299"/>
    <customShpInfo spid="_x0000_s56300"/>
    <customShpInfo spid="_x0000_s56301"/>
    <customShpInfo spid="_x0000_s56302"/>
    <customShpInfo spid="_x0000_s56303"/>
    <customShpInfo spid="_x0000_s56304"/>
    <customShpInfo spid="_x0000_s56305"/>
    <customShpInfo spid="_x0000_s56306"/>
    <customShpInfo spid="_x0000_s56307"/>
    <customShpInfo spid="_x0000_s56308"/>
    <customShpInfo spid="_x0000_s56309"/>
    <customShpInfo spid="_x0000_s56310"/>
    <customShpInfo spid="_x0000_s56311"/>
    <customShpInfo spid="_x0000_s56312"/>
    <customShpInfo spid="_x0000_s56313"/>
    <customShpInfo spid="_x0000_s56314"/>
    <customShpInfo spid="_x0000_s56316"/>
    <customShpInfo spid="_x0000_s56317"/>
    <customShpInfo spid="_x0000_s56318"/>
    <customShpInfo spid="_x0000_s56319"/>
    <customShpInfo spid="_x0000_s230400"/>
    <customShpInfo spid="_x0000_s230401"/>
    <customShpInfo spid="_x0000_s230402"/>
    <customShpInfo spid="_x0000_s230403"/>
    <customShpInfo spid="_x0000_s230404"/>
    <customShpInfo spid="_x0000_s230405"/>
    <customShpInfo spid="_x0000_s230406"/>
    <customShpInfo spid="_x0000_s230407"/>
    <customShpInfo spid="_x0000_s230408"/>
    <customShpInfo spid="_x0000_s230409"/>
    <customShpInfo spid="_x0000_s230410"/>
    <customShpInfo spid="_x0000_s230411"/>
    <customShpInfo spid="_x0000_s230412"/>
    <customShpInfo spid="_x0000_s230413"/>
    <customShpInfo spid="_x0000_s230414"/>
    <customShpInfo spid="_x0000_s230415"/>
    <customShpInfo spid="_x0000_s230416"/>
    <customShpInfo spid="_x0000_s230417"/>
    <customShpInfo spid="_x0000_s230418"/>
    <customShpInfo spid="_x0000_s230419"/>
    <customShpInfo spid="_x0000_s230420"/>
    <customShpInfo spid="_x0000_s230421"/>
    <customShpInfo spid="_x0000_s230422"/>
    <customShpInfo spid="_x0000_s230423"/>
    <customShpInfo spid="_x0000_s230424"/>
    <customShpInfo spid="_x0000_s230425"/>
    <customShpInfo spid="_x0000_s230426"/>
    <customShpInfo spid="_x0000_s230427"/>
    <customShpInfo spid="_x0000_s230635"/>
    <customShpInfo spid="_x0000_s230636"/>
    <customShpInfo spid="_x0000_s230637"/>
    <customShpInfo spid="_x0000_s230651"/>
    <customShpInfo spid="_x0000_s230430"/>
    <customShpInfo spid="_x0000_s230431"/>
    <customShpInfo spid="_x0000_s230432"/>
    <customShpInfo spid="_x0000_s230433"/>
    <customShpInfo spid="_x0000_s230434"/>
    <customShpInfo spid="_x0000_s230435"/>
    <customShpInfo spid="_x0000_s230436"/>
    <customShpInfo spid="_x0000_s230437"/>
    <customShpInfo spid="_x0000_s230438"/>
    <customShpInfo spid="_x0000_s230439"/>
    <customShpInfo spid="_x0000_s230440"/>
    <customShpInfo spid="_x0000_s230441"/>
    <customShpInfo spid="_x0000_s230442"/>
    <customShpInfo spid="_x0000_s230443"/>
    <customShpInfo spid="_x0000_s230444"/>
    <customShpInfo spid="_x0000_s230445"/>
    <customShpInfo spid="_x0000_s230446"/>
    <customShpInfo spid="_x0000_s230447"/>
    <customShpInfo spid="_x0000_s230448"/>
    <customShpInfo spid="_x0000_s230449"/>
    <customShpInfo spid="_x0000_s230450"/>
    <customShpInfo spid="_x0000_s230451"/>
    <customShpInfo spid="_x0000_s230452"/>
    <customShpInfo spid="_x0000_s230453"/>
    <customShpInfo spid="_x0000_s230454"/>
    <customShpInfo spid="_x0000_s230455"/>
    <customShpInfo spid="_x0000_s230456"/>
    <customShpInfo spid="_x0000_s230457"/>
    <customShpInfo spid="_x0000_s230458"/>
    <customShpInfo spid="_x0000_s230459"/>
    <customShpInfo spid="_x0000_s230460"/>
    <customShpInfo spid="_x0000_s230461"/>
    <customShpInfo spid="_x0000_s230462"/>
    <customShpInfo spid="_x0000_s230463"/>
    <customShpInfo spid="_x0000_s230464"/>
    <customShpInfo spid="_x0000_s230465"/>
    <customShpInfo spid="_x0000_s230466"/>
    <customShpInfo spid="_x0000_s230467"/>
    <customShpInfo spid="_x0000_s230468"/>
    <customShpInfo spid="_x0000_s230469"/>
    <customShpInfo spid="_x0000_s230470"/>
    <customShpInfo spid="_x0000_s230471"/>
    <customShpInfo spid="_x0000_s230472"/>
    <customShpInfo spid="_x0000_s230473"/>
    <customShpInfo spid="_x0000_s230474"/>
    <customShpInfo spid="_x0000_s230475"/>
    <customShpInfo spid="_x0000_s230476"/>
    <customShpInfo spid="_x0000_s230477"/>
    <customShpInfo spid="_x0000_s230478"/>
    <customShpInfo spid="_x0000_s230479"/>
    <customShpInfo spid="_x0000_s230480"/>
    <customShpInfo spid="_x0000_s230481"/>
    <customShpInfo spid="_x0000_s230482"/>
    <customShpInfo spid="_x0000_s230484"/>
    <customShpInfo spid="_x0000_s230485"/>
    <customShpInfo spid="_x0000_s230486"/>
    <customShpInfo spid="_x0000_s230487"/>
    <customShpInfo spid="_x0000_s230488"/>
    <customShpInfo spid="_x0000_s230489"/>
    <customShpInfo spid="_x0000_s230490"/>
    <customShpInfo spid="_x0000_s230491"/>
    <customShpInfo spid="_x0000_s230492"/>
    <customShpInfo spid="_x0000_s230493"/>
    <customShpInfo spid="_x0000_s230494"/>
    <customShpInfo spid="_x0000_s230495"/>
    <customShpInfo spid="_x0000_s230496"/>
    <customShpInfo spid="_x0000_s230497"/>
    <customShpInfo spid="_x0000_s230498"/>
    <customShpInfo spid="_x0000_s230499"/>
    <customShpInfo spid="_x0000_s230500"/>
    <customShpInfo spid="_x0000_s230501"/>
    <customShpInfo spid="_x0000_s230502"/>
    <customShpInfo spid="_x0000_s230503"/>
    <customShpInfo spid="_x0000_s230504"/>
    <customShpInfo spid="_x0000_s230505"/>
    <customShpInfo spid="_x0000_s230508"/>
    <customShpInfo spid="_x0000_s230509"/>
    <customShpInfo spid="_x0000_s230510"/>
    <customShpInfo spid="_x0000_s230511"/>
    <customShpInfo spid="_x0000_s230512"/>
    <customShpInfo spid="_x0000_s230513"/>
    <customShpInfo spid="_x0000_s230514"/>
    <customShpInfo spid="_x0000_s230515"/>
    <customShpInfo spid="_x0000_s230516"/>
    <customShpInfo spid="_x0000_s230517"/>
    <customShpInfo spid="_x0000_s230518"/>
    <customShpInfo spid="_x0000_s230519"/>
    <customShpInfo spid="_x0000_s230520"/>
    <customShpInfo spid="_x0000_s230638"/>
    <customShpInfo spid="_x0000_s230639"/>
    <customShpInfo spid="_x0000_s230640"/>
    <customShpInfo spid="_x0000_s230641"/>
    <customShpInfo spid="_x0000_s230642"/>
    <customShpInfo spid="_x0000_s230643"/>
    <customShpInfo spid="_x0000_s230644"/>
    <customShpInfo spid="_x0000_s230645"/>
    <customShpInfo spid="_x0000_s230646"/>
    <customShpInfo spid="_x0000_s230652"/>
    <customShpInfo spid="_x0000_s230523"/>
    <customShpInfo spid="_x0000_s230524"/>
    <customShpInfo spid="_x0000_s230525"/>
    <customShpInfo spid="_x0000_s230526"/>
    <customShpInfo spid="_x0000_s230527"/>
    <customShpInfo spid="_x0000_s230528"/>
    <customShpInfo spid="_x0000_s230529"/>
    <customShpInfo spid="_x0000_s230530"/>
    <customShpInfo spid="_x0000_s230531"/>
    <customShpInfo spid="_x0000_s230532"/>
    <customShpInfo spid="_x0000_s230533"/>
    <customShpInfo spid="_x0000_s230534"/>
    <customShpInfo spid="_x0000_s230535"/>
    <customShpInfo spid="_x0000_s230536"/>
    <customShpInfo spid="_x0000_s230537"/>
    <customShpInfo spid="_x0000_s230538"/>
    <customShpInfo spid="_x0000_s230539"/>
    <customShpInfo spid="_x0000_s230540"/>
    <customShpInfo spid="_x0000_s230541"/>
    <customShpInfo spid="_x0000_s230542"/>
    <customShpInfo spid="_x0000_s230543"/>
    <customShpInfo spid="_x0000_s230544"/>
    <customShpInfo spid="_x0000_s230545"/>
    <customShpInfo spid="_x0000_s230546"/>
    <customShpInfo spid="_x0000_s230547"/>
    <customShpInfo spid="_x0000_s230548"/>
    <customShpInfo spid="_x0000_s230549"/>
    <customShpInfo spid="_x0000_s230550"/>
    <customShpInfo spid="_x0000_s230551"/>
    <customShpInfo spid="_x0000_s230552"/>
    <customShpInfo spid="_x0000_s230553"/>
    <customShpInfo spid="_x0000_s230554"/>
    <customShpInfo spid="_x0000_s230555"/>
    <customShpInfo spid="_x0000_s230556"/>
    <customShpInfo spid="_x0000_s230557"/>
    <customShpInfo spid="_x0000_s230558"/>
    <customShpInfo spid="_x0000_s230559"/>
    <customShpInfo spid="_x0000_s230560"/>
    <customShpInfo spid="_x0000_s230561"/>
    <customShpInfo spid="_x0000_s230562"/>
    <customShpInfo spid="_x0000_s230563"/>
    <customShpInfo spid="_x0000_s230564"/>
    <customShpInfo spid="_x0000_s230565"/>
    <customShpInfo spid="_x0000_s230566"/>
    <customShpInfo spid="_x0000_s230567"/>
    <customShpInfo spid="_x0000_s230568"/>
    <customShpInfo spid="_x0000_s230569"/>
    <customShpInfo spid="_x0000_s230570"/>
    <customShpInfo spid="_x0000_s230571"/>
    <customShpInfo spid="_x0000_s230572"/>
    <customShpInfo spid="_x0000_s230573"/>
    <customShpInfo spid="_x0000_s230574"/>
    <customShpInfo spid="_x0000_s230575"/>
    <customShpInfo spid="_x0000_s230577"/>
    <customShpInfo spid="_x0000_s230578"/>
    <customShpInfo spid="_x0000_s230579"/>
    <customShpInfo spid="_x0000_s230580"/>
    <customShpInfo spid="_x0000_s230581"/>
    <customShpInfo spid="_x0000_s230582"/>
    <customShpInfo spid="_x0000_s230583"/>
    <customShpInfo spid="_x0000_s230584"/>
    <customShpInfo spid="_x0000_s230585"/>
    <customShpInfo spid="_x0000_s230586"/>
    <customShpInfo spid="_x0000_s230587"/>
    <customShpInfo spid="_x0000_s230588"/>
    <customShpInfo spid="_x0000_s230589"/>
    <customShpInfo spid="_x0000_s230590"/>
    <customShpInfo spid="_x0000_s230591"/>
    <customShpInfo spid="_x0000_s230592"/>
    <customShpInfo spid="_x0000_s230593"/>
    <customShpInfo spid="_x0000_s230594"/>
    <customShpInfo spid="_x0000_s230595"/>
    <customShpInfo spid="_x0000_s230596"/>
    <customShpInfo spid="_x0000_s230597"/>
    <customShpInfo spid="_x0000_s230598"/>
    <customShpInfo spid="_x0000_s230600"/>
    <customShpInfo spid="_x0000_s230601"/>
    <customShpInfo spid="_x0000_s230602"/>
    <customShpInfo spid="_x0000_s230603"/>
    <customShpInfo spid="_x0000_s230604"/>
    <customShpInfo spid="_x0000_s230605"/>
    <customShpInfo spid="_x0000_s230606"/>
    <customShpInfo spid="_x0000_s230607"/>
    <customShpInfo spid="_x0000_s230608"/>
    <customShpInfo spid="_x0000_s230609"/>
    <customShpInfo spid="_x0000_s230610"/>
    <customShpInfo spid="_x0000_s230611"/>
    <customShpInfo spid="_x0000_s230612"/>
    <customShpInfo spid="_x0000_s230613"/>
    <customShpInfo spid="_x0000_s230647"/>
    <customShpInfo spid="_x0000_s230648"/>
    <customShpInfo spid="_x0000_s230649"/>
    <customShpInfo spid="_x0000_s230653"/>
    <customShpInfo spid="_x0000_s55780"/>
    <customShpInfo spid="_x0000_s55779"/>
    <customShpInfo spid="_x0000_s17906"/>
    <customShpInfo spid="_x0000_s17904"/>
    <customShpInfo spid="_x0000_s56102"/>
    <customShpInfo spid="_x0000_s2828"/>
    <customShpInfo spid="_x0000_s2829"/>
    <customShpInfo spid="_x0000_s2830"/>
    <customShpInfo spid="_x0000_s2831"/>
    <customShpInfo spid="_x0000_s2832"/>
    <customShpInfo spid="_x0000_s2833"/>
    <customShpInfo spid="_x0000_s2834"/>
    <customShpInfo spid="_x0000_s2835"/>
    <customShpInfo spid="_x0000_s2836"/>
    <customShpInfo spid="_x0000_s2837"/>
    <customShpInfo spid="_x0000_s2840"/>
    <customShpInfo spid="_x0000_s2838"/>
    <customShpInfo spid="_x0000_s2841"/>
    <customShpInfo spid="_x0000_s55814"/>
    <customShpInfo spid="_x0000_s55875"/>
    <customShpInfo spid="_x0000_s56103"/>
    <customShpInfo spid="_x0000_s17475"/>
    <customShpInfo spid="_x0000_s17476"/>
    <customShpInfo spid="_x0000_s17477"/>
    <customShpInfo spid="_x0000_s17485"/>
    <customShpInfo spid="_x0000_s17486"/>
    <customShpInfo spid="_x0000_s17487"/>
    <customShpInfo spid="_x0000_s17488"/>
    <customShpInfo spid="_x0000_s17489"/>
    <customShpInfo spid="_x0000_s17490"/>
    <customShpInfo spid="_x0000_s17491"/>
    <customShpInfo spid="_x0000_s17492"/>
    <customShpInfo spid="_x0000_s17493"/>
    <customShpInfo spid="_x0000_s17494"/>
    <customShpInfo spid="_x0000_s17495"/>
    <customShpInfo spid="_x0000_s17496"/>
    <customShpInfo spid="_x0000_s5539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FE0782-7FCF-4E33-B321-40D2F2DCA77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240</Pages>
  <Words>26347</Words>
  <Characters>150178</Characters>
  <Lines>1251</Lines>
  <Paragraphs>352</Paragraphs>
  <TotalTime>4119</TotalTime>
  <ScaleCrop>false</ScaleCrop>
  <LinksUpToDate>false</LinksUpToDate>
  <CharactersWithSpaces>176173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2021-04-26T01:18:00Z</dcterms:created>
  <dc:creator>Administrator</dc:creator>
  <cp:lastModifiedBy>Lenovo</cp:lastModifiedBy>
  <cp:lastPrinted>2019-10-23T01:36:00Z</cp:lastPrinted>
  <dcterms:modified xsi:type="dcterms:W3CDTF">2021-09-15T08:55:42Z</dcterms:modified>
  <cp:revision>1091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103A19EDE71A4933916B3530EC33F22F</vt:lpwstr>
  </property>
</Properties>
</file>